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8CB3D66">
      <w:pPr>
        <w:autoSpaceDE w:val="0"/>
        <w:autoSpaceDN w:val="0"/>
        <w:adjustRightInd w:val="0"/>
        <w:spacing w:line="360" w:lineRule="auto"/>
        <w:jc w:val="center"/>
        <w:rPr>
          <w:rFonts w:hint="eastAsia" w:ascii="宋体" w:hAnsi="宋体" w:eastAsia="宋体" w:cs="宋体"/>
          <w:b/>
          <w:bCs/>
          <w:color w:val="000000"/>
          <w:kern w:val="0"/>
          <w:sz w:val="84"/>
          <w:szCs w:val="84"/>
        </w:rPr>
      </w:pPr>
    </w:p>
    <w:p w14:paraId="2CB65F63">
      <w:pPr>
        <w:autoSpaceDE w:val="0"/>
        <w:autoSpaceDN w:val="0"/>
        <w:adjustRightInd w:val="0"/>
        <w:spacing w:line="360" w:lineRule="auto"/>
        <w:jc w:val="center"/>
        <w:rPr>
          <w:rFonts w:hint="eastAsia" w:ascii="宋体" w:hAnsi="宋体" w:eastAsia="宋体" w:cs="宋体"/>
          <w:b/>
          <w:bCs/>
          <w:color w:val="000000"/>
          <w:kern w:val="0"/>
          <w:sz w:val="84"/>
          <w:szCs w:val="84"/>
        </w:rPr>
      </w:pPr>
      <w:r>
        <w:rPr>
          <w:rFonts w:hint="eastAsia" w:ascii="宋体" w:hAnsi="宋体" w:eastAsia="宋体" w:cs="宋体"/>
          <w:b/>
          <w:bCs/>
          <w:color w:val="000000"/>
          <w:kern w:val="0"/>
          <w:sz w:val="84"/>
          <w:szCs w:val="84"/>
        </w:rPr>
        <w:t xml:space="preserve"> </w:t>
      </w:r>
      <w:r>
        <w:rPr>
          <w:rFonts w:hint="eastAsia" w:ascii="宋体" w:hAnsi="宋体" w:eastAsia="宋体" w:cs="宋体"/>
          <w:b/>
          <w:bCs/>
          <w:color w:val="000000"/>
          <w:kern w:val="0"/>
          <w:sz w:val="84"/>
          <w:szCs w:val="84"/>
          <w:lang w:val="zh-CN"/>
        </w:rPr>
        <w:t>公开招标文件</w:t>
      </w:r>
    </w:p>
    <w:p w14:paraId="5186B73F">
      <w:pPr>
        <w:autoSpaceDE w:val="0"/>
        <w:autoSpaceDN w:val="0"/>
        <w:adjustRightInd w:val="0"/>
        <w:spacing w:line="360" w:lineRule="auto"/>
        <w:jc w:val="left"/>
        <w:rPr>
          <w:rFonts w:hint="eastAsia" w:ascii="宋体" w:hAnsi="宋体" w:eastAsia="宋体" w:cs="宋体"/>
          <w:color w:val="000000"/>
          <w:kern w:val="0"/>
          <w:sz w:val="36"/>
          <w:szCs w:val="36"/>
          <w:u w:val="dotDash"/>
        </w:rPr>
      </w:pPr>
    </w:p>
    <w:p w14:paraId="335DA224">
      <w:pPr>
        <w:autoSpaceDE w:val="0"/>
        <w:autoSpaceDN w:val="0"/>
        <w:adjustRightInd w:val="0"/>
        <w:spacing w:line="360" w:lineRule="auto"/>
        <w:jc w:val="left"/>
        <w:rPr>
          <w:rFonts w:hint="eastAsia" w:ascii="宋体" w:hAnsi="宋体" w:eastAsia="宋体" w:cs="宋体"/>
          <w:color w:val="000000"/>
          <w:kern w:val="0"/>
          <w:sz w:val="36"/>
          <w:szCs w:val="36"/>
          <w:u w:val="dotDash"/>
        </w:rPr>
      </w:pPr>
    </w:p>
    <w:p w14:paraId="3BCA33AB">
      <w:pPr>
        <w:autoSpaceDE w:val="0"/>
        <w:autoSpaceDN w:val="0"/>
        <w:adjustRightInd w:val="0"/>
        <w:spacing w:line="360" w:lineRule="auto"/>
        <w:jc w:val="left"/>
        <w:rPr>
          <w:rFonts w:hint="eastAsia" w:ascii="宋体" w:hAnsi="宋体" w:eastAsia="宋体" w:cs="宋体"/>
          <w:color w:val="000000"/>
          <w:kern w:val="0"/>
          <w:sz w:val="36"/>
          <w:szCs w:val="36"/>
          <w:u w:val="dotDash"/>
        </w:rPr>
      </w:pPr>
    </w:p>
    <w:p w14:paraId="6D5C2241">
      <w:pPr>
        <w:autoSpaceDE w:val="0"/>
        <w:autoSpaceDN w:val="0"/>
        <w:adjustRightInd w:val="0"/>
        <w:spacing w:line="360" w:lineRule="auto"/>
        <w:jc w:val="left"/>
        <w:rPr>
          <w:rFonts w:hint="eastAsia" w:ascii="宋体" w:hAnsi="宋体" w:eastAsia="宋体" w:cs="宋体"/>
          <w:color w:val="000000"/>
          <w:kern w:val="0"/>
          <w:sz w:val="36"/>
          <w:szCs w:val="36"/>
          <w:u w:val="dotDash"/>
        </w:rPr>
      </w:pPr>
    </w:p>
    <w:p w14:paraId="286392A0">
      <w:pPr>
        <w:autoSpaceDE w:val="0"/>
        <w:autoSpaceDN w:val="0"/>
        <w:adjustRightInd w:val="0"/>
        <w:spacing w:line="360" w:lineRule="auto"/>
        <w:jc w:val="left"/>
        <w:rPr>
          <w:rFonts w:hint="eastAsia" w:ascii="宋体" w:hAnsi="宋体" w:eastAsia="宋体" w:cs="宋体"/>
          <w:b/>
          <w:bCs/>
          <w:color w:val="FF0000"/>
          <w:kern w:val="0"/>
          <w:sz w:val="32"/>
          <w:szCs w:val="32"/>
        </w:rPr>
      </w:pPr>
      <w:r>
        <w:rPr>
          <w:rFonts w:hint="eastAsia" w:ascii="宋体" w:hAnsi="宋体" w:eastAsia="宋体" w:cs="宋体"/>
          <w:b/>
          <w:bCs/>
          <w:color w:val="000000"/>
          <w:kern w:val="0"/>
          <w:sz w:val="32"/>
          <w:szCs w:val="32"/>
        </w:rPr>
        <w:t xml:space="preserve">   </w:t>
      </w:r>
      <w:r>
        <w:rPr>
          <w:rFonts w:hint="eastAsia" w:ascii="宋体" w:hAnsi="宋体" w:eastAsia="宋体" w:cs="宋体"/>
          <w:b/>
          <w:bCs/>
          <w:color w:val="000000"/>
          <w:kern w:val="0"/>
          <w:sz w:val="32"/>
          <w:szCs w:val="32"/>
          <w:lang w:val="zh-CN"/>
        </w:rPr>
        <w:t>采购项目编号：青海君昱公招（货物）2025-001</w:t>
      </w:r>
    </w:p>
    <w:p w14:paraId="701A4F45">
      <w:pPr>
        <w:autoSpaceDE w:val="0"/>
        <w:autoSpaceDN w:val="0"/>
        <w:adjustRightInd w:val="0"/>
        <w:spacing w:line="360" w:lineRule="auto"/>
        <w:jc w:val="left"/>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rPr>
        <w:t xml:space="preserve">  </w:t>
      </w:r>
    </w:p>
    <w:p w14:paraId="3DE4B896">
      <w:pPr>
        <w:autoSpaceDE w:val="0"/>
        <w:autoSpaceDN w:val="0"/>
        <w:adjustRightInd w:val="0"/>
        <w:spacing w:line="360" w:lineRule="auto"/>
        <w:ind w:left="2891" w:hanging="2891" w:hangingChars="900"/>
        <w:jc w:val="left"/>
        <w:rPr>
          <w:rFonts w:hint="eastAsia" w:ascii="宋体" w:hAnsi="宋体" w:eastAsia="宋体" w:cs="宋体"/>
          <w:b/>
          <w:bCs/>
          <w:color w:val="000000"/>
          <w:kern w:val="0"/>
          <w:sz w:val="32"/>
          <w:szCs w:val="32"/>
          <w:lang w:val="zh-CN"/>
        </w:rPr>
      </w:pPr>
      <w:r>
        <w:rPr>
          <w:rFonts w:hint="eastAsia" w:ascii="宋体" w:hAnsi="宋体" w:eastAsia="宋体" w:cs="宋体"/>
          <w:b/>
          <w:bCs/>
          <w:color w:val="000000"/>
          <w:kern w:val="0"/>
          <w:sz w:val="32"/>
          <w:szCs w:val="32"/>
        </w:rPr>
        <w:t xml:space="preserve">   </w:t>
      </w:r>
      <w:r>
        <w:rPr>
          <w:rFonts w:hint="eastAsia" w:ascii="宋体" w:hAnsi="宋体" w:eastAsia="宋体" w:cs="宋体"/>
          <w:b/>
          <w:bCs/>
          <w:color w:val="000000"/>
          <w:kern w:val="0"/>
          <w:sz w:val="32"/>
          <w:szCs w:val="32"/>
          <w:lang w:val="zh-CN"/>
        </w:rPr>
        <w:t>采购项目名称：平安黄南(平安尖扎智慧城市)建设项目(一期)</w:t>
      </w:r>
    </w:p>
    <w:p w14:paraId="5D711D7E">
      <w:pPr>
        <w:autoSpaceDE w:val="0"/>
        <w:autoSpaceDN w:val="0"/>
        <w:adjustRightInd w:val="0"/>
        <w:spacing w:line="360" w:lineRule="auto"/>
        <w:ind w:left="0" w:leftChars="0" w:firstLine="2650" w:firstLineChars="825"/>
        <w:jc w:val="left"/>
        <w:rPr>
          <w:rFonts w:hint="eastAsia" w:ascii="宋体" w:hAnsi="宋体" w:eastAsia="宋体" w:cs="宋体"/>
          <w:b/>
          <w:bCs/>
          <w:color w:val="000000"/>
          <w:kern w:val="0"/>
          <w:sz w:val="32"/>
          <w:szCs w:val="32"/>
          <w:lang w:val="zh-CN"/>
        </w:rPr>
      </w:pPr>
      <w:r>
        <w:rPr>
          <w:rFonts w:hint="eastAsia" w:ascii="宋体" w:hAnsi="宋体" w:eastAsia="宋体" w:cs="宋体"/>
          <w:b/>
          <w:bCs/>
          <w:color w:val="000000"/>
          <w:kern w:val="0"/>
          <w:sz w:val="32"/>
          <w:szCs w:val="32"/>
          <w:lang w:val="zh-CN"/>
        </w:rPr>
        <w:t>货物采购项目</w:t>
      </w:r>
    </w:p>
    <w:p w14:paraId="334F3695">
      <w:pPr>
        <w:autoSpaceDE w:val="0"/>
        <w:autoSpaceDN w:val="0"/>
        <w:adjustRightInd w:val="0"/>
        <w:spacing w:line="360" w:lineRule="auto"/>
        <w:jc w:val="left"/>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rPr>
        <w:t xml:space="preserve">   </w:t>
      </w:r>
    </w:p>
    <w:p w14:paraId="5D56D85C">
      <w:pPr>
        <w:keepNext w:val="0"/>
        <w:keepLines w:val="0"/>
        <w:pageBreakBefore w:val="0"/>
        <w:widowControl/>
        <w:kinsoku/>
        <w:wordWrap/>
        <w:overflowPunct/>
        <w:topLinePunct w:val="0"/>
        <w:autoSpaceDE/>
        <w:autoSpaceDN/>
        <w:bidi w:val="0"/>
        <w:adjustRightInd w:val="0"/>
        <w:snapToGrid w:val="0"/>
        <w:spacing w:line="600" w:lineRule="auto"/>
        <w:ind w:left="0" w:leftChars="0" w:firstLine="482" w:firstLineChars="150"/>
        <w:jc w:val="left"/>
        <w:textAlignment w:val="baseline"/>
        <w:rPr>
          <w:rFonts w:hint="eastAsia" w:ascii="宋体" w:hAnsi="宋体" w:eastAsia="宋体" w:cs="宋体"/>
          <w:b/>
          <w:color w:val="000000"/>
          <w:kern w:val="0"/>
          <w:sz w:val="24"/>
          <w:szCs w:val="24"/>
          <w:lang w:eastAsia="zh-CN"/>
        </w:rPr>
      </w:pPr>
      <w:r>
        <w:rPr>
          <w:rFonts w:hint="eastAsia" w:ascii="宋体" w:hAnsi="宋体" w:eastAsia="宋体" w:cs="宋体"/>
          <w:b/>
          <w:bCs/>
          <w:color w:val="000000"/>
          <w:kern w:val="0"/>
          <w:sz w:val="32"/>
          <w:szCs w:val="32"/>
          <w:lang w:val="zh-CN"/>
        </w:rPr>
        <w:t>采</w:t>
      </w:r>
      <w:r>
        <w:rPr>
          <w:rFonts w:hint="eastAsia" w:ascii="宋体" w:hAnsi="宋体" w:eastAsia="宋体" w:cs="宋体"/>
          <w:b/>
          <w:bCs/>
          <w:color w:val="000000"/>
          <w:kern w:val="0"/>
          <w:sz w:val="32"/>
          <w:szCs w:val="32"/>
        </w:rPr>
        <w:t xml:space="preserve">   </w:t>
      </w:r>
      <w:r>
        <w:rPr>
          <w:rFonts w:hint="eastAsia" w:ascii="宋体" w:hAnsi="宋体" w:eastAsia="宋体" w:cs="宋体"/>
          <w:b/>
          <w:bCs/>
          <w:color w:val="000000"/>
          <w:kern w:val="0"/>
          <w:sz w:val="32"/>
          <w:szCs w:val="32"/>
          <w:lang w:val="zh-CN"/>
        </w:rPr>
        <w:t>购</w:t>
      </w:r>
      <w:r>
        <w:rPr>
          <w:rFonts w:hint="eastAsia" w:ascii="宋体" w:hAnsi="宋体" w:eastAsia="宋体" w:cs="宋体"/>
          <w:b/>
          <w:bCs/>
          <w:color w:val="000000"/>
          <w:kern w:val="0"/>
          <w:sz w:val="32"/>
          <w:szCs w:val="32"/>
        </w:rPr>
        <w:t xml:space="preserve">   </w:t>
      </w:r>
      <w:r>
        <w:rPr>
          <w:rFonts w:hint="eastAsia" w:ascii="宋体" w:hAnsi="宋体" w:eastAsia="宋体" w:cs="宋体"/>
          <w:b/>
          <w:bCs/>
          <w:color w:val="000000"/>
          <w:kern w:val="0"/>
          <w:sz w:val="32"/>
          <w:szCs w:val="32"/>
          <w:lang w:val="zh-CN"/>
        </w:rPr>
        <w:t>人：</w:t>
      </w:r>
      <w:r>
        <w:rPr>
          <w:rFonts w:hint="eastAsia" w:ascii="宋体" w:hAnsi="宋体" w:eastAsia="宋体" w:cs="宋体"/>
          <w:b/>
          <w:bCs/>
          <w:color w:val="000000"/>
          <w:kern w:val="0"/>
          <w:sz w:val="32"/>
          <w:szCs w:val="32"/>
          <w:lang w:val="zh-CN" w:eastAsia="zh-CN"/>
        </w:rPr>
        <w:t>尖扎县发展和改革局</w:t>
      </w:r>
    </w:p>
    <w:p w14:paraId="642C774B">
      <w:pPr>
        <w:autoSpaceDE w:val="0"/>
        <w:autoSpaceDN w:val="0"/>
        <w:adjustRightInd w:val="0"/>
        <w:spacing w:line="360" w:lineRule="auto"/>
        <w:jc w:val="left"/>
        <w:rPr>
          <w:rFonts w:hint="eastAsia" w:ascii="宋体" w:hAnsi="宋体" w:eastAsia="宋体" w:cs="宋体"/>
          <w:b/>
          <w:bCs/>
          <w:color w:val="000000"/>
          <w:kern w:val="0"/>
          <w:sz w:val="32"/>
          <w:szCs w:val="32"/>
        </w:rPr>
      </w:pPr>
    </w:p>
    <w:p w14:paraId="1CAD77DE">
      <w:pPr>
        <w:autoSpaceDE w:val="0"/>
        <w:autoSpaceDN w:val="0"/>
        <w:adjustRightInd w:val="0"/>
        <w:spacing w:line="360" w:lineRule="auto"/>
        <w:ind w:left="0" w:leftChars="0" w:firstLine="482" w:firstLineChars="150"/>
        <w:rPr>
          <w:rFonts w:hint="eastAsia" w:ascii="宋体" w:hAnsi="宋体" w:eastAsia="宋体" w:cs="宋体"/>
          <w:b/>
          <w:bCs/>
          <w:color w:val="000000"/>
          <w:kern w:val="0"/>
          <w:sz w:val="32"/>
          <w:szCs w:val="32"/>
          <w:lang w:val="zh-CN"/>
        </w:rPr>
      </w:pPr>
      <w:r>
        <w:rPr>
          <w:rFonts w:hint="eastAsia" w:ascii="宋体" w:hAnsi="宋体" w:eastAsia="宋体" w:cs="宋体"/>
          <w:b/>
          <w:bCs/>
          <w:color w:val="000000"/>
          <w:kern w:val="0"/>
          <w:sz w:val="32"/>
          <w:szCs w:val="32"/>
          <w:lang w:val="zh-CN"/>
        </w:rPr>
        <w:t>采购代理机构：青海君昱工程项目管理有限公司</w:t>
      </w:r>
    </w:p>
    <w:p w14:paraId="0E1FF8FC">
      <w:pPr>
        <w:autoSpaceDE w:val="0"/>
        <w:autoSpaceDN w:val="0"/>
        <w:adjustRightInd w:val="0"/>
        <w:spacing w:line="360" w:lineRule="auto"/>
        <w:jc w:val="center"/>
        <w:rPr>
          <w:rFonts w:hint="eastAsia" w:ascii="宋体" w:hAnsi="宋体" w:eastAsia="宋体" w:cs="宋体"/>
          <w:b/>
          <w:bCs/>
          <w:color w:val="000000"/>
          <w:kern w:val="0"/>
          <w:sz w:val="32"/>
          <w:szCs w:val="32"/>
          <w:lang w:val="zh-CN"/>
        </w:rPr>
      </w:pPr>
    </w:p>
    <w:p w14:paraId="0DD08568">
      <w:pPr>
        <w:autoSpaceDE w:val="0"/>
        <w:autoSpaceDN w:val="0"/>
        <w:adjustRightInd w:val="0"/>
        <w:spacing w:line="360" w:lineRule="auto"/>
        <w:rPr>
          <w:rFonts w:hint="eastAsia" w:ascii="宋体" w:hAnsi="宋体" w:eastAsia="宋体" w:cs="宋体"/>
          <w:b/>
          <w:bCs/>
          <w:color w:val="000000"/>
          <w:kern w:val="0"/>
          <w:sz w:val="32"/>
          <w:szCs w:val="32"/>
          <w:lang w:val="zh-CN"/>
        </w:rPr>
      </w:pPr>
    </w:p>
    <w:p w14:paraId="52CF353D">
      <w:pPr>
        <w:autoSpaceDE w:val="0"/>
        <w:autoSpaceDN w:val="0"/>
        <w:adjustRightInd w:val="0"/>
        <w:spacing w:line="360" w:lineRule="auto"/>
        <w:jc w:val="center"/>
        <w:rPr>
          <w:rFonts w:hint="eastAsia" w:ascii="宋体" w:hAnsi="宋体" w:eastAsia="宋体" w:cs="宋体"/>
          <w:b/>
          <w:color w:val="000000"/>
          <w:sz w:val="40"/>
          <w:szCs w:val="30"/>
        </w:rPr>
      </w:pPr>
      <w:r>
        <w:rPr>
          <w:rFonts w:hint="eastAsia" w:ascii="宋体" w:hAnsi="宋体" w:eastAsia="宋体" w:cs="宋体"/>
          <w:b/>
          <w:bCs/>
          <w:color w:val="000000"/>
          <w:kern w:val="0"/>
          <w:sz w:val="32"/>
          <w:szCs w:val="32"/>
          <w:lang w:val="zh-CN"/>
        </w:rPr>
        <w:t>20</w:t>
      </w:r>
      <w:r>
        <w:rPr>
          <w:rFonts w:hint="eastAsia" w:ascii="宋体" w:hAnsi="宋体" w:eastAsia="宋体" w:cs="宋体"/>
          <w:b/>
          <w:bCs/>
          <w:color w:val="000000"/>
          <w:kern w:val="0"/>
          <w:sz w:val="32"/>
          <w:szCs w:val="32"/>
        </w:rPr>
        <w:t>2</w:t>
      </w:r>
      <w:r>
        <w:rPr>
          <w:rFonts w:hint="eastAsia" w:ascii="宋体" w:hAnsi="宋体" w:eastAsia="宋体" w:cs="宋体"/>
          <w:b/>
          <w:bCs/>
          <w:color w:val="000000"/>
          <w:kern w:val="0"/>
          <w:sz w:val="32"/>
          <w:szCs w:val="32"/>
          <w:lang w:val="en-US" w:eastAsia="zh-CN"/>
        </w:rPr>
        <w:t>5</w:t>
      </w:r>
      <w:r>
        <w:rPr>
          <w:rFonts w:hint="eastAsia" w:ascii="宋体" w:hAnsi="宋体" w:eastAsia="宋体" w:cs="宋体"/>
          <w:b/>
          <w:bCs/>
          <w:color w:val="000000"/>
          <w:kern w:val="0"/>
          <w:sz w:val="32"/>
          <w:szCs w:val="32"/>
          <w:lang w:val="zh-CN"/>
        </w:rPr>
        <w:t>年</w:t>
      </w:r>
      <w:r>
        <w:rPr>
          <w:rFonts w:hint="eastAsia" w:ascii="宋体" w:hAnsi="宋体" w:eastAsia="宋体" w:cs="宋体"/>
          <w:b/>
          <w:bCs/>
          <w:color w:val="000000"/>
          <w:kern w:val="0"/>
          <w:sz w:val="32"/>
          <w:szCs w:val="32"/>
          <w:lang w:val="en-US" w:eastAsia="zh-CN"/>
        </w:rPr>
        <w:t>01</w:t>
      </w:r>
      <w:r>
        <w:rPr>
          <w:rFonts w:hint="eastAsia" w:ascii="宋体" w:hAnsi="宋体" w:eastAsia="宋体" w:cs="宋体"/>
          <w:b/>
          <w:bCs/>
          <w:color w:val="000000"/>
          <w:kern w:val="0"/>
          <w:sz w:val="32"/>
          <w:szCs w:val="32"/>
          <w:lang w:val="zh-CN"/>
        </w:rPr>
        <w:t>月</w:t>
      </w:r>
      <w:r>
        <w:rPr>
          <w:rFonts w:hint="eastAsia" w:ascii="宋体" w:hAnsi="宋体" w:eastAsia="宋体" w:cs="宋体"/>
          <w:b/>
          <w:color w:val="000000"/>
          <w:sz w:val="40"/>
          <w:szCs w:val="30"/>
        </w:rPr>
        <w:br w:type="page"/>
      </w:r>
      <w:r>
        <w:rPr>
          <w:rFonts w:hint="eastAsia" w:ascii="宋体" w:hAnsi="宋体" w:eastAsia="宋体" w:cs="宋体"/>
          <w:b/>
          <w:color w:val="000000"/>
          <w:sz w:val="40"/>
          <w:szCs w:val="30"/>
        </w:rPr>
        <w:t>目  录</w:t>
      </w:r>
    </w:p>
    <w:p w14:paraId="70AFE184">
      <w:pPr>
        <w:pStyle w:val="17"/>
        <w:tabs>
          <w:tab w:val="right" w:leader="dot" w:pos="9120"/>
        </w:tabs>
        <w:ind w:firstLine="480"/>
        <w:rPr>
          <w:rFonts w:hint="eastAsia" w:ascii="宋体" w:hAnsi="宋体" w:eastAsia="宋体" w:cs="宋体"/>
        </w:rPr>
      </w:pPr>
      <w:r>
        <w:rPr>
          <w:rFonts w:hint="eastAsia" w:ascii="宋体" w:hAnsi="宋体" w:eastAsia="宋体" w:cs="宋体"/>
          <w:b w:val="0"/>
          <w:bCs w:val="0"/>
          <w:color w:val="000000"/>
          <w:kern w:val="0"/>
          <w:szCs w:val="24"/>
        </w:rPr>
        <w:fldChar w:fldCharType="begin"/>
      </w:r>
      <w:r>
        <w:rPr>
          <w:rStyle w:val="32"/>
          <w:rFonts w:hint="eastAsia" w:ascii="宋体" w:hAnsi="宋体" w:eastAsia="宋体" w:cs="宋体"/>
          <w:b w:val="0"/>
          <w:bCs w:val="0"/>
          <w:kern w:val="0"/>
          <w:szCs w:val="24"/>
        </w:rPr>
        <w:instrText xml:space="preserve"> TOC \o "3-3" \h \z \t "标题 1,2,标题 2,3,标题,1" </w:instrText>
      </w:r>
      <w:r>
        <w:rPr>
          <w:rFonts w:hint="eastAsia" w:ascii="宋体" w:hAnsi="宋体" w:eastAsia="宋体" w:cs="宋体"/>
          <w:b w:val="0"/>
          <w:bCs w:val="0"/>
          <w:color w:val="000000"/>
          <w:kern w:val="0"/>
          <w:szCs w:val="24"/>
        </w:rPr>
        <w:fldChar w:fldCharType="separate"/>
      </w:r>
      <w:r>
        <w:rPr>
          <w:rFonts w:hint="eastAsia" w:ascii="宋体" w:hAnsi="宋体" w:eastAsia="宋体" w:cs="宋体"/>
          <w:bCs w:val="0"/>
          <w:color w:val="000000"/>
          <w:kern w:val="0"/>
          <w:szCs w:val="24"/>
        </w:rPr>
        <w:fldChar w:fldCharType="begin"/>
      </w:r>
      <w:r>
        <w:rPr>
          <w:rFonts w:hint="eastAsia" w:ascii="宋体" w:hAnsi="宋体" w:eastAsia="宋体" w:cs="宋体"/>
          <w:bCs w:val="0"/>
          <w:kern w:val="0"/>
          <w:szCs w:val="24"/>
        </w:rPr>
        <w:instrText xml:space="preserve"> HYPERLINK \l _Toc28305 </w:instrText>
      </w:r>
      <w:r>
        <w:rPr>
          <w:rFonts w:hint="eastAsia" w:ascii="宋体" w:hAnsi="宋体" w:eastAsia="宋体" w:cs="宋体"/>
          <w:bCs w:val="0"/>
          <w:kern w:val="0"/>
          <w:szCs w:val="24"/>
        </w:rPr>
        <w:fldChar w:fldCharType="separate"/>
      </w:r>
      <w:r>
        <w:rPr>
          <w:rFonts w:hint="eastAsia" w:ascii="宋体" w:hAnsi="宋体" w:eastAsia="宋体" w:cs="宋体"/>
          <w:szCs w:val="36"/>
          <w:lang w:val="zh-CN"/>
        </w:rPr>
        <w:t>第一部分  投标邀请</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_Toc28305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bCs w:val="0"/>
          <w:color w:val="000000"/>
          <w:kern w:val="0"/>
          <w:szCs w:val="24"/>
        </w:rPr>
        <w:fldChar w:fldCharType="end"/>
      </w:r>
    </w:p>
    <w:p w14:paraId="35E89E5B">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_Toc23887 </w:instrText>
      </w:r>
      <w:r>
        <w:rPr>
          <w:rFonts w:hint="eastAsia" w:ascii="宋体" w:hAnsi="宋体" w:eastAsia="宋体" w:cs="宋体"/>
        </w:rPr>
        <w:fldChar w:fldCharType="separate"/>
      </w:r>
      <w:r>
        <w:rPr>
          <w:rFonts w:hint="eastAsia" w:ascii="宋体" w:hAnsi="宋体" w:eastAsia="宋体" w:cs="宋体"/>
          <w:szCs w:val="36"/>
          <w:lang w:val="zh-CN"/>
        </w:rPr>
        <w:t>第二部分  投标人须知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_Toc23887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color w:val="000000"/>
        </w:rPr>
        <w:fldChar w:fldCharType="end"/>
      </w:r>
    </w:p>
    <w:p w14:paraId="363A7316">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_Toc3028 </w:instrText>
      </w:r>
      <w:r>
        <w:rPr>
          <w:rFonts w:hint="eastAsia" w:ascii="宋体" w:hAnsi="宋体" w:eastAsia="宋体" w:cs="宋体"/>
        </w:rPr>
        <w:fldChar w:fldCharType="separate"/>
      </w:r>
      <w:r>
        <w:rPr>
          <w:rFonts w:hint="eastAsia" w:ascii="宋体" w:hAnsi="宋体" w:eastAsia="宋体" w:cs="宋体"/>
          <w:lang w:val="zh-CN"/>
        </w:rPr>
        <w:t>一、说明</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_Toc3028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color w:val="000000"/>
        </w:rPr>
        <w:fldChar w:fldCharType="end"/>
      </w:r>
    </w:p>
    <w:p w14:paraId="0024ADD5">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_Toc31539 </w:instrText>
      </w:r>
      <w:r>
        <w:rPr>
          <w:rFonts w:hint="eastAsia" w:ascii="宋体" w:hAnsi="宋体" w:eastAsia="宋体" w:cs="宋体"/>
        </w:rPr>
        <w:fldChar w:fldCharType="separate"/>
      </w:r>
      <w:r>
        <w:rPr>
          <w:rFonts w:hint="eastAsia" w:ascii="宋体" w:hAnsi="宋体" w:eastAsia="宋体" w:cs="宋体"/>
          <w:szCs w:val="28"/>
          <w:lang w:val="zh-CN"/>
        </w:rPr>
        <w:t>1.适用范围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_Toc31539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color w:val="000000"/>
        </w:rPr>
        <w:fldChar w:fldCharType="end"/>
      </w:r>
    </w:p>
    <w:p w14:paraId="6F4BB848">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_Toc15040 </w:instrText>
      </w:r>
      <w:r>
        <w:rPr>
          <w:rFonts w:hint="eastAsia" w:ascii="宋体" w:hAnsi="宋体" w:eastAsia="宋体" w:cs="宋体"/>
        </w:rPr>
        <w:fldChar w:fldCharType="separate"/>
      </w:r>
      <w:r>
        <w:rPr>
          <w:rFonts w:hint="eastAsia" w:ascii="宋体" w:hAnsi="宋体" w:eastAsia="宋体" w:cs="宋体"/>
          <w:szCs w:val="28"/>
          <w:lang w:val="zh-CN"/>
        </w:rPr>
        <w:t>2.采购方式、合格的投标人</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_Toc15040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color w:val="000000"/>
        </w:rPr>
        <w:fldChar w:fldCharType="end"/>
      </w:r>
    </w:p>
    <w:p w14:paraId="60207948">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_Toc6092 </w:instrText>
      </w:r>
      <w:r>
        <w:rPr>
          <w:rFonts w:hint="eastAsia" w:ascii="宋体" w:hAnsi="宋体" w:eastAsia="宋体" w:cs="宋体"/>
        </w:rPr>
        <w:fldChar w:fldCharType="separate"/>
      </w:r>
      <w:r>
        <w:rPr>
          <w:rFonts w:hint="eastAsia" w:ascii="宋体" w:hAnsi="宋体" w:eastAsia="宋体" w:cs="宋体"/>
          <w:szCs w:val="28"/>
          <w:lang w:val="zh-CN"/>
        </w:rPr>
        <w:t>3.投标费用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_Toc6092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color w:val="000000"/>
        </w:rPr>
        <w:fldChar w:fldCharType="end"/>
      </w:r>
    </w:p>
    <w:p w14:paraId="739D2286">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_Toc8063 </w:instrText>
      </w:r>
      <w:r>
        <w:rPr>
          <w:rFonts w:hint="eastAsia" w:ascii="宋体" w:hAnsi="宋体" w:eastAsia="宋体" w:cs="宋体"/>
        </w:rPr>
        <w:fldChar w:fldCharType="separate"/>
      </w:r>
      <w:r>
        <w:rPr>
          <w:rFonts w:hint="eastAsia" w:ascii="宋体" w:hAnsi="宋体" w:eastAsia="宋体" w:cs="宋体"/>
          <w:lang w:val="zh-CN"/>
        </w:rPr>
        <w:t>二、招标文件说明</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_Toc8063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color w:val="000000"/>
        </w:rPr>
        <w:fldChar w:fldCharType="end"/>
      </w:r>
    </w:p>
    <w:p w14:paraId="166B3C52">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_Toc5655 </w:instrText>
      </w:r>
      <w:r>
        <w:rPr>
          <w:rFonts w:hint="eastAsia" w:ascii="宋体" w:hAnsi="宋体" w:eastAsia="宋体" w:cs="宋体"/>
        </w:rPr>
        <w:fldChar w:fldCharType="separate"/>
      </w:r>
      <w:r>
        <w:rPr>
          <w:rFonts w:hint="eastAsia" w:ascii="宋体" w:hAnsi="宋体" w:eastAsia="宋体" w:cs="宋体"/>
          <w:szCs w:val="28"/>
          <w:lang w:val="zh-CN"/>
        </w:rPr>
        <w:t>4.招标文件的构成</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_Toc5655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color w:val="000000"/>
        </w:rPr>
        <w:fldChar w:fldCharType="end"/>
      </w:r>
    </w:p>
    <w:p w14:paraId="42413B41">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_Toc2730 </w:instrText>
      </w:r>
      <w:r>
        <w:rPr>
          <w:rFonts w:hint="eastAsia" w:ascii="宋体" w:hAnsi="宋体" w:eastAsia="宋体" w:cs="宋体"/>
        </w:rPr>
        <w:fldChar w:fldCharType="separate"/>
      </w:r>
      <w:r>
        <w:rPr>
          <w:rFonts w:hint="eastAsia" w:ascii="宋体" w:hAnsi="宋体" w:eastAsia="宋体" w:cs="宋体"/>
          <w:szCs w:val="28"/>
          <w:lang w:val="zh-CN"/>
        </w:rPr>
        <w:t>5.招标文件、采购活动和中标结果的质疑</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_Toc2730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color w:val="000000"/>
        </w:rPr>
        <w:fldChar w:fldCharType="end"/>
      </w:r>
    </w:p>
    <w:p w14:paraId="133D8347">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_Toc24464 </w:instrText>
      </w:r>
      <w:r>
        <w:rPr>
          <w:rFonts w:hint="eastAsia" w:ascii="宋体" w:hAnsi="宋体" w:eastAsia="宋体" w:cs="宋体"/>
        </w:rPr>
        <w:fldChar w:fldCharType="separate"/>
      </w:r>
      <w:r>
        <w:rPr>
          <w:rFonts w:hint="eastAsia" w:ascii="宋体" w:hAnsi="宋体" w:eastAsia="宋体" w:cs="宋体"/>
          <w:szCs w:val="28"/>
          <w:lang w:val="zh-CN"/>
        </w:rPr>
        <w:t>6.招标文件的澄清或修改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_Toc24464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color w:val="000000"/>
        </w:rPr>
        <w:fldChar w:fldCharType="end"/>
      </w:r>
    </w:p>
    <w:p w14:paraId="15BBEA45">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_Toc22002 </w:instrText>
      </w:r>
      <w:r>
        <w:rPr>
          <w:rFonts w:hint="eastAsia" w:ascii="宋体" w:hAnsi="宋体" w:eastAsia="宋体" w:cs="宋体"/>
        </w:rPr>
        <w:fldChar w:fldCharType="separate"/>
      </w:r>
      <w:r>
        <w:rPr>
          <w:rFonts w:hint="eastAsia" w:ascii="宋体" w:hAnsi="宋体" w:eastAsia="宋体" w:cs="宋体"/>
          <w:lang w:val="zh-CN"/>
        </w:rPr>
        <w:t>三、投标文件的编制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_Toc22002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color w:val="000000"/>
        </w:rPr>
        <w:fldChar w:fldCharType="end"/>
      </w:r>
    </w:p>
    <w:p w14:paraId="67E21228">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_Toc11455 </w:instrText>
      </w:r>
      <w:r>
        <w:rPr>
          <w:rFonts w:hint="eastAsia" w:ascii="宋体" w:hAnsi="宋体" w:eastAsia="宋体" w:cs="宋体"/>
        </w:rPr>
        <w:fldChar w:fldCharType="separate"/>
      </w:r>
      <w:r>
        <w:rPr>
          <w:rFonts w:hint="eastAsia" w:ascii="宋体" w:hAnsi="宋体" w:eastAsia="宋体" w:cs="宋体"/>
          <w:szCs w:val="28"/>
          <w:lang w:val="zh-CN"/>
        </w:rPr>
        <w:t>7.投标文件的语言及度量衡单位</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_Toc11455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color w:val="000000"/>
        </w:rPr>
        <w:fldChar w:fldCharType="end"/>
      </w:r>
    </w:p>
    <w:p w14:paraId="5BF9A150">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_Toc28400 </w:instrText>
      </w:r>
      <w:r>
        <w:rPr>
          <w:rFonts w:hint="eastAsia" w:ascii="宋体" w:hAnsi="宋体" w:eastAsia="宋体" w:cs="宋体"/>
        </w:rPr>
        <w:fldChar w:fldCharType="separate"/>
      </w:r>
      <w:r>
        <w:rPr>
          <w:rFonts w:hint="eastAsia" w:ascii="宋体" w:hAnsi="宋体" w:eastAsia="宋体" w:cs="宋体"/>
          <w:szCs w:val="28"/>
          <w:lang w:val="zh-CN"/>
        </w:rPr>
        <w:t>8.投标报价及币种</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_Toc28400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color w:val="000000"/>
        </w:rPr>
        <w:fldChar w:fldCharType="end"/>
      </w:r>
    </w:p>
    <w:p w14:paraId="01EA8057">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_Toc14145 </w:instrText>
      </w:r>
      <w:r>
        <w:rPr>
          <w:rFonts w:hint="eastAsia" w:ascii="宋体" w:hAnsi="宋体" w:eastAsia="宋体" w:cs="宋体"/>
        </w:rPr>
        <w:fldChar w:fldCharType="separate"/>
      </w:r>
      <w:r>
        <w:rPr>
          <w:rFonts w:hint="eastAsia" w:ascii="宋体" w:hAnsi="宋体" w:eastAsia="宋体" w:cs="宋体"/>
          <w:szCs w:val="28"/>
        </w:rPr>
        <w:t>9</w:t>
      </w:r>
      <w:r>
        <w:rPr>
          <w:rFonts w:hint="eastAsia" w:ascii="宋体" w:hAnsi="宋体" w:eastAsia="宋体" w:cs="宋体"/>
          <w:szCs w:val="28"/>
          <w:lang w:val="zh-CN"/>
        </w:rPr>
        <w:t>投标保证金</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_Toc14145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color w:val="000000"/>
        </w:rPr>
        <w:fldChar w:fldCharType="end"/>
      </w:r>
    </w:p>
    <w:p w14:paraId="2209AFDE">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_Toc18832 </w:instrText>
      </w:r>
      <w:r>
        <w:rPr>
          <w:rFonts w:hint="eastAsia" w:ascii="宋体" w:hAnsi="宋体" w:eastAsia="宋体" w:cs="宋体"/>
        </w:rPr>
        <w:fldChar w:fldCharType="separate"/>
      </w:r>
      <w:r>
        <w:rPr>
          <w:rFonts w:hint="eastAsia" w:ascii="宋体" w:hAnsi="宋体" w:eastAsia="宋体" w:cs="宋体"/>
          <w:szCs w:val="28"/>
          <w:lang w:val="zh-CN"/>
        </w:rPr>
        <w:t>10.投标有效期</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_Toc18832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color w:val="000000"/>
        </w:rPr>
        <w:fldChar w:fldCharType="end"/>
      </w:r>
    </w:p>
    <w:p w14:paraId="0A061686">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_Toc18705 </w:instrText>
      </w:r>
      <w:r>
        <w:rPr>
          <w:rFonts w:hint="eastAsia" w:ascii="宋体" w:hAnsi="宋体" w:eastAsia="宋体" w:cs="宋体"/>
        </w:rPr>
        <w:fldChar w:fldCharType="separate"/>
      </w:r>
      <w:r>
        <w:rPr>
          <w:rFonts w:hint="eastAsia" w:ascii="宋体" w:hAnsi="宋体" w:eastAsia="宋体" w:cs="宋体"/>
          <w:szCs w:val="28"/>
          <w:lang w:val="zh-CN"/>
        </w:rPr>
        <w:t>11.投标文件构成</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_Toc18705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color w:val="000000"/>
        </w:rPr>
        <w:fldChar w:fldCharType="end"/>
      </w:r>
    </w:p>
    <w:p w14:paraId="4210AC79">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_Toc32432 </w:instrText>
      </w:r>
      <w:r>
        <w:rPr>
          <w:rFonts w:hint="eastAsia" w:ascii="宋体" w:hAnsi="宋体" w:eastAsia="宋体" w:cs="宋体"/>
        </w:rPr>
        <w:fldChar w:fldCharType="separate"/>
      </w:r>
      <w:r>
        <w:rPr>
          <w:rFonts w:hint="eastAsia" w:ascii="宋体" w:hAnsi="宋体" w:eastAsia="宋体" w:cs="宋体"/>
          <w:szCs w:val="28"/>
          <w:lang w:val="zh-CN"/>
        </w:rPr>
        <w:t>12.投标文件的编制要求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_Toc32432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color w:val="000000"/>
        </w:rPr>
        <w:fldChar w:fldCharType="end"/>
      </w:r>
    </w:p>
    <w:p w14:paraId="2ECD5739">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_Toc31517 </w:instrText>
      </w:r>
      <w:r>
        <w:rPr>
          <w:rFonts w:hint="eastAsia" w:ascii="宋体" w:hAnsi="宋体" w:eastAsia="宋体" w:cs="宋体"/>
        </w:rPr>
        <w:fldChar w:fldCharType="separate"/>
      </w:r>
      <w:r>
        <w:rPr>
          <w:rFonts w:hint="eastAsia" w:ascii="宋体" w:hAnsi="宋体" w:eastAsia="宋体" w:cs="宋体"/>
          <w:lang w:val="zh-CN"/>
        </w:rPr>
        <w:t>四、投标文件的提交</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_Toc31517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color w:val="000000"/>
        </w:rPr>
        <w:fldChar w:fldCharType="end"/>
      </w:r>
    </w:p>
    <w:p w14:paraId="31B91051">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_Toc16622 </w:instrText>
      </w:r>
      <w:r>
        <w:rPr>
          <w:rFonts w:hint="eastAsia" w:ascii="宋体" w:hAnsi="宋体" w:eastAsia="宋体" w:cs="宋体"/>
        </w:rPr>
        <w:fldChar w:fldCharType="separate"/>
      </w:r>
      <w:r>
        <w:rPr>
          <w:rFonts w:hint="eastAsia" w:ascii="宋体" w:hAnsi="宋体" w:eastAsia="宋体" w:cs="宋体"/>
          <w:szCs w:val="28"/>
        </w:rPr>
        <w:t>13.投标文件的密封和标记</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_Toc16622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color w:val="000000"/>
        </w:rPr>
        <w:fldChar w:fldCharType="end"/>
      </w:r>
    </w:p>
    <w:p w14:paraId="0423724C">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_Toc17762 </w:instrText>
      </w:r>
      <w:r>
        <w:rPr>
          <w:rFonts w:hint="eastAsia" w:ascii="宋体" w:hAnsi="宋体" w:eastAsia="宋体" w:cs="宋体"/>
        </w:rPr>
        <w:fldChar w:fldCharType="separate"/>
      </w:r>
      <w:r>
        <w:rPr>
          <w:rFonts w:hint="eastAsia" w:ascii="宋体" w:hAnsi="宋体" w:eastAsia="宋体" w:cs="宋体"/>
          <w:szCs w:val="28"/>
          <w:lang w:val="zh-CN"/>
        </w:rPr>
        <w:t>1</w:t>
      </w:r>
      <w:r>
        <w:rPr>
          <w:rFonts w:hint="eastAsia" w:ascii="宋体" w:hAnsi="宋体" w:eastAsia="宋体" w:cs="宋体"/>
          <w:szCs w:val="28"/>
        </w:rPr>
        <w:t>4</w:t>
      </w:r>
      <w:r>
        <w:rPr>
          <w:rFonts w:hint="eastAsia" w:ascii="宋体" w:hAnsi="宋体" w:eastAsia="宋体" w:cs="宋体"/>
          <w:szCs w:val="28"/>
          <w:lang w:val="zh-CN"/>
        </w:rPr>
        <w:t>.提交投标文件的时间、地点、方式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_Toc17762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color w:val="000000"/>
        </w:rPr>
        <w:fldChar w:fldCharType="end"/>
      </w:r>
    </w:p>
    <w:p w14:paraId="15F13E99">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_Toc24766 </w:instrText>
      </w:r>
      <w:r>
        <w:rPr>
          <w:rFonts w:hint="eastAsia" w:ascii="宋体" w:hAnsi="宋体" w:eastAsia="宋体" w:cs="宋体"/>
        </w:rPr>
        <w:fldChar w:fldCharType="separate"/>
      </w:r>
      <w:r>
        <w:rPr>
          <w:rFonts w:hint="eastAsia" w:ascii="宋体" w:hAnsi="宋体" w:eastAsia="宋体" w:cs="宋体"/>
          <w:lang w:val="zh-CN"/>
        </w:rPr>
        <w:t>五、开标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_Toc24766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color w:val="000000"/>
        </w:rPr>
        <w:fldChar w:fldCharType="end"/>
      </w:r>
    </w:p>
    <w:p w14:paraId="130BFCD8">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_Toc21809 </w:instrText>
      </w:r>
      <w:r>
        <w:rPr>
          <w:rFonts w:hint="eastAsia" w:ascii="宋体" w:hAnsi="宋体" w:eastAsia="宋体" w:cs="宋体"/>
        </w:rPr>
        <w:fldChar w:fldCharType="separate"/>
      </w:r>
      <w:r>
        <w:rPr>
          <w:rFonts w:hint="eastAsia" w:ascii="宋体" w:hAnsi="宋体" w:eastAsia="宋体" w:cs="宋体"/>
          <w:szCs w:val="28"/>
          <w:lang w:val="zh-CN"/>
        </w:rPr>
        <w:t>1</w:t>
      </w:r>
      <w:r>
        <w:rPr>
          <w:rFonts w:hint="eastAsia" w:ascii="宋体" w:hAnsi="宋体" w:eastAsia="宋体" w:cs="宋体"/>
          <w:szCs w:val="28"/>
        </w:rPr>
        <w:t>6</w:t>
      </w:r>
      <w:r>
        <w:rPr>
          <w:rFonts w:hint="eastAsia" w:ascii="宋体" w:hAnsi="宋体" w:eastAsia="宋体" w:cs="宋体"/>
          <w:szCs w:val="28"/>
          <w:lang w:val="zh-CN"/>
        </w:rPr>
        <w:t>.开标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_Toc21809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color w:val="000000"/>
        </w:rPr>
        <w:fldChar w:fldCharType="end"/>
      </w:r>
    </w:p>
    <w:p w14:paraId="7BBEF462">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_Toc8757 </w:instrText>
      </w:r>
      <w:r>
        <w:rPr>
          <w:rFonts w:hint="eastAsia" w:ascii="宋体" w:hAnsi="宋体" w:eastAsia="宋体" w:cs="宋体"/>
        </w:rPr>
        <w:fldChar w:fldCharType="separate"/>
      </w:r>
      <w:r>
        <w:rPr>
          <w:rFonts w:hint="eastAsia" w:ascii="宋体" w:hAnsi="宋体" w:eastAsia="宋体" w:cs="宋体"/>
          <w:kern w:val="0"/>
          <w:szCs w:val="36"/>
        </w:rPr>
        <w:t>六、资格</w:t>
      </w:r>
      <w:r>
        <w:rPr>
          <w:rFonts w:hint="eastAsia" w:ascii="宋体" w:hAnsi="宋体" w:eastAsia="宋体" w:cs="宋体"/>
          <w:lang w:val="zh-CN"/>
        </w:rPr>
        <w:t>审查</w:t>
      </w:r>
      <w:r>
        <w:rPr>
          <w:rFonts w:hint="eastAsia" w:ascii="宋体" w:hAnsi="宋体" w:eastAsia="宋体" w:cs="宋体"/>
          <w:kern w:val="0"/>
          <w:szCs w:val="36"/>
        </w:rPr>
        <w:t>程序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_Toc8757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color w:val="000000"/>
        </w:rPr>
        <w:fldChar w:fldCharType="end"/>
      </w:r>
    </w:p>
    <w:p w14:paraId="4AF52BCB">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_Toc580 </w:instrText>
      </w:r>
      <w:r>
        <w:rPr>
          <w:rFonts w:hint="eastAsia" w:ascii="宋体" w:hAnsi="宋体" w:eastAsia="宋体" w:cs="宋体"/>
        </w:rPr>
        <w:fldChar w:fldCharType="separate"/>
      </w:r>
      <w:r>
        <w:rPr>
          <w:rFonts w:hint="eastAsia" w:ascii="宋体" w:hAnsi="宋体" w:eastAsia="宋体" w:cs="宋体"/>
          <w:szCs w:val="28"/>
        </w:rPr>
        <w:t>17.资格审查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_Toc580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color w:val="000000"/>
        </w:rPr>
        <w:fldChar w:fldCharType="end"/>
      </w:r>
    </w:p>
    <w:p w14:paraId="5BC7F100">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_Toc31281 </w:instrText>
      </w:r>
      <w:r>
        <w:rPr>
          <w:rFonts w:hint="eastAsia" w:ascii="宋体" w:hAnsi="宋体" w:eastAsia="宋体" w:cs="宋体"/>
        </w:rPr>
        <w:fldChar w:fldCharType="separate"/>
      </w:r>
      <w:r>
        <w:rPr>
          <w:rFonts w:hint="eastAsia" w:ascii="宋体" w:hAnsi="宋体" w:eastAsia="宋体" w:cs="宋体"/>
          <w:lang w:val="zh-CN"/>
        </w:rPr>
        <w:t>七、评审程序及方法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_Toc31281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color w:val="000000"/>
        </w:rPr>
        <w:fldChar w:fldCharType="end"/>
      </w:r>
    </w:p>
    <w:p w14:paraId="068165C3">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_Toc16843 </w:instrText>
      </w:r>
      <w:r>
        <w:rPr>
          <w:rFonts w:hint="eastAsia" w:ascii="宋体" w:hAnsi="宋体" w:eastAsia="宋体" w:cs="宋体"/>
        </w:rPr>
        <w:fldChar w:fldCharType="separate"/>
      </w:r>
      <w:r>
        <w:rPr>
          <w:rFonts w:hint="eastAsia" w:ascii="宋体" w:hAnsi="宋体" w:eastAsia="宋体" w:cs="宋体"/>
          <w:szCs w:val="28"/>
          <w:lang w:val="zh-CN"/>
        </w:rPr>
        <w:t>1</w:t>
      </w:r>
      <w:r>
        <w:rPr>
          <w:rFonts w:hint="eastAsia" w:ascii="宋体" w:hAnsi="宋体" w:eastAsia="宋体" w:cs="宋体"/>
          <w:szCs w:val="28"/>
        </w:rPr>
        <w:t>8</w:t>
      </w:r>
      <w:r>
        <w:rPr>
          <w:rFonts w:hint="eastAsia" w:ascii="宋体" w:hAnsi="宋体" w:eastAsia="宋体" w:cs="宋体"/>
          <w:szCs w:val="28"/>
          <w:lang w:val="zh-CN"/>
        </w:rPr>
        <w:t>.评标委员会</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_Toc16843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color w:val="000000"/>
        </w:rPr>
        <w:fldChar w:fldCharType="end"/>
      </w:r>
    </w:p>
    <w:p w14:paraId="7D3AC391">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_Toc13768 </w:instrText>
      </w:r>
      <w:r>
        <w:rPr>
          <w:rFonts w:hint="eastAsia" w:ascii="宋体" w:hAnsi="宋体" w:eastAsia="宋体" w:cs="宋体"/>
        </w:rPr>
        <w:fldChar w:fldCharType="separate"/>
      </w:r>
      <w:r>
        <w:rPr>
          <w:rFonts w:hint="eastAsia" w:ascii="宋体" w:hAnsi="宋体" w:eastAsia="宋体" w:cs="宋体"/>
          <w:szCs w:val="28"/>
        </w:rPr>
        <w:t>19</w:t>
      </w:r>
      <w:r>
        <w:rPr>
          <w:rFonts w:hint="eastAsia" w:ascii="宋体" w:hAnsi="宋体" w:eastAsia="宋体" w:cs="宋体"/>
          <w:szCs w:val="28"/>
          <w:lang w:val="zh-CN"/>
        </w:rPr>
        <w:t>.评审工作程序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_Toc13768 \h </w:instrText>
      </w:r>
      <w:r>
        <w:rPr>
          <w:rFonts w:hint="eastAsia" w:ascii="宋体" w:hAnsi="宋体" w:eastAsia="宋体" w:cs="宋体"/>
        </w:rPr>
        <w:fldChar w:fldCharType="separate"/>
      </w:r>
      <w:r>
        <w:rPr>
          <w:rFonts w:hint="eastAsia" w:ascii="宋体" w:hAnsi="宋体" w:eastAsia="宋体" w:cs="宋体"/>
        </w:rPr>
        <w:t>11</w:t>
      </w:r>
      <w:r>
        <w:rPr>
          <w:rFonts w:hint="eastAsia" w:ascii="宋体" w:hAnsi="宋体" w:eastAsia="宋体" w:cs="宋体"/>
        </w:rPr>
        <w:fldChar w:fldCharType="end"/>
      </w:r>
      <w:r>
        <w:rPr>
          <w:rFonts w:hint="eastAsia" w:ascii="宋体" w:hAnsi="宋体" w:eastAsia="宋体" w:cs="宋体"/>
          <w:color w:val="000000"/>
        </w:rPr>
        <w:fldChar w:fldCharType="end"/>
      </w:r>
    </w:p>
    <w:p w14:paraId="739571FD">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_Toc11935 </w:instrText>
      </w:r>
      <w:r>
        <w:rPr>
          <w:rFonts w:hint="eastAsia" w:ascii="宋体" w:hAnsi="宋体" w:eastAsia="宋体" w:cs="宋体"/>
        </w:rPr>
        <w:fldChar w:fldCharType="separate"/>
      </w:r>
      <w:r>
        <w:rPr>
          <w:rFonts w:hint="eastAsia" w:ascii="宋体" w:hAnsi="宋体" w:eastAsia="宋体" w:cs="宋体"/>
          <w:szCs w:val="28"/>
        </w:rPr>
        <w:t>20</w:t>
      </w:r>
      <w:r>
        <w:rPr>
          <w:rFonts w:hint="eastAsia" w:ascii="宋体" w:hAnsi="宋体" w:eastAsia="宋体" w:cs="宋体"/>
          <w:szCs w:val="28"/>
          <w:lang w:val="zh-CN"/>
        </w:rPr>
        <w:t>.评审方法和标准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_Toc11935 \h </w:instrText>
      </w:r>
      <w:r>
        <w:rPr>
          <w:rFonts w:hint="eastAsia" w:ascii="宋体" w:hAnsi="宋体" w:eastAsia="宋体" w:cs="宋体"/>
        </w:rPr>
        <w:fldChar w:fldCharType="separate"/>
      </w:r>
      <w:r>
        <w:rPr>
          <w:rFonts w:hint="eastAsia" w:ascii="宋体" w:hAnsi="宋体" w:eastAsia="宋体" w:cs="宋体"/>
        </w:rPr>
        <w:t>13</w:t>
      </w:r>
      <w:r>
        <w:rPr>
          <w:rFonts w:hint="eastAsia" w:ascii="宋体" w:hAnsi="宋体" w:eastAsia="宋体" w:cs="宋体"/>
        </w:rPr>
        <w:fldChar w:fldCharType="end"/>
      </w:r>
      <w:r>
        <w:rPr>
          <w:rFonts w:hint="eastAsia" w:ascii="宋体" w:hAnsi="宋体" w:eastAsia="宋体" w:cs="宋体"/>
          <w:color w:val="000000"/>
        </w:rPr>
        <w:fldChar w:fldCharType="end"/>
      </w:r>
    </w:p>
    <w:p w14:paraId="5276B776">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_Toc26146 </w:instrText>
      </w:r>
      <w:r>
        <w:rPr>
          <w:rFonts w:hint="eastAsia" w:ascii="宋体" w:hAnsi="宋体" w:eastAsia="宋体" w:cs="宋体"/>
        </w:rPr>
        <w:fldChar w:fldCharType="separate"/>
      </w:r>
      <w:r>
        <w:rPr>
          <w:rFonts w:hint="eastAsia" w:ascii="宋体" w:hAnsi="宋体" w:eastAsia="宋体" w:cs="宋体"/>
          <w:lang w:val="zh-CN"/>
        </w:rPr>
        <w:t>八、中标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_Toc26146 \h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color w:val="000000"/>
        </w:rPr>
        <w:fldChar w:fldCharType="end"/>
      </w:r>
    </w:p>
    <w:p w14:paraId="484F3317">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_Toc14387 </w:instrText>
      </w:r>
      <w:r>
        <w:rPr>
          <w:rFonts w:hint="eastAsia" w:ascii="宋体" w:hAnsi="宋体" w:eastAsia="宋体" w:cs="宋体"/>
        </w:rPr>
        <w:fldChar w:fldCharType="separate"/>
      </w:r>
      <w:r>
        <w:rPr>
          <w:rFonts w:hint="eastAsia" w:ascii="宋体" w:hAnsi="宋体" w:eastAsia="宋体" w:cs="宋体"/>
          <w:szCs w:val="28"/>
          <w:lang w:val="zh-CN"/>
        </w:rPr>
        <w:t>2</w:t>
      </w:r>
      <w:r>
        <w:rPr>
          <w:rFonts w:hint="eastAsia" w:ascii="宋体" w:hAnsi="宋体" w:eastAsia="宋体" w:cs="宋体"/>
          <w:szCs w:val="28"/>
        </w:rPr>
        <w:t>1</w:t>
      </w:r>
      <w:r>
        <w:rPr>
          <w:rFonts w:hint="eastAsia" w:ascii="宋体" w:hAnsi="宋体" w:eastAsia="宋体" w:cs="宋体"/>
          <w:szCs w:val="28"/>
          <w:lang w:val="zh-CN"/>
        </w:rPr>
        <w:t>.推荐并确定中标人</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_Toc14387 \h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color w:val="000000"/>
        </w:rPr>
        <w:fldChar w:fldCharType="end"/>
      </w:r>
    </w:p>
    <w:p w14:paraId="4A720753">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_Toc31783 </w:instrText>
      </w:r>
      <w:r>
        <w:rPr>
          <w:rFonts w:hint="eastAsia" w:ascii="宋体" w:hAnsi="宋体" w:eastAsia="宋体" w:cs="宋体"/>
        </w:rPr>
        <w:fldChar w:fldCharType="separate"/>
      </w:r>
      <w:r>
        <w:rPr>
          <w:rFonts w:hint="eastAsia" w:ascii="宋体" w:hAnsi="宋体" w:eastAsia="宋体" w:cs="宋体"/>
          <w:szCs w:val="28"/>
          <w:lang w:val="zh-CN"/>
        </w:rPr>
        <w:t>2</w:t>
      </w:r>
      <w:r>
        <w:rPr>
          <w:rFonts w:hint="eastAsia" w:ascii="宋体" w:hAnsi="宋体" w:eastAsia="宋体" w:cs="宋体"/>
          <w:szCs w:val="28"/>
        </w:rPr>
        <w:t>2</w:t>
      </w:r>
      <w:r>
        <w:rPr>
          <w:rFonts w:hint="eastAsia" w:ascii="宋体" w:hAnsi="宋体" w:eastAsia="宋体" w:cs="宋体"/>
          <w:szCs w:val="28"/>
          <w:lang w:val="zh-CN"/>
        </w:rPr>
        <w:t>.中标通知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_Toc31783 \h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color w:val="000000"/>
        </w:rPr>
        <w:fldChar w:fldCharType="end"/>
      </w:r>
    </w:p>
    <w:p w14:paraId="371CCFBB">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_Toc22020 </w:instrText>
      </w:r>
      <w:r>
        <w:rPr>
          <w:rFonts w:hint="eastAsia" w:ascii="宋体" w:hAnsi="宋体" w:eastAsia="宋体" w:cs="宋体"/>
        </w:rPr>
        <w:fldChar w:fldCharType="separate"/>
      </w:r>
      <w:r>
        <w:rPr>
          <w:rFonts w:hint="eastAsia" w:ascii="宋体" w:hAnsi="宋体" w:eastAsia="宋体" w:cs="宋体"/>
          <w:lang w:val="zh-CN"/>
        </w:rPr>
        <w:t>九、授予合同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_Toc22020 \h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r>
        <w:rPr>
          <w:rFonts w:hint="eastAsia" w:ascii="宋体" w:hAnsi="宋体" w:eastAsia="宋体" w:cs="宋体"/>
          <w:color w:val="000000"/>
        </w:rPr>
        <w:fldChar w:fldCharType="end"/>
      </w:r>
    </w:p>
    <w:p w14:paraId="418D0F31">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_Toc6832 </w:instrText>
      </w:r>
      <w:r>
        <w:rPr>
          <w:rFonts w:hint="eastAsia" w:ascii="宋体" w:hAnsi="宋体" w:eastAsia="宋体" w:cs="宋体"/>
        </w:rPr>
        <w:fldChar w:fldCharType="separate"/>
      </w:r>
      <w:r>
        <w:rPr>
          <w:rFonts w:hint="eastAsia" w:ascii="宋体" w:hAnsi="宋体" w:eastAsia="宋体" w:cs="宋体"/>
          <w:szCs w:val="28"/>
          <w:lang w:val="zh-CN"/>
        </w:rPr>
        <w:t>2</w:t>
      </w:r>
      <w:r>
        <w:rPr>
          <w:rFonts w:hint="eastAsia" w:ascii="宋体" w:hAnsi="宋体" w:eastAsia="宋体" w:cs="宋体"/>
          <w:szCs w:val="28"/>
        </w:rPr>
        <w:t>3</w:t>
      </w:r>
      <w:r>
        <w:rPr>
          <w:rFonts w:hint="eastAsia" w:ascii="宋体" w:hAnsi="宋体" w:eastAsia="宋体" w:cs="宋体"/>
          <w:szCs w:val="28"/>
          <w:lang w:val="zh-CN"/>
        </w:rPr>
        <w:t>.签订合同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_Toc6832 \h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r>
        <w:rPr>
          <w:rFonts w:hint="eastAsia" w:ascii="宋体" w:hAnsi="宋体" w:eastAsia="宋体" w:cs="宋体"/>
          <w:color w:val="000000"/>
        </w:rPr>
        <w:fldChar w:fldCharType="end"/>
      </w:r>
    </w:p>
    <w:p w14:paraId="28074079">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_Toc19350 </w:instrText>
      </w:r>
      <w:r>
        <w:rPr>
          <w:rFonts w:hint="eastAsia" w:ascii="宋体" w:hAnsi="宋体" w:eastAsia="宋体" w:cs="宋体"/>
        </w:rPr>
        <w:fldChar w:fldCharType="separate"/>
      </w:r>
      <w:r>
        <w:rPr>
          <w:rFonts w:hint="eastAsia" w:ascii="宋体" w:hAnsi="宋体" w:eastAsia="宋体" w:cs="宋体"/>
          <w:lang w:val="zh-CN"/>
        </w:rPr>
        <w:t>十、其他</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_Toc19350 \h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color w:val="000000"/>
        </w:rPr>
        <w:fldChar w:fldCharType="end"/>
      </w:r>
    </w:p>
    <w:p w14:paraId="597814EA">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_Toc6932 </w:instrText>
      </w:r>
      <w:r>
        <w:rPr>
          <w:rFonts w:hint="eastAsia" w:ascii="宋体" w:hAnsi="宋体" w:eastAsia="宋体" w:cs="宋体"/>
        </w:rPr>
        <w:fldChar w:fldCharType="separate"/>
      </w:r>
      <w:r>
        <w:rPr>
          <w:rFonts w:hint="eastAsia" w:ascii="宋体" w:hAnsi="宋体" w:eastAsia="宋体" w:cs="宋体"/>
          <w:szCs w:val="28"/>
        </w:rPr>
        <w:t>24. 串通投标的情形</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_Toc6932 \h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color w:val="000000"/>
        </w:rPr>
        <w:fldChar w:fldCharType="end"/>
      </w:r>
    </w:p>
    <w:p w14:paraId="1A4736FE">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_Toc10557 </w:instrText>
      </w:r>
      <w:r>
        <w:rPr>
          <w:rFonts w:hint="eastAsia" w:ascii="宋体" w:hAnsi="宋体" w:eastAsia="宋体" w:cs="宋体"/>
        </w:rPr>
        <w:fldChar w:fldCharType="separate"/>
      </w:r>
      <w:r>
        <w:rPr>
          <w:rFonts w:hint="eastAsia" w:ascii="宋体" w:hAnsi="宋体" w:eastAsia="宋体" w:cs="宋体"/>
          <w:szCs w:val="28"/>
        </w:rPr>
        <w:t>25. 废标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_Toc10557 \h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color w:val="000000"/>
        </w:rPr>
        <w:fldChar w:fldCharType="end"/>
      </w:r>
    </w:p>
    <w:p w14:paraId="3921CE1C">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_Toc24391 </w:instrText>
      </w:r>
      <w:r>
        <w:rPr>
          <w:rFonts w:hint="eastAsia" w:ascii="宋体" w:hAnsi="宋体" w:eastAsia="宋体" w:cs="宋体"/>
        </w:rPr>
        <w:fldChar w:fldCharType="separate"/>
      </w:r>
      <w:r>
        <w:rPr>
          <w:rFonts w:hint="eastAsia" w:ascii="宋体" w:hAnsi="宋体" w:eastAsia="宋体" w:cs="宋体"/>
          <w:szCs w:val="28"/>
        </w:rPr>
        <w:t>26. 中标服务费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_Toc24391 \h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r>
        <w:rPr>
          <w:rFonts w:hint="eastAsia" w:ascii="宋体" w:hAnsi="宋体" w:eastAsia="宋体" w:cs="宋体"/>
          <w:color w:val="000000"/>
        </w:rPr>
        <w:fldChar w:fldCharType="end"/>
      </w:r>
    </w:p>
    <w:p w14:paraId="52D74A04">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_Toc22595 </w:instrText>
      </w:r>
      <w:r>
        <w:rPr>
          <w:rFonts w:hint="eastAsia" w:ascii="宋体" w:hAnsi="宋体" w:eastAsia="宋体" w:cs="宋体"/>
        </w:rPr>
        <w:fldChar w:fldCharType="separate"/>
      </w:r>
      <w:r>
        <w:rPr>
          <w:rFonts w:hint="eastAsia" w:ascii="宋体" w:hAnsi="宋体" w:eastAsia="宋体" w:cs="宋体"/>
          <w:szCs w:val="36"/>
          <w:lang w:val="zh-CN"/>
        </w:rPr>
        <w:t xml:space="preserve">第三部分 </w:t>
      </w:r>
      <w:r>
        <w:rPr>
          <w:rFonts w:hint="eastAsia" w:ascii="宋体" w:hAnsi="宋体" w:eastAsia="宋体" w:cs="宋体"/>
          <w:szCs w:val="36"/>
        </w:rPr>
        <w:t xml:space="preserve"> </w:t>
      </w:r>
      <w:r>
        <w:rPr>
          <w:rFonts w:hint="eastAsia" w:ascii="宋体" w:hAnsi="宋体" w:eastAsia="宋体" w:cs="宋体"/>
          <w:szCs w:val="36"/>
          <w:lang w:val="zh-CN"/>
        </w:rPr>
        <w:t>青海省政府采购项目合同书范本</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_Toc22595 \h </w:instrText>
      </w:r>
      <w:r>
        <w:rPr>
          <w:rFonts w:hint="eastAsia" w:ascii="宋体" w:hAnsi="宋体" w:eastAsia="宋体" w:cs="宋体"/>
        </w:rPr>
        <w:fldChar w:fldCharType="separate"/>
      </w:r>
      <w:r>
        <w:rPr>
          <w:rFonts w:hint="eastAsia" w:ascii="宋体" w:hAnsi="宋体" w:eastAsia="宋体" w:cs="宋体"/>
        </w:rPr>
        <w:t>22</w:t>
      </w:r>
      <w:r>
        <w:rPr>
          <w:rFonts w:hint="eastAsia" w:ascii="宋体" w:hAnsi="宋体" w:eastAsia="宋体" w:cs="宋体"/>
        </w:rPr>
        <w:fldChar w:fldCharType="end"/>
      </w:r>
      <w:r>
        <w:rPr>
          <w:rFonts w:hint="eastAsia" w:ascii="宋体" w:hAnsi="宋体" w:eastAsia="宋体" w:cs="宋体"/>
          <w:color w:val="000000"/>
        </w:rPr>
        <w:fldChar w:fldCharType="end"/>
      </w:r>
    </w:p>
    <w:p w14:paraId="34A34F22">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_Toc9716 </w:instrText>
      </w:r>
      <w:r>
        <w:rPr>
          <w:rFonts w:hint="eastAsia" w:ascii="宋体" w:hAnsi="宋体" w:eastAsia="宋体" w:cs="宋体"/>
        </w:rPr>
        <w:fldChar w:fldCharType="separate"/>
      </w:r>
      <w:r>
        <w:rPr>
          <w:rFonts w:hint="eastAsia" w:ascii="宋体" w:hAnsi="宋体" w:eastAsia="宋体" w:cs="宋体"/>
          <w:szCs w:val="30"/>
          <w:lang w:val="zh-CN"/>
        </w:rPr>
        <w:t>封面（上册）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_Toc9716 \h </w:instrText>
      </w:r>
      <w:r>
        <w:rPr>
          <w:rFonts w:hint="eastAsia" w:ascii="宋体" w:hAnsi="宋体" w:eastAsia="宋体" w:cs="宋体"/>
        </w:rPr>
        <w:fldChar w:fldCharType="separate"/>
      </w:r>
      <w:r>
        <w:rPr>
          <w:rFonts w:hint="eastAsia" w:ascii="宋体" w:hAnsi="宋体" w:eastAsia="宋体" w:cs="宋体"/>
        </w:rPr>
        <w:t>35</w:t>
      </w:r>
      <w:r>
        <w:rPr>
          <w:rFonts w:hint="eastAsia" w:ascii="宋体" w:hAnsi="宋体" w:eastAsia="宋体" w:cs="宋体"/>
        </w:rPr>
        <w:fldChar w:fldCharType="end"/>
      </w:r>
      <w:r>
        <w:rPr>
          <w:rFonts w:hint="eastAsia" w:ascii="宋体" w:hAnsi="宋体" w:eastAsia="宋体" w:cs="宋体"/>
          <w:color w:val="000000"/>
        </w:rPr>
        <w:fldChar w:fldCharType="end"/>
      </w:r>
    </w:p>
    <w:p w14:paraId="5EEBAC0E">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_Toc13609 </w:instrText>
      </w:r>
      <w:r>
        <w:rPr>
          <w:rFonts w:hint="eastAsia" w:ascii="宋体" w:hAnsi="宋体" w:eastAsia="宋体" w:cs="宋体"/>
        </w:rPr>
        <w:fldChar w:fldCharType="separate"/>
      </w:r>
      <w:r>
        <w:rPr>
          <w:rFonts w:hint="eastAsia" w:ascii="宋体" w:hAnsi="宋体" w:eastAsia="宋体" w:cs="宋体"/>
          <w:szCs w:val="30"/>
          <w:lang w:val="zh-CN"/>
        </w:rPr>
        <w:t>目录（上册）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_Toc13609 \h </w:instrText>
      </w:r>
      <w:r>
        <w:rPr>
          <w:rFonts w:hint="eastAsia" w:ascii="宋体" w:hAnsi="宋体" w:eastAsia="宋体" w:cs="宋体"/>
        </w:rPr>
        <w:fldChar w:fldCharType="separate"/>
      </w:r>
      <w:r>
        <w:rPr>
          <w:rFonts w:hint="eastAsia" w:ascii="宋体" w:hAnsi="宋体" w:eastAsia="宋体" w:cs="宋体"/>
        </w:rPr>
        <w:t>36</w:t>
      </w:r>
      <w:r>
        <w:rPr>
          <w:rFonts w:hint="eastAsia" w:ascii="宋体" w:hAnsi="宋体" w:eastAsia="宋体" w:cs="宋体"/>
        </w:rPr>
        <w:fldChar w:fldCharType="end"/>
      </w:r>
      <w:r>
        <w:rPr>
          <w:rFonts w:hint="eastAsia" w:ascii="宋体" w:hAnsi="宋体" w:eastAsia="宋体" w:cs="宋体"/>
          <w:color w:val="000000"/>
        </w:rPr>
        <w:fldChar w:fldCharType="end"/>
      </w:r>
    </w:p>
    <w:p w14:paraId="7FC68184">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_Toc30755 </w:instrText>
      </w:r>
      <w:r>
        <w:rPr>
          <w:rFonts w:hint="eastAsia" w:ascii="宋体" w:hAnsi="宋体" w:eastAsia="宋体" w:cs="宋体"/>
        </w:rPr>
        <w:fldChar w:fldCharType="separate"/>
      </w:r>
      <w:r>
        <w:rPr>
          <w:rFonts w:hint="eastAsia" w:ascii="宋体" w:hAnsi="宋体" w:eastAsia="宋体" w:cs="宋体"/>
          <w:szCs w:val="30"/>
        </w:rPr>
        <w:t>（1）</w:t>
      </w:r>
      <w:r>
        <w:rPr>
          <w:rFonts w:hint="eastAsia" w:ascii="宋体" w:hAnsi="宋体" w:eastAsia="宋体" w:cs="宋体"/>
          <w:szCs w:val="30"/>
          <w:lang w:val="zh-CN"/>
        </w:rPr>
        <w:t>投标函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_Toc30755 \h </w:instrText>
      </w:r>
      <w:r>
        <w:rPr>
          <w:rFonts w:hint="eastAsia" w:ascii="宋体" w:hAnsi="宋体" w:eastAsia="宋体" w:cs="宋体"/>
        </w:rPr>
        <w:fldChar w:fldCharType="separate"/>
      </w:r>
      <w:r>
        <w:rPr>
          <w:rFonts w:hint="eastAsia" w:ascii="宋体" w:hAnsi="宋体" w:eastAsia="宋体" w:cs="宋体"/>
        </w:rPr>
        <w:t>37</w:t>
      </w:r>
      <w:r>
        <w:rPr>
          <w:rFonts w:hint="eastAsia" w:ascii="宋体" w:hAnsi="宋体" w:eastAsia="宋体" w:cs="宋体"/>
        </w:rPr>
        <w:fldChar w:fldCharType="end"/>
      </w:r>
      <w:r>
        <w:rPr>
          <w:rFonts w:hint="eastAsia" w:ascii="宋体" w:hAnsi="宋体" w:eastAsia="宋体" w:cs="宋体"/>
          <w:color w:val="000000"/>
        </w:rPr>
        <w:fldChar w:fldCharType="end"/>
      </w:r>
    </w:p>
    <w:p w14:paraId="6D7DE9F2">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_Toc4378 </w:instrText>
      </w:r>
      <w:r>
        <w:rPr>
          <w:rFonts w:hint="eastAsia" w:ascii="宋体" w:hAnsi="宋体" w:eastAsia="宋体" w:cs="宋体"/>
        </w:rPr>
        <w:fldChar w:fldCharType="separate"/>
      </w:r>
      <w:r>
        <w:rPr>
          <w:rFonts w:hint="eastAsia" w:ascii="宋体" w:hAnsi="宋体" w:eastAsia="宋体" w:cs="宋体"/>
          <w:kern w:val="0"/>
          <w:szCs w:val="30"/>
          <w:lang w:val="zh-CN"/>
        </w:rPr>
        <w:t>（</w:t>
      </w:r>
      <w:r>
        <w:rPr>
          <w:rFonts w:hint="eastAsia" w:ascii="宋体" w:hAnsi="宋体" w:eastAsia="宋体" w:cs="宋体"/>
          <w:kern w:val="0"/>
          <w:szCs w:val="30"/>
        </w:rPr>
        <w:t>2</w:t>
      </w:r>
      <w:r>
        <w:rPr>
          <w:rFonts w:hint="eastAsia" w:ascii="宋体" w:hAnsi="宋体" w:eastAsia="宋体" w:cs="宋体"/>
          <w:kern w:val="0"/>
          <w:szCs w:val="30"/>
          <w:lang w:val="zh-CN"/>
        </w:rPr>
        <w:t>）</w:t>
      </w:r>
      <w:r>
        <w:rPr>
          <w:rFonts w:hint="eastAsia" w:ascii="宋体" w:hAnsi="宋体" w:eastAsia="宋体" w:cs="宋体"/>
          <w:szCs w:val="30"/>
        </w:rPr>
        <w:t>法定代表人证明书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_Toc4378 \h </w:instrText>
      </w:r>
      <w:r>
        <w:rPr>
          <w:rFonts w:hint="eastAsia" w:ascii="宋体" w:hAnsi="宋体" w:eastAsia="宋体" w:cs="宋体"/>
        </w:rPr>
        <w:fldChar w:fldCharType="separate"/>
      </w:r>
      <w:r>
        <w:rPr>
          <w:rFonts w:hint="eastAsia" w:ascii="宋体" w:hAnsi="宋体" w:eastAsia="宋体" w:cs="宋体"/>
        </w:rPr>
        <w:t>38</w:t>
      </w:r>
      <w:r>
        <w:rPr>
          <w:rFonts w:hint="eastAsia" w:ascii="宋体" w:hAnsi="宋体" w:eastAsia="宋体" w:cs="宋体"/>
        </w:rPr>
        <w:fldChar w:fldCharType="end"/>
      </w:r>
      <w:r>
        <w:rPr>
          <w:rFonts w:hint="eastAsia" w:ascii="宋体" w:hAnsi="宋体" w:eastAsia="宋体" w:cs="宋体"/>
          <w:color w:val="000000"/>
        </w:rPr>
        <w:fldChar w:fldCharType="end"/>
      </w:r>
    </w:p>
    <w:p w14:paraId="122762E8">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_Toc17783 </w:instrText>
      </w:r>
      <w:r>
        <w:rPr>
          <w:rFonts w:hint="eastAsia" w:ascii="宋体" w:hAnsi="宋体" w:eastAsia="宋体" w:cs="宋体"/>
        </w:rPr>
        <w:fldChar w:fldCharType="separate"/>
      </w:r>
      <w:r>
        <w:rPr>
          <w:rFonts w:hint="eastAsia" w:ascii="宋体" w:hAnsi="宋体" w:eastAsia="宋体" w:cs="宋体"/>
          <w:szCs w:val="30"/>
        </w:rPr>
        <w:t>（3）</w:t>
      </w:r>
      <w:r>
        <w:rPr>
          <w:rFonts w:hint="eastAsia" w:ascii="宋体" w:hAnsi="宋体" w:eastAsia="宋体" w:cs="宋体"/>
          <w:szCs w:val="30"/>
          <w:lang w:val="zh-CN"/>
        </w:rPr>
        <w:t>法定代表人授权书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_Toc17783 \h </w:instrText>
      </w:r>
      <w:r>
        <w:rPr>
          <w:rFonts w:hint="eastAsia" w:ascii="宋体" w:hAnsi="宋体" w:eastAsia="宋体" w:cs="宋体"/>
        </w:rPr>
        <w:fldChar w:fldCharType="separate"/>
      </w:r>
      <w:r>
        <w:rPr>
          <w:rFonts w:hint="eastAsia" w:ascii="宋体" w:hAnsi="宋体" w:eastAsia="宋体" w:cs="宋体"/>
        </w:rPr>
        <w:t>39</w:t>
      </w:r>
      <w:r>
        <w:rPr>
          <w:rFonts w:hint="eastAsia" w:ascii="宋体" w:hAnsi="宋体" w:eastAsia="宋体" w:cs="宋体"/>
        </w:rPr>
        <w:fldChar w:fldCharType="end"/>
      </w:r>
      <w:r>
        <w:rPr>
          <w:rFonts w:hint="eastAsia" w:ascii="宋体" w:hAnsi="宋体" w:eastAsia="宋体" w:cs="宋体"/>
          <w:color w:val="000000"/>
        </w:rPr>
        <w:fldChar w:fldCharType="end"/>
      </w:r>
    </w:p>
    <w:p w14:paraId="300C958A">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_Toc31687 </w:instrText>
      </w:r>
      <w:r>
        <w:rPr>
          <w:rFonts w:hint="eastAsia" w:ascii="宋体" w:hAnsi="宋体" w:eastAsia="宋体" w:cs="宋体"/>
        </w:rPr>
        <w:fldChar w:fldCharType="separate"/>
      </w:r>
      <w:r>
        <w:rPr>
          <w:rFonts w:hint="eastAsia" w:ascii="宋体" w:hAnsi="宋体" w:eastAsia="宋体" w:cs="宋体"/>
          <w:szCs w:val="30"/>
        </w:rPr>
        <w:t>（4）</w:t>
      </w:r>
      <w:r>
        <w:rPr>
          <w:rFonts w:hint="eastAsia" w:ascii="宋体" w:hAnsi="宋体" w:eastAsia="宋体" w:cs="宋体"/>
          <w:szCs w:val="30"/>
          <w:lang w:val="zh-CN"/>
        </w:rPr>
        <w:t>投标人承诺函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_Toc31687 \h </w:instrText>
      </w:r>
      <w:r>
        <w:rPr>
          <w:rFonts w:hint="eastAsia" w:ascii="宋体" w:hAnsi="宋体" w:eastAsia="宋体" w:cs="宋体"/>
        </w:rPr>
        <w:fldChar w:fldCharType="separate"/>
      </w:r>
      <w:r>
        <w:rPr>
          <w:rFonts w:hint="eastAsia" w:ascii="宋体" w:hAnsi="宋体" w:eastAsia="宋体" w:cs="宋体"/>
        </w:rPr>
        <w:t>40</w:t>
      </w:r>
      <w:r>
        <w:rPr>
          <w:rFonts w:hint="eastAsia" w:ascii="宋体" w:hAnsi="宋体" w:eastAsia="宋体" w:cs="宋体"/>
        </w:rPr>
        <w:fldChar w:fldCharType="end"/>
      </w:r>
      <w:r>
        <w:rPr>
          <w:rFonts w:hint="eastAsia" w:ascii="宋体" w:hAnsi="宋体" w:eastAsia="宋体" w:cs="宋体"/>
          <w:color w:val="000000"/>
        </w:rPr>
        <w:fldChar w:fldCharType="end"/>
      </w:r>
    </w:p>
    <w:p w14:paraId="1BA928F5">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_Toc11023 </w:instrText>
      </w:r>
      <w:r>
        <w:rPr>
          <w:rFonts w:hint="eastAsia" w:ascii="宋体" w:hAnsi="宋体" w:eastAsia="宋体" w:cs="宋体"/>
        </w:rPr>
        <w:fldChar w:fldCharType="separate"/>
      </w:r>
      <w:r>
        <w:rPr>
          <w:rFonts w:hint="eastAsia" w:ascii="宋体" w:hAnsi="宋体" w:eastAsia="宋体" w:cs="宋体"/>
          <w:szCs w:val="30"/>
        </w:rPr>
        <w:t>（5）</w:t>
      </w:r>
      <w:r>
        <w:rPr>
          <w:rFonts w:hint="eastAsia" w:ascii="宋体" w:hAnsi="宋体" w:eastAsia="宋体" w:cs="宋体"/>
          <w:szCs w:val="30"/>
          <w:lang w:val="zh-CN"/>
        </w:rPr>
        <w:t>投标人诚信承诺书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_Toc11023 \h </w:instrText>
      </w:r>
      <w:r>
        <w:rPr>
          <w:rFonts w:hint="eastAsia" w:ascii="宋体" w:hAnsi="宋体" w:eastAsia="宋体" w:cs="宋体"/>
        </w:rPr>
        <w:fldChar w:fldCharType="separate"/>
      </w:r>
      <w:r>
        <w:rPr>
          <w:rFonts w:hint="eastAsia" w:ascii="宋体" w:hAnsi="宋体" w:eastAsia="宋体" w:cs="宋体"/>
        </w:rPr>
        <w:t>41</w:t>
      </w:r>
      <w:r>
        <w:rPr>
          <w:rFonts w:hint="eastAsia" w:ascii="宋体" w:hAnsi="宋体" w:eastAsia="宋体" w:cs="宋体"/>
        </w:rPr>
        <w:fldChar w:fldCharType="end"/>
      </w:r>
      <w:r>
        <w:rPr>
          <w:rFonts w:hint="eastAsia" w:ascii="宋体" w:hAnsi="宋体" w:eastAsia="宋体" w:cs="宋体"/>
          <w:color w:val="000000"/>
        </w:rPr>
        <w:fldChar w:fldCharType="end"/>
      </w:r>
    </w:p>
    <w:p w14:paraId="293387BF">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_Toc320 </w:instrText>
      </w:r>
      <w:r>
        <w:rPr>
          <w:rFonts w:hint="eastAsia" w:ascii="宋体" w:hAnsi="宋体" w:eastAsia="宋体" w:cs="宋体"/>
        </w:rPr>
        <w:fldChar w:fldCharType="separate"/>
      </w:r>
      <w:r>
        <w:rPr>
          <w:rFonts w:hint="eastAsia" w:ascii="宋体" w:hAnsi="宋体" w:eastAsia="宋体" w:cs="宋体"/>
          <w:szCs w:val="30"/>
        </w:rPr>
        <w:t>（6）</w:t>
      </w:r>
      <w:r>
        <w:rPr>
          <w:rFonts w:hint="eastAsia" w:ascii="宋体" w:hAnsi="宋体" w:eastAsia="宋体" w:cs="宋体"/>
          <w:szCs w:val="30"/>
          <w:lang w:val="zh-CN"/>
        </w:rPr>
        <w:t>资格证明材料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_Toc320 \h </w:instrText>
      </w:r>
      <w:r>
        <w:rPr>
          <w:rFonts w:hint="eastAsia" w:ascii="宋体" w:hAnsi="宋体" w:eastAsia="宋体" w:cs="宋体"/>
        </w:rPr>
        <w:fldChar w:fldCharType="separate"/>
      </w:r>
      <w:r>
        <w:rPr>
          <w:rFonts w:hint="eastAsia" w:ascii="宋体" w:hAnsi="宋体" w:eastAsia="宋体" w:cs="宋体"/>
        </w:rPr>
        <w:t>42</w:t>
      </w:r>
      <w:r>
        <w:rPr>
          <w:rFonts w:hint="eastAsia" w:ascii="宋体" w:hAnsi="宋体" w:eastAsia="宋体" w:cs="宋体"/>
        </w:rPr>
        <w:fldChar w:fldCharType="end"/>
      </w:r>
      <w:r>
        <w:rPr>
          <w:rFonts w:hint="eastAsia" w:ascii="宋体" w:hAnsi="宋体" w:eastAsia="宋体" w:cs="宋体"/>
          <w:color w:val="000000"/>
        </w:rPr>
        <w:fldChar w:fldCharType="end"/>
      </w:r>
    </w:p>
    <w:p w14:paraId="53DA64A2">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_Toc635 </w:instrText>
      </w:r>
      <w:r>
        <w:rPr>
          <w:rFonts w:hint="eastAsia" w:ascii="宋体" w:hAnsi="宋体" w:eastAsia="宋体" w:cs="宋体"/>
        </w:rPr>
        <w:fldChar w:fldCharType="separate"/>
      </w:r>
      <w:r>
        <w:rPr>
          <w:rFonts w:hint="eastAsia" w:ascii="宋体" w:hAnsi="宋体" w:eastAsia="宋体" w:cs="宋体"/>
          <w:szCs w:val="30"/>
        </w:rPr>
        <w:t>（7）</w:t>
      </w:r>
      <w:r>
        <w:rPr>
          <w:rFonts w:hint="eastAsia" w:ascii="宋体" w:hAnsi="宋体" w:eastAsia="宋体" w:cs="宋体"/>
          <w:szCs w:val="30"/>
          <w:lang w:val="zh-CN"/>
        </w:rPr>
        <w:t>财务状况报告，依法缴纳税收和社会保障资金的相关材料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_Toc635 \h </w:instrText>
      </w:r>
      <w:r>
        <w:rPr>
          <w:rFonts w:hint="eastAsia" w:ascii="宋体" w:hAnsi="宋体" w:eastAsia="宋体" w:cs="宋体"/>
        </w:rPr>
        <w:fldChar w:fldCharType="separate"/>
      </w:r>
      <w:r>
        <w:rPr>
          <w:rFonts w:hint="eastAsia" w:ascii="宋体" w:hAnsi="宋体" w:eastAsia="宋体" w:cs="宋体"/>
        </w:rPr>
        <w:t>43</w:t>
      </w:r>
      <w:r>
        <w:rPr>
          <w:rFonts w:hint="eastAsia" w:ascii="宋体" w:hAnsi="宋体" w:eastAsia="宋体" w:cs="宋体"/>
        </w:rPr>
        <w:fldChar w:fldCharType="end"/>
      </w:r>
      <w:r>
        <w:rPr>
          <w:rFonts w:hint="eastAsia" w:ascii="宋体" w:hAnsi="宋体" w:eastAsia="宋体" w:cs="宋体"/>
          <w:color w:val="000000"/>
        </w:rPr>
        <w:fldChar w:fldCharType="end"/>
      </w:r>
    </w:p>
    <w:p w14:paraId="512ABFEA">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_Toc9104 </w:instrText>
      </w:r>
      <w:r>
        <w:rPr>
          <w:rFonts w:hint="eastAsia" w:ascii="宋体" w:hAnsi="宋体" w:eastAsia="宋体" w:cs="宋体"/>
        </w:rPr>
        <w:fldChar w:fldCharType="separate"/>
      </w:r>
      <w:r>
        <w:rPr>
          <w:rFonts w:hint="eastAsia" w:ascii="宋体" w:hAnsi="宋体" w:eastAsia="宋体" w:cs="宋体"/>
          <w:szCs w:val="30"/>
        </w:rPr>
        <w:t>（8）</w:t>
      </w:r>
      <w:r>
        <w:rPr>
          <w:rFonts w:hint="eastAsia" w:ascii="宋体" w:hAnsi="宋体" w:eastAsia="宋体" w:cs="宋体"/>
          <w:szCs w:val="30"/>
          <w:lang w:val="zh-CN"/>
        </w:rPr>
        <w:t>具备履行合同所必需的设备和专业技术能力的证明材料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_Toc9104 \h </w:instrText>
      </w:r>
      <w:r>
        <w:rPr>
          <w:rFonts w:hint="eastAsia" w:ascii="宋体" w:hAnsi="宋体" w:eastAsia="宋体" w:cs="宋体"/>
        </w:rPr>
        <w:fldChar w:fldCharType="separate"/>
      </w:r>
      <w:r>
        <w:rPr>
          <w:rFonts w:hint="eastAsia" w:ascii="宋体" w:hAnsi="宋体" w:eastAsia="宋体" w:cs="宋体"/>
        </w:rPr>
        <w:t>44</w:t>
      </w:r>
      <w:r>
        <w:rPr>
          <w:rFonts w:hint="eastAsia" w:ascii="宋体" w:hAnsi="宋体" w:eastAsia="宋体" w:cs="宋体"/>
        </w:rPr>
        <w:fldChar w:fldCharType="end"/>
      </w:r>
      <w:r>
        <w:rPr>
          <w:rFonts w:hint="eastAsia" w:ascii="宋体" w:hAnsi="宋体" w:eastAsia="宋体" w:cs="宋体"/>
          <w:color w:val="000000"/>
        </w:rPr>
        <w:fldChar w:fldCharType="end"/>
      </w:r>
    </w:p>
    <w:p w14:paraId="68678974">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_Toc371 </w:instrText>
      </w:r>
      <w:r>
        <w:rPr>
          <w:rFonts w:hint="eastAsia" w:ascii="宋体" w:hAnsi="宋体" w:eastAsia="宋体" w:cs="宋体"/>
        </w:rPr>
        <w:fldChar w:fldCharType="separate"/>
      </w:r>
      <w:r>
        <w:rPr>
          <w:rFonts w:hint="eastAsia" w:ascii="宋体" w:hAnsi="宋体" w:eastAsia="宋体" w:cs="宋体"/>
          <w:szCs w:val="30"/>
        </w:rPr>
        <w:t>（9）</w:t>
      </w:r>
      <w:r>
        <w:rPr>
          <w:rFonts w:hint="eastAsia" w:ascii="宋体" w:hAnsi="宋体" w:eastAsia="宋体" w:cs="宋体"/>
          <w:szCs w:val="30"/>
          <w:lang w:val="zh-CN"/>
        </w:rPr>
        <w:t>无重大违法记录声明</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_Toc371 \h </w:instrText>
      </w:r>
      <w:r>
        <w:rPr>
          <w:rFonts w:hint="eastAsia" w:ascii="宋体" w:hAnsi="宋体" w:eastAsia="宋体" w:cs="宋体"/>
        </w:rPr>
        <w:fldChar w:fldCharType="separate"/>
      </w:r>
      <w:r>
        <w:rPr>
          <w:rFonts w:hint="eastAsia" w:ascii="宋体" w:hAnsi="宋体" w:eastAsia="宋体" w:cs="宋体"/>
        </w:rPr>
        <w:t>45</w:t>
      </w:r>
      <w:r>
        <w:rPr>
          <w:rFonts w:hint="eastAsia" w:ascii="宋体" w:hAnsi="宋体" w:eastAsia="宋体" w:cs="宋体"/>
        </w:rPr>
        <w:fldChar w:fldCharType="end"/>
      </w:r>
      <w:r>
        <w:rPr>
          <w:rFonts w:hint="eastAsia" w:ascii="宋体" w:hAnsi="宋体" w:eastAsia="宋体" w:cs="宋体"/>
          <w:color w:val="000000"/>
        </w:rPr>
        <w:fldChar w:fldCharType="end"/>
      </w:r>
    </w:p>
    <w:p w14:paraId="5B9E4F07">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_Toc22040 </w:instrText>
      </w:r>
      <w:r>
        <w:rPr>
          <w:rFonts w:hint="eastAsia" w:ascii="宋体" w:hAnsi="宋体" w:eastAsia="宋体" w:cs="宋体"/>
        </w:rPr>
        <w:fldChar w:fldCharType="separate"/>
      </w:r>
      <w:r>
        <w:rPr>
          <w:rFonts w:hint="eastAsia" w:ascii="宋体" w:hAnsi="宋体" w:eastAsia="宋体" w:cs="宋体"/>
          <w:szCs w:val="30"/>
        </w:rPr>
        <w:t>（10）</w:t>
      </w:r>
      <w:r>
        <w:rPr>
          <w:rFonts w:hint="eastAsia" w:ascii="宋体" w:hAnsi="宋体" w:eastAsia="宋体" w:cs="宋体"/>
          <w:szCs w:val="30"/>
          <w:lang w:val="zh-CN"/>
        </w:rPr>
        <w:t>投标保证金证明</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_Toc22040 \h </w:instrText>
      </w:r>
      <w:r>
        <w:rPr>
          <w:rFonts w:hint="eastAsia" w:ascii="宋体" w:hAnsi="宋体" w:eastAsia="宋体" w:cs="宋体"/>
        </w:rPr>
        <w:fldChar w:fldCharType="separate"/>
      </w:r>
      <w:r>
        <w:rPr>
          <w:rFonts w:hint="eastAsia" w:ascii="宋体" w:hAnsi="宋体" w:eastAsia="宋体" w:cs="宋体"/>
        </w:rPr>
        <w:t>46</w:t>
      </w:r>
      <w:r>
        <w:rPr>
          <w:rFonts w:hint="eastAsia" w:ascii="宋体" w:hAnsi="宋体" w:eastAsia="宋体" w:cs="宋体"/>
        </w:rPr>
        <w:fldChar w:fldCharType="end"/>
      </w:r>
      <w:r>
        <w:rPr>
          <w:rFonts w:hint="eastAsia" w:ascii="宋体" w:hAnsi="宋体" w:eastAsia="宋体" w:cs="宋体"/>
          <w:color w:val="000000"/>
        </w:rPr>
        <w:fldChar w:fldCharType="end"/>
      </w:r>
    </w:p>
    <w:p w14:paraId="2ACDC4F7">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_Toc14382 </w:instrText>
      </w:r>
      <w:r>
        <w:rPr>
          <w:rFonts w:hint="eastAsia" w:ascii="宋体" w:hAnsi="宋体" w:eastAsia="宋体" w:cs="宋体"/>
        </w:rPr>
        <w:fldChar w:fldCharType="separate"/>
      </w:r>
      <w:r>
        <w:rPr>
          <w:rFonts w:hint="eastAsia" w:ascii="宋体" w:hAnsi="宋体" w:eastAsia="宋体" w:cs="宋体"/>
          <w:szCs w:val="30"/>
          <w:lang w:val="zh-CN"/>
        </w:rPr>
        <w:t>目录（下册）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_Toc14382 \h </w:instrText>
      </w:r>
      <w:r>
        <w:rPr>
          <w:rFonts w:hint="eastAsia" w:ascii="宋体" w:hAnsi="宋体" w:eastAsia="宋体" w:cs="宋体"/>
        </w:rPr>
        <w:fldChar w:fldCharType="separate"/>
      </w:r>
      <w:r>
        <w:rPr>
          <w:rFonts w:hint="eastAsia" w:ascii="宋体" w:hAnsi="宋体" w:eastAsia="宋体" w:cs="宋体"/>
        </w:rPr>
        <w:t>48</w:t>
      </w:r>
      <w:r>
        <w:rPr>
          <w:rFonts w:hint="eastAsia" w:ascii="宋体" w:hAnsi="宋体" w:eastAsia="宋体" w:cs="宋体"/>
        </w:rPr>
        <w:fldChar w:fldCharType="end"/>
      </w:r>
      <w:r>
        <w:rPr>
          <w:rFonts w:hint="eastAsia" w:ascii="宋体" w:hAnsi="宋体" w:eastAsia="宋体" w:cs="宋体"/>
          <w:color w:val="000000"/>
        </w:rPr>
        <w:fldChar w:fldCharType="end"/>
      </w:r>
    </w:p>
    <w:p w14:paraId="73F7F74A">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_Toc12554 </w:instrText>
      </w:r>
      <w:r>
        <w:rPr>
          <w:rFonts w:hint="eastAsia" w:ascii="宋体" w:hAnsi="宋体" w:eastAsia="宋体" w:cs="宋体"/>
        </w:rPr>
        <w:fldChar w:fldCharType="separate"/>
      </w:r>
      <w:r>
        <w:rPr>
          <w:rFonts w:hint="eastAsia" w:ascii="宋体" w:hAnsi="宋体" w:eastAsia="宋体" w:cs="宋体"/>
          <w:szCs w:val="30"/>
        </w:rPr>
        <w:t>（11）</w:t>
      </w:r>
      <w:r>
        <w:rPr>
          <w:rFonts w:hint="eastAsia" w:ascii="宋体" w:hAnsi="宋体" w:eastAsia="宋体" w:cs="宋体"/>
          <w:szCs w:val="30"/>
          <w:lang w:val="zh-CN"/>
        </w:rPr>
        <w:t>评分对照表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_Toc12554 \h </w:instrText>
      </w:r>
      <w:r>
        <w:rPr>
          <w:rFonts w:hint="eastAsia" w:ascii="宋体" w:hAnsi="宋体" w:eastAsia="宋体" w:cs="宋体"/>
        </w:rPr>
        <w:fldChar w:fldCharType="separate"/>
      </w:r>
      <w:r>
        <w:rPr>
          <w:rFonts w:hint="eastAsia" w:ascii="宋体" w:hAnsi="宋体" w:eastAsia="宋体" w:cs="宋体"/>
        </w:rPr>
        <w:t>49</w:t>
      </w:r>
      <w:r>
        <w:rPr>
          <w:rFonts w:hint="eastAsia" w:ascii="宋体" w:hAnsi="宋体" w:eastAsia="宋体" w:cs="宋体"/>
        </w:rPr>
        <w:fldChar w:fldCharType="end"/>
      </w:r>
      <w:r>
        <w:rPr>
          <w:rFonts w:hint="eastAsia" w:ascii="宋体" w:hAnsi="宋体" w:eastAsia="宋体" w:cs="宋体"/>
          <w:color w:val="000000"/>
        </w:rPr>
        <w:fldChar w:fldCharType="end"/>
      </w:r>
    </w:p>
    <w:p w14:paraId="436F784F">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_Toc27533 </w:instrText>
      </w:r>
      <w:r>
        <w:rPr>
          <w:rFonts w:hint="eastAsia" w:ascii="宋体" w:hAnsi="宋体" w:eastAsia="宋体" w:cs="宋体"/>
        </w:rPr>
        <w:fldChar w:fldCharType="separate"/>
      </w:r>
      <w:r>
        <w:rPr>
          <w:rFonts w:hint="eastAsia" w:ascii="宋体" w:hAnsi="宋体" w:eastAsia="宋体" w:cs="宋体"/>
          <w:szCs w:val="30"/>
        </w:rPr>
        <w:t>（12）</w:t>
      </w:r>
      <w:r>
        <w:rPr>
          <w:rFonts w:hint="eastAsia" w:ascii="宋体" w:hAnsi="宋体" w:eastAsia="宋体" w:cs="宋体"/>
          <w:szCs w:val="30"/>
          <w:lang w:val="zh-CN"/>
        </w:rPr>
        <w:t>开标一览表（报价表）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_Toc27533 \h </w:instrText>
      </w:r>
      <w:r>
        <w:rPr>
          <w:rFonts w:hint="eastAsia" w:ascii="宋体" w:hAnsi="宋体" w:eastAsia="宋体" w:cs="宋体"/>
        </w:rPr>
        <w:fldChar w:fldCharType="separate"/>
      </w:r>
      <w:r>
        <w:rPr>
          <w:rFonts w:hint="eastAsia" w:ascii="宋体" w:hAnsi="宋体" w:eastAsia="宋体" w:cs="宋体"/>
        </w:rPr>
        <w:t>50</w:t>
      </w:r>
      <w:r>
        <w:rPr>
          <w:rFonts w:hint="eastAsia" w:ascii="宋体" w:hAnsi="宋体" w:eastAsia="宋体" w:cs="宋体"/>
        </w:rPr>
        <w:fldChar w:fldCharType="end"/>
      </w:r>
      <w:r>
        <w:rPr>
          <w:rFonts w:hint="eastAsia" w:ascii="宋体" w:hAnsi="宋体" w:eastAsia="宋体" w:cs="宋体"/>
          <w:color w:val="000000"/>
        </w:rPr>
        <w:fldChar w:fldCharType="end"/>
      </w:r>
    </w:p>
    <w:p w14:paraId="3039143C">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_Toc1391 </w:instrText>
      </w:r>
      <w:r>
        <w:rPr>
          <w:rFonts w:hint="eastAsia" w:ascii="宋体" w:hAnsi="宋体" w:eastAsia="宋体" w:cs="宋体"/>
        </w:rPr>
        <w:fldChar w:fldCharType="separate"/>
      </w:r>
      <w:r>
        <w:rPr>
          <w:rFonts w:hint="eastAsia" w:ascii="宋体" w:hAnsi="宋体" w:eastAsia="宋体" w:cs="宋体"/>
          <w:szCs w:val="30"/>
        </w:rPr>
        <w:t>（13）</w:t>
      </w:r>
      <w:r>
        <w:rPr>
          <w:rFonts w:hint="eastAsia" w:ascii="宋体" w:hAnsi="宋体" w:eastAsia="宋体" w:cs="宋体"/>
          <w:szCs w:val="30"/>
          <w:lang w:val="zh-CN"/>
        </w:rPr>
        <w:t>分项报价表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_Toc1391 \h </w:instrText>
      </w:r>
      <w:r>
        <w:rPr>
          <w:rFonts w:hint="eastAsia" w:ascii="宋体" w:hAnsi="宋体" w:eastAsia="宋体" w:cs="宋体"/>
        </w:rPr>
        <w:fldChar w:fldCharType="separate"/>
      </w:r>
      <w:r>
        <w:rPr>
          <w:rFonts w:hint="eastAsia" w:ascii="宋体" w:hAnsi="宋体" w:eastAsia="宋体" w:cs="宋体"/>
        </w:rPr>
        <w:t>51</w:t>
      </w:r>
      <w:r>
        <w:rPr>
          <w:rFonts w:hint="eastAsia" w:ascii="宋体" w:hAnsi="宋体" w:eastAsia="宋体" w:cs="宋体"/>
        </w:rPr>
        <w:fldChar w:fldCharType="end"/>
      </w:r>
      <w:r>
        <w:rPr>
          <w:rFonts w:hint="eastAsia" w:ascii="宋体" w:hAnsi="宋体" w:eastAsia="宋体" w:cs="宋体"/>
          <w:color w:val="000000"/>
        </w:rPr>
        <w:fldChar w:fldCharType="end"/>
      </w:r>
    </w:p>
    <w:p w14:paraId="4E7069CD">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_Toc29043 </w:instrText>
      </w:r>
      <w:r>
        <w:rPr>
          <w:rFonts w:hint="eastAsia" w:ascii="宋体" w:hAnsi="宋体" w:eastAsia="宋体" w:cs="宋体"/>
        </w:rPr>
        <w:fldChar w:fldCharType="separate"/>
      </w:r>
      <w:r>
        <w:rPr>
          <w:rFonts w:hint="eastAsia" w:ascii="宋体" w:hAnsi="宋体" w:eastAsia="宋体" w:cs="宋体"/>
          <w:szCs w:val="30"/>
        </w:rPr>
        <w:t>（14）</w:t>
      </w:r>
      <w:r>
        <w:rPr>
          <w:rFonts w:hint="eastAsia" w:ascii="宋体" w:hAnsi="宋体" w:eastAsia="宋体" w:cs="宋体"/>
          <w:szCs w:val="30"/>
          <w:lang w:val="zh-CN"/>
        </w:rPr>
        <w:t>技术规格响应表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_Toc29043 \h </w:instrText>
      </w:r>
      <w:r>
        <w:rPr>
          <w:rFonts w:hint="eastAsia" w:ascii="宋体" w:hAnsi="宋体" w:eastAsia="宋体" w:cs="宋体"/>
        </w:rPr>
        <w:fldChar w:fldCharType="separate"/>
      </w:r>
      <w:r>
        <w:rPr>
          <w:rFonts w:hint="eastAsia" w:ascii="宋体" w:hAnsi="宋体" w:eastAsia="宋体" w:cs="宋体"/>
        </w:rPr>
        <w:t>52</w:t>
      </w:r>
      <w:r>
        <w:rPr>
          <w:rFonts w:hint="eastAsia" w:ascii="宋体" w:hAnsi="宋体" w:eastAsia="宋体" w:cs="宋体"/>
        </w:rPr>
        <w:fldChar w:fldCharType="end"/>
      </w:r>
      <w:r>
        <w:rPr>
          <w:rFonts w:hint="eastAsia" w:ascii="宋体" w:hAnsi="宋体" w:eastAsia="宋体" w:cs="宋体"/>
          <w:color w:val="000000"/>
        </w:rPr>
        <w:fldChar w:fldCharType="end"/>
      </w:r>
    </w:p>
    <w:p w14:paraId="4841FC1D">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_Toc32410 </w:instrText>
      </w:r>
      <w:r>
        <w:rPr>
          <w:rFonts w:hint="eastAsia" w:ascii="宋体" w:hAnsi="宋体" w:eastAsia="宋体" w:cs="宋体"/>
        </w:rPr>
        <w:fldChar w:fldCharType="separate"/>
      </w:r>
      <w:r>
        <w:rPr>
          <w:rFonts w:hint="eastAsia" w:ascii="宋体" w:hAnsi="宋体" w:eastAsia="宋体" w:cs="宋体"/>
          <w:szCs w:val="30"/>
        </w:rPr>
        <w:t>（15）</w:t>
      </w:r>
      <w:r>
        <w:rPr>
          <w:rFonts w:hint="eastAsia" w:ascii="宋体" w:hAnsi="宋体" w:eastAsia="宋体" w:cs="宋体"/>
          <w:szCs w:val="30"/>
          <w:lang w:val="zh-CN"/>
        </w:rPr>
        <w:t>投标产品相关资料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_Toc32410 \h </w:instrText>
      </w:r>
      <w:r>
        <w:rPr>
          <w:rFonts w:hint="eastAsia" w:ascii="宋体" w:hAnsi="宋体" w:eastAsia="宋体" w:cs="宋体"/>
        </w:rPr>
        <w:fldChar w:fldCharType="separate"/>
      </w:r>
      <w:r>
        <w:rPr>
          <w:rFonts w:hint="eastAsia" w:ascii="宋体" w:hAnsi="宋体" w:eastAsia="宋体" w:cs="宋体"/>
        </w:rPr>
        <w:t>53</w:t>
      </w:r>
      <w:r>
        <w:rPr>
          <w:rFonts w:hint="eastAsia" w:ascii="宋体" w:hAnsi="宋体" w:eastAsia="宋体" w:cs="宋体"/>
        </w:rPr>
        <w:fldChar w:fldCharType="end"/>
      </w:r>
      <w:r>
        <w:rPr>
          <w:rFonts w:hint="eastAsia" w:ascii="宋体" w:hAnsi="宋体" w:eastAsia="宋体" w:cs="宋体"/>
          <w:color w:val="000000"/>
        </w:rPr>
        <w:fldChar w:fldCharType="end"/>
      </w:r>
    </w:p>
    <w:p w14:paraId="05B3554C">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_Toc10495 </w:instrText>
      </w:r>
      <w:r>
        <w:rPr>
          <w:rFonts w:hint="eastAsia" w:ascii="宋体" w:hAnsi="宋体" w:eastAsia="宋体" w:cs="宋体"/>
        </w:rPr>
        <w:fldChar w:fldCharType="separate"/>
      </w:r>
      <w:r>
        <w:rPr>
          <w:rFonts w:hint="eastAsia" w:ascii="宋体" w:hAnsi="宋体" w:eastAsia="宋体" w:cs="宋体"/>
          <w:szCs w:val="30"/>
        </w:rPr>
        <w:t>（16）</w:t>
      </w:r>
      <w:r>
        <w:rPr>
          <w:rFonts w:hint="eastAsia" w:ascii="宋体" w:hAnsi="宋体" w:eastAsia="宋体" w:cs="宋体"/>
          <w:szCs w:val="30"/>
          <w:lang w:val="zh-CN"/>
        </w:rPr>
        <w:t>投标人的类似业绩证明材料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_Toc10495 \h </w:instrText>
      </w:r>
      <w:r>
        <w:rPr>
          <w:rFonts w:hint="eastAsia" w:ascii="宋体" w:hAnsi="宋体" w:eastAsia="宋体" w:cs="宋体"/>
        </w:rPr>
        <w:fldChar w:fldCharType="separate"/>
      </w:r>
      <w:r>
        <w:rPr>
          <w:rFonts w:hint="eastAsia" w:ascii="宋体" w:hAnsi="宋体" w:eastAsia="宋体" w:cs="宋体"/>
        </w:rPr>
        <w:t>54</w:t>
      </w:r>
      <w:r>
        <w:rPr>
          <w:rFonts w:hint="eastAsia" w:ascii="宋体" w:hAnsi="宋体" w:eastAsia="宋体" w:cs="宋体"/>
        </w:rPr>
        <w:fldChar w:fldCharType="end"/>
      </w:r>
      <w:r>
        <w:rPr>
          <w:rFonts w:hint="eastAsia" w:ascii="宋体" w:hAnsi="宋体" w:eastAsia="宋体" w:cs="宋体"/>
          <w:color w:val="000000"/>
        </w:rPr>
        <w:fldChar w:fldCharType="end"/>
      </w:r>
    </w:p>
    <w:p w14:paraId="1A89A48D">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_Toc9207 </w:instrText>
      </w:r>
      <w:r>
        <w:rPr>
          <w:rFonts w:hint="eastAsia" w:ascii="宋体" w:hAnsi="宋体" w:eastAsia="宋体" w:cs="宋体"/>
        </w:rPr>
        <w:fldChar w:fldCharType="separate"/>
      </w:r>
      <w:r>
        <w:rPr>
          <w:rFonts w:hint="eastAsia" w:ascii="宋体" w:hAnsi="宋体" w:eastAsia="宋体" w:cs="宋体"/>
          <w:szCs w:val="30"/>
        </w:rPr>
        <w:t>（17）中</w:t>
      </w:r>
      <w:r>
        <w:rPr>
          <w:rFonts w:hint="eastAsia" w:ascii="宋体" w:hAnsi="宋体" w:eastAsia="宋体" w:cs="宋体"/>
          <w:szCs w:val="30"/>
          <w:lang w:val="zh-CN"/>
        </w:rPr>
        <w:t>小企业声明函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_Toc9207 \h </w:instrText>
      </w:r>
      <w:r>
        <w:rPr>
          <w:rFonts w:hint="eastAsia" w:ascii="宋体" w:hAnsi="宋体" w:eastAsia="宋体" w:cs="宋体"/>
        </w:rPr>
        <w:fldChar w:fldCharType="separate"/>
      </w:r>
      <w:r>
        <w:rPr>
          <w:rFonts w:hint="eastAsia" w:ascii="宋体" w:hAnsi="宋体" w:eastAsia="宋体" w:cs="宋体"/>
        </w:rPr>
        <w:t>55</w:t>
      </w:r>
      <w:r>
        <w:rPr>
          <w:rFonts w:hint="eastAsia" w:ascii="宋体" w:hAnsi="宋体" w:eastAsia="宋体" w:cs="宋体"/>
        </w:rPr>
        <w:fldChar w:fldCharType="end"/>
      </w:r>
      <w:r>
        <w:rPr>
          <w:rFonts w:hint="eastAsia" w:ascii="宋体" w:hAnsi="宋体" w:eastAsia="宋体" w:cs="宋体"/>
          <w:color w:val="000000"/>
        </w:rPr>
        <w:fldChar w:fldCharType="end"/>
      </w:r>
    </w:p>
    <w:p w14:paraId="4E7961EF">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_Toc13704 </w:instrText>
      </w:r>
      <w:r>
        <w:rPr>
          <w:rFonts w:hint="eastAsia" w:ascii="宋体" w:hAnsi="宋体" w:eastAsia="宋体" w:cs="宋体"/>
        </w:rPr>
        <w:fldChar w:fldCharType="separate"/>
      </w:r>
      <w:r>
        <w:rPr>
          <w:rFonts w:hint="eastAsia" w:ascii="宋体" w:hAnsi="宋体" w:eastAsia="宋体" w:cs="宋体"/>
          <w:szCs w:val="30"/>
        </w:rPr>
        <w:t>（19）</w:t>
      </w:r>
      <w:r>
        <w:rPr>
          <w:rFonts w:hint="eastAsia" w:ascii="宋体" w:hAnsi="宋体" w:eastAsia="宋体" w:cs="宋体"/>
          <w:szCs w:val="30"/>
          <w:lang w:val="zh-CN"/>
        </w:rPr>
        <w:t>投标人认为在其他方面有必要说明的事项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_Toc13704 \h </w:instrText>
      </w:r>
      <w:r>
        <w:rPr>
          <w:rFonts w:hint="eastAsia" w:ascii="宋体" w:hAnsi="宋体" w:eastAsia="宋体" w:cs="宋体"/>
        </w:rPr>
        <w:fldChar w:fldCharType="separate"/>
      </w:r>
      <w:r>
        <w:rPr>
          <w:rFonts w:hint="eastAsia" w:ascii="宋体" w:hAnsi="宋体" w:eastAsia="宋体" w:cs="宋体"/>
        </w:rPr>
        <w:t>57</w:t>
      </w:r>
      <w:r>
        <w:rPr>
          <w:rFonts w:hint="eastAsia" w:ascii="宋体" w:hAnsi="宋体" w:eastAsia="宋体" w:cs="宋体"/>
        </w:rPr>
        <w:fldChar w:fldCharType="end"/>
      </w:r>
      <w:r>
        <w:rPr>
          <w:rFonts w:hint="eastAsia" w:ascii="宋体" w:hAnsi="宋体" w:eastAsia="宋体" w:cs="宋体"/>
          <w:color w:val="000000"/>
        </w:rPr>
        <w:fldChar w:fldCharType="end"/>
      </w:r>
    </w:p>
    <w:p w14:paraId="51757235">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_Toc26265 </w:instrText>
      </w:r>
      <w:r>
        <w:rPr>
          <w:rFonts w:hint="eastAsia" w:ascii="宋体" w:hAnsi="宋体" w:eastAsia="宋体" w:cs="宋体"/>
        </w:rPr>
        <w:fldChar w:fldCharType="separate"/>
      </w:r>
      <w:r>
        <w:rPr>
          <w:rFonts w:hint="eastAsia" w:ascii="宋体" w:hAnsi="宋体" w:eastAsia="宋体" w:cs="宋体"/>
          <w:szCs w:val="36"/>
          <w:lang w:val="zh-CN"/>
        </w:rPr>
        <w:t>第五部分  采购项目要求及技术参数</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_Toc26265 \h </w:instrText>
      </w:r>
      <w:r>
        <w:rPr>
          <w:rFonts w:hint="eastAsia" w:ascii="宋体" w:hAnsi="宋体" w:eastAsia="宋体" w:cs="宋体"/>
        </w:rPr>
        <w:fldChar w:fldCharType="separate"/>
      </w:r>
      <w:r>
        <w:rPr>
          <w:rFonts w:hint="eastAsia" w:ascii="宋体" w:hAnsi="宋体" w:eastAsia="宋体" w:cs="宋体"/>
        </w:rPr>
        <w:t>58</w:t>
      </w:r>
      <w:r>
        <w:rPr>
          <w:rFonts w:hint="eastAsia" w:ascii="宋体" w:hAnsi="宋体" w:eastAsia="宋体" w:cs="宋体"/>
        </w:rPr>
        <w:fldChar w:fldCharType="end"/>
      </w:r>
      <w:r>
        <w:rPr>
          <w:rFonts w:hint="eastAsia" w:ascii="宋体" w:hAnsi="宋体" w:eastAsia="宋体" w:cs="宋体"/>
          <w:color w:val="000000"/>
        </w:rPr>
        <w:fldChar w:fldCharType="end"/>
      </w:r>
    </w:p>
    <w:p w14:paraId="562B6126">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_Toc6794 </w:instrText>
      </w:r>
      <w:r>
        <w:rPr>
          <w:rFonts w:hint="eastAsia" w:ascii="宋体" w:hAnsi="宋体" w:eastAsia="宋体" w:cs="宋体"/>
        </w:rPr>
        <w:fldChar w:fldCharType="separate"/>
      </w:r>
      <w:r>
        <w:rPr>
          <w:rFonts w:hint="eastAsia" w:ascii="宋体" w:hAnsi="宋体" w:eastAsia="宋体" w:cs="宋体"/>
          <w:lang w:val="zh-CN"/>
        </w:rPr>
        <w:t>一、投标要求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_Toc6794 \h </w:instrText>
      </w:r>
      <w:r>
        <w:rPr>
          <w:rFonts w:hint="eastAsia" w:ascii="宋体" w:hAnsi="宋体" w:eastAsia="宋体" w:cs="宋体"/>
        </w:rPr>
        <w:fldChar w:fldCharType="separate"/>
      </w:r>
      <w:r>
        <w:rPr>
          <w:rFonts w:hint="eastAsia" w:ascii="宋体" w:hAnsi="宋体" w:eastAsia="宋体" w:cs="宋体"/>
        </w:rPr>
        <w:t>58</w:t>
      </w:r>
      <w:r>
        <w:rPr>
          <w:rFonts w:hint="eastAsia" w:ascii="宋体" w:hAnsi="宋体" w:eastAsia="宋体" w:cs="宋体"/>
        </w:rPr>
        <w:fldChar w:fldCharType="end"/>
      </w:r>
      <w:r>
        <w:rPr>
          <w:rFonts w:hint="eastAsia" w:ascii="宋体" w:hAnsi="宋体" w:eastAsia="宋体" w:cs="宋体"/>
          <w:color w:val="000000"/>
        </w:rPr>
        <w:fldChar w:fldCharType="end"/>
      </w:r>
    </w:p>
    <w:p w14:paraId="716FB10A">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_Toc32759 </w:instrText>
      </w:r>
      <w:r>
        <w:rPr>
          <w:rFonts w:hint="eastAsia" w:ascii="宋体" w:hAnsi="宋体" w:eastAsia="宋体" w:cs="宋体"/>
        </w:rPr>
        <w:fldChar w:fldCharType="separate"/>
      </w:r>
      <w:r>
        <w:rPr>
          <w:rFonts w:hint="eastAsia" w:ascii="宋体" w:hAnsi="宋体" w:eastAsia="宋体" w:cs="宋体"/>
          <w:szCs w:val="28"/>
          <w:lang w:val="zh-CN"/>
        </w:rPr>
        <w:t>1.投标说明</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_Toc32759 \h </w:instrText>
      </w:r>
      <w:r>
        <w:rPr>
          <w:rFonts w:hint="eastAsia" w:ascii="宋体" w:hAnsi="宋体" w:eastAsia="宋体" w:cs="宋体"/>
        </w:rPr>
        <w:fldChar w:fldCharType="separate"/>
      </w:r>
      <w:r>
        <w:rPr>
          <w:rFonts w:hint="eastAsia" w:ascii="宋体" w:hAnsi="宋体" w:eastAsia="宋体" w:cs="宋体"/>
        </w:rPr>
        <w:t>58</w:t>
      </w:r>
      <w:r>
        <w:rPr>
          <w:rFonts w:hint="eastAsia" w:ascii="宋体" w:hAnsi="宋体" w:eastAsia="宋体" w:cs="宋体"/>
        </w:rPr>
        <w:fldChar w:fldCharType="end"/>
      </w:r>
      <w:r>
        <w:rPr>
          <w:rFonts w:hint="eastAsia" w:ascii="宋体" w:hAnsi="宋体" w:eastAsia="宋体" w:cs="宋体"/>
          <w:color w:val="000000"/>
        </w:rPr>
        <w:fldChar w:fldCharType="end"/>
      </w:r>
    </w:p>
    <w:p w14:paraId="771E9528">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_Toc2021 </w:instrText>
      </w:r>
      <w:r>
        <w:rPr>
          <w:rFonts w:hint="eastAsia" w:ascii="宋体" w:hAnsi="宋体" w:eastAsia="宋体" w:cs="宋体"/>
        </w:rPr>
        <w:fldChar w:fldCharType="separate"/>
      </w:r>
      <w:r>
        <w:rPr>
          <w:rFonts w:hint="eastAsia" w:ascii="宋体" w:hAnsi="宋体" w:eastAsia="宋体" w:cs="宋体"/>
          <w:szCs w:val="28"/>
          <w:lang w:val="zh-CN"/>
        </w:rPr>
        <w:t>2. 重要指标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_Toc2021 \h </w:instrText>
      </w:r>
      <w:r>
        <w:rPr>
          <w:rFonts w:hint="eastAsia" w:ascii="宋体" w:hAnsi="宋体" w:eastAsia="宋体" w:cs="宋体"/>
        </w:rPr>
        <w:fldChar w:fldCharType="separate"/>
      </w:r>
      <w:r>
        <w:rPr>
          <w:rFonts w:hint="eastAsia" w:ascii="宋体" w:hAnsi="宋体" w:eastAsia="宋体" w:cs="宋体"/>
        </w:rPr>
        <w:t>58</w:t>
      </w:r>
      <w:r>
        <w:rPr>
          <w:rFonts w:hint="eastAsia" w:ascii="宋体" w:hAnsi="宋体" w:eastAsia="宋体" w:cs="宋体"/>
        </w:rPr>
        <w:fldChar w:fldCharType="end"/>
      </w:r>
      <w:r>
        <w:rPr>
          <w:rFonts w:hint="eastAsia" w:ascii="宋体" w:hAnsi="宋体" w:eastAsia="宋体" w:cs="宋体"/>
          <w:color w:val="000000"/>
        </w:rPr>
        <w:fldChar w:fldCharType="end"/>
      </w:r>
    </w:p>
    <w:p w14:paraId="42142339">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_Toc21419 </w:instrText>
      </w:r>
      <w:r>
        <w:rPr>
          <w:rFonts w:hint="eastAsia" w:ascii="宋体" w:hAnsi="宋体" w:eastAsia="宋体" w:cs="宋体"/>
        </w:rPr>
        <w:fldChar w:fldCharType="separate"/>
      </w:r>
      <w:r>
        <w:rPr>
          <w:rFonts w:hint="eastAsia" w:ascii="宋体" w:hAnsi="宋体" w:eastAsia="宋体" w:cs="宋体"/>
          <w:szCs w:val="28"/>
        </w:rPr>
        <w:t>3</w:t>
      </w:r>
      <w:r>
        <w:rPr>
          <w:rFonts w:hint="eastAsia" w:ascii="宋体" w:hAnsi="宋体" w:eastAsia="宋体" w:cs="宋体"/>
          <w:szCs w:val="28"/>
          <w:lang w:val="zh-CN"/>
        </w:rPr>
        <w:t>.商务要求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_Toc21419 \h </w:instrText>
      </w:r>
      <w:r>
        <w:rPr>
          <w:rFonts w:hint="eastAsia" w:ascii="宋体" w:hAnsi="宋体" w:eastAsia="宋体" w:cs="宋体"/>
        </w:rPr>
        <w:fldChar w:fldCharType="separate"/>
      </w:r>
      <w:r>
        <w:rPr>
          <w:rFonts w:hint="eastAsia" w:ascii="宋体" w:hAnsi="宋体" w:eastAsia="宋体" w:cs="宋体"/>
        </w:rPr>
        <w:t>58</w:t>
      </w:r>
      <w:r>
        <w:rPr>
          <w:rFonts w:hint="eastAsia" w:ascii="宋体" w:hAnsi="宋体" w:eastAsia="宋体" w:cs="宋体"/>
        </w:rPr>
        <w:fldChar w:fldCharType="end"/>
      </w:r>
      <w:r>
        <w:rPr>
          <w:rFonts w:hint="eastAsia" w:ascii="宋体" w:hAnsi="宋体" w:eastAsia="宋体" w:cs="宋体"/>
          <w:color w:val="000000"/>
        </w:rPr>
        <w:fldChar w:fldCharType="end"/>
      </w:r>
    </w:p>
    <w:p w14:paraId="1482BAB5">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_Toc24857 </w:instrText>
      </w:r>
      <w:r>
        <w:rPr>
          <w:rFonts w:hint="eastAsia" w:ascii="宋体" w:hAnsi="宋体" w:eastAsia="宋体" w:cs="宋体"/>
        </w:rPr>
        <w:fldChar w:fldCharType="separate"/>
      </w:r>
      <w:r>
        <w:rPr>
          <w:rFonts w:hint="eastAsia" w:ascii="宋体" w:hAnsi="宋体" w:eastAsia="宋体" w:cs="宋体"/>
          <w:szCs w:val="30"/>
        </w:rPr>
        <w:t xml:space="preserve">二、 </w:t>
      </w:r>
      <w:r>
        <w:rPr>
          <w:rFonts w:hint="eastAsia" w:ascii="宋体" w:hAnsi="宋体" w:eastAsia="宋体" w:cs="宋体"/>
          <w:szCs w:val="30"/>
          <w:lang w:val="zh-CN"/>
        </w:rPr>
        <w:t>技术参数</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_Toc24857 \h </w:instrText>
      </w:r>
      <w:r>
        <w:rPr>
          <w:rFonts w:hint="eastAsia" w:ascii="宋体" w:hAnsi="宋体" w:eastAsia="宋体" w:cs="宋体"/>
        </w:rPr>
        <w:fldChar w:fldCharType="separate"/>
      </w:r>
      <w:r>
        <w:rPr>
          <w:rFonts w:hint="eastAsia" w:ascii="宋体" w:hAnsi="宋体" w:eastAsia="宋体" w:cs="宋体"/>
        </w:rPr>
        <w:t>60</w:t>
      </w:r>
      <w:r>
        <w:rPr>
          <w:rFonts w:hint="eastAsia" w:ascii="宋体" w:hAnsi="宋体" w:eastAsia="宋体" w:cs="宋体"/>
        </w:rPr>
        <w:fldChar w:fldCharType="end"/>
      </w:r>
      <w:r>
        <w:rPr>
          <w:rFonts w:hint="eastAsia" w:ascii="宋体" w:hAnsi="宋体" w:eastAsia="宋体" w:cs="宋体"/>
          <w:color w:val="000000"/>
        </w:rPr>
        <w:fldChar w:fldCharType="end"/>
      </w:r>
    </w:p>
    <w:p w14:paraId="64197E2A">
      <w:pPr>
        <w:spacing w:line="400" w:lineRule="exact"/>
        <w:rPr>
          <w:rFonts w:hint="eastAsia" w:ascii="宋体" w:hAnsi="宋体" w:eastAsia="宋体" w:cs="宋体"/>
          <w:color w:val="000000"/>
        </w:rPr>
      </w:pPr>
      <w:r>
        <w:rPr>
          <w:rFonts w:hint="eastAsia" w:ascii="宋体" w:hAnsi="宋体" w:eastAsia="宋体" w:cs="宋体"/>
          <w:color w:val="000000"/>
        </w:rPr>
        <w:fldChar w:fldCharType="end"/>
      </w:r>
    </w:p>
    <w:p w14:paraId="7AD3E677">
      <w:pPr>
        <w:pStyle w:val="23"/>
        <w:spacing w:before="0" w:after="0" w:line="360" w:lineRule="auto"/>
        <w:rPr>
          <w:rFonts w:hint="eastAsia" w:ascii="宋体" w:hAnsi="宋体" w:eastAsia="宋体" w:cs="宋体"/>
          <w:color w:val="000000"/>
          <w:szCs w:val="36"/>
          <w:lang w:val="zh-CN"/>
        </w:rPr>
      </w:pPr>
    </w:p>
    <w:p w14:paraId="3439B67B">
      <w:pPr>
        <w:bidi w:val="0"/>
        <w:rPr>
          <w:rFonts w:hint="eastAsia"/>
          <w:lang w:val="zh-CN"/>
        </w:rPr>
      </w:pPr>
    </w:p>
    <w:p w14:paraId="54BB49C5">
      <w:pPr>
        <w:bidi w:val="0"/>
        <w:rPr>
          <w:rFonts w:hint="eastAsia"/>
          <w:lang w:val="zh-CN"/>
        </w:rPr>
      </w:pPr>
    </w:p>
    <w:p w14:paraId="4C08BD83">
      <w:pPr>
        <w:bidi w:val="0"/>
        <w:rPr>
          <w:rFonts w:hint="eastAsia"/>
          <w:lang w:val="zh-CN"/>
        </w:rPr>
      </w:pPr>
    </w:p>
    <w:p w14:paraId="3555CE98">
      <w:pPr>
        <w:bidi w:val="0"/>
        <w:rPr>
          <w:rFonts w:hint="eastAsia"/>
          <w:lang w:val="zh-CN"/>
        </w:rPr>
      </w:pPr>
    </w:p>
    <w:p w14:paraId="3ED5A741">
      <w:pPr>
        <w:bidi w:val="0"/>
        <w:rPr>
          <w:rFonts w:hint="eastAsia"/>
          <w:lang w:val="zh-CN"/>
        </w:rPr>
      </w:pPr>
    </w:p>
    <w:p w14:paraId="71555ED6">
      <w:pPr>
        <w:bidi w:val="0"/>
        <w:rPr>
          <w:rFonts w:hint="eastAsia"/>
          <w:lang w:val="zh-CN"/>
        </w:rPr>
      </w:pPr>
    </w:p>
    <w:p w14:paraId="13B583E2">
      <w:pPr>
        <w:bidi w:val="0"/>
        <w:rPr>
          <w:rFonts w:hint="eastAsia"/>
          <w:lang w:val="zh-CN"/>
        </w:rPr>
      </w:pPr>
    </w:p>
    <w:p w14:paraId="43456861">
      <w:pPr>
        <w:bidi w:val="0"/>
        <w:rPr>
          <w:rFonts w:hint="eastAsia"/>
          <w:lang w:val="zh-CN"/>
        </w:rPr>
      </w:pPr>
    </w:p>
    <w:p w14:paraId="0F6D220D">
      <w:pPr>
        <w:bidi w:val="0"/>
        <w:rPr>
          <w:rFonts w:hint="eastAsia"/>
          <w:lang w:val="zh-CN"/>
        </w:rPr>
      </w:pPr>
    </w:p>
    <w:p w14:paraId="2118ED5E">
      <w:pPr>
        <w:bidi w:val="0"/>
        <w:rPr>
          <w:rFonts w:hint="eastAsia"/>
          <w:lang w:val="zh-CN"/>
        </w:rPr>
      </w:pPr>
    </w:p>
    <w:p w14:paraId="10CEBE63">
      <w:pPr>
        <w:bidi w:val="0"/>
        <w:rPr>
          <w:rFonts w:hint="eastAsia"/>
          <w:lang w:val="zh-CN"/>
        </w:rPr>
      </w:pPr>
    </w:p>
    <w:p w14:paraId="4EFF07C6">
      <w:pPr>
        <w:bidi w:val="0"/>
        <w:rPr>
          <w:rFonts w:hint="eastAsia"/>
          <w:lang w:val="zh-CN"/>
        </w:rPr>
      </w:pPr>
    </w:p>
    <w:p w14:paraId="1E5F5ADB">
      <w:pPr>
        <w:bidi w:val="0"/>
        <w:rPr>
          <w:rFonts w:hint="eastAsia"/>
          <w:lang w:val="zh-CN"/>
        </w:rPr>
      </w:pPr>
    </w:p>
    <w:p w14:paraId="6B4AD361">
      <w:pPr>
        <w:bidi w:val="0"/>
        <w:rPr>
          <w:rFonts w:hint="eastAsia"/>
          <w:lang w:val="zh-CN"/>
        </w:rPr>
      </w:pPr>
    </w:p>
    <w:p w14:paraId="58E3A582">
      <w:pPr>
        <w:bidi w:val="0"/>
        <w:rPr>
          <w:rFonts w:hint="eastAsia"/>
          <w:lang w:val="zh-CN"/>
        </w:rPr>
      </w:pPr>
    </w:p>
    <w:p w14:paraId="0A65847F">
      <w:pPr>
        <w:bidi w:val="0"/>
        <w:rPr>
          <w:rFonts w:hint="eastAsia"/>
          <w:lang w:val="zh-CN"/>
        </w:rPr>
      </w:pPr>
    </w:p>
    <w:p w14:paraId="5DF6B935">
      <w:pPr>
        <w:bidi w:val="0"/>
        <w:rPr>
          <w:rFonts w:hint="eastAsia"/>
          <w:lang w:val="zh-CN"/>
        </w:rPr>
      </w:pPr>
    </w:p>
    <w:p w14:paraId="4418B012">
      <w:pPr>
        <w:bidi w:val="0"/>
        <w:rPr>
          <w:rFonts w:hint="eastAsia"/>
          <w:lang w:val="zh-CN"/>
        </w:rPr>
      </w:pPr>
    </w:p>
    <w:p w14:paraId="3D1B1AF1">
      <w:pPr>
        <w:tabs>
          <w:tab w:val="left" w:pos="1076"/>
        </w:tabs>
        <w:bidi w:val="0"/>
        <w:jc w:val="left"/>
        <w:rPr>
          <w:rFonts w:hint="eastAsia"/>
          <w:lang w:val="zh-CN"/>
        </w:rPr>
        <w:sectPr>
          <w:headerReference r:id="rId3" w:type="default"/>
          <w:footerReference r:id="rId4" w:type="even"/>
          <w:pgSz w:w="11849" w:h="16781"/>
          <w:pgMar w:top="1440" w:right="1406" w:bottom="1440" w:left="1323" w:header="851" w:footer="992" w:gutter="0"/>
          <w:pgNumType w:start="1"/>
          <w:cols w:space="720" w:num="1"/>
          <w:docGrid w:linePitch="397" w:charSpace="0"/>
        </w:sectPr>
      </w:pPr>
      <w:r>
        <w:rPr>
          <w:rFonts w:hint="eastAsia"/>
          <w:lang w:val="zh-CN"/>
        </w:rPr>
        <w:tab/>
      </w:r>
    </w:p>
    <w:p w14:paraId="70BB313C">
      <w:pPr>
        <w:pStyle w:val="23"/>
        <w:spacing w:before="0" w:after="0" w:line="360" w:lineRule="auto"/>
        <w:rPr>
          <w:rFonts w:hint="eastAsia" w:ascii="宋体" w:hAnsi="宋体" w:eastAsia="宋体" w:cs="宋体"/>
          <w:color w:val="000000"/>
          <w:szCs w:val="36"/>
          <w:lang w:val="zh-CN"/>
        </w:rPr>
      </w:pPr>
      <w:bookmarkStart w:id="0" w:name="_Toc28305"/>
      <w:r>
        <w:rPr>
          <w:rFonts w:hint="eastAsia" w:ascii="宋体" w:hAnsi="宋体" w:eastAsia="宋体" w:cs="宋体"/>
          <w:color w:val="000000"/>
          <w:szCs w:val="36"/>
          <w:lang w:val="zh-CN"/>
        </w:rPr>
        <w:t>第一部分  投标邀请</w:t>
      </w:r>
      <w:bookmarkEnd w:id="0"/>
    </w:p>
    <w:p w14:paraId="541D990C">
      <w:pPr>
        <w:autoSpaceDE w:val="0"/>
        <w:autoSpaceDN w:val="0"/>
        <w:adjustRightInd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青海君昱工程项目管理有限公司（以下均简称“采购代理机构”）受</w:t>
      </w:r>
      <w:r>
        <w:rPr>
          <w:rFonts w:hint="eastAsia" w:ascii="宋体" w:hAnsi="宋体" w:eastAsia="宋体" w:cs="宋体"/>
          <w:color w:val="000000"/>
          <w:kern w:val="0"/>
          <w:sz w:val="24"/>
          <w:lang w:val="zh-CN" w:eastAsia="zh-CN"/>
        </w:rPr>
        <w:t>尖扎县发展和改革局</w:t>
      </w:r>
      <w:r>
        <w:rPr>
          <w:rFonts w:hint="eastAsia" w:ascii="宋体" w:hAnsi="宋体" w:eastAsia="宋体" w:cs="宋体"/>
          <w:color w:val="000000"/>
          <w:kern w:val="0"/>
          <w:lang w:val="zh-CN"/>
        </w:rPr>
        <w:t>（以下均简称“采购人”）委托，拟对平安黄南(平安尖扎智慧城市)建设项目(一期)货物采购项目进行国内公开招标，现予以公告，欢迎潜在的投标人参加本次政府采购活动。</w:t>
      </w:r>
    </w:p>
    <w:tbl>
      <w:tblPr>
        <w:tblStyle w:val="25"/>
        <w:tblW w:w="0" w:type="auto"/>
        <w:jc w:val="center"/>
        <w:tblLayout w:type="fixed"/>
        <w:tblCellMar>
          <w:top w:w="0" w:type="dxa"/>
          <w:left w:w="108" w:type="dxa"/>
          <w:bottom w:w="0" w:type="dxa"/>
          <w:right w:w="108" w:type="dxa"/>
        </w:tblCellMar>
      </w:tblPr>
      <w:tblGrid>
        <w:gridCol w:w="2127"/>
        <w:gridCol w:w="7001"/>
      </w:tblGrid>
      <w:tr w14:paraId="2C23C307">
        <w:tblPrEx>
          <w:tblCellMar>
            <w:top w:w="0" w:type="dxa"/>
            <w:left w:w="108" w:type="dxa"/>
            <w:bottom w:w="0" w:type="dxa"/>
            <w:right w:w="108" w:type="dxa"/>
          </w:tblCellMar>
        </w:tblPrEx>
        <w:trPr>
          <w:trHeight w:val="23" w:hRule="atLeast"/>
          <w:jc w:val="center"/>
        </w:trPr>
        <w:tc>
          <w:tcPr>
            <w:tcW w:w="2127" w:type="dxa"/>
            <w:tcBorders>
              <w:top w:val="single" w:color="000000" w:sz="6" w:space="0"/>
              <w:left w:val="single" w:color="000000" w:sz="6" w:space="0"/>
              <w:bottom w:val="single" w:color="000000" w:sz="6" w:space="0"/>
              <w:right w:val="single" w:color="000000" w:sz="6" w:space="0"/>
            </w:tcBorders>
            <w:noWrap w:val="0"/>
            <w:vAlign w:val="center"/>
          </w:tcPr>
          <w:p w14:paraId="2CF35E10">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000000"/>
                <w:kern w:val="0"/>
                <w:lang w:val="zh-CN"/>
              </w:rPr>
            </w:pPr>
            <w:r>
              <w:rPr>
                <w:rFonts w:hint="eastAsia" w:ascii="宋体" w:hAnsi="宋体" w:eastAsia="宋体" w:cs="宋体"/>
                <w:color w:val="000000"/>
                <w:kern w:val="0"/>
                <w:lang w:val="zh-CN"/>
              </w:rPr>
              <w:t>采购项目编号</w:t>
            </w:r>
          </w:p>
        </w:tc>
        <w:tc>
          <w:tcPr>
            <w:tcW w:w="7001" w:type="dxa"/>
            <w:tcBorders>
              <w:top w:val="single" w:color="000000" w:sz="6" w:space="0"/>
              <w:left w:val="single" w:color="000000" w:sz="6" w:space="0"/>
              <w:bottom w:val="single" w:color="000000" w:sz="6" w:space="0"/>
              <w:right w:val="single" w:color="000000" w:sz="6" w:space="0"/>
            </w:tcBorders>
            <w:noWrap w:val="0"/>
            <w:vAlign w:val="center"/>
          </w:tcPr>
          <w:p w14:paraId="7E26C0A4">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000000"/>
                <w:kern w:val="0"/>
                <w:lang w:val="zh-CN"/>
              </w:rPr>
            </w:pPr>
            <w:r>
              <w:rPr>
                <w:rFonts w:hint="eastAsia" w:ascii="宋体" w:hAnsi="宋体" w:eastAsia="宋体" w:cs="宋体"/>
                <w:color w:val="000000"/>
                <w:kern w:val="0"/>
                <w:lang w:val="zh-CN"/>
              </w:rPr>
              <w:t>青海君昱公招（货物）2025-001</w:t>
            </w:r>
          </w:p>
        </w:tc>
      </w:tr>
      <w:tr w14:paraId="2357FE82">
        <w:tblPrEx>
          <w:tblCellMar>
            <w:top w:w="0" w:type="dxa"/>
            <w:left w:w="108" w:type="dxa"/>
            <w:bottom w:w="0" w:type="dxa"/>
            <w:right w:w="108" w:type="dxa"/>
          </w:tblCellMar>
        </w:tblPrEx>
        <w:trPr>
          <w:trHeight w:val="90" w:hRule="atLeast"/>
          <w:jc w:val="center"/>
        </w:trPr>
        <w:tc>
          <w:tcPr>
            <w:tcW w:w="2127" w:type="dxa"/>
            <w:tcBorders>
              <w:top w:val="single" w:color="000000" w:sz="6" w:space="0"/>
              <w:left w:val="single" w:color="000000" w:sz="6" w:space="0"/>
              <w:bottom w:val="single" w:color="000000" w:sz="6" w:space="0"/>
              <w:right w:val="single" w:color="000000" w:sz="6" w:space="0"/>
            </w:tcBorders>
            <w:noWrap w:val="0"/>
            <w:vAlign w:val="center"/>
          </w:tcPr>
          <w:p w14:paraId="1524E5E2">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000000"/>
                <w:kern w:val="0"/>
                <w:lang w:val="zh-CN"/>
              </w:rPr>
            </w:pPr>
            <w:r>
              <w:rPr>
                <w:rFonts w:hint="eastAsia" w:ascii="宋体" w:hAnsi="宋体" w:eastAsia="宋体" w:cs="宋体"/>
                <w:color w:val="000000"/>
                <w:kern w:val="0"/>
                <w:lang w:val="zh-CN"/>
              </w:rPr>
              <w:t>采购项目名称</w:t>
            </w:r>
          </w:p>
        </w:tc>
        <w:tc>
          <w:tcPr>
            <w:tcW w:w="7001" w:type="dxa"/>
            <w:tcBorders>
              <w:top w:val="single" w:color="000000" w:sz="6" w:space="0"/>
              <w:left w:val="single" w:color="000000" w:sz="6" w:space="0"/>
              <w:bottom w:val="single" w:color="000000" w:sz="6" w:space="0"/>
              <w:right w:val="single" w:color="000000" w:sz="6" w:space="0"/>
            </w:tcBorders>
            <w:noWrap w:val="0"/>
            <w:vAlign w:val="center"/>
          </w:tcPr>
          <w:p w14:paraId="61E417F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000000"/>
                <w:kern w:val="0"/>
                <w:lang w:val="zh-CN"/>
              </w:rPr>
            </w:pPr>
            <w:r>
              <w:rPr>
                <w:rFonts w:hint="eastAsia" w:ascii="宋体" w:hAnsi="宋体" w:eastAsia="宋体" w:cs="宋体"/>
                <w:color w:val="000000"/>
                <w:kern w:val="0"/>
                <w:lang w:val="zh-CN"/>
              </w:rPr>
              <w:t>平安黄南(平安尖扎智慧城市)建设项目(一期)货物采购项目</w:t>
            </w:r>
          </w:p>
        </w:tc>
      </w:tr>
      <w:tr w14:paraId="36E206E1">
        <w:tblPrEx>
          <w:tblCellMar>
            <w:top w:w="0" w:type="dxa"/>
            <w:left w:w="108" w:type="dxa"/>
            <w:bottom w:w="0" w:type="dxa"/>
            <w:right w:w="108" w:type="dxa"/>
          </w:tblCellMar>
        </w:tblPrEx>
        <w:trPr>
          <w:trHeight w:val="23" w:hRule="atLeast"/>
          <w:jc w:val="center"/>
        </w:trPr>
        <w:tc>
          <w:tcPr>
            <w:tcW w:w="2127" w:type="dxa"/>
            <w:tcBorders>
              <w:top w:val="single" w:color="000000" w:sz="6" w:space="0"/>
              <w:left w:val="single" w:color="000000" w:sz="6" w:space="0"/>
              <w:bottom w:val="single" w:color="000000" w:sz="6" w:space="0"/>
              <w:right w:val="single" w:color="000000" w:sz="6" w:space="0"/>
            </w:tcBorders>
            <w:noWrap w:val="0"/>
            <w:vAlign w:val="center"/>
          </w:tcPr>
          <w:p w14:paraId="6622F800">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000000"/>
                <w:kern w:val="0"/>
                <w:lang w:val="zh-CN"/>
              </w:rPr>
            </w:pPr>
            <w:r>
              <w:rPr>
                <w:rFonts w:hint="eastAsia" w:ascii="宋体" w:hAnsi="宋体" w:eastAsia="宋体" w:cs="宋体"/>
                <w:color w:val="000000"/>
                <w:kern w:val="0"/>
                <w:lang w:val="zh-CN"/>
              </w:rPr>
              <w:t>采购方式</w:t>
            </w:r>
          </w:p>
        </w:tc>
        <w:tc>
          <w:tcPr>
            <w:tcW w:w="7001" w:type="dxa"/>
            <w:tcBorders>
              <w:top w:val="single" w:color="000000" w:sz="6" w:space="0"/>
              <w:left w:val="single" w:color="000000" w:sz="6" w:space="0"/>
              <w:bottom w:val="single" w:color="000000" w:sz="6" w:space="0"/>
              <w:right w:val="single" w:color="000000" w:sz="6" w:space="0"/>
            </w:tcBorders>
            <w:noWrap w:val="0"/>
            <w:vAlign w:val="center"/>
          </w:tcPr>
          <w:p w14:paraId="51F49BCC">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000000"/>
                <w:kern w:val="0"/>
                <w:lang w:val="zh-CN"/>
              </w:rPr>
            </w:pPr>
            <w:r>
              <w:rPr>
                <w:rFonts w:hint="eastAsia" w:ascii="宋体" w:hAnsi="宋体" w:eastAsia="宋体" w:cs="宋体"/>
                <w:color w:val="000000"/>
                <w:kern w:val="0"/>
                <w:lang w:val="zh-CN"/>
              </w:rPr>
              <w:t>公开招标</w:t>
            </w:r>
          </w:p>
        </w:tc>
      </w:tr>
      <w:tr w14:paraId="2A001985">
        <w:tblPrEx>
          <w:tblCellMar>
            <w:top w:w="0" w:type="dxa"/>
            <w:left w:w="108" w:type="dxa"/>
            <w:bottom w:w="0" w:type="dxa"/>
            <w:right w:w="108" w:type="dxa"/>
          </w:tblCellMar>
        </w:tblPrEx>
        <w:trPr>
          <w:trHeight w:val="23" w:hRule="atLeast"/>
          <w:jc w:val="center"/>
        </w:trPr>
        <w:tc>
          <w:tcPr>
            <w:tcW w:w="2127" w:type="dxa"/>
            <w:tcBorders>
              <w:top w:val="single" w:color="000000" w:sz="6" w:space="0"/>
              <w:left w:val="single" w:color="000000" w:sz="6" w:space="0"/>
              <w:bottom w:val="single" w:color="000000" w:sz="6" w:space="0"/>
              <w:right w:val="single" w:color="000000" w:sz="6" w:space="0"/>
            </w:tcBorders>
            <w:noWrap w:val="0"/>
            <w:vAlign w:val="center"/>
          </w:tcPr>
          <w:p w14:paraId="1D7964F3">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000000"/>
                <w:kern w:val="0"/>
                <w:highlight w:val="none"/>
                <w:lang w:val="zh-CN"/>
              </w:rPr>
            </w:pPr>
            <w:r>
              <w:rPr>
                <w:rFonts w:hint="eastAsia" w:ascii="宋体" w:hAnsi="宋体" w:eastAsia="宋体" w:cs="宋体"/>
                <w:color w:val="000000"/>
                <w:kern w:val="0"/>
                <w:highlight w:val="none"/>
                <w:lang w:val="zh-CN"/>
              </w:rPr>
              <w:t>采购预算额度</w:t>
            </w:r>
          </w:p>
        </w:tc>
        <w:tc>
          <w:tcPr>
            <w:tcW w:w="7001" w:type="dxa"/>
            <w:tcBorders>
              <w:top w:val="single" w:color="000000" w:sz="6" w:space="0"/>
              <w:left w:val="single" w:color="000000" w:sz="6" w:space="0"/>
              <w:bottom w:val="single" w:color="000000" w:sz="6" w:space="0"/>
              <w:right w:val="single" w:color="000000" w:sz="6" w:space="0"/>
            </w:tcBorders>
            <w:noWrap w:val="0"/>
            <w:vAlign w:val="center"/>
          </w:tcPr>
          <w:p w14:paraId="7B956048">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宋体"/>
                <w:color w:val="FF0000"/>
                <w:kern w:val="0"/>
                <w:highlight w:val="none"/>
                <w:lang w:val="en-US"/>
              </w:rPr>
            </w:pPr>
            <w:r>
              <w:rPr>
                <w:rFonts w:hint="eastAsia" w:ascii="宋体" w:hAnsi="宋体" w:cs="宋体"/>
                <w:kern w:val="0"/>
                <w:sz w:val="24"/>
                <w:szCs w:val="24"/>
                <w:highlight w:val="none"/>
                <w:lang w:val="en-US" w:eastAsia="zh-CN"/>
              </w:rPr>
              <w:t>8841400</w:t>
            </w:r>
            <w:r>
              <w:rPr>
                <w:rFonts w:hint="eastAsia" w:ascii="宋体" w:hAnsi="宋体" w:eastAsia="宋体" w:cs="宋体"/>
                <w:kern w:val="0"/>
                <w:sz w:val="24"/>
                <w:szCs w:val="24"/>
                <w:highlight w:val="none"/>
                <w:lang w:val="en-US" w:eastAsia="zh-CN"/>
              </w:rPr>
              <w:t>.00</w:t>
            </w:r>
            <w:r>
              <w:rPr>
                <w:rFonts w:hint="eastAsia" w:ascii="宋体" w:hAnsi="宋体" w:cs="宋体"/>
                <w:kern w:val="0"/>
                <w:sz w:val="24"/>
                <w:szCs w:val="24"/>
                <w:highlight w:val="none"/>
                <w:lang w:val="en-US" w:eastAsia="zh-CN"/>
              </w:rPr>
              <w:t>元</w:t>
            </w:r>
          </w:p>
        </w:tc>
      </w:tr>
      <w:tr w14:paraId="7BF38E42">
        <w:tblPrEx>
          <w:tblCellMar>
            <w:top w:w="0" w:type="dxa"/>
            <w:left w:w="108" w:type="dxa"/>
            <w:bottom w:w="0" w:type="dxa"/>
            <w:right w:w="108" w:type="dxa"/>
          </w:tblCellMar>
        </w:tblPrEx>
        <w:trPr>
          <w:trHeight w:val="23" w:hRule="atLeast"/>
          <w:jc w:val="center"/>
        </w:trPr>
        <w:tc>
          <w:tcPr>
            <w:tcW w:w="2127" w:type="dxa"/>
            <w:tcBorders>
              <w:top w:val="single" w:color="000000" w:sz="6" w:space="0"/>
              <w:left w:val="single" w:color="000000" w:sz="6" w:space="0"/>
              <w:bottom w:val="single" w:color="000000" w:sz="6" w:space="0"/>
              <w:right w:val="single" w:color="000000" w:sz="6" w:space="0"/>
            </w:tcBorders>
            <w:noWrap w:val="0"/>
            <w:vAlign w:val="center"/>
          </w:tcPr>
          <w:p w14:paraId="4AC5C75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分包名称</w:t>
            </w:r>
          </w:p>
        </w:tc>
        <w:tc>
          <w:tcPr>
            <w:tcW w:w="7001" w:type="dxa"/>
            <w:tcBorders>
              <w:top w:val="single" w:color="000000" w:sz="6" w:space="0"/>
              <w:left w:val="single" w:color="000000" w:sz="6" w:space="0"/>
              <w:bottom w:val="single" w:color="000000" w:sz="6" w:space="0"/>
              <w:right w:val="single" w:color="000000" w:sz="6" w:space="0"/>
            </w:tcBorders>
            <w:noWrap w:val="0"/>
            <w:vAlign w:val="center"/>
          </w:tcPr>
          <w:p w14:paraId="18D1FD7C">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包一：平安黄南(平安尖扎智慧城市)建设项目(一期)</w:t>
            </w:r>
            <w:r>
              <w:rPr>
                <w:rFonts w:hint="eastAsia" w:ascii="宋体" w:hAnsi="宋体" w:cs="宋体"/>
                <w:color w:val="000000"/>
                <w:sz w:val="24"/>
                <w:szCs w:val="24"/>
                <w:highlight w:val="none"/>
                <w:lang w:val="en-US" w:eastAsia="zh-CN"/>
              </w:rPr>
              <w:t>包一</w:t>
            </w:r>
            <w:r>
              <w:rPr>
                <w:rFonts w:hint="eastAsia" w:ascii="宋体" w:hAnsi="宋体" w:eastAsia="宋体" w:cs="宋体"/>
                <w:color w:val="000000"/>
                <w:sz w:val="24"/>
                <w:szCs w:val="24"/>
                <w:highlight w:val="none"/>
                <w:lang w:val="zh-CN"/>
              </w:rPr>
              <w:t>；</w:t>
            </w:r>
          </w:p>
          <w:p w14:paraId="53D35AAA">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FF0000"/>
                <w:kern w:val="0"/>
                <w:sz w:val="24"/>
                <w:szCs w:val="24"/>
                <w:highlight w:val="none"/>
                <w:lang w:val="en-US" w:eastAsia="zh-CN"/>
              </w:rPr>
            </w:pPr>
            <w:r>
              <w:rPr>
                <w:rFonts w:hint="eastAsia" w:ascii="宋体" w:hAnsi="宋体" w:eastAsia="宋体" w:cs="宋体"/>
                <w:color w:val="000000"/>
                <w:sz w:val="24"/>
                <w:szCs w:val="24"/>
                <w:highlight w:val="none"/>
                <w:lang w:val="zh-CN"/>
              </w:rPr>
              <w:t>包二：平安黄南(平安尖扎智慧城市)建设项目(一期)</w:t>
            </w:r>
            <w:r>
              <w:rPr>
                <w:rFonts w:hint="eastAsia" w:ascii="宋体" w:hAnsi="宋体" w:cs="宋体"/>
                <w:color w:val="000000"/>
                <w:sz w:val="24"/>
                <w:szCs w:val="24"/>
                <w:highlight w:val="none"/>
                <w:lang w:val="en-US" w:eastAsia="zh-CN"/>
              </w:rPr>
              <w:t>包二；</w:t>
            </w:r>
          </w:p>
        </w:tc>
      </w:tr>
      <w:tr w14:paraId="2754A2D4">
        <w:tblPrEx>
          <w:tblCellMar>
            <w:top w:w="0" w:type="dxa"/>
            <w:left w:w="108" w:type="dxa"/>
            <w:bottom w:w="0" w:type="dxa"/>
            <w:right w:w="108" w:type="dxa"/>
          </w:tblCellMar>
        </w:tblPrEx>
        <w:trPr>
          <w:trHeight w:val="791" w:hRule="atLeast"/>
          <w:jc w:val="center"/>
        </w:trPr>
        <w:tc>
          <w:tcPr>
            <w:tcW w:w="2127" w:type="dxa"/>
            <w:tcBorders>
              <w:top w:val="single" w:color="000000" w:sz="6" w:space="0"/>
              <w:left w:val="single" w:color="000000" w:sz="6" w:space="0"/>
              <w:bottom w:val="single" w:color="000000" w:sz="6" w:space="0"/>
              <w:right w:val="single" w:color="000000" w:sz="6" w:space="0"/>
            </w:tcBorders>
            <w:noWrap w:val="0"/>
            <w:vAlign w:val="center"/>
          </w:tcPr>
          <w:p w14:paraId="52593B11">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预算金额（元）</w:t>
            </w:r>
          </w:p>
        </w:tc>
        <w:tc>
          <w:tcPr>
            <w:tcW w:w="7001" w:type="dxa"/>
            <w:tcBorders>
              <w:top w:val="single" w:color="000000" w:sz="6" w:space="0"/>
              <w:left w:val="single" w:color="000000" w:sz="6" w:space="0"/>
              <w:bottom w:val="single" w:color="000000" w:sz="6" w:space="0"/>
              <w:right w:val="single" w:color="000000" w:sz="6" w:space="0"/>
            </w:tcBorders>
            <w:noWrap w:val="0"/>
            <w:vAlign w:val="center"/>
          </w:tcPr>
          <w:p w14:paraId="4F84BE41">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包一：3655951.07；包二：5185448.93</w:t>
            </w:r>
          </w:p>
        </w:tc>
      </w:tr>
      <w:tr w14:paraId="7480C28A">
        <w:tblPrEx>
          <w:tblCellMar>
            <w:top w:w="0" w:type="dxa"/>
            <w:left w:w="108" w:type="dxa"/>
            <w:bottom w:w="0" w:type="dxa"/>
            <w:right w:w="108" w:type="dxa"/>
          </w:tblCellMar>
        </w:tblPrEx>
        <w:trPr>
          <w:trHeight w:val="572" w:hRule="atLeast"/>
          <w:jc w:val="center"/>
        </w:trPr>
        <w:tc>
          <w:tcPr>
            <w:tcW w:w="2127" w:type="dxa"/>
            <w:tcBorders>
              <w:top w:val="single" w:color="000000" w:sz="6" w:space="0"/>
              <w:left w:val="single" w:color="000000" w:sz="6" w:space="0"/>
              <w:bottom w:val="single" w:color="000000" w:sz="6" w:space="0"/>
              <w:right w:val="single" w:color="000000" w:sz="6" w:space="0"/>
            </w:tcBorders>
            <w:noWrap w:val="0"/>
            <w:vAlign w:val="center"/>
          </w:tcPr>
          <w:p w14:paraId="274E40AC">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000000"/>
                <w:kern w:val="0"/>
                <w:lang w:val="en-US" w:eastAsia="zh-CN"/>
              </w:rPr>
            </w:pPr>
            <w:r>
              <w:rPr>
                <w:rFonts w:hint="eastAsia" w:ascii="宋体" w:hAnsi="宋体" w:eastAsia="宋体" w:cs="宋体"/>
                <w:color w:val="000000"/>
                <w:kern w:val="0"/>
                <w:sz w:val="24"/>
                <w:szCs w:val="24"/>
                <w:lang w:val="zh-CN"/>
              </w:rPr>
              <w:t>合同履约期限</w:t>
            </w:r>
          </w:p>
        </w:tc>
        <w:tc>
          <w:tcPr>
            <w:tcW w:w="7001" w:type="dxa"/>
            <w:tcBorders>
              <w:top w:val="single" w:color="000000" w:sz="6" w:space="0"/>
              <w:left w:val="single" w:color="000000" w:sz="6" w:space="0"/>
              <w:bottom w:val="single" w:color="000000" w:sz="6" w:space="0"/>
              <w:right w:val="single" w:color="000000" w:sz="6" w:space="0"/>
            </w:tcBorders>
            <w:noWrap w:val="0"/>
            <w:vAlign w:val="center"/>
          </w:tcPr>
          <w:p w14:paraId="777078D3">
            <w:pPr>
              <w:keepNext w:val="0"/>
              <w:keepLines w:val="0"/>
              <w:widowControl/>
              <w:suppressLineNumbers w:val="0"/>
              <w:adjustRightInd w:val="0"/>
              <w:snapToGrid w:val="0"/>
              <w:spacing w:before="0" w:beforeAutospacing="0" w:after="0" w:afterAutospacing="0" w:line="360" w:lineRule="auto"/>
              <w:ind w:left="0" w:right="0"/>
              <w:jc w:val="left"/>
              <w:textAlignment w:val="baseline"/>
              <w:rPr>
                <w:rFonts w:hint="eastAsia" w:ascii="宋体" w:hAnsi="宋体" w:eastAsia="宋体" w:cs="宋体"/>
                <w:color w:val="000000"/>
                <w:sz w:val="24"/>
                <w:szCs w:val="24"/>
                <w:highlight w:val="yellow"/>
                <w:lang w:val="en-US" w:eastAsia="zh-CN"/>
              </w:rPr>
            </w:pPr>
            <w:r>
              <w:rPr>
                <w:rFonts w:hint="eastAsia" w:ascii="宋体" w:hAnsi="宋体" w:eastAsia="宋体" w:cs="宋体"/>
                <w:color w:val="000000"/>
                <w:kern w:val="0"/>
                <w:sz w:val="24"/>
                <w:szCs w:val="24"/>
                <w:highlight w:val="none"/>
                <w:lang w:val="en-US" w:eastAsia="zh-CN"/>
              </w:rPr>
              <w:t>包一、包二：</w:t>
            </w:r>
            <w:r>
              <w:rPr>
                <w:rFonts w:hint="eastAsia" w:ascii="宋体" w:hAnsi="宋体" w:eastAsia="宋体" w:cs="宋体"/>
                <w:color w:val="auto"/>
                <w:kern w:val="0"/>
                <w:sz w:val="24"/>
                <w:szCs w:val="24"/>
                <w:highlight w:val="none"/>
                <w:lang w:val="en-US" w:eastAsia="zh-CN"/>
              </w:rPr>
              <w:t>合同签订后3个月内完成交货，5个月内完成建设</w:t>
            </w:r>
            <w:r>
              <w:rPr>
                <w:rFonts w:hint="eastAsia" w:ascii="宋体" w:hAnsi="宋体" w:eastAsia="宋体" w:cs="宋体"/>
                <w:color w:val="auto"/>
                <w:kern w:val="0"/>
                <w:sz w:val="24"/>
                <w:szCs w:val="24"/>
                <w:highlight w:val="none"/>
                <w:lang w:val="zh-CN"/>
              </w:rPr>
              <w:t>；</w:t>
            </w:r>
          </w:p>
        </w:tc>
      </w:tr>
      <w:tr w14:paraId="1254FAB1">
        <w:tblPrEx>
          <w:tblCellMar>
            <w:top w:w="0" w:type="dxa"/>
            <w:left w:w="108" w:type="dxa"/>
            <w:bottom w:w="0" w:type="dxa"/>
            <w:right w:w="108" w:type="dxa"/>
          </w:tblCellMar>
        </w:tblPrEx>
        <w:trPr>
          <w:trHeight w:val="23" w:hRule="atLeast"/>
          <w:jc w:val="center"/>
        </w:trPr>
        <w:tc>
          <w:tcPr>
            <w:tcW w:w="2127" w:type="dxa"/>
            <w:tcBorders>
              <w:top w:val="single" w:color="000000" w:sz="6" w:space="0"/>
              <w:left w:val="single" w:color="000000" w:sz="6" w:space="0"/>
              <w:bottom w:val="single" w:color="000000" w:sz="6" w:space="0"/>
              <w:right w:val="single" w:color="000000" w:sz="6" w:space="0"/>
            </w:tcBorders>
            <w:noWrap w:val="0"/>
            <w:vAlign w:val="center"/>
          </w:tcPr>
          <w:p w14:paraId="63F48AFD">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000000"/>
                <w:kern w:val="0"/>
                <w:lang w:val="zh-CN"/>
              </w:rPr>
            </w:pPr>
            <w:r>
              <w:rPr>
                <w:rFonts w:hint="eastAsia" w:ascii="宋体" w:hAnsi="宋体" w:eastAsia="宋体" w:cs="宋体"/>
                <w:color w:val="000000"/>
                <w:kern w:val="0"/>
                <w:lang w:val="zh-CN"/>
              </w:rPr>
              <w:t>项目分包个数</w:t>
            </w:r>
          </w:p>
        </w:tc>
        <w:tc>
          <w:tcPr>
            <w:tcW w:w="7001" w:type="dxa"/>
            <w:tcBorders>
              <w:top w:val="single" w:color="000000" w:sz="6" w:space="0"/>
              <w:left w:val="single" w:color="000000" w:sz="6" w:space="0"/>
              <w:bottom w:val="single" w:color="000000" w:sz="6" w:space="0"/>
              <w:right w:val="single" w:color="000000" w:sz="6" w:space="0"/>
            </w:tcBorders>
            <w:noWrap w:val="0"/>
            <w:vAlign w:val="center"/>
          </w:tcPr>
          <w:p w14:paraId="26372FB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000000"/>
                <w:kern w:val="0"/>
                <w:u w:val="dashDotHeavy"/>
              </w:rPr>
            </w:pPr>
            <w:r>
              <w:rPr>
                <w:rFonts w:hint="eastAsia" w:ascii="宋体" w:hAnsi="宋体" w:eastAsia="宋体" w:cs="宋体"/>
                <w:color w:val="000000"/>
                <w:kern w:val="0"/>
                <w:lang w:val="en-US" w:eastAsia="zh-CN"/>
              </w:rPr>
              <w:t>两个包</w:t>
            </w:r>
          </w:p>
        </w:tc>
      </w:tr>
      <w:tr w14:paraId="03E56DD3">
        <w:tblPrEx>
          <w:tblCellMar>
            <w:top w:w="0" w:type="dxa"/>
            <w:left w:w="108" w:type="dxa"/>
            <w:bottom w:w="0" w:type="dxa"/>
            <w:right w:w="108" w:type="dxa"/>
          </w:tblCellMar>
        </w:tblPrEx>
        <w:trPr>
          <w:trHeight w:val="90" w:hRule="atLeast"/>
          <w:jc w:val="center"/>
        </w:trPr>
        <w:tc>
          <w:tcPr>
            <w:tcW w:w="2127" w:type="dxa"/>
            <w:tcBorders>
              <w:top w:val="single" w:color="000000" w:sz="6" w:space="0"/>
              <w:left w:val="single" w:color="000000" w:sz="6" w:space="0"/>
              <w:bottom w:val="single" w:color="000000" w:sz="6" w:space="0"/>
              <w:right w:val="single" w:color="000000" w:sz="6" w:space="0"/>
            </w:tcBorders>
            <w:noWrap w:val="0"/>
            <w:vAlign w:val="center"/>
          </w:tcPr>
          <w:p w14:paraId="352EED00">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000000"/>
                <w:kern w:val="0"/>
                <w:lang w:val="zh-CN"/>
              </w:rPr>
            </w:pPr>
            <w:r>
              <w:rPr>
                <w:rFonts w:hint="eastAsia" w:ascii="宋体" w:hAnsi="宋体" w:eastAsia="宋体" w:cs="宋体"/>
                <w:color w:val="000000"/>
                <w:kern w:val="0"/>
                <w:lang w:val="zh-CN"/>
              </w:rPr>
              <w:t>各包要求</w:t>
            </w:r>
          </w:p>
        </w:tc>
        <w:tc>
          <w:tcPr>
            <w:tcW w:w="7001" w:type="dxa"/>
            <w:tcBorders>
              <w:top w:val="single" w:color="000000" w:sz="6" w:space="0"/>
              <w:left w:val="single" w:color="000000" w:sz="6" w:space="0"/>
              <w:bottom w:val="single" w:color="000000" w:sz="6" w:space="0"/>
              <w:right w:val="single" w:color="000000" w:sz="6" w:space="0"/>
            </w:tcBorders>
            <w:noWrap w:val="0"/>
            <w:vAlign w:val="center"/>
          </w:tcPr>
          <w:p w14:paraId="3B3FC222">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000000"/>
                <w:kern w:val="0"/>
                <w:u w:val="dashDotHeavy"/>
                <w:lang w:val="zh-CN"/>
              </w:rPr>
            </w:pPr>
            <w:r>
              <w:rPr>
                <w:rFonts w:hint="eastAsia" w:ascii="宋体" w:hAnsi="宋体" w:eastAsia="宋体" w:cs="宋体"/>
                <w:color w:val="000000"/>
                <w:kern w:val="0"/>
                <w:lang w:val="zh-CN"/>
              </w:rPr>
              <w:t>具体内容详见《招标文件》</w:t>
            </w:r>
          </w:p>
        </w:tc>
      </w:tr>
      <w:tr w14:paraId="7DDEFA27">
        <w:tblPrEx>
          <w:tblCellMar>
            <w:top w:w="0" w:type="dxa"/>
            <w:left w:w="108" w:type="dxa"/>
            <w:bottom w:w="0" w:type="dxa"/>
            <w:right w:w="108" w:type="dxa"/>
          </w:tblCellMar>
        </w:tblPrEx>
        <w:trPr>
          <w:trHeight w:val="23" w:hRule="atLeast"/>
          <w:jc w:val="center"/>
        </w:trPr>
        <w:tc>
          <w:tcPr>
            <w:tcW w:w="2127" w:type="dxa"/>
            <w:tcBorders>
              <w:top w:val="single" w:color="000000" w:sz="6" w:space="0"/>
              <w:left w:val="single" w:color="000000" w:sz="6" w:space="0"/>
              <w:bottom w:val="single" w:color="000000" w:sz="6" w:space="0"/>
              <w:right w:val="single" w:color="000000" w:sz="6" w:space="0"/>
            </w:tcBorders>
            <w:noWrap w:val="0"/>
            <w:vAlign w:val="center"/>
          </w:tcPr>
          <w:p w14:paraId="0FE54336">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000000"/>
                <w:kern w:val="0"/>
                <w:lang w:val="zh-CN"/>
              </w:rPr>
            </w:pPr>
            <w:r>
              <w:rPr>
                <w:rFonts w:hint="eastAsia" w:ascii="宋体" w:hAnsi="宋体" w:eastAsia="宋体" w:cs="宋体"/>
                <w:color w:val="000000"/>
                <w:kern w:val="0"/>
                <w:lang w:val="zh-CN"/>
              </w:rPr>
              <w:t>各包投标人资格要求</w:t>
            </w:r>
          </w:p>
        </w:tc>
        <w:tc>
          <w:tcPr>
            <w:tcW w:w="7001" w:type="dxa"/>
            <w:tcBorders>
              <w:top w:val="single" w:color="000000" w:sz="6" w:space="0"/>
              <w:left w:val="single" w:color="000000" w:sz="6" w:space="0"/>
              <w:bottom w:val="single" w:color="000000" w:sz="6" w:space="0"/>
              <w:right w:val="single" w:color="000000" w:sz="6" w:space="0"/>
            </w:tcBorders>
            <w:noWrap w:val="0"/>
            <w:vAlign w:val="center"/>
          </w:tcPr>
          <w:p w14:paraId="7B01CC24">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lang w:val="zh-CN"/>
              </w:rPr>
            </w:pPr>
            <w:r>
              <w:rPr>
                <w:rFonts w:hint="eastAsia" w:ascii="宋体" w:hAnsi="宋体" w:eastAsia="宋体" w:cs="宋体"/>
                <w:lang w:val="zh-CN"/>
              </w:rPr>
              <w:t>1、符合《政府采购法》第22条条件，并提供下列材料：</w:t>
            </w:r>
          </w:p>
          <w:p w14:paraId="7A10208C">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lang w:val="zh-CN"/>
              </w:rPr>
            </w:pPr>
            <w:r>
              <w:rPr>
                <w:rFonts w:hint="eastAsia" w:ascii="宋体" w:hAnsi="宋体" w:eastAsia="宋体" w:cs="宋体"/>
              </w:rPr>
              <w:t>1.1</w:t>
            </w:r>
            <w:r>
              <w:rPr>
                <w:rFonts w:hint="eastAsia" w:ascii="宋体" w:hAnsi="宋体" w:eastAsia="宋体" w:cs="宋体"/>
                <w:kern w:val="0"/>
                <w:lang w:val="zh-CN"/>
              </w:rPr>
              <w:t>投标人的营业执</w:t>
            </w:r>
            <w:r>
              <w:rPr>
                <w:rFonts w:hint="eastAsia" w:ascii="宋体" w:hAnsi="宋体" w:eastAsia="宋体" w:cs="宋体"/>
                <w:lang w:val="zh-CN"/>
              </w:rPr>
              <w:t>照或事业法人证书等证</w:t>
            </w:r>
            <w:r>
              <w:rPr>
                <w:rFonts w:hint="eastAsia" w:ascii="宋体" w:hAnsi="宋体" w:eastAsia="宋体" w:cs="宋体"/>
                <w:kern w:val="0"/>
                <w:lang w:val="zh-CN"/>
              </w:rPr>
              <w:t>明文件</w:t>
            </w:r>
            <w:r>
              <w:rPr>
                <w:rFonts w:hint="eastAsia" w:ascii="宋体" w:hAnsi="宋体" w:eastAsia="宋体" w:cs="宋体"/>
                <w:lang w:val="zh-CN"/>
              </w:rPr>
              <w:t>，自然人的身份证明。</w:t>
            </w:r>
          </w:p>
          <w:p w14:paraId="2E14AC6D">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lang w:val="zh-CN"/>
              </w:rPr>
            </w:pPr>
            <w:r>
              <w:rPr>
                <w:rFonts w:hint="eastAsia" w:ascii="宋体" w:hAnsi="宋体" w:eastAsia="宋体" w:cs="宋体"/>
              </w:rPr>
              <w:t>1.2</w:t>
            </w:r>
            <w:r>
              <w:rPr>
                <w:rFonts w:hint="eastAsia" w:ascii="宋体" w:hAnsi="宋体" w:eastAsia="宋体" w:cs="宋体"/>
                <w:lang w:val="zh-CN"/>
              </w:rPr>
              <w:t>财务状况报告，依法缴纳税收和社会保障资金的相关材料。</w:t>
            </w:r>
          </w:p>
          <w:p w14:paraId="3DCD8A17">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lang w:val="zh-CN"/>
              </w:rPr>
            </w:pPr>
            <w:r>
              <w:rPr>
                <w:rFonts w:hint="eastAsia" w:ascii="宋体" w:hAnsi="宋体" w:eastAsia="宋体" w:cs="宋体"/>
              </w:rPr>
              <w:t>1.3</w:t>
            </w:r>
            <w:r>
              <w:rPr>
                <w:rFonts w:hint="eastAsia" w:ascii="宋体" w:hAnsi="宋体" w:eastAsia="宋体" w:cs="宋体"/>
                <w:lang w:val="zh-CN"/>
              </w:rPr>
              <w:t>具备履行合同所必需的设备和专业技术能力的证明材料。</w:t>
            </w:r>
          </w:p>
          <w:p w14:paraId="31DDECC2">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lang w:val="zh-CN"/>
              </w:rPr>
            </w:pPr>
            <w:r>
              <w:rPr>
                <w:rFonts w:hint="eastAsia" w:ascii="宋体" w:hAnsi="宋体" w:eastAsia="宋体" w:cs="宋体"/>
              </w:rPr>
              <w:t>1.4</w:t>
            </w:r>
            <w:r>
              <w:rPr>
                <w:rFonts w:hint="eastAsia" w:ascii="宋体" w:hAnsi="宋体" w:eastAsia="宋体" w:cs="宋体"/>
                <w:lang w:val="zh-CN"/>
              </w:rPr>
              <w:t>参加政府采购活动前3年内在经营活动中没有重大违法记录的书面声明。</w:t>
            </w:r>
          </w:p>
          <w:p w14:paraId="1F16AC2A">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lang w:val="zh-CN"/>
              </w:rPr>
            </w:pPr>
            <w:r>
              <w:rPr>
                <w:rFonts w:hint="eastAsia" w:ascii="宋体" w:hAnsi="宋体" w:eastAsia="宋体" w:cs="宋体"/>
              </w:rPr>
              <w:t>1.5</w:t>
            </w:r>
            <w:r>
              <w:rPr>
                <w:rFonts w:hint="eastAsia" w:ascii="宋体" w:hAnsi="宋体" w:eastAsia="宋体" w:cs="宋体"/>
                <w:lang w:val="zh-CN"/>
              </w:rPr>
              <w:t>具备法律、行政法规规定的其他条件的证明材料。</w:t>
            </w:r>
          </w:p>
          <w:p w14:paraId="08CA6801">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lang w:val="zh-CN"/>
              </w:rPr>
            </w:pPr>
            <w:r>
              <w:rPr>
                <w:rFonts w:hint="eastAsia" w:ascii="宋体" w:hAnsi="宋体" w:eastAsia="宋体" w:cs="宋体"/>
                <w:lang w:val="zh-CN"/>
              </w:rPr>
              <w:t>2.经信用中国（www.creditchina.gov.cn）、中国政府采购网（www.ccgp.gov.cn）等渠道查询后，列入失信被执行人、重大税收违法失信主体、政府采购严重违法失信行为记录名单的取消投标资格。</w:t>
            </w:r>
          </w:p>
          <w:p w14:paraId="3463C60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lang w:val="zh-CN"/>
              </w:rPr>
            </w:pPr>
            <w:r>
              <w:rPr>
                <w:rFonts w:hint="eastAsia" w:ascii="宋体" w:hAnsi="宋体" w:eastAsia="宋体" w:cs="宋体"/>
                <w:lang w:val="zh-CN"/>
              </w:rPr>
              <w:t>3.单位负责人为同一人或者存在直接控股、管理关系的不同投标人，不得参加同一合同项下的政府采购活动。否则，取消投标资格。</w:t>
            </w:r>
          </w:p>
          <w:p w14:paraId="69C6B572">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rPr>
            </w:pPr>
            <w:r>
              <w:rPr>
                <w:rFonts w:hint="eastAsia" w:ascii="宋体" w:hAnsi="宋体" w:eastAsia="宋体" w:cs="宋体"/>
                <w:lang w:val="zh-CN"/>
              </w:rPr>
              <w:t>4.为本采购项目提供整体设计、规范编制或者项目管理、监理、检测等服务的投标人，不得再参加该采购项目的其他采购活动。</w:t>
            </w:r>
          </w:p>
          <w:p w14:paraId="778106F8">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rPr>
            </w:pPr>
            <w:r>
              <w:rPr>
                <w:rFonts w:hint="eastAsia" w:ascii="宋体" w:hAnsi="宋体" w:eastAsia="宋体" w:cs="宋体"/>
              </w:rPr>
              <w:t>5、本项目不接受供应商以联合体方式进行投标。</w:t>
            </w:r>
          </w:p>
          <w:p w14:paraId="65014BC0">
            <w:pPr>
              <w:keepNext w:val="0"/>
              <w:keepLines w:val="0"/>
              <w:widowControl/>
              <w:suppressLineNumbers w:val="0"/>
              <w:adjustRightInd w:val="0"/>
              <w:snapToGrid w:val="0"/>
              <w:spacing w:before="0" w:beforeAutospacing="0" w:after="0" w:afterAutospacing="0" w:line="360" w:lineRule="auto"/>
              <w:ind w:left="0" w:right="0"/>
              <w:jc w:val="left"/>
              <w:textAlignment w:val="baseline"/>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6、特定资格条件：/</w:t>
            </w:r>
          </w:p>
          <w:p w14:paraId="3FFFD8EB">
            <w:pPr>
              <w:keepNext w:val="0"/>
              <w:keepLines w:val="0"/>
              <w:widowControl/>
              <w:suppressLineNumbers w:val="0"/>
              <w:adjustRightInd w:val="0"/>
              <w:snapToGrid w:val="0"/>
              <w:spacing w:before="0" w:beforeAutospacing="0" w:after="0" w:afterAutospacing="0" w:line="360" w:lineRule="auto"/>
              <w:ind w:left="0" w:right="0"/>
              <w:jc w:val="left"/>
              <w:textAlignment w:val="baseline"/>
              <w:rPr>
                <w:rFonts w:hint="default" w:ascii="宋体" w:hAnsi="宋体" w:eastAsia="宋体" w:cs="宋体"/>
                <w:lang w:val="en-US" w:eastAsia="zh-CN"/>
              </w:rPr>
            </w:pPr>
            <w:r>
              <w:rPr>
                <w:rFonts w:hint="eastAsia" w:ascii="宋体" w:hAnsi="宋体" w:eastAsia="宋体" w:cs="宋体"/>
                <w:lang w:val="en-US" w:eastAsia="zh-CN"/>
              </w:rPr>
              <w:t>7、</w:t>
            </w:r>
            <w:r>
              <w:rPr>
                <w:rFonts w:hint="eastAsia" w:ascii="宋体" w:hAnsi="宋体" w:eastAsia="宋体" w:cs="宋体"/>
                <w:kern w:val="0"/>
                <w:sz w:val="24"/>
                <w:szCs w:val="24"/>
                <w:lang w:val="zh-CN"/>
              </w:rPr>
              <w:t>落实政府采购政策需满足的资格要求：</w:t>
            </w:r>
            <w:r>
              <w:rPr>
                <w:rFonts w:hint="eastAsia" w:ascii="宋体" w:hAnsi="宋体" w:eastAsia="宋体" w:cs="宋体"/>
                <w:kern w:val="0"/>
                <w:sz w:val="24"/>
                <w:szCs w:val="24"/>
                <w:lang w:val="en-US" w:eastAsia="zh-CN"/>
              </w:rPr>
              <w:t>/</w:t>
            </w:r>
          </w:p>
        </w:tc>
      </w:tr>
      <w:tr w14:paraId="70B3715D">
        <w:tblPrEx>
          <w:tblCellMar>
            <w:top w:w="0" w:type="dxa"/>
            <w:left w:w="108" w:type="dxa"/>
            <w:bottom w:w="0" w:type="dxa"/>
            <w:right w:w="108" w:type="dxa"/>
          </w:tblCellMar>
        </w:tblPrEx>
        <w:trPr>
          <w:trHeight w:val="23" w:hRule="atLeast"/>
          <w:jc w:val="center"/>
        </w:trPr>
        <w:tc>
          <w:tcPr>
            <w:tcW w:w="2127" w:type="dxa"/>
            <w:tcBorders>
              <w:top w:val="single" w:color="000000" w:sz="6" w:space="0"/>
              <w:left w:val="single" w:color="000000" w:sz="6" w:space="0"/>
              <w:bottom w:val="single" w:color="000000" w:sz="6" w:space="0"/>
              <w:right w:val="single" w:color="000000" w:sz="6" w:space="0"/>
            </w:tcBorders>
            <w:noWrap w:val="0"/>
            <w:vAlign w:val="center"/>
          </w:tcPr>
          <w:p w14:paraId="70BFB964">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000000"/>
                <w:kern w:val="0"/>
                <w:lang w:val="zh-CN"/>
              </w:rPr>
            </w:pPr>
            <w:r>
              <w:rPr>
                <w:rFonts w:hint="eastAsia" w:ascii="宋体" w:hAnsi="宋体" w:eastAsia="宋体" w:cs="宋体"/>
                <w:color w:val="000000"/>
                <w:kern w:val="0"/>
                <w:lang w:val="zh-CN"/>
              </w:rPr>
              <w:t>公告发布时间</w:t>
            </w:r>
          </w:p>
        </w:tc>
        <w:tc>
          <w:tcPr>
            <w:tcW w:w="7001" w:type="dxa"/>
            <w:tcBorders>
              <w:top w:val="single" w:color="000000" w:sz="6" w:space="0"/>
              <w:left w:val="single" w:color="000000" w:sz="6" w:space="0"/>
              <w:bottom w:val="single" w:color="000000" w:sz="6" w:space="0"/>
              <w:right w:val="single" w:color="000000" w:sz="6" w:space="0"/>
            </w:tcBorders>
            <w:noWrap w:val="0"/>
            <w:vAlign w:val="center"/>
          </w:tcPr>
          <w:p w14:paraId="08F60357">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kern w:val="0"/>
                <w:u w:val="dashDotHeavy"/>
                <w:lang w:val="zh-CN"/>
              </w:rPr>
            </w:pPr>
            <w:r>
              <w:rPr>
                <w:rFonts w:hint="eastAsia" w:ascii="宋体" w:hAnsi="宋体" w:eastAsia="宋体" w:cs="宋体"/>
                <w:kern w:val="0"/>
                <w:sz w:val="24"/>
                <w:szCs w:val="24"/>
                <w:lang w:val="zh-CN"/>
              </w:rPr>
              <w:t>2025年</w:t>
            </w:r>
            <w:r>
              <w:rPr>
                <w:rFonts w:hint="eastAsia" w:ascii="宋体" w:hAnsi="宋体" w:eastAsia="宋体" w:cs="宋体"/>
                <w:kern w:val="0"/>
                <w:sz w:val="24"/>
                <w:szCs w:val="24"/>
                <w:lang w:val="en-US" w:eastAsia="zh-CN"/>
              </w:rPr>
              <w:t>01</w:t>
            </w:r>
            <w:r>
              <w:rPr>
                <w:rFonts w:hint="eastAsia" w:ascii="宋体" w:hAnsi="宋体" w:eastAsia="宋体" w:cs="宋体"/>
                <w:kern w:val="0"/>
                <w:sz w:val="24"/>
                <w:szCs w:val="24"/>
                <w:lang w:val="zh-CN"/>
              </w:rPr>
              <w:t>月</w:t>
            </w: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lang w:val="zh-CN"/>
              </w:rPr>
              <w:t>日</w:t>
            </w:r>
          </w:p>
        </w:tc>
      </w:tr>
      <w:tr w14:paraId="58608C94">
        <w:tblPrEx>
          <w:tblCellMar>
            <w:top w:w="0" w:type="dxa"/>
            <w:left w:w="108" w:type="dxa"/>
            <w:bottom w:w="0" w:type="dxa"/>
            <w:right w:w="108" w:type="dxa"/>
          </w:tblCellMar>
        </w:tblPrEx>
        <w:trPr>
          <w:trHeight w:val="23" w:hRule="atLeast"/>
          <w:jc w:val="center"/>
        </w:trPr>
        <w:tc>
          <w:tcPr>
            <w:tcW w:w="2127" w:type="dxa"/>
            <w:tcBorders>
              <w:top w:val="single" w:color="000000" w:sz="6" w:space="0"/>
              <w:left w:val="single" w:color="000000" w:sz="6" w:space="0"/>
              <w:bottom w:val="single" w:color="000000" w:sz="6" w:space="0"/>
              <w:right w:val="single" w:color="000000" w:sz="6" w:space="0"/>
            </w:tcBorders>
            <w:noWrap w:val="0"/>
            <w:vAlign w:val="center"/>
          </w:tcPr>
          <w:p w14:paraId="1E3ADEED">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000000"/>
                <w:kern w:val="0"/>
                <w:lang w:val="zh-CN"/>
              </w:rPr>
            </w:pPr>
            <w:r>
              <w:rPr>
                <w:rFonts w:hint="eastAsia" w:ascii="宋体" w:hAnsi="宋体" w:eastAsia="宋体" w:cs="宋体"/>
                <w:color w:val="000000"/>
                <w:kern w:val="0"/>
                <w:lang w:val="zh-CN"/>
              </w:rPr>
              <w:t>获取招标文件的时间期限</w:t>
            </w:r>
          </w:p>
        </w:tc>
        <w:tc>
          <w:tcPr>
            <w:tcW w:w="7001" w:type="dxa"/>
            <w:tcBorders>
              <w:top w:val="single" w:color="000000" w:sz="6" w:space="0"/>
              <w:left w:val="single" w:color="000000" w:sz="6" w:space="0"/>
              <w:bottom w:val="single" w:color="000000" w:sz="6" w:space="0"/>
              <w:right w:val="single" w:color="000000" w:sz="6" w:space="0"/>
            </w:tcBorders>
            <w:noWrap w:val="0"/>
            <w:vAlign w:val="center"/>
          </w:tcPr>
          <w:p w14:paraId="437F2F53">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kern w:val="0"/>
                <w:u w:val="dashDotHeavy"/>
                <w:lang w:val="zh-CN"/>
              </w:rPr>
            </w:pPr>
            <w:r>
              <w:rPr>
                <w:rFonts w:hint="eastAsia" w:ascii="宋体" w:hAnsi="宋体" w:eastAsia="宋体" w:cs="宋体"/>
                <w:kern w:val="0"/>
                <w:sz w:val="24"/>
                <w:szCs w:val="24"/>
                <w:lang w:val="zh-CN"/>
              </w:rPr>
              <w:t>2025年</w:t>
            </w:r>
            <w:r>
              <w:rPr>
                <w:rFonts w:hint="eastAsia" w:ascii="宋体" w:hAnsi="宋体" w:eastAsia="宋体" w:cs="宋体"/>
                <w:kern w:val="0"/>
                <w:sz w:val="24"/>
                <w:szCs w:val="24"/>
                <w:lang w:val="en-US" w:eastAsia="zh-CN"/>
              </w:rPr>
              <w:t>01</w:t>
            </w:r>
            <w:r>
              <w:rPr>
                <w:rFonts w:hint="eastAsia" w:ascii="宋体" w:hAnsi="宋体" w:eastAsia="宋体" w:cs="宋体"/>
                <w:kern w:val="0"/>
                <w:sz w:val="24"/>
                <w:szCs w:val="24"/>
                <w:lang w:val="zh-CN"/>
              </w:rPr>
              <w:t>月</w:t>
            </w:r>
            <w:r>
              <w:rPr>
                <w:rFonts w:hint="eastAsia" w:ascii="宋体" w:hAnsi="宋体" w:eastAsia="宋体" w:cs="宋体"/>
                <w:kern w:val="0"/>
                <w:sz w:val="24"/>
                <w:szCs w:val="24"/>
                <w:lang w:val="en-US" w:eastAsia="zh-CN"/>
              </w:rPr>
              <w:t>13</w:t>
            </w:r>
            <w:r>
              <w:rPr>
                <w:rFonts w:hint="eastAsia" w:ascii="宋体" w:hAnsi="宋体" w:eastAsia="宋体" w:cs="宋体"/>
                <w:kern w:val="0"/>
                <w:sz w:val="24"/>
                <w:szCs w:val="24"/>
                <w:lang w:val="zh-CN"/>
              </w:rPr>
              <w:t>日至2025年</w:t>
            </w:r>
            <w:r>
              <w:rPr>
                <w:rFonts w:hint="eastAsia" w:ascii="宋体" w:hAnsi="宋体" w:eastAsia="宋体" w:cs="宋体"/>
                <w:kern w:val="0"/>
                <w:sz w:val="24"/>
                <w:szCs w:val="24"/>
                <w:lang w:val="en-US" w:eastAsia="zh-CN"/>
              </w:rPr>
              <w:t>01</w:t>
            </w:r>
            <w:r>
              <w:rPr>
                <w:rFonts w:hint="eastAsia" w:ascii="宋体" w:hAnsi="宋体" w:eastAsia="宋体" w:cs="宋体"/>
                <w:kern w:val="0"/>
                <w:sz w:val="24"/>
                <w:szCs w:val="24"/>
                <w:lang w:val="zh-CN"/>
              </w:rPr>
              <w:t>月</w:t>
            </w:r>
            <w:r>
              <w:rPr>
                <w:rFonts w:hint="eastAsia" w:ascii="宋体" w:hAnsi="宋体" w:eastAsia="宋体" w:cs="宋体"/>
                <w:kern w:val="0"/>
                <w:sz w:val="24"/>
                <w:szCs w:val="24"/>
                <w:lang w:val="en-US" w:eastAsia="zh-CN"/>
              </w:rPr>
              <w:t>17</w:t>
            </w:r>
            <w:r>
              <w:rPr>
                <w:rFonts w:hint="eastAsia" w:ascii="宋体" w:hAnsi="宋体" w:eastAsia="宋体" w:cs="宋体"/>
                <w:kern w:val="0"/>
                <w:sz w:val="24"/>
                <w:szCs w:val="24"/>
                <w:lang w:val="zh-CN"/>
              </w:rPr>
              <w:t>日</w:t>
            </w:r>
          </w:p>
        </w:tc>
      </w:tr>
      <w:tr w14:paraId="66948EE0">
        <w:tblPrEx>
          <w:tblCellMar>
            <w:top w:w="0" w:type="dxa"/>
            <w:left w:w="108" w:type="dxa"/>
            <w:bottom w:w="0" w:type="dxa"/>
            <w:right w:w="108" w:type="dxa"/>
          </w:tblCellMar>
        </w:tblPrEx>
        <w:trPr>
          <w:trHeight w:val="23" w:hRule="atLeast"/>
          <w:jc w:val="center"/>
        </w:trPr>
        <w:tc>
          <w:tcPr>
            <w:tcW w:w="2127" w:type="dxa"/>
            <w:tcBorders>
              <w:top w:val="single" w:color="000000" w:sz="6" w:space="0"/>
              <w:left w:val="single" w:color="000000" w:sz="6" w:space="0"/>
              <w:bottom w:val="single" w:color="000000" w:sz="6" w:space="0"/>
              <w:right w:val="single" w:color="000000" w:sz="6" w:space="0"/>
            </w:tcBorders>
            <w:noWrap w:val="0"/>
            <w:vAlign w:val="center"/>
          </w:tcPr>
          <w:p w14:paraId="7A9B03E2">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000000"/>
                <w:kern w:val="0"/>
                <w:lang w:val="zh-CN"/>
              </w:rPr>
            </w:pPr>
            <w:r>
              <w:rPr>
                <w:rFonts w:hint="eastAsia" w:ascii="宋体" w:hAnsi="宋体" w:eastAsia="宋体" w:cs="宋体"/>
                <w:color w:val="000000"/>
                <w:lang w:val="zh-CN"/>
              </w:rPr>
              <w:t>报名方式</w:t>
            </w:r>
          </w:p>
        </w:tc>
        <w:tc>
          <w:tcPr>
            <w:tcW w:w="7001" w:type="dxa"/>
            <w:tcBorders>
              <w:top w:val="single" w:color="000000" w:sz="6" w:space="0"/>
              <w:left w:val="single" w:color="000000" w:sz="6" w:space="0"/>
              <w:bottom w:val="single" w:color="000000" w:sz="6" w:space="0"/>
              <w:right w:val="single" w:color="000000" w:sz="6" w:space="0"/>
            </w:tcBorders>
            <w:noWrap w:val="0"/>
            <w:vAlign w:val="center"/>
          </w:tcPr>
          <w:p w14:paraId="2FEAD50A">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rPr>
            </w:pPr>
            <w:r>
              <w:rPr>
                <w:rFonts w:hint="eastAsia" w:ascii="宋体" w:hAnsi="宋体" w:eastAsia="宋体" w:cs="宋体"/>
              </w:rPr>
              <w:t>线上报名审查通过</w:t>
            </w:r>
          </w:p>
        </w:tc>
      </w:tr>
      <w:tr w14:paraId="73F3DA84">
        <w:tblPrEx>
          <w:tblCellMar>
            <w:top w:w="0" w:type="dxa"/>
            <w:left w:w="108" w:type="dxa"/>
            <w:bottom w:w="0" w:type="dxa"/>
            <w:right w:w="108" w:type="dxa"/>
          </w:tblCellMar>
        </w:tblPrEx>
        <w:trPr>
          <w:trHeight w:val="23" w:hRule="atLeast"/>
          <w:jc w:val="center"/>
        </w:trPr>
        <w:tc>
          <w:tcPr>
            <w:tcW w:w="2127" w:type="dxa"/>
            <w:tcBorders>
              <w:top w:val="single" w:color="000000" w:sz="6" w:space="0"/>
              <w:left w:val="single" w:color="000000" w:sz="6" w:space="0"/>
              <w:bottom w:val="single" w:color="000000" w:sz="6" w:space="0"/>
              <w:right w:val="single" w:color="000000" w:sz="6" w:space="0"/>
            </w:tcBorders>
            <w:noWrap w:val="0"/>
            <w:vAlign w:val="center"/>
          </w:tcPr>
          <w:p w14:paraId="4D4770F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000000"/>
                <w:kern w:val="0"/>
                <w:lang w:val="zh-CN"/>
              </w:rPr>
            </w:pPr>
            <w:r>
              <w:rPr>
                <w:rFonts w:hint="eastAsia" w:ascii="宋体" w:hAnsi="宋体" w:eastAsia="宋体" w:cs="宋体"/>
                <w:color w:val="000000"/>
                <w:kern w:val="0"/>
                <w:lang w:val="zh-CN"/>
              </w:rPr>
              <w:t>获取招标文件方式</w:t>
            </w:r>
          </w:p>
        </w:tc>
        <w:tc>
          <w:tcPr>
            <w:tcW w:w="7001" w:type="dxa"/>
            <w:tcBorders>
              <w:top w:val="single" w:color="000000" w:sz="6" w:space="0"/>
              <w:left w:val="single" w:color="000000" w:sz="6" w:space="0"/>
              <w:bottom w:val="single" w:color="000000" w:sz="6" w:space="0"/>
              <w:right w:val="single" w:color="000000" w:sz="6" w:space="0"/>
            </w:tcBorders>
            <w:noWrap w:val="0"/>
            <w:vAlign w:val="center"/>
          </w:tcPr>
          <w:p w14:paraId="117DE5C7">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kern w:val="0"/>
                <w:lang w:val="zh-CN"/>
              </w:rPr>
            </w:pPr>
            <w:r>
              <w:rPr>
                <w:rFonts w:hint="eastAsia" w:ascii="宋体" w:hAnsi="宋体" w:eastAsia="宋体" w:cs="宋体"/>
                <w:lang w:val="zh-CN"/>
              </w:rPr>
              <w:t>登录政采云平台</w:t>
            </w:r>
            <w:r>
              <w:rPr>
                <w:rFonts w:hint="eastAsia" w:ascii="宋体" w:hAnsi="宋体" w:eastAsia="宋体" w:cs="宋体"/>
              </w:rPr>
              <w:t>https://www.zcygov.cn/</w:t>
            </w:r>
            <w:r>
              <w:rPr>
                <w:rFonts w:hint="eastAsia" w:ascii="宋体" w:hAnsi="宋体" w:eastAsia="宋体" w:cs="宋体"/>
                <w:lang w:val="zh-CN"/>
              </w:rPr>
              <w:t>在线申请获取采购文件</w:t>
            </w:r>
            <w:r>
              <w:rPr>
                <w:rFonts w:hint="eastAsia" w:ascii="宋体" w:hAnsi="宋体" w:eastAsia="宋体" w:cs="宋体"/>
              </w:rPr>
              <w:t>（</w:t>
            </w:r>
            <w:r>
              <w:rPr>
                <w:rFonts w:hint="eastAsia" w:ascii="宋体" w:hAnsi="宋体" w:eastAsia="宋体" w:cs="宋体"/>
                <w:lang w:val="zh-CN"/>
              </w:rPr>
              <w:t>进入</w:t>
            </w:r>
            <w:r>
              <w:rPr>
                <w:rFonts w:hint="eastAsia" w:ascii="宋体" w:hAnsi="宋体" w:eastAsia="宋体" w:cs="宋体"/>
              </w:rPr>
              <w:t>“</w:t>
            </w:r>
            <w:r>
              <w:rPr>
                <w:rFonts w:hint="eastAsia" w:ascii="宋体" w:hAnsi="宋体" w:eastAsia="宋体" w:cs="宋体"/>
                <w:lang w:val="zh-CN"/>
              </w:rPr>
              <w:t>项目采购</w:t>
            </w:r>
            <w:r>
              <w:rPr>
                <w:rFonts w:hint="eastAsia" w:ascii="宋体" w:hAnsi="宋体" w:eastAsia="宋体" w:cs="宋体"/>
              </w:rPr>
              <w:t>”</w:t>
            </w:r>
            <w:r>
              <w:rPr>
                <w:rFonts w:hint="eastAsia" w:ascii="宋体" w:hAnsi="宋体" w:eastAsia="宋体" w:cs="宋体"/>
                <w:lang w:val="zh-CN"/>
              </w:rPr>
              <w:t>应用</w:t>
            </w:r>
            <w:r>
              <w:rPr>
                <w:rFonts w:hint="eastAsia" w:ascii="宋体" w:hAnsi="宋体" w:eastAsia="宋体" w:cs="宋体"/>
              </w:rPr>
              <w:t>，</w:t>
            </w:r>
            <w:r>
              <w:rPr>
                <w:rFonts w:hint="eastAsia" w:ascii="宋体" w:hAnsi="宋体" w:eastAsia="宋体" w:cs="宋体"/>
                <w:lang w:val="zh-CN"/>
              </w:rPr>
              <w:t>在获取采购文件菜单中选择项目</w:t>
            </w:r>
            <w:r>
              <w:rPr>
                <w:rFonts w:hint="eastAsia" w:ascii="宋体" w:hAnsi="宋体" w:eastAsia="宋体" w:cs="宋体"/>
              </w:rPr>
              <w:t>，</w:t>
            </w:r>
            <w:r>
              <w:rPr>
                <w:rFonts w:hint="eastAsia" w:ascii="宋体" w:hAnsi="宋体" w:eastAsia="宋体" w:cs="宋体"/>
                <w:lang w:val="zh-CN"/>
              </w:rPr>
              <w:t>申请获取采购文件</w:t>
            </w:r>
            <w:r>
              <w:rPr>
                <w:rFonts w:hint="eastAsia" w:ascii="宋体" w:hAnsi="宋体" w:eastAsia="宋体" w:cs="宋体"/>
              </w:rPr>
              <w:t>）</w:t>
            </w:r>
            <w:r>
              <w:rPr>
                <w:rFonts w:hint="eastAsia" w:ascii="宋体" w:hAnsi="宋体" w:eastAsia="宋体" w:cs="宋体"/>
                <w:lang w:val="zh-CN"/>
              </w:rPr>
              <w:t>。</w:t>
            </w:r>
          </w:p>
        </w:tc>
      </w:tr>
      <w:tr w14:paraId="4E6A94D6">
        <w:tblPrEx>
          <w:tblCellMar>
            <w:top w:w="0" w:type="dxa"/>
            <w:left w:w="108" w:type="dxa"/>
            <w:bottom w:w="0" w:type="dxa"/>
            <w:right w:w="108" w:type="dxa"/>
          </w:tblCellMar>
        </w:tblPrEx>
        <w:trPr>
          <w:trHeight w:val="23" w:hRule="atLeast"/>
          <w:jc w:val="center"/>
        </w:trPr>
        <w:tc>
          <w:tcPr>
            <w:tcW w:w="2127" w:type="dxa"/>
            <w:tcBorders>
              <w:top w:val="single" w:color="000000" w:sz="6" w:space="0"/>
              <w:left w:val="single" w:color="000000" w:sz="6" w:space="0"/>
              <w:bottom w:val="single" w:color="000000" w:sz="6" w:space="0"/>
              <w:right w:val="single" w:color="000000" w:sz="6" w:space="0"/>
            </w:tcBorders>
            <w:noWrap w:val="0"/>
            <w:vAlign w:val="center"/>
          </w:tcPr>
          <w:p w14:paraId="7F942BEE">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000000"/>
                <w:kern w:val="0"/>
                <w:lang w:val="zh-CN"/>
              </w:rPr>
            </w:pPr>
            <w:r>
              <w:rPr>
                <w:rFonts w:hint="eastAsia" w:ascii="宋体" w:hAnsi="宋体" w:eastAsia="宋体" w:cs="宋体"/>
                <w:color w:val="000000"/>
                <w:kern w:val="0"/>
                <w:lang w:val="zh-CN"/>
              </w:rPr>
              <w:t>获取招标文件地点</w:t>
            </w:r>
          </w:p>
        </w:tc>
        <w:tc>
          <w:tcPr>
            <w:tcW w:w="7001" w:type="dxa"/>
            <w:tcBorders>
              <w:top w:val="single" w:color="000000" w:sz="6" w:space="0"/>
              <w:left w:val="single" w:color="000000" w:sz="6" w:space="0"/>
              <w:bottom w:val="single" w:color="000000" w:sz="6" w:space="0"/>
              <w:right w:val="single" w:color="000000" w:sz="6" w:space="0"/>
            </w:tcBorders>
            <w:noWrap w:val="0"/>
            <w:vAlign w:val="center"/>
          </w:tcPr>
          <w:p w14:paraId="2B58E473">
            <w:pPr>
              <w:pStyle w:val="9"/>
              <w:keepNext w:val="0"/>
              <w:keepLines w:val="0"/>
              <w:suppressLineNumbers w:val="0"/>
              <w:spacing w:before="0" w:beforeAutospacing="0" w:after="0" w:afterAutospacing="0" w:line="360" w:lineRule="auto"/>
              <w:ind w:left="0" w:right="0"/>
              <w:jc w:val="both"/>
              <w:rPr>
                <w:rFonts w:hint="eastAsia" w:ascii="宋体" w:hAnsi="宋体" w:eastAsia="宋体" w:cs="宋体"/>
                <w:lang w:val="zh-CN"/>
              </w:rPr>
            </w:pPr>
            <w:r>
              <w:rPr>
                <w:rFonts w:hint="eastAsia" w:ascii="宋体" w:hAnsi="宋体" w:eastAsia="宋体" w:cs="宋体"/>
                <w:lang w:val="zh-CN"/>
              </w:rPr>
              <w:t>政采云平台</w:t>
            </w:r>
          </w:p>
          <w:p w14:paraId="65A1BDAE">
            <w:pPr>
              <w:pStyle w:val="9"/>
              <w:keepNext w:val="0"/>
              <w:keepLines w:val="0"/>
              <w:suppressLineNumbers w:val="0"/>
              <w:spacing w:before="0" w:beforeAutospacing="0" w:after="0" w:afterAutospacing="0" w:line="360" w:lineRule="auto"/>
              <w:ind w:left="0" w:right="0"/>
              <w:jc w:val="both"/>
              <w:rPr>
                <w:rFonts w:hint="eastAsia" w:ascii="宋体" w:hAnsi="宋体" w:eastAsia="宋体" w:cs="宋体"/>
                <w:kern w:val="0"/>
              </w:rPr>
            </w:pPr>
          </w:p>
        </w:tc>
      </w:tr>
      <w:tr w14:paraId="52CB2AA3">
        <w:tblPrEx>
          <w:tblCellMar>
            <w:top w:w="0" w:type="dxa"/>
            <w:left w:w="108" w:type="dxa"/>
            <w:bottom w:w="0" w:type="dxa"/>
            <w:right w:w="108" w:type="dxa"/>
          </w:tblCellMar>
        </w:tblPrEx>
        <w:trPr>
          <w:trHeight w:val="23" w:hRule="atLeast"/>
          <w:jc w:val="center"/>
        </w:trPr>
        <w:tc>
          <w:tcPr>
            <w:tcW w:w="2127" w:type="dxa"/>
            <w:tcBorders>
              <w:top w:val="single" w:color="000000" w:sz="6" w:space="0"/>
              <w:left w:val="single" w:color="000000" w:sz="6" w:space="0"/>
              <w:bottom w:val="single" w:color="000000" w:sz="6" w:space="0"/>
              <w:right w:val="single" w:color="000000" w:sz="6" w:space="0"/>
            </w:tcBorders>
            <w:noWrap w:val="0"/>
            <w:vAlign w:val="center"/>
          </w:tcPr>
          <w:p w14:paraId="2CDDC00A">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000000"/>
                <w:kern w:val="0"/>
                <w:lang w:val="zh-CN"/>
              </w:rPr>
            </w:pPr>
            <w:r>
              <w:rPr>
                <w:rFonts w:hint="eastAsia" w:ascii="宋体" w:hAnsi="宋体" w:eastAsia="宋体" w:cs="宋体"/>
                <w:color w:val="000000"/>
                <w:kern w:val="0"/>
                <w:lang w:val="zh-CN"/>
              </w:rPr>
              <w:t>投标截止</w:t>
            </w:r>
            <w:r>
              <w:rPr>
                <w:rFonts w:hint="eastAsia" w:ascii="宋体" w:hAnsi="宋体" w:eastAsia="宋体" w:cs="宋体"/>
                <w:color w:val="000000"/>
                <w:kern w:val="0"/>
              </w:rPr>
              <w:t>及</w:t>
            </w:r>
            <w:r>
              <w:rPr>
                <w:rFonts w:hint="eastAsia" w:ascii="宋体" w:hAnsi="宋体" w:eastAsia="宋体" w:cs="宋体"/>
                <w:color w:val="000000"/>
                <w:kern w:val="0"/>
                <w:lang w:val="zh-CN"/>
              </w:rPr>
              <w:t>开标时间</w:t>
            </w:r>
          </w:p>
        </w:tc>
        <w:tc>
          <w:tcPr>
            <w:tcW w:w="7001" w:type="dxa"/>
            <w:tcBorders>
              <w:top w:val="single" w:color="000000" w:sz="6" w:space="0"/>
              <w:left w:val="single" w:color="000000" w:sz="6" w:space="0"/>
              <w:bottom w:val="single" w:color="000000" w:sz="6" w:space="0"/>
              <w:right w:val="single" w:color="000000" w:sz="6" w:space="0"/>
            </w:tcBorders>
            <w:noWrap w:val="0"/>
            <w:vAlign w:val="center"/>
          </w:tcPr>
          <w:p w14:paraId="19749FE8">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kern w:val="0"/>
                <w:lang w:val="zh-CN"/>
              </w:rPr>
            </w:pPr>
            <w:r>
              <w:rPr>
                <w:rFonts w:hint="eastAsia" w:ascii="宋体" w:hAnsi="宋体" w:eastAsia="宋体" w:cs="宋体"/>
                <w:lang w:val="zh-CN"/>
              </w:rPr>
              <w:t>2025年</w:t>
            </w:r>
            <w:r>
              <w:rPr>
                <w:rFonts w:hint="eastAsia" w:ascii="宋体" w:hAnsi="宋体" w:eastAsia="宋体" w:cs="宋体"/>
                <w:lang w:val="en-US" w:eastAsia="zh-CN"/>
              </w:rPr>
              <w:t>02</w:t>
            </w:r>
            <w:r>
              <w:rPr>
                <w:rFonts w:hint="eastAsia" w:ascii="宋体" w:hAnsi="宋体" w:eastAsia="宋体" w:cs="宋体"/>
                <w:lang w:val="zh-CN"/>
              </w:rPr>
              <w:t>月</w:t>
            </w:r>
            <w:r>
              <w:rPr>
                <w:rFonts w:hint="eastAsia" w:ascii="宋体" w:hAnsi="宋体" w:eastAsia="宋体" w:cs="宋体"/>
                <w:lang w:val="en-US" w:eastAsia="zh-CN"/>
              </w:rPr>
              <w:t>13</w:t>
            </w:r>
            <w:r>
              <w:rPr>
                <w:rFonts w:hint="eastAsia" w:ascii="宋体" w:hAnsi="宋体" w:eastAsia="宋体" w:cs="宋体"/>
                <w:lang w:val="zh-CN"/>
              </w:rPr>
              <w:t>日</w:t>
            </w:r>
            <w:r>
              <w:rPr>
                <w:rFonts w:hint="eastAsia" w:ascii="宋体" w:hAnsi="宋体" w:eastAsia="宋体" w:cs="宋体"/>
                <w:lang w:val="en-US" w:eastAsia="zh-CN"/>
              </w:rPr>
              <w:t>10</w:t>
            </w:r>
            <w:r>
              <w:rPr>
                <w:rFonts w:hint="eastAsia" w:ascii="宋体" w:hAnsi="宋体" w:eastAsia="宋体" w:cs="宋体"/>
                <w:lang w:val="zh-CN"/>
              </w:rPr>
              <w:t>时00分（北京时间）</w:t>
            </w:r>
          </w:p>
        </w:tc>
      </w:tr>
      <w:tr w14:paraId="39A96AC5">
        <w:tblPrEx>
          <w:tblCellMar>
            <w:top w:w="0" w:type="dxa"/>
            <w:left w:w="108" w:type="dxa"/>
            <w:bottom w:w="0" w:type="dxa"/>
            <w:right w:w="108" w:type="dxa"/>
          </w:tblCellMar>
        </w:tblPrEx>
        <w:trPr>
          <w:trHeight w:val="90" w:hRule="atLeast"/>
          <w:jc w:val="center"/>
        </w:trPr>
        <w:tc>
          <w:tcPr>
            <w:tcW w:w="2127" w:type="dxa"/>
            <w:tcBorders>
              <w:top w:val="single" w:color="000000" w:sz="6" w:space="0"/>
              <w:left w:val="single" w:color="000000" w:sz="6" w:space="0"/>
              <w:bottom w:val="single" w:color="000000" w:sz="6" w:space="0"/>
              <w:right w:val="single" w:color="000000" w:sz="6" w:space="0"/>
            </w:tcBorders>
            <w:noWrap w:val="0"/>
            <w:vAlign w:val="center"/>
          </w:tcPr>
          <w:p w14:paraId="3303D3AD">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000000"/>
                <w:kern w:val="0"/>
                <w:lang w:val="zh-CN"/>
              </w:rPr>
            </w:pPr>
            <w:r>
              <w:rPr>
                <w:rFonts w:hint="eastAsia" w:ascii="宋体" w:hAnsi="宋体" w:eastAsia="宋体" w:cs="宋体"/>
                <w:color w:val="000000"/>
                <w:kern w:val="0"/>
                <w:lang w:val="zh-CN"/>
              </w:rPr>
              <w:t>投标及开标地点</w:t>
            </w:r>
          </w:p>
        </w:tc>
        <w:tc>
          <w:tcPr>
            <w:tcW w:w="7001" w:type="dxa"/>
            <w:tcBorders>
              <w:top w:val="single" w:color="000000" w:sz="6" w:space="0"/>
              <w:left w:val="single" w:color="000000" w:sz="6" w:space="0"/>
              <w:bottom w:val="single" w:color="000000" w:sz="6" w:space="0"/>
              <w:right w:val="single" w:color="000000" w:sz="6" w:space="0"/>
            </w:tcBorders>
            <w:noWrap w:val="0"/>
            <w:vAlign w:val="center"/>
          </w:tcPr>
          <w:p w14:paraId="4BBCBED0">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rPr>
            </w:pPr>
            <w:r>
              <w:rPr>
                <w:rFonts w:hint="eastAsia" w:ascii="宋体" w:hAnsi="宋体" w:eastAsia="宋体" w:cs="宋体"/>
              </w:rPr>
              <w:t>政采云投标客户端 （供应商应在投标截止时间前按招标文件要求使用政采云电子投标客户端制作上传电子投标文件，并在开标后30分钟内远程解密投标文件。）</w:t>
            </w:r>
          </w:p>
          <w:p w14:paraId="45DFBAAC">
            <w:pPr>
              <w:keepNext w:val="0"/>
              <w:keepLines w:val="0"/>
              <w:suppressLineNumbers w:val="0"/>
              <w:autoSpaceDE w:val="0"/>
              <w:autoSpaceDN w:val="0"/>
              <w:spacing w:before="0" w:beforeAutospacing="0" w:after="0" w:afterAutospacing="0"/>
              <w:ind w:left="0" w:right="0"/>
              <w:rPr>
                <w:rFonts w:hint="default" w:ascii="宋体" w:hAnsi="宋体" w:eastAsia="宋体" w:cs="宋体"/>
                <w:kern w:val="0"/>
                <w:lang w:val="en-US" w:eastAsia="zh-CN"/>
              </w:rPr>
            </w:pPr>
            <w:r>
              <w:rPr>
                <w:rFonts w:hint="eastAsia" w:ascii="宋体" w:hAnsi="宋体" w:eastAsia="宋体" w:cs="宋体"/>
                <w:highlight w:val="none"/>
                <w:lang w:val="zh-CN"/>
              </w:rPr>
              <w:t>开标地点：</w:t>
            </w:r>
            <w:r>
              <w:rPr>
                <w:rFonts w:hint="eastAsia" w:ascii="宋体" w:hAnsi="宋体" w:cs="宋体"/>
                <w:highlight w:val="none"/>
                <w:lang w:val="en-US" w:eastAsia="zh-CN"/>
              </w:rPr>
              <w:t>黄南州政务和公共资源交易中心</w:t>
            </w:r>
          </w:p>
        </w:tc>
      </w:tr>
      <w:tr w14:paraId="617813FC">
        <w:tblPrEx>
          <w:tblCellMar>
            <w:top w:w="0" w:type="dxa"/>
            <w:left w:w="108" w:type="dxa"/>
            <w:bottom w:w="0" w:type="dxa"/>
            <w:right w:w="108" w:type="dxa"/>
          </w:tblCellMar>
        </w:tblPrEx>
        <w:trPr>
          <w:trHeight w:val="23" w:hRule="atLeast"/>
          <w:jc w:val="center"/>
        </w:trPr>
        <w:tc>
          <w:tcPr>
            <w:tcW w:w="2127" w:type="dxa"/>
            <w:tcBorders>
              <w:top w:val="single" w:color="000000" w:sz="6" w:space="0"/>
              <w:left w:val="single" w:color="000000" w:sz="6" w:space="0"/>
              <w:bottom w:val="single" w:color="000000" w:sz="6" w:space="0"/>
              <w:right w:val="single" w:color="000000" w:sz="6" w:space="0"/>
            </w:tcBorders>
            <w:noWrap w:val="0"/>
            <w:vAlign w:val="center"/>
          </w:tcPr>
          <w:p w14:paraId="50F1B033">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auto"/>
                <w:kern w:val="0"/>
                <w:lang w:val="zh-CN"/>
              </w:rPr>
            </w:pPr>
            <w:r>
              <w:rPr>
                <w:rFonts w:hint="eastAsia" w:ascii="宋体" w:hAnsi="宋体" w:eastAsia="宋体" w:cs="宋体"/>
                <w:color w:val="auto"/>
                <w:kern w:val="0"/>
                <w:lang w:val="zh-CN"/>
              </w:rPr>
              <w:t>采购人联系</w:t>
            </w:r>
            <w:r>
              <w:rPr>
                <w:rFonts w:hint="eastAsia" w:ascii="宋体" w:hAnsi="宋体" w:eastAsia="宋体" w:cs="宋体"/>
                <w:color w:val="auto"/>
                <w:kern w:val="0"/>
              </w:rPr>
              <w:t>人</w:t>
            </w:r>
          </w:p>
        </w:tc>
        <w:tc>
          <w:tcPr>
            <w:tcW w:w="7001" w:type="dxa"/>
            <w:tcBorders>
              <w:top w:val="single" w:color="000000" w:sz="6" w:space="0"/>
              <w:left w:val="single" w:color="000000" w:sz="6" w:space="0"/>
              <w:bottom w:val="single" w:color="000000" w:sz="6" w:space="0"/>
              <w:right w:val="single" w:color="000000" w:sz="6" w:space="0"/>
            </w:tcBorders>
            <w:noWrap w:val="0"/>
            <w:vAlign w:val="center"/>
          </w:tcPr>
          <w:p w14:paraId="00D59C1E">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auto"/>
                <w:kern w:val="0"/>
                <w:lang w:val="zh-CN"/>
              </w:rPr>
            </w:pPr>
            <w:r>
              <w:rPr>
                <w:rFonts w:hint="eastAsia" w:ascii="宋体" w:hAnsi="宋体" w:eastAsia="宋体" w:cs="宋体"/>
                <w:color w:val="auto"/>
                <w:kern w:val="0"/>
                <w:lang w:val="zh-CN"/>
              </w:rPr>
              <w:t>采购人：</w:t>
            </w:r>
            <w:r>
              <w:rPr>
                <w:rFonts w:hint="eastAsia" w:ascii="宋体" w:hAnsi="宋体" w:eastAsia="宋体" w:cs="宋体"/>
                <w:color w:val="auto"/>
                <w:kern w:val="0"/>
                <w:lang w:val="zh-CN" w:eastAsia="zh-CN"/>
              </w:rPr>
              <w:t>尖扎县发展和改革局</w:t>
            </w:r>
          </w:p>
          <w:p w14:paraId="6E407AD2">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auto"/>
                <w:kern w:val="0"/>
                <w:lang w:val="zh-CN" w:eastAsia="zh-CN"/>
              </w:rPr>
            </w:pPr>
            <w:r>
              <w:rPr>
                <w:rFonts w:hint="eastAsia" w:ascii="宋体" w:hAnsi="宋体" w:eastAsia="宋体" w:cs="宋体"/>
                <w:color w:val="auto"/>
                <w:kern w:val="0"/>
                <w:lang w:val="zh-CN"/>
              </w:rPr>
              <w:t>联系人：</w:t>
            </w:r>
            <w:r>
              <w:rPr>
                <w:rFonts w:hint="eastAsia" w:ascii="宋体" w:hAnsi="宋体" w:eastAsia="宋体" w:cs="宋体"/>
                <w:color w:val="auto"/>
                <w:kern w:val="0"/>
                <w:lang w:val="zh-CN" w:eastAsia="zh-CN"/>
              </w:rPr>
              <w:t xml:space="preserve"> 韩先生</w:t>
            </w:r>
          </w:p>
          <w:p w14:paraId="60256029">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auto"/>
                <w:kern w:val="0"/>
                <w:lang w:val="zh-CN" w:eastAsia="zh-CN"/>
              </w:rPr>
            </w:pPr>
            <w:r>
              <w:rPr>
                <w:rFonts w:hint="eastAsia" w:ascii="宋体" w:hAnsi="宋体" w:eastAsia="宋体" w:cs="宋体"/>
                <w:color w:val="auto"/>
                <w:kern w:val="0"/>
                <w:lang w:val="zh-CN" w:eastAsia="zh-CN"/>
              </w:rPr>
              <w:t>联系电话：</w:t>
            </w:r>
            <w:r>
              <w:rPr>
                <w:rFonts w:hint="eastAsia" w:ascii="宋体" w:hAnsi="宋体" w:eastAsia="宋体" w:cs="宋体"/>
                <w:color w:val="auto"/>
                <w:kern w:val="0"/>
                <w:lang w:val="en-US" w:eastAsia="zh-CN"/>
              </w:rPr>
              <w:t>0973-8732315</w:t>
            </w:r>
          </w:p>
          <w:p w14:paraId="02F9E884">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auto"/>
                <w:kern w:val="0"/>
              </w:rPr>
            </w:pPr>
            <w:r>
              <w:rPr>
                <w:rFonts w:hint="eastAsia" w:ascii="宋体" w:hAnsi="宋体" w:eastAsia="宋体" w:cs="宋体"/>
                <w:color w:val="auto"/>
                <w:kern w:val="0"/>
                <w:lang w:val="zh-CN"/>
              </w:rPr>
              <w:t>联系地址：</w:t>
            </w:r>
            <w:r>
              <w:rPr>
                <w:rFonts w:hint="eastAsia" w:ascii="宋体" w:hAnsi="宋体" w:eastAsia="宋体" w:cs="宋体"/>
                <w:color w:val="auto"/>
                <w:kern w:val="0"/>
                <w:lang w:val="zh-CN" w:eastAsia="zh-CN"/>
              </w:rPr>
              <w:t>尖扎县铁岭路政府大楼</w:t>
            </w:r>
          </w:p>
        </w:tc>
      </w:tr>
      <w:tr w14:paraId="354E9CEA">
        <w:tblPrEx>
          <w:tblCellMar>
            <w:top w:w="0" w:type="dxa"/>
            <w:left w:w="108" w:type="dxa"/>
            <w:bottom w:w="0" w:type="dxa"/>
            <w:right w:w="108" w:type="dxa"/>
          </w:tblCellMar>
        </w:tblPrEx>
        <w:trPr>
          <w:trHeight w:val="23" w:hRule="atLeast"/>
          <w:jc w:val="center"/>
        </w:trPr>
        <w:tc>
          <w:tcPr>
            <w:tcW w:w="2127" w:type="dxa"/>
            <w:tcBorders>
              <w:top w:val="single" w:color="000000" w:sz="6" w:space="0"/>
              <w:left w:val="single" w:color="000000" w:sz="6" w:space="0"/>
              <w:bottom w:val="single" w:color="000000" w:sz="6" w:space="0"/>
              <w:right w:val="single" w:color="000000" w:sz="6" w:space="0"/>
            </w:tcBorders>
            <w:noWrap w:val="0"/>
            <w:vAlign w:val="center"/>
          </w:tcPr>
          <w:p w14:paraId="7E94C809">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000000"/>
                <w:kern w:val="0"/>
                <w:lang w:val="zh-CN"/>
              </w:rPr>
            </w:pPr>
            <w:r>
              <w:rPr>
                <w:rFonts w:hint="eastAsia" w:ascii="宋体" w:hAnsi="宋体" w:eastAsia="宋体" w:cs="宋体"/>
                <w:color w:val="000000"/>
                <w:kern w:val="0"/>
                <w:lang w:val="zh-CN"/>
              </w:rPr>
              <w:t>代理机构联系人</w:t>
            </w:r>
          </w:p>
        </w:tc>
        <w:tc>
          <w:tcPr>
            <w:tcW w:w="7001" w:type="dxa"/>
            <w:tcBorders>
              <w:top w:val="single" w:color="000000" w:sz="6" w:space="0"/>
              <w:left w:val="single" w:color="000000" w:sz="6" w:space="0"/>
              <w:bottom w:val="single" w:color="000000" w:sz="6" w:space="0"/>
              <w:right w:val="single" w:color="000000" w:sz="6" w:space="0"/>
            </w:tcBorders>
            <w:noWrap w:val="0"/>
            <w:vAlign w:val="center"/>
          </w:tcPr>
          <w:p w14:paraId="57841CB1">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000000"/>
                <w:kern w:val="0"/>
                <w:lang w:val="zh-CN"/>
              </w:rPr>
            </w:pPr>
            <w:r>
              <w:rPr>
                <w:rFonts w:hint="eastAsia" w:ascii="宋体" w:hAnsi="宋体" w:eastAsia="宋体" w:cs="宋体"/>
                <w:color w:val="000000"/>
                <w:kern w:val="0"/>
                <w:lang w:val="zh-CN"/>
              </w:rPr>
              <w:t>代理机构：青海君昱工程项目管理有限公司</w:t>
            </w:r>
          </w:p>
          <w:p w14:paraId="5596FC52">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000000"/>
                <w:kern w:val="0"/>
                <w:lang w:val="zh-CN"/>
              </w:rPr>
            </w:pPr>
            <w:r>
              <w:rPr>
                <w:rFonts w:hint="eastAsia" w:ascii="宋体" w:hAnsi="宋体" w:eastAsia="宋体" w:cs="宋体"/>
                <w:color w:val="000000"/>
                <w:kern w:val="0"/>
                <w:lang w:val="zh-CN"/>
              </w:rPr>
              <w:t>联系人：</w:t>
            </w:r>
            <w:r>
              <w:rPr>
                <w:rFonts w:hint="eastAsia" w:ascii="宋体" w:hAnsi="宋体" w:eastAsia="宋体" w:cs="宋体"/>
                <w:color w:val="000000"/>
                <w:kern w:val="0"/>
                <w:lang w:val="en-US" w:eastAsia="zh-CN"/>
              </w:rPr>
              <w:t>马</w:t>
            </w:r>
            <w:r>
              <w:rPr>
                <w:rFonts w:hint="eastAsia" w:ascii="宋体" w:hAnsi="宋体" w:eastAsia="宋体" w:cs="宋体"/>
                <w:color w:val="000000"/>
                <w:kern w:val="0"/>
                <w:lang w:val="zh-CN"/>
              </w:rPr>
              <w:t>女士</w:t>
            </w:r>
          </w:p>
          <w:p w14:paraId="10F68BF4">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rPr>
            </w:pPr>
            <w:r>
              <w:rPr>
                <w:rFonts w:hint="eastAsia" w:ascii="宋体" w:hAnsi="宋体" w:eastAsia="宋体" w:cs="宋体"/>
                <w:color w:val="000000"/>
                <w:kern w:val="0"/>
                <w:lang w:val="zh-CN"/>
              </w:rPr>
              <w:t>联系电话：</w:t>
            </w:r>
            <w:r>
              <w:rPr>
                <w:rFonts w:hint="eastAsia" w:ascii="宋体" w:hAnsi="宋体" w:eastAsia="宋体" w:cs="宋体"/>
              </w:rPr>
              <w:t>0971-6287139</w:t>
            </w:r>
          </w:p>
          <w:p w14:paraId="134F6987">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rPr>
            </w:pPr>
            <w:r>
              <w:rPr>
                <w:rFonts w:hint="eastAsia" w:ascii="宋体" w:hAnsi="宋体" w:eastAsia="宋体" w:cs="宋体"/>
              </w:rPr>
              <w:t>邮    箱：qinghaijunyu@163.com</w:t>
            </w:r>
          </w:p>
          <w:p w14:paraId="46BD6124">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000000"/>
                <w:kern w:val="0"/>
                <w:lang w:val="zh-CN"/>
              </w:rPr>
            </w:pPr>
            <w:r>
              <w:rPr>
                <w:rFonts w:hint="eastAsia" w:ascii="宋体" w:hAnsi="宋体" w:eastAsia="宋体" w:cs="宋体"/>
                <w:color w:val="000000"/>
                <w:kern w:val="0"/>
                <w:lang w:val="zh-CN"/>
              </w:rPr>
              <w:t>联系地址：西宁市城西区五四大街53号西城天街B座8楼2081室</w:t>
            </w:r>
          </w:p>
        </w:tc>
      </w:tr>
      <w:tr w14:paraId="5F9C9FCE">
        <w:tblPrEx>
          <w:tblCellMar>
            <w:top w:w="0" w:type="dxa"/>
            <w:left w:w="108" w:type="dxa"/>
            <w:bottom w:w="0" w:type="dxa"/>
            <w:right w:w="108" w:type="dxa"/>
          </w:tblCellMar>
        </w:tblPrEx>
        <w:trPr>
          <w:trHeight w:val="23" w:hRule="atLeast"/>
          <w:jc w:val="center"/>
        </w:trPr>
        <w:tc>
          <w:tcPr>
            <w:tcW w:w="2127" w:type="dxa"/>
            <w:tcBorders>
              <w:top w:val="single" w:color="000000" w:sz="6" w:space="0"/>
              <w:left w:val="single" w:color="000000" w:sz="6" w:space="0"/>
              <w:bottom w:val="single" w:color="000000" w:sz="6" w:space="0"/>
              <w:right w:val="single" w:color="000000" w:sz="6" w:space="0"/>
            </w:tcBorders>
            <w:noWrap w:val="0"/>
            <w:vAlign w:val="center"/>
          </w:tcPr>
          <w:p w14:paraId="22537363">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000000"/>
                <w:kern w:val="0"/>
                <w:lang w:val="zh-CN"/>
              </w:rPr>
            </w:pPr>
            <w:r>
              <w:rPr>
                <w:rFonts w:hint="eastAsia" w:ascii="宋体" w:hAnsi="宋体" w:eastAsia="宋体" w:cs="宋体"/>
                <w:color w:val="000000"/>
                <w:kern w:val="0"/>
                <w:lang w:val="zh-CN"/>
              </w:rPr>
              <w:t>代理机构开户行</w:t>
            </w:r>
          </w:p>
        </w:tc>
        <w:tc>
          <w:tcPr>
            <w:tcW w:w="7001" w:type="dxa"/>
            <w:tcBorders>
              <w:top w:val="single" w:color="000000" w:sz="6" w:space="0"/>
              <w:left w:val="single" w:color="000000" w:sz="6" w:space="0"/>
              <w:bottom w:val="single" w:color="000000" w:sz="6" w:space="0"/>
              <w:right w:val="single" w:color="000000" w:sz="6" w:space="0"/>
            </w:tcBorders>
            <w:noWrap w:val="0"/>
            <w:vAlign w:val="center"/>
          </w:tcPr>
          <w:p w14:paraId="2F0C6811">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000000"/>
                <w:kern w:val="0"/>
                <w:lang w:val="zh-CN"/>
              </w:rPr>
            </w:pPr>
            <w:r>
              <w:rPr>
                <w:rFonts w:hint="eastAsia" w:ascii="宋体" w:hAnsi="宋体" w:eastAsia="宋体" w:cs="宋体"/>
              </w:rPr>
              <w:t>青海银行股份有限公司海湖新区支行</w:t>
            </w:r>
          </w:p>
        </w:tc>
      </w:tr>
      <w:tr w14:paraId="1B6676C1">
        <w:tblPrEx>
          <w:tblCellMar>
            <w:top w:w="0" w:type="dxa"/>
            <w:left w:w="108" w:type="dxa"/>
            <w:bottom w:w="0" w:type="dxa"/>
            <w:right w:w="108" w:type="dxa"/>
          </w:tblCellMar>
        </w:tblPrEx>
        <w:trPr>
          <w:trHeight w:val="23" w:hRule="atLeast"/>
          <w:jc w:val="center"/>
        </w:trPr>
        <w:tc>
          <w:tcPr>
            <w:tcW w:w="2127" w:type="dxa"/>
            <w:tcBorders>
              <w:top w:val="single" w:color="000000" w:sz="6" w:space="0"/>
              <w:left w:val="single" w:color="000000" w:sz="6" w:space="0"/>
              <w:bottom w:val="single" w:color="000000" w:sz="6" w:space="0"/>
              <w:right w:val="single" w:color="000000" w:sz="6" w:space="0"/>
            </w:tcBorders>
            <w:noWrap w:val="0"/>
            <w:vAlign w:val="center"/>
          </w:tcPr>
          <w:p w14:paraId="195D1AF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000000"/>
                <w:kern w:val="0"/>
                <w:lang w:val="zh-CN"/>
              </w:rPr>
            </w:pPr>
            <w:r>
              <w:rPr>
                <w:rFonts w:hint="eastAsia" w:ascii="宋体" w:hAnsi="宋体" w:eastAsia="宋体" w:cs="宋体"/>
                <w:color w:val="000000"/>
                <w:kern w:val="0"/>
                <w:lang w:val="zh-CN"/>
              </w:rPr>
              <w:t>收款人</w:t>
            </w:r>
          </w:p>
        </w:tc>
        <w:tc>
          <w:tcPr>
            <w:tcW w:w="7001" w:type="dxa"/>
            <w:tcBorders>
              <w:top w:val="single" w:color="000000" w:sz="6" w:space="0"/>
              <w:left w:val="single" w:color="000000" w:sz="6" w:space="0"/>
              <w:bottom w:val="single" w:color="000000" w:sz="6" w:space="0"/>
              <w:right w:val="single" w:color="000000" w:sz="6" w:space="0"/>
            </w:tcBorders>
            <w:noWrap w:val="0"/>
            <w:vAlign w:val="center"/>
          </w:tcPr>
          <w:p w14:paraId="120D5457">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000000"/>
                <w:kern w:val="0"/>
                <w:lang w:val="zh-CN"/>
              </w:rPr>
            </w:pPr>
            <w:r>
              <w:rPr>
                <w:rFonts w:hint="eastAsia" w:ascii="宋体" w:hAnsi="宋体" w:eastAsia="宋体" w:cs="宋体"/>
                <w:color w:val="000000"/>
                <w:kern w:val="0"/>
                <w:lang w:val="zh-CN"/>
              </w:rPr>
              <w:t>青海君昱工程项目管理有限公司</w:t>
            </w:r>
          </w:p>
        </w:tc>
      </w:tr>
      <w:tr w14:paraId="518C9BC2">
        <w:tblPrEx>
          <w:tblCellMar>
            <w:top w:w="0" w:type="dxa"/>
            <w:left w:w="108" w:type="dxa"/>
            <w:bottom w:w="0" w:type="dxa"/>
            <w:right w:w="108" w:type="dxa"/>
          </w:tblCellMar>
        </w:tblPrEx>
        <w:trPr>
          <w:trHeight w:val="23" w:hRule="atLeast"/>
          <w:jc w:val="center"/>
        </w:trPr>
        <w:tc>
          <w:tcPr>
            <w:tcW w:w="2127" w:type="dxa"/>
            <w:tcBorders>
              <w:top w:val="single" w:color="000000" w:sz="6" w:space="0"/>
              <w:left w:val="single" w:color="000000" w:sz="6" w:space="0"/>
              <w:bottom w:val="single" w:color="000000" w:sz="6" w:space="0"/>
              <w:right w:val="single" w:color="000000" w:sz="6" w:space="0"/>
            </w:tcBorders>
            <w:noWrap w:val="0"/>
            <w:vAlign w:val="center"/>
          </w:tcPr>
          <w:p w14:paraId="0B434FD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000000"/>
                <w:kern w:val="0"/>
                <w:lang w:val="zh-CN"/>
              </w:rPr>
            </w:pPr>
            <w:r>
              <w:rPr>
                <w:rFonts w:hint="eastAsia" w:ascii="宋体" w:hAnsi="宋体" w:eastAsia="宋体" w:cs="宋体"/>
                <w:color w:val="000000"/>
                <w:kern w:val="0"/>
                <w:lang w:val="zh-CN"/>
              </w:rPr>
              <w:t>银行账号</w:t>
            </w:r>
          </w:p>
        </w:tc>
        <w:tc>
          <w:tcPr>
            <w:tcW w:w="7001" w:type="dxa"/>
            <w:tcBorders>
              <w:top w:val="single" w:color="000000" w:sz="6" w:space="0"/>
              <w:left w:val="single" w:color="000000" w:sz="6" w:space="0"/>
              <w:bottom w:val="single" w:color="000000" w:sz="6" w:space="0"/>
              <w:right w:val="single" w:color="000000" w:sz="6" w:space="0"/>
            </w:tcBorders>
            <w:noWrap w:val="0"/>
            <w:vAlign w:val="center"/>
          </w:tcPr>
          <w:p w14:paraId="6ACB2B1A">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000000"/>
                <w:kern w:val="0"/>
                <w:lang w:val="zh-CN"/>
              </w:rPr>
            </w:pPr>
            <w:r>
              <w:rPr>
                <w:rFonts w:hint="eastAsia" w:ascii="宋体" w:hAnsi="宋体" w:eastAsia="宋体" w:cs="宋体"/>
              </w:rPr>
              <w:t>0701 2010 0018 1513</w:t>
            </w:r>
          </w:p>
        </w:tc>
      </w:tr>
      <w:tr w14:paraId="723ADEAA">
        <w:tblPrEx>
          <w:tblCellMar>
            <w:top w:w="0" w:type="dxa"/>
            <w:left w:w="108" w:type="dxa"/>
            <w:bottom w:w="0" w:type="dxa"/>
            <w:right w:w="108" w:type="dxa"/>
          </w:tblCellMar>
        </w:tblPrEx>
        <w:trPr>
          <w:trHeight w:val="23" w:hRule="atLeast"/>
          <w:jc w:val="center"/>
        </w:trPr>
        <w:tc>
          <w:tcPr>
            <w:tcW w:w="2127" w:type="dxa"/>
            <w:tcBorders>
              <w:top w:val="single" w:color="000000" w:sz="6" w:space="0"/>
              <w:left w:val="single" w:color="000000" w:sz="6" w:space="0"/>
              <w:bottom w:val="single" w:color="000000" w:sz="6" w:space="0"/>
              <w:right w:val="single" w:color="000000" w:sz="6" w:space="0"/>
            </w:tcBorders>
            <w:noWrap w:val="0"/>
            <w:vAlign w:val="center"/>
          </w:tcPr>
          <w:p w14:paraId="35E36C3D">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000000"/>
                <w:kern w:val="0"/>
                <w:lang w:val="zh-CN"/>
              </w:rPr>
            </w:pPr>
            <w:r>
              <w:rPr>
                <w:rFonts w:hint="eastAsia" w:ascii="宋体" w:hAnsi="宋体" w:eastAsia="宋体" w:cs="宋体"/>
                <w:color w:val="000000"/>
                <w:kern w:val="0"/>
                <w:lang w:val="zh-CN"/>
              </w:rPr>
              <w:t>其他事项</w:t>
            </w:r>
          </w:p>
        </w:tc>
        <w:tc>
          <w:tcPr>
            <w:tcW w:w="7001" w:type="dxa"/>
            <w:tcBorders>
              <w:top w:val="single" w:color="000000" w:sz="6" w:space="0"/>
              <w:left w:val="single" w:color="000000" w:sz="6" w:space="0"/>
              <w:bottom w:val="single" w:color="000000" w:sz="6" w:space="0"/>
              <w:right w:val="single" w:color="000000" w:sz="6" w:space="0"/>
            </w:tcBorders>
            <w:noWrap w:val="0"/>
            <w:vAlign w:val="center"/>
          </w:tcPr>
          <w:p w14:paraId="58B8EE59">
            <w:pPr>
              <w:keepNext w:val="0"/>
              <w:keepLines w:val="0"/>
              <w:numPr>
                <w:ilvl w:val="0"/>
                <w:numId w:val="1"/>
              </w:numPr>
              <w:suppressLineNumbers w:val="0"/>
              <w:autoSpaceDE w:val="0"/>
              <w:autoSpaceDN w:val="0"/>
              <w:adjustRightInd w:val="0"/>
              <w:spacing w:before="0" w:beforeAutospacing="0" w:after="0" w:afterAutospacing="0" w:line="360" w:lineRule="auto"/>
              <w:ind w:left="0" w:right="0"/>
              <w:rPr>
                <w:rFonts w:hint="eastAsia" w:ascii="宋体" w:hAnsi="宋体" w:eastAsia="宋体" w:cs="宋体"/>
                <w:szCs w:val="28"/>
              </w:rPr>
            </w:pPr>
            <w:r>
              <w:rPr>
                <w:rFonts w:hint="eastAsia" w:ascii="宋体" w:hAnsi="宋体" w:eastAsia="宋体" w:cs="宋体"/>
                <w:szCs w:val="28"/>
              </w:rPr>
              <w:t>本公告在</w:t>
            </w:r>
            <w:r>
              <w:rPr>
                <w:rFonts w:hint="eastAsia" w:ascii="宋体" w:hAnsi="宋体" w:eastAsia="宋体" w:cs="宋体"/>
                <w:color w:val="auto"/>
                <w:szCs w:val="28"/>
              </w:rPr>
              <w:t>《青海政府采购网》</w:t>
            </w:r>
            <w:r>
              <w:rPr>
                <w:rFonts w:hint="eastAsia" w:ascii="宋体" w:hAnsi="宋体" w:eastAsia="宋体" w:cs="宋体"/>
                <w:szCs w:val="28"/>
                <w:lang w:eastAsia="zh-CN"/>
              </w:rPr>
              <w:t>《</w:t>
            </w:r>
            <w:r>
              <w:rPr>
                <w:rFonts w:hint="eastAsia" w:ascii="宋体" w:hAnsi="宋体" w:eastAsia="宋体" w:cs="宋体"/>
                <w:sz w:val="24"/>
                <w:szCs w:val="24"/>
              </w:rPr>
              <w:t>青海</w:t>
            </w:r>
            <w:r>
              <w:rPr>
                <w:rFonts w:hint="eastAsia" w:ascii="宋体" w:hAnsi="宋体" w:eastAsia="宋体" w:cs="宋体"/>
                <w:sz w:val="24"/>
                <w:szCs w:val="24"/>
                <w:lang w:val="en-US" w:eastAsia="zh-CN"/>
              </w:rPr>
              <w:t>项目信息网</w:t>
            </w:r>
            <w:r>
              <w:rPr>
                <w:rFonts w:hint="eastAsia" w:ascii="宋体" w:hAnsi="宋体" w:eastAsia="宋体" w:cs="宋体"/>
                <w:szCs w:val="28"/>
                <w:lang w:eastAsia="zh-CN"/>
              </w:rPr>
              <w:t>》</w:t>
            </w:r>
            <w:r>
              <w:rPr>
                <w:rFonts w:hint="eastAsia" w:ascii="宋体" w:hAnsi="宋体" w:eastAsia="宋体" w:cs="宋体"/>
                <w:szCs w:val="28"/>
              </w:rPr>
              <w:t>发布，以《青海政府采购网》发布为准。</w:t>
            </w:r>
          </w:p>
          <w:p w14:paraId="66C12B37">
            <w:pPr>
              <w:keepNext w:val="0"/>
              <w:keepLines w:val="0"/>
              <w:numPr>
                <w:ilvl w:val="0"/>
                <w:numId w:val="1"/>
              </w:numPr>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000000"/>
                <w:kern w:val="0"/>
                <w:lang w:val="zh-CN"/>
              </w:rPr>
            </w:pPr>
            <w:r>
              <w:rPr>
                <w:rFonts w:hint="eastAsia" w:ascii="宋体" w:hAnsi="宋体" w:eastAsia="宋体" w:cs="宋体"/>
                <w:szCs w:val="28"/>
              </w:rPr>
              <w:t>本次招标采用线上提交响应文件的方式进行采购，线上响应文件必须在响应文件递交截止时间前上传平台。</w:t>
            </w:r>
          </w:p>
          <w:p w14:paraId="19985140">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000000"/>
                <w:kern w:val="0"/>
                <w:lang w:val="zh-CN"/>
              </w:rPr>
            </w:pPr>
            <w:r>
              <w:rPr>
                <w:rFonts w:hint="eastAsia" w:ascii="宋体" w:hAnsi="宋体" w:eastAsia="宋体" w:cs="宋体"/>
                <w:szCs w:val="28"/>
              </w:rPr>
              <w:t>3.若对项目采购电子交易系统操作有疑问，可登录政采云（https://www.zcygov.cn/），点击右侧咨询小采，获取采小蜜智能服务管家帮助，或拨打政采云服务热线95763获取热线服务帮助。CA咨询电话：PC咨询网址（可及时反馈问题截图，让客服快速定位问题）：http://tseal.cn/k.html。</w:t>
            </w:r>
          </w:p>
        </w:tc>
      </w:tr>
      <w:tr w14:paraId="40F08FFC">
        <w:tblPrEx>
          <w:tblCellMar>
            <w:top w:w="0" w:type="dxa"/>
            <w:left w:w="108" w:type="dxa"/>
            <w:bottom w:w="0" w:type="dxa"/>
            <w:right w:w="108" w:type="dxa"/>
          </w:tblCellMar>
        </w:tblPrEx>
        <w:trPr>
          <w:trHeight w:val="879" w:hRule="atLeast"/>
          <w:jc w:val="center"/>
        </w:trPr>
        <w:tc>
          <w:tcPr>
            <w:tcW w:w="2127" w:type="dxa"/>
            <w:tcBorders>
              <w:top w:val="single" w:color="000000" w:sz="6" w:space="0"/>
              <w:left w:val="single" w:color="000000" w:sz="6" w:space="0"/>
              <w:bottom w:val="single" w:color="000000" w:sz="6" w:space="0"/>
              <w:right w:val="single" w:color="000000" w:sz="6" w:space="0"/>
            </w:tcBorders>
            <w:noWrap w:val="0"/>
            <w:vAlign w:val="center"/>
          </w:tcPr>
          <w:p w14:paraId="07E10EEB">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000000"/>
                <w:kern w:val="0"/>
                <w:lang w:val="zh-CN"/>
              </w:rPr>
            </w:pPr>
            <w:r>
              <w:rPr>
                <w:rFonts w:hint="eastAsia" w:ascii="宋体" w:hAnsi="宋体" w:eastAsia="宋体" w:cs="宋体"/>
                <w:color w:val="000000"/>
                <w:kern w:val="0"/>
                <w:lang w:val="zh-CN"/>
              </w:rPr>
              <w:t>财政监督部门及电话</w:t>
            </w:r>
          </w:p>
        </w:tc>
        <w:tc>
          <w:tcPr>
            <w:tcW w:w="7001" w:type="dxa"/>
            <w:tcBorders>
              <w:top w:val="single" w:color="000000" w:sz="6" w:space="0"/>
              <w:left w:val="single" w:color="000000" w:sz="6" w:space="0"/>
              <w:bottom w:val="single" w:color="000000" w:sz="6" w:space="0"/>
              <w:right w:val="single" w:color="000000" w:sz="6" w:space="0"/>
            </w:tcBorders>
            <w:noWrap w:val="0"/>
            <w:vAlign w:val="center"/>
          </w:tcPr>
          <w:p w14:paraId="7A2A1F8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宋体"/>
                <w:szCs w:val="28"/>
                <w:lang w:val="en-US" w:eastAsia="zh-CN"/>
              </w:rPr>
            </w:pPr>
            <w:r>
              <w:rPr>
                <w:rFonts w:hint="eastAsia" w:ascii="宋体" w:hAnsi="宋体" w:eastAsia="宋体" w:cs="宋体"/>
                <w:lang w:val="zh-CN"/>
              </w:rPr>
              <w:t>单</w:t>
            </w:r>
            <w:r>
              <w:rPr>
                <w:rFonts w:hint="eastAsia" w:ascii="宋体" w:hAnsi="宋体" w:eastAsia="宋体" w:cs="宋体"/>
                <w:szCs w:val="28"/>
                <w:lang w:val="zh-CN"/>
              </w:rPr>
              <w:t>位名称：</w:t>
            </w:r>
            <w:r>
              <w:rPr>
                <w:rFonts w:hint="eastAsia" w:ascii="宋体" w:hAnsi="宋体" w:eastAsia="宋体" w:cs="宋体"/>
                <w:szCs w:val="28"/>
                <w:lang w:val="en-US" w:eastAsia="zh-CN"/>
              </w:rPr>
              <w:t>尖扎县财政局</w:t>
            </w:r>
          </w:p>
          <w:p w14:paraId="4423F920">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000000"/>
                <w:kern w:val="0"/>
              </w:rPr>
            </w:pPr>
            <w:r>
              <w:rPr>
                <w:rFonts w:hint="eastAsia" w:ascii="宋体" w:hAnsi="宋体" w:eastAsia="宋体" w:cs="宋体"/>
                <w:szCs w:val="28"/>
                <w:lang w:val="zh-CN"/>
              </w:rPr>
              <w:t>联系电话：</w:t>
            </w:r>
            <w:r>
              <w:rPr>
                <w:rFonts w:hint="eastAsia" w:ascii="宋体" w:hAnsi="宋体" w:eastAsia="宋体" w:cs="宋体"/>
                <w:color w:val="auto"/>
                <w:szCs w:val="28"/>
              </w:rPr>
              <w:t>0973-8733917</w:t>
            </w:r>
          </w:p>
        </w:tc>
      </w:tr>
    </w:tbl>
    <w:p w14:paraId="4C824D4F">
      <w:pPr>
        <w:pStyle w:val="23"/>
        <w:spacing w:before="0" w:after="0" w:line="360" w:lineRule="auto"/>
        <w:rPr>
          <w:rFonts w:hint="eastAsia" w:ascii="宋体" w:hAnsi="宋体" w:eastAsia="宋体" w:cs="宋体"/>
          <w:color w:val="000000"/>
          <w:szCs w:val="36"/>
        </w:rPr>
      </w:pPr>
      <w:bookmarkStart w:id="1" w:name="_Toc428180535"/>
      <w:r>
        <w:rPr>
          <w:rFonts w:hint="eastAsia" w:ascii="宋体" w:hAnsi="宋体" w:eastAsia="宋体" w:cs="宋体"/>
          <w:color w:val="000000"/>
          <w:lang w:val="zh-CN"/>
        </w:rPr>
        <w:br w:type="page"/>
      </w:r>
      <w:bookmarkEnd w:id="1"/>
      <w:bookmarkStart w:id="2" w:name="_Toc23887"/>
      <w:r>
        <w:rPr>
          <w:rFonts w:hint="eastAsia" w:ascii="宋体" w:hAnsi="宋体" w:eastAsia="宋体" w:cs="宋体"/>
          <w:color w:val="000000"/>
          <w:szCs w:val="36"/>
          <w:lang w:val="zh-CN"/>
        </w:rPr>
        <w:t>第二部分  投标人须知</w:t>
      </w:r>
      <w:bookmarkEnd w:id="2"/>
    </w:p>
    <w:p w14:paraId="2E70062A">
      <w:pPr>
        <w:pStyle w:val="23"/>
        <w:spacing w:before="0" w:after="0" w:line="360" w:lineRule="auto"/>
        <w:rPr>
          <w:rFonts w:hint="eastAsia" w:ascii="宋体" w:hAnsi="宋体" w:eastAsia="宋体" w:cs="宋体"/>
          <w:color w:val="000000"/>
        </w:rPr>
      </w:pPr>
      <w:bookmarkStart w:id="3" w:name="_Toc3028"/>
      <w:r>
        <w:rPr>
          <w:rFonts w:hint="eastAsia" w:ascii="宋体" w:hAnsi="宋体" w:eastAsia="宋体" w:cs="宋体"/>
          <w:color w:val="000000"/>
          <w:lang w:val="zh-CN"/>
        </w:rPr>
        <w:t>一、说明</w:t>
      </w:r>
      <w:bookmarkEnd w:id="3"/>
    </w:p>
    <w:p w14:paraId="200D9941">
      <w:pPr>
        <w:pStyle w:val="23"/>
        <w:spacing w:before="0" w:after="0" w:line="360" w:lineRule="auto"/>
        <w:jc w:val="left"/>
        <w:rPr>
          <w:rFonts w:hint="eastAsia" w:ascii="宋体" w:hAnsi="宋体" w:eastAsia="宋体" w:cs="宋体"/>
          <w:color w:val="000000"/>
          <w:lang w:val="zh-CN"/>
        </w:rPr>
      </w:pPr>
      <w:bookmarkStart w:id="4" w:name="_Toc31539"/>
      <w:r>
        <w:rPr>
          <w:rFonts w:hint="eastAsia" w:ascii="宋体" w:hAnsi="宋体" w:eastAsia="宋体" w:cs="宋体"/>
          <w:color w:val="000000"/>
          <w:sz w:val="28"/>
          <w:szCs w:val="28"/>
          <w:lang w:val="zh-CN"/>
        </w:rPr>
        <w:t>1.适用范围</w:t>
      </w:r>
      <w:bookmarkEnd w:id="4"/>
    </w:p>
    <w:p w14:paraId="2939B865">
      <w:pPr>
        <w:autoSpaceDE w:val="0"/>
        <w:autoSpaceDN w:val="0"/>
        <w:spacing w:line="360" w:lineRule="auto"/>
        <w:ind w:firstLine="360" w:firstLineChars="150"/>
        <w:rPr>
          <w:rFonts w:hint="eastAsia" w:ascii="宋体" w:hAnsi="宋体" w:eastAsia="宋体" w:cs="宋体"/>
          <w:color w:val="000000"/>
          <w:kern w:val="0"/>
          <w:lang w:val="zh-CN"/>
        </w:rPr>
      </w:pPr>
      <w:r>
        <w:rPr>
          <w:rFonts w:hint="eastAsia" w:ascii="宋体" w:hAnsi="宋体" w:eastAsia="宋体" w:cs="宋体"/>
          <w:color w:val="000000"/>
          <w:kern w:val="0"/>
          <w:lang w:val="zh-CN"/>
        </w:rPr>
        <w:t>本次招标依据采购人的采购计划，仅适用于本招标文件中所叙述的项目。</w:t>
      </w:r>
    </w:p>
    <w:p w14:paraId="207B52E2">
      <w:pPr>
        <w:pStyle w:val="23"/>
        <w:spacing w:before="0" w:after="0" w:line="360" w:lineRule="auto"/>
        <w:jc w:val="left"/>
        <w:rPr>
          <w:rFonts w:hint="eastAsia" w:ascii="宋体" w:hAnsi="宋体" w:eastAsia="宋体" w:cs="宋体"/>
          <w:color w:val="000000"/>
          <w:lang w:val="zh-CN"/>
        </w:rPr>
      </w:pPr>
      <w:bookmarkStart w:id="5" w:name="_Toc15040"/>
      <w:r>
        <w:rPr>
          <w:rFonts w:hint="eastAsia" w:ascii="宋体" w:hAnsi="宋体" w:eastAsia="宋体" w:cs="宋体"/>
          <w:color w:val="000000"/>
          <w:sz w:val="28"/>
          <w:szCs w:val="28"/>
          <w:lang w:val="zh-CN"/>
        </w:rPr>
        <w:t>2.采购方式、合格的投标人</w:t>
      </w:r>
      <w:bookmarkEnd w:id="5"/>
    </w:p>
    <w:p w14:paraId="44E84AB9">
      <w:pPr>
        <w:autoSpaceDE w:val="0"/>
        <w:autoSpaceDN w:val="0"/>
        <w:spacing w:line="360" w:lineRule="auto"/>
        <w:ind w:firstLine="360" w:firstLineChars="150"/>
        <w:rPr>
          <w:rFonts w:hint="eastAsia" w:ascii="宋体" w:hAnsi="宋体" w:eastAsia="宋体" w:cs="宋体"/>
          <w:b/>
          <w:bCs/>
          <w:color w:val="000000"/>
          <w:kern w:val="0"/>
          <w:lang w:val="zh-CN"/>
        </w:rPr>
      </w:pPr>
      <w:r>
        <w:rPr>
          <w:rFonts w:hint="eastAsia" w:ascii="宋体" w:hAnsi="宋体" w:eastAsia="宋体" w:cs="宋体"/>
          <w:color w:val="000000"/>
          <w:kern w:val="0"/>
          <w:lang w:val="zh-CN"/>
        </w:rPr>
        <w:t>2.1</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本次招标采取公开招标方式。</w:t>
      </w:r>
    </w:p>
    <w:p w14:paraId="17CB3EA9">
      <w:pPr>
        <w:autoSpaceDE w:val="0"/>
        <w:autoSpaceDN w:val="0"/>
        <w:spacing w:line="360" w:lineRule="auto"/>
        <w:ind w:firstLine="360" w:firstLineChars="150"/>
        <w:rPr>
          <w:rFonts w:hint="eastAsia" w:ascii="宋体" w:hAnsi="宋体" w:eastAsia="宋体" w:cs="宋体"/>
          <w:color w:val="000000"/>
          <w:kern w:val="0"/>
          <w:lang w:val="zh-CN"/>
        </w:rPr>
      </w:pPr>
      <w:r>
        <w:rPr>
          <w:rFonts w:hint="eastAsia" w:ascii="宋体" w:hAnsi="宋体" w:eastAsia="宋体" w:cs="宋体"/>
          <w:color w:val="000000"/>
          <w:kern w:val="0"/>
          <w:lang w:val="zh-CN"/>
        </w:rPr>
        <w:t>2.2</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合格的投标人：详见第一部分</w:t>
      </w:r>
      <w:r>
        <w:rPr>
          <w:rFonts w:hint="eastAsia" w:ascii="宋体" w:hAnsi="宋体" w:eastAsia="宋体" w:cs="宋体"/>
          <w:color w:val="000000"/>
          <w:kern w:val="0"/>
        </w:rPr>
        <w:t>“</w:t>
      </w:r>
      <w:r>
        <w:rPr>
          <w:rFonts w:hint="eastAsia" w:ascii="宋体" w:hAnsi="宋体" w:eastAsia="宋体" w:cs="宋体"/>
          <w:color w:val="000000"/>
          <w:kern w:val="0"/>
          <w:lang w:val="zh-CN"/>
        </w:rPr>
        <w:t>各包投标人资格要求</w:t>
      </w:r>
      <w:r>
        <w:rPr>
          <w:rFonts w:hint="eastAsia" w:ascii="宋体" w:hAnsi="宋体" w:eastAsia="宋体" w:cs="宋体"/>
          <w:color w:val="000000"/>
          <w:kern w:val="0"/>
        </w:rPr>
        <w:t>”。</w:t>
      </w:r>
    </w:p>
    <w:p w14:paraId="6021AB5B">
      <w:pPr>
        <w:pStyle w:val="23"/>
        <w:spacing w:before="0" w:after="0" w:line="360" w:lineRule="auto"/>
        <w:jc w:val="left"/>
        <w:rPr>
          <w:rFonts w:hint="eastAsia" w:ascii="宋体" w:hAnsi="宋体" w:eastAsia="宋体" w:cs="宋体"/>
          <w:color w:val="000000"/>
          <w:lang w:val="zh-CN"/>
        </w:rPr>
      </w:pPr>
      <w:bookmarkStart w:id="6" w:name="_Toc6092"/>
      <w:r>
        <w:rPr>
          <w:rFonts w:hint="eastAsia" w:ascii="宋体" w:hAnsi="宋体" w:eastAsia="宋体" w:cs="宋体"/>
          <w:color w:val="000000"/>
          <w:sz w:val="28"/>
          <w:szCs w:val="28"/>
          <w:lang w:val="zh-CN"/>
        </w:rPr>
        <w:t>3.投标费用</w:t>
      </w:r>
      <w:bookmarkEnd w:id="6"/>
    </w:p>
    <w:p w14:paraId="06D4935E">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投标人应自愿承担与参加本次投标有关的费用。采购代理机构对投标人发生的费用不承担任何责任。</w:t>
      </w:r>
    </w:p>
    <w:p w14:paraId="10581E1B">
      <w:pPr>
        <w:pStyle w:val="23"/>
        <w:spacing w:before="0" w:after="0" w:line="360" w:lineRule="auto"/>
        <w:rPr>
          <w:rFonts w:hint="eastAsia" w:ascii="宋体" w:hAnsi="宋体" w:eastAsia="宋体" w:cs="宋体"/>
          <w:color w:val="000000"/>
        </w:rPr>
      </w:pPr>
      <w:bookmarkStart w:id="7" w:name="_Toc8063"/>
      <w:r>
        <w:rPr>
          <w:rFonts w:hint="eastAsia" w:ascii="宋体" w:hAnsi="宋体" w:eastAsia="宋体" w:cs="宋体"/>
          <w:color w:val="000000"/>
          <w:lang w:val="zh-CN"/>
        </w:rPr>
        <w:t>二、招标文件说明</w:t>
      </w:r>
      <w:bookmarkEnd w:id="7"/>
    </w:p>
    <w:p w14:paraId="318E8590">
      <w:pPr>
        <w:pStyle w:val="23"/>
        <w:spacing w:before="0" w:after="0" w:line="360" w:lineRule="auto"/>
        <w:jc w:val="left"/>
        <w:rPr>
          <w:rFonts w:hint="eastAsia" w:ascii="宋体" w:hAnsi="宋体" w:eastAsia="宋体" w:cs="宋体"/>
          <w:color w:val="000000"/>
          <w:lang w:val="zh-CN"/>
        </w:rPr>
      </w:pPr>
      <w:bookmarkStart w:id="8" w:name="_Toc5655"/>
      <w:r>
        <w:rPr>
          <w:rFonts w:hint="eastAsia" w:ascii="宋体" w:hAnsi="宋体" w:eastAsia="宋体" w:cs="宋体"/>
          <w:color w:val="000000"/>
          <w:sz w:val="28"/>
          <w:szCs w:val="28"/>
          <w:lang w:val="zh-CN"/>
        </w:rPr>
        <w:t>4.招标文件的构成</w:t>
      </w:r>
      <w:bookmarkEnd w:id="8"/>
    </w:p>
    <w:p w14:paraId="21019A12">
      <w:pPr>
        <w:autoSpaceDE w:val="0"/>
        <w:autoSpaceDN w:val="0"/>
        <w:spacing w:line="360" w:lineRule="auto"/>
        <w:ind w:firstLine="360" w:firstLineChars="150"/>
        <w:rPr>
          <w:rFonts w:hint="eastAsia" w:ascii="宋体" w:hAnsi="宋体" w:eastAsia="宋体" w:cs="宋体"/>
          <w:color w:val="000000"/>
          <w:kern w:val="0"/>
          <w:lang w:val="zh-CN"/>
        </w:rPr>
      </w:pPr>
      <w:r>
        <w:rPr>
          <w:rFonts w:hint="eastAsia" w:ascii="宋体" w:hAnsi="宋体" w:eastAsia="宋体" w:cs="宋体"/>
          <w:color w:val="000000"/>
          <w:kern w:val="0"/>
          <w:lang w:val="zh-CN"/>
        </w:rPr>
        <w:t>4.1</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招标文件包括：</w:t>
      </w:r>
    </w:p>
    <w:p w14:paraId="69A0700A">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（1）投标邀请</w:t>
      </w:r>
    </w:p>
    <w:p w14:paraId="3012462E">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w:t>
      </w:r>
      <w:r>
        <w:rPr>
          <w:rFonts w:hint="eastAsia" w:ascii="宋体" w:hAnsi="宋体" w:eastAsia="宋体" w:cs="宋体"/>
          <w:color w:val="000000"/>
          <w:kern w:val="0"/>
        </w:rPr>
        <w:t>2</w:t>
      </w:r>
      <w:r>
        <w:rPr>
          <w:rFonts w:hint="eastAsia" w:ascii="宋体" w:hAnsi="宋体" w:eastAsia="宋体" w:cs="宋体"/>
          <w:color w:val="000000"/>
          <w:kern w:val="0"/>
          <w:lang w:val="zh-CN"/>
        </w:rPr>
        <w:t>）投标人须知</w:t>
      </w:r>
    </w:p>
    <w:p w14:paraId="5100E4FC">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w:t>
      </w:r>
      <w:r>
        <w:rPr>
          <w:rFonts w:hint="eastAsia" w:ascii="宋体" w:hAnsi="宋体" w:eastAsia="宋体" w:cs="宋体"/>
          <w:color w:val="000000"/>
          <w:kern w:val="0"/>
        </w:rPr>
        <w:t>3</w:t>
      </w:r>
      <w:r>
        <w:rPr>
          <w:rFonts w:hint="eastAsia" w:ascii="宋体" w:hAnsi="宋体" w:eastAsia="宋体" w:cs="宋体"/>
          <w:color w:val="000000"/>
          <w:kern w:val="0"/>
          <w:lang w:val="zh-CN"/>
        </w:rPr>
        <w:t>）青海省政府采购项目合同书范本</w:t>
      </w:r>
    </w:p>
    <w:p w14:paraId="0C973C68">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w:t>
      </w:r>
      <w:r>
        <w:rPr>
          <w:rFonts w:hint="eastAsia" w:ascii="宋体" w:hAnsi="宋体" w:eastAsia="宋体" w:cs="宋体"/>
          <w:color w:val="000000"/>
          <w:kern w:val="0"/>
        </w:rPr>
        <w:t>4</w:t>
      </w:r>
      <w:r>
        <w:rPr>
          <w:rFonts w:hint="eastAsia" w:ascii="宋体" w:hAnsi="宋体" w:eastAsia="宋体" w:cs="宋体"/>
          <w:color w:val="000000"/>
          <w:kern w:val="0"/>
          <w:lang w:val="zh-CN"/>
        </w:rPr>
        <w:t>）投标文件格式</w:t>
      </w:r>
    </w:p>
    <w:p w14:paraId="292E6FCC">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w:t>
      </w:r>
      <w:r>
        <w:rPr>
          <w:rFonts w:hint="eastAsia" w:ascii="宋体" w:hAnsi="宋体" w:eastAsia="宋体" w:cs="宋体"/>
          <w:color w:val="000000"/>
          <w:kern w:val="0"/>
        </w:rPr>
        <w:t>5</w:t>
      </w:r>
      <w:r>
        <w:rPr>
          <w:rFonts w:hint="eastAsia" w:ascii="宋体" w:hAnsi="宋体" w:eastAsia="宋体" w:cs="宋体"/>
          <w:color w:val="000000"/>
          <w:kern w:val="0"/>
          <w:lang w:val="zh-CN"/>
        </w:rPr>
        <w:t>）采购项目要求及技术参数</w:t>
      </w:r>
    </w:p>
    <w:p w14:paraId="6724CB8F">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w:t>
      </w:r>
      <w:r>
        <w:rPr>
          <w:rFonts w:hint="eastAsia" w:ascii="宋体" w:hAnsi="宋体" w:eastAsia="宋体" w:cs="宋体"/>
          <w:color w:val="000000"/>
          <w:kern w:val="0"/>
        </w:rPr>
        <w:t>6</w:t>
      </w:r>
      <w:r>
        <w:rPr>
          <w:rFonts w:hint="eastAsia" w:ascii="宋体" w:hAnsi="宋体" w:eastAsia="宋体" w:cs="宋体"/>
          <w:color w:val="000000"/>
          <w:kern w:val="0"/>
          <w:lang w:val="zh-CN"/>
        </w:rPr>
        <w:t>）采购过程中发生的澄清、变更和补充文件</w:t>
      </w:r>
    </w:p>
    <w:p w14:paraId="79D43103">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 xml:space="preserve">4.2 </w:t>
      </w:r>
      <w:r>
        <w:rPr>
          <w:rFonts w:hint="eastAsia" w:ascii="宋体" w:hAnsi="宋体" w:eastAsia="宋体" w:cs="宋体"/>
          <w:kern w:val="0"/>
        </w:rPr>
        <w:t>投标人应当按照招标文件的要求编制投标文件。投标文件应当对招标文件提出的要求和条件作出明确响应。</w:t>
      </w:r>
    </w:p>
    <w:p w14:paraId="04FFE012">
      <w:pPr>
        <w:pStyle w:val="23"/>
        <w:spacing w:before="0" w:after="0" w:line="360" w:lineRule="auto"/>
        <w:jc w:val="left"/>
        <w:rPr>
          <w:rFonts w:hint="eastAsia" w:ascii="宋体" w:hAnsi="宋体" w:eastAsia="宋体" w:cs="宋体"/>
          <w:color w:val="000000"/>
          <w:sz w:val="28"/>
          <w:szCs w:val="28"/>
          <w:lang w:val="zh-CN"/>
        </w:rPr>
      </w:pPr>
      <w:bookmarkStart w:id="9" w:name="_Toc2730"/>
      <w:r>
        <w:rPr>
          <w:rFonts w:hint="eastAsia" w:ascii="宋体" w:hAnsi="宋体" w:eastAsia="宋体" w:cs="宋体"/>
          <w:color w:val="000000"/>
          <w:sz w:val="28"/>
          <w:szCs w:val="28"/>
          <w:lang w:val="zh-CN"/>
        </w:rPr>
        <w:t>5.招标文件、采购活动和中标结果的质疑</w:t>
      </w:r>
      <w:bookmarkEnd w:id="9"/>
    </w:p>
    <w:p w14:paraId="15F52CF1">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投标人认为招标文件、采购过程和中标结果使自己的权益受到损害的，可以在知道或者应知其权益受到损害之日起7个工作日内以书面形式（如信件、传真等）向采购人或者采购代理机构提出质疑，不接受匿名质疑。</w:t>
      </w:r>
      <w:r>
        <w:rPr>
          <w:rFonts w:hint="eastAsia" w:ascii="宋体" w:hAnsi="宋体" w:eastAsia="宋体" w:cs="宋体"/>
          <w:color w:val="000000"/>
        </w:rPr>
        <w:t>潜在供应商已依法获取其可质疑的采购文件的，可以对该文件提出质疑，对采购文件提出质疑的，应当在获取采购文件或者采购文件公告期限届满之日起7个工作日内提出</w:t>
      </w:r>
      <w:r>
        <w:rPr>
          <w:rFonts w:hint="eastAsia" w:ascii="宋体" w:hAnsi="宋体" w:eastAsia="宋体" w:cs="宋体"/>
          <w:color w:val="000000"/>
          <w:kern w:val="0"/>
          <w:lang w:bidi="ar"/>
        </w:rPr>
        <w:t>。</w:t>
      </w:r>
      <w:r>
        <w:rPr>
          <w:rFonts w:hint="eastAsia" w:ascii="宋体" w:hAnsi="宋体" w:eastAsia="宋体" w:cs="宋体"/>
          <w:color w:val="000000"/>
        </w:rPr>
        <w:t>供应商须在法定质疑期内一次性提出针对同一采购程序环节的质疑。</w:t>
      </w:r>
      <w:r>
        <w:rPr>
          <w:rFonts w:hint="eastAsia" w:ascii="宋体" w:hAnsi="宋体" w:eastAsia="宋体" w:cs="宋体"/>
          <w:color w:val="000000"/>
          <w:kern w:val="0"/>
          <w:lang w:val="zh-CN"/>
        </w:rPr>
        <w:t>采购人或采购代理机构在收到书面</w:t>
      </w:r>
      <w:r>
        <w:rPr>
          <w:rFonts w:hint="eastAsia" w:ascii="宋体" w:hAnsi="宋体" w:eastAsia="宋体" w:cs="宋体"/>
          <w:color w:val="000000"/>
        </w:rPr>
        <w:t>质疑函后7个工作日内作出答复</w:t>
      </w:r>
      <w:r>
        <w:rPr>
          <w:rFonts w:hint="eastAsia" w:ascii="宋体" w:hAnsi="宋体" w:eastAsia="宋体" w:cs="宋体"/>
          <w:color w:val="000000"/>
          <w:kern w:val="0"/>
          <w:lang w:val="zh-CN"/>
        </w:rPr>
        <w:t>。</w:t>
      </w:r>
    </w:p>
    <w:p w14:paraId="03E0924B">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14:paraId="62142B8E">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投标人应知其权益受到损害之日，是指：</w:t>
      </w:r>
    </w:p>
    <w:p w14:paraId="303897C2">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（一）对可以质疑的招标文件提出质疑的，为收到招标文件之日或者招标文件公告期限届满之日；</w:t>
      </w:r>
    </w:p>
    <w:p w14:paraId="74EEECA5">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（二）对采购过程提出质疑的，为各采购程序环节结束之日；</w:t>
      </w:r>
    </w:p>
    <w:p w14:paraId="40E03854">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（三）对中标结果提出质疑的，为中标结果公告期限届满之日。</w:t>
      </w:r>
    </w:p>
    <w:p w14:paraId="011A525C">
      <w:pPr>
        <w:pStyle w:val="23"/>
        <w:spacing w:before="0" w:after="0" w:line="360" w:lineRule="auto"/>
        <w:jc w:val="left"/>
        <w:rPr>
          <w:rFonts w:hint="eastAsia" w:ascii="宋体" w:hAnsi="宋体" w:eastAsia="宋体" w:cs="宋体"/>
          <w:color w:val="000000"/>
          <w:lang w:val="zh-CN"/>
        </w:rPr>
      </w:pPr>
      <w:bookmarkStart w:id="10" w:name="_Toc24464"/>
      <w:r>
        <w:rPr>
          <w:rFonts w:hint="eastAsia" w:ascii="宋体" w:hAnsi="宋体" w:eastAsia="宋体" w:cs="宋体"/>
          <w:color w:val="000000"/>
          <w:sz w:val="28"/>
          <w:szCs w:val="28"/>
          <w:lang w:val="zh-CN"/>
        </w:rPr>
        <w:t>6.招标文件的澄清或修改</w:t>
      </w:r>
      <w:bookmarkEnd w:id="10"/>
    </w:p>
    <w:p w14:paraId="50693FCA">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3524BEC6">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6.2 澄清或者修改的内容可能影响投标文件编制的，采购人或者采购代理机构应当在投标截止时间至少15日前，以书面形式通知所有获取招标文件的潜在投标人，并在发布本次招标公告的网站上发布变更公告；不足15日的，采购人或者采购代理机构应当顺延提交投标文件的截止时间。</w:t>
      </w:r>
    </w:p>
    <w:p w14:paraId="103D864C">
      <w:pPr>
        <w:pStyle w:val="23"/>
        <w:spacing w:before="0" w:after="0" w:line="360" w:lineRule="auto"/>
        <w:rPr>
          <w:rFonts w:hint="eastAsia" w:ascii="宋体" w:hAnsi="宋体" w:eastAsia="宋体" w:cs="宋体"/>
          <w:color w:val="000000"/>
        </w:rPr>
      </w:pPr>
      <w:bookmarkStart w:id="11" w:name="_Toc22002"/>
      <w:r>
        <w:rPr>
          <w:rFonts w:hint="eastAsia" w:ascii="宋体" w:hAnsi="宋体" w:eastAsia="宋体" w:cs="宋体"/>
          <w:color w:val="000000"/>
          <w:lang w:val="zh-CN"/>
        </w:rPr>
        <w:t>三、投标文件的编制</w:t>
      </w:r>
      <w:bookmarkEnd w:id="11"/>
    </w:p>
    <w:p w14:paraId="1F4DAB37">
      <w:pPr>
        <w:pStyle w:val="23"/>
        <w:spacing w:before="0" w:after="0" w:line="360" w:lineRule="auto"/>
        <w:jc w:val="left"/>
        <w:rPr>
          <w:rFonts w:hint="eastAsia" w:ascii="宋体" w:hAnsi="宋体" w:eastAsia="宋体" w:cs="宋体"/>
          <w:color w:val="000000"/>
          <w:lang w:val="zh-CN"/>
        </w:rPr>
      </w:pPr>
      <w:bookmarkStart w:id="12" w:name="_Toc11455"/>
      <w:r>
        <w:rPr>
          <w:rFonts w:hint="eastAsia" w:ascii="宋体" w:hAnsi="宋体" w:eastAsia="宋体" w:cs="宋体"/>
          <w:color w:val="000000"/>
          <w:sz w:val="28"/>
          <w:szCs w:val="28"/>
          <w:lang w:val="zh-CN"/>
        </w:rPr>
        <w:t>7.投标文件的语言及度量衡单位</w:t>
      </w:r>
      <w:bookmarkEnd w:id="12"/>
    </w:p>
    <w:p w14:paraId="7F586FE6">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7.1</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投标人提交的投标文件以及投标人与采购人或者采购代理机构就此投标发生的所有来往函电均应使用简体中文。</w:t>
      </w:r>
      <w:r>
        <w:rPr>
          <w:rFonts w:hint="eastAsia" w:ascii="宋体" w:hAnsi="宋体" w:eastAsia="宋体" w:cs="宋体"/>
          <w:color w:val="000000"/>
        </w:rPr>
        <w:t>除签名、盖章、专用名称等特殊情形外，以中文汉语以外的文字表述的投标文件视同未提供。</w:t>
      </w:r>
    </w:p>
    <w:p w14:paraId="5870DDC7">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7.2 除招标文件中另有规定外，投标文件所使用的度量衡单位，均须采用国家法定计量单位。</w:t>
      </w:r>
    </w:p>
    <w:p w14:paraId="51F2F278">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7.3 附有外文资料的须翻译成中文，并加盖投标人公章，如果翻译的中文资料与外文资料出现差异与矛盾时，以中文为准，其准确性由投标人负责。</w:t>
      </w:r>
    </w:p>
    <w:p w14:paraId="130D770C">
      <w:pPr>
        <w:pStyle w:val="23"/>
        <w:spacing w:before="0" w:after="0" w:line="360" w:lineRule="auto"/>
        <w:jc w:val="left"/>
        <w:rPr>
          <w:rFonts w:hint="eastAsia" w:ascii="宋体" w:hAnsi="宋体" w:eastAsia="宋体" w:cs="宋体"/>
          <w:color w:val="000000"/>
          <w:lang w:val="zh-CN"/>
        </w:rPr>
      </w:pPr>
      <w:bookmarkStart w:id="13" w:name="_Toc28400"/>
      <w:r>
        <w:rPr>
          <w:rFonts w:hint="eastAsia" w:ascii="宋体" w:hAnsi="宋体" w:eastAsia="宋体" w:cs="宋体"/>
          <w:color w:val="000000"/>
          <w:sz w:val="28"/>
          <w:szCs w:val="28"/>
          <w:lang w:val="zh-CN"/>
        </w:rPr>
        <w:t>8.投标报价及币种</w:t>
      </w:r>
      <w:bookmarkEnd w:id="13"/>
    </w:p>
    <w:p w14:paraId="2687F7D9">
      <w:pPr>
        <w:autoSpaceDE w:val="0"/>
        <w:autoSpaceDN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kern w:val="0"/>
          <w:lang w:val="zh-CN"/>
        </w:rPr>
        <w:t>8.1</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投标报价为投标总价。投标报价必须包括：</w:t>
      </w:r>
      <w:r>
        <w:rPr>
          <w:rFonts w:hint="eastAsia" w:ascii="宋体" w:hAnsi="宋体" w:eastAsia="宋体" w:cs="宋体"/>
          <w:color w:val="auto"/>
          <w:sz w:val="24"/>
          <w:szCs w:val="24"/>
        </w:rPr>
        <w:t>完成本项目</w:t>
      </w:r>
      <w:r>
        <w:rPr>
          <w:rFonts w:hint="eastAsia" w:ascii="宋体" w:hAnsi="宋体" w:cs="宋体"/>
          <w:color w:val="auto"/>
          <w:sz w:val="24"/>
          <w:szCs w:val="24"/>
          <w:lang w:eastAsia="zh-CN"/>
        </w:rPr>
        <w:t>货物</w:t>
      </w:r>
      <w:r>
        <w:rPr>
          <w:rFonts w:hint="eastAsia" w:ascii="宋体" w:hAnsi="宋体" w:eastAsia="宋体" w:cs="宋体"/>
          <w:color w:val="auto"/>
          <w:sz w:val="24"/>
          <w:szCs w:val="24"/>
        </w:rPr>
        <w:t>内容可能发生的各项费用，如</w:t>
      </w:r>
      <w:r>
        <w:rPr>
          <w:rFonts w:hint="eastAsia" w:ascii="宋体" w:hAnsi="宋体" w:cs="宋体"/>
          <w:color w:val="auto"/>
          <w:sz w:val="24"/>
          <w:szCs w:val="24"/>
          <w:lang w:val="en-US" w:eastAsia="zh-CN"/>
        </w:rPr>
        <w:t>货物</w:t>
      </w:r>
      <w:r>
        <w:rPr>
          <w:rFonts w:hint="eastAsia" w:ascii="宋体" w:hAnsi="宋体" w:eastAsia="宋体" w:cs="宋体"/>
          <w:color w:val="auto"/>
          <w:sz w:val="24"/>
          <w:szCs w:val="24"/>
          <w:lang w:val="en-US" w:eastAsia="zh-CN"/>
        </w:rPr>
        <w:t>费、运输费、安装调试费、手续费、保险费、人员工资、税金及不可预见的其他费等全部费用</w:t>
      </w:r>
      <w:r>
        <w:rPr>
          <w:rFonts w:hint="eastAsia" w:ascii="宋体" w:hAnsi="宋体" w:eastAsia="宋体" w:cs="宋体"/>
          <w:color w:val="auto"/>
          <w:sz w:val="24"/>
          <w:szCs w:val="24"/>
        </w:rPr>
        <w:t>。</w:t>
      </w:r>
    </w:p>
    <w:p w14:paraId="5B836DA6">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lang w:val="zh-CN"/>
        </w:rPr>
        <w:t>8.2</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投标报价有效期与投标有效期一致。</w:t>
      </w:r>
    </w:p>
    <w:p w14:paraId="7E9C7388">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8.</w:t>
      </w:r>
      <w:r>
        <w:rPr>
          <w:rFonts w:hint="eastAsia" w:ascii="宋体" w:hAnsi="宋体" w:eastAsia="宋体" w:cs="宋体"/>
          <w:color w:val="000000"/>
          <w:kern w:val="0"/>
        </w:rPr>
        <w:t xml:space="preserve">3 </w:t>
      </w:r>
      <w:r>
        <w:rPr>
          <w:rFonts w:hint="eastAsia" w:ascii="宋体" w:hAnsi="宋体" w:eastAsia="宋体" w:cs="宋体"/>
          <w:color w:val="000000"/>
          <w:kern w:val="0"/>
          <w:lang w:val="zh-CN"/>
        </w:rPr>
        <w:t>投标报价为闭口价，即中标后在合同有效期内价格不变。</w:t>
      </w:r>
    </w:p>
    <w:p w14:paraId="4D90BF64">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8.</w:t>
      </w:r>
      <w:r>
        <w:rPr>
          <w:rFonts w:hint="eastAsia" w:ascii="宋体" w:hAnsi="宋体" w:eastAsia="宋体" w:cs="宋体"/>
          <w:color w:val="000000"/>
          <w:kern w:val="0"/>
        </w:rPr>
        <w:t xml:space="preserve">4 </w:t>
      </w:r>
      <w:r>
        <w:rPr>
          <w:rFonts w:hint="eastAsia" w:ascii="宋体" w:hAnsi="宋体" w:eastAsia="宋体" w:cs="宋体"/>
          <w:color w:val="000000"/>
          <w:kern w:val="0"/>
          <w:lang w:val="zh-CN"/>
        </w:rPr>
        <w:t>投标币种是人民币。</w:t>
      </w:r>
    </w:p>
    <w:p w14:paraId="1D432E97">
      <w:pPr>
        <w:pStyle w:val="23"/>
        <w:spacing w:before="0" w:after="0" w:line="360" w:lineRule="auto"/>
        <w:jc w:val="left"/>
        <w:rPr>
          <w:rFonts w:hint="eastAsia" w:ascii="宋体" w:hAnsi="宋体" w:eastAsia="宋体" w:cs="宋体"/>
          <w:color w:val="000000"/>
          <w:sz w:val="28"/>
          <w:szCs w:val="28"/>
          <w:lang w:val="zh-CN"/>
        </w:rPr>
      </w:pPr>
      <w:bookmarkStart w:id="14" w:name="_Toc14145"/>
      <w:r>
        <w:rPr>
          <w:rFonts w:hint="eastAsia" w:ascii="宋体" w:hAnsi="宋体" w:eastAsia="宋体" w:cs="宋体"/>
          <w:color w:val="000000"/>
          <w:sz w:val="28"/>
          <w:szCs w:val="28"/>
          <w:lang w:val="en-US" w:eastAsia="zh-CN"/>
        </w:rPr>
        <w:t>9</w:t>
      </w:r>
      <w:r>
        <w:rPr>
          <w:rFonts w:hint="eastAsia" w:ascii="宋体" w:hAnsi="宋体" w:eastAsia="宋体" w:cs="宋体"/>
          <w:color w:val="000000"/>
          <w:sz w:val="28"/>
          <w:szCs w:val="28"/>
          <w:lang w:val="zh-CN"/>
        </w:rPr>
        <w:t>投标保证金</w:t>
      </w:r>
      <w:bookmarkEnd w:id="14"/>
    </w:p>
    <w:p w14:paraId="677574AA">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rPr>
        <w:t xml:space="preserve"> </w:t>
      </w:r>
      <w:r>
        <w:rPr>
          <w:rFonts w:hint="eastAsia" w:ascii="宋体" w:hAnsi="宋体" w:eastAsia="宋体" w:cs="宋体"/>
          <w:color w:val="000000"/>
          <w:kern w:val="0"/>
          <w:lang w:val="zh-CN"/>
        </w:rPr>
        <w:t>9.1</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投标人须在投标截止期前按以下要求交纳投标保证金：</w:t>
      </w:r>
    </w:p>
    <w:p w14:paraId="3A017591">
      <w:pPr>
        <w:autoSpaceDE w:val="0"/>
        <w:autoSpaceDN w:val="0"/>
        <w:spacing w:line="360" w:lineRule="auto"/>
        <w:ind w:firstLine="482" w:firstLineChars="200"/>
        <w:rPr>
          <w:rFonts w:hint="eastAsia" w:ascii="宋体" w:hAnsi="宋体" w:eastAsia="宋体" w:cs="宋体"/>
          <w:color w:val="auto"/>
          <w:kern w:val="0"/>
          <w:sz w:val="24"/>
          <w:szCs w:val="24"/>
          <w:highlight w:val="none"/>
          <w:lang w:val="zh-CN"/>
        </w:rPr>
      </w:pPr>
      <w:r>
        <w:rPr>
          <w:rFonts w:hint="eastAsia" w:ascii="宋体" w:hAnsi="宋体" w:eastAsia="宋体" w:cs="宋体"/>
          <w:b/>
          <w:color w:val="auto"/>
          <w:kern w:val="0"/>
          <w:lang w:val="zh-CN"/>
        </w:rPr>
        <w:t>投标保证金：</w:t>
      </w:r>
      <w:r>
        <w:rPr>
          <w:rFonts w:hint="eastAsia" w:ascii="宋体" w:hAnsi="宋体" w:eastAsia="宋体" w:cs="宋体"/>
          <w:b/>
          <w:color w:val="auto"/>
          <w:kern w:val="0"/>
          <w:lang w:val="en-US" w:eastAsia="zh-CN"/>
        </w:rPr>
        <w:t xml:space="preserve"> </w:t>
      </w:r>
      <w:r>
        <w:rPr>
          <w:rFonts w:hint="eastAsia" w:ascii="宋体" w:hAnsi="宋体" w:eastAsia="宋体" w:cs="宋体"/>
          <w:color w:val="auto"/>
          <w:kern w:val="0"/>
          <w:sz w:val="24"/>
          <w:szCs w:val="24"/>
          <w:highlight w:val="none"/>
          <w:lang w:val="zh-CN"/>
        </w:rPr>
        <w:t>包</w:t>
      </w:r>
      <w:r>
        <w:rPr>
          <w:rFonts w:hint="eastAsia" w:ascii="宋体" w:hAnsi="宋体" w:eastAsia="宋体" w:cs="宋体"/>
          <w:color w:val="auto"/>
          <w:kern w:val="0"/>
          <w:sz w:val="24"/>
          <w:szCs w:val="24"/>
          <w:highlight w:val="none"/>
          <w:lang w:val="en-US" w:eastAsia="zh-CN"/>
        </w:rPr>
        <w:t>一</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lang w:val="en-US" w:eastAsia="zh-CN"/>
        </w:rPr>
        <w:t>60000.00元（大写：陆万元整）</w:t>
      </w:r>
      <w:r>
        <w:rPr>
          <w:rFonts w:hint="eastAsia" w:ascii="宋体" w:hAnsi="宋体" w:eastAsia="宋体" w:cs="宋体"/>
          <w:color w:val="auto"/>
          <w:kern w:val="0"/>
          <w:sz w:val="24"/>
          <w:szCs w:val="24"/>
          <w:highlight w:val="none"/>
          <w:lang w:val="zh-CN"/>
        </w:rPr>
        <w:t>；</w:t>
      </w:r>
    </w:p>
    <w:p w14:paraId="4D5FEF5E">
      <w:pPr>
        <w:autoSpaceDE w:val="0"/>
        <w:autoSpaceDN w:val="0"/>
        <w:spacing w:line="360" w:lineRule="auto"/>
        <w:ind w:firstLine="480" w:firstLineChars="200"/>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             包二：80000.00</w:t>
      </w:r>
      <w:r>
        <w:rPr>
          <w:rFonts w:hint="eastAsia" w:ascii="宋体" w:hAnsi="宋体" w:eastAsia="宋体" w:cs="宋体"/>
          <w:color w:val="auto"/>
          <w:kern w:val="0"/>
          <w:sz w:val="24"/>
          <w:szCs w:val="24"/>
          <w:highlight w:val="none"/>
          <w:lang w:val="zh-CN"/>
        </w:rPr>
        <w:t>元（大写：</w:t>
      </w:r>
      <w:r>
        <w:rPr>
          <w:rFonts w:hint="eastAsia" w:ascii="宋体" w:hAnsi="宋体" w:eastAsia="宋体" w:cs="宋体"/>
          <w:color w:val="auto"/>
          <w:kern w:val="0"/>
          <w:sz w:val="24"/>
          <w:szCs w:val="24"/>
          <w:highlight w:val="none"/>
          <w:lang w:val="en-US" w:eastAsia="zh-CN"/>
        </w:rPr>
        <w:t>捌万元整</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lang w:val="en-US" w:eastAsia="zh-CN"/>
        </w:rPr>
        <w:t>；</w:t>
      </w:r>
    </w:p>
    <w:p w14:paraId="042D4DC9">
      <w:pPr>
        <w:autoSpaceDE w:val="0"/>
        <w:autoSpaceDN w:val="0"/>
        <w:adjustRightInd w:val="0"/>
        <w:spacing w:line="360" w:lineRule="auto"/>
        <w:jc w:val="left"/>
        <w:rPr>
          <w:rFonts w:hint="eastAsia" w:ascii="宋体" w:hAnsi="宋体" w:eastAsia="宋体" w:cs="宋体"/>
          <w:b/>
          <w:color w:val="000000"/>
          <w:kern w:val="0"/>
          <w:lang w:val="zh-CN"/>
        </w:rPr>
      </w:pPr>
      <w:r>
        <w:rPr>
          <w:rFonts w:hint="eastAsia" w:ascii="宋体" w:hAnsi="宋体" w:eastAsia="宋体" w:cs="宋体"/>
          <w:b/>
          <w:color w:val="000000"/>
          <w:kern w:val="0"/>
        </w:rPr>
        <w:t xml:space="preserve">    </w:t>
      </w:r>
      <w:r>
        <w:rPr>
          <w:rFonts w:hint="eastAsia" w:ascii="宋体" w:hAnsi="宋体" w:eastAsia="宋体" w:cs="宋体"/>
          <w:b/>
          <w:color w:val="000000"/>
          <w:kern w:val="0"/>
          <w:lang w:val="zh-CN"/>
        </w:rPr>
        <w:t>收款单位：青海君昱工程项目管理有限公司</w:t>
      </w:r>
    </w:p>
    <w:p w14:paraId="65600180">
      <w:pPr>
        <w:autoSpaceDE w:val="0"/>
        <w:autoSpaceDN w:val="0"/>
        <w:adjustRightInd w:val="0"/>
        <w:spacing w:line="360" w:lineRule="auto"/>
        <w:jc w:val="left"/>
        <w:rPr>
          <w:rFonts w:hint="eastAsia" w:ascii="宋体" w:hAnsi="宋体" w:eastAsia="宋体" w:cs="宋体"/>
          <w:b/>
          <w:color w:val="000000"/>
          <w:kern w:val="0"/>
          <w:lang w:val="zh-CN"/>
        </w:rPr>
      </w:pPr>
      <w:r>
        <w:rPr>
          <w:rFonts w:hint="eastAsia" w:ascii="宋体" w:hAnsi="宋体" w:eastAsia="宋体" w:cs="宋体"/>
          <w:b/>
          <w:color w:val="000000"/>
          <w:kern w:val="0"/>
        </w:rPr>
        <w:t xml:space="preserve">    </w:t>
      </w:r>
      <w:r>
        <w:rPr>
          <w:rFonts w:hint="eastAsia" w:ascii="宋体" w:hAnsi="宋体" w:eastAsia="宋体" w:cs="宋体"/>
          <w:b/>
          <w:color w:val="000000"/>
          <w:kern w:val="0"/>
          <w:lang w:val="zh-CN"/>
        </w:rPr>
        <w:t>开</w:t>
      </w:r>
      <w:r>
        <w:rPr>
          <w:rFonts w:hint="eastAsia" w:ascii="宋体" w:hAnsi="宋体" w:eastAsia="宋体" w:cs="宋体"/>
          <w:b/>
          <w:color w:val="000000"/>
          <w:kern w:val="0"/>
        </w:rPr>
        <w:t xml:space="preserve"> </w:t>
      </w:r>
      <w:r>
        <w:rPr>
          <w:rFonts w:hint="eastAsia" w:ascii="宋体" w:hAnsi="宋体" w:eastAsia="宋体" w:cs="宋体"/>
          <w:b/>
          <w:color w:val="000000"/>
          <w:kern w:val="0"/>
          <w:lang w:val="zh-CN"/>
        </w:rPr>
        <w:t>户</w:t>
      </w:r>
      <w:r>
        <w:rPr>
          <w:rFonts w:hint="eastAsia" w:ascii="宋体" w:hAnsi="宋体" w:eastAsia="宋体" w:cs="宋体"/>
          <w:b/>
          <w:color w:val="000000"/>
          <w:kern w:val="0"/>
        </w:rPr>
        <w:t xml:space="preserve"> </w:t>
      </w:r>
      <w:r>
        <w:rPr>
          <w:rFonts w:hint="eastAsia" w:ascii="宋体" w:hAnsi="宋体" w:eastAsia="宋体" w:cs="宋体"/>
          <w:b/>
          <w:color w:val="000000"/>
          <w:kern w:val="0"/>
          <w:lang w:val="zh-CN"/>
        </w:rPr>
        <w:t>行：青海银行股份有限公司海湖新区支行</w:t>
      </w:r>
    </w:p>
    <w:p w14:paraId="3A201B7A">
      <w:pPr>
        <w:autoSpaceDE w:val="0"/>
        <w:autoSpaceDN w:val="0"/>
        <w:adjustRightInd w:val="0"/>
        <w:spacing w:line="360" w:lineRule="auto"/>
        <w:jc w:val="left"/>
        <w:rPr>
          <w:rFonts w:hint="eastAsia" w:ascii="宋体" w:hAnsi="宋体" w:eastAsia="宋体" w:cs="宋体"/>
          <w:b/>
          <w:color w:val="000000"/>
          <w:kern w:val="0"/>
        </w:rPr>
      </w:pPr>
      <w:r>
        <w:rPr>
          <w:rFonts w:hint="eastAsia" w:ascii="宋体" w:hAnsi="宋体" w:eastAsia="宋体" w:cs="宋体"/>
          <w:b/>
          <w:color w:val="000000"/>
          <w:kern w:val="0"/>
        </w:rPr>
        <w:t xml:space="preserve">    </w:t>
      </w:r>
      <w:r>
        <w:rPr>
          <w:rFonts w:hint="eastAsia" w:ascii="宋体" w:hAnsi="宋体" w:eastAsia="宋体" w:cs="宋体"/>
          <w:b/>
          <w:color w:val="000000"/>
          <w:kern w:val="0"/>
          <w:lang w:val="zh-CN"/>
        </w:rPr>
        <w:t>银行账号：</w:t>
      </w:r>
      <w:r>
        <w:rPr>
          <w:rFonts w:hint="eastAsia" w:ascii="宋体" w:hAnsi="宋体" w:eastAsia="宋体" w:cs="宋体"/>
          <w:b/>
          <w:color w:val="000000"/>
          <w:kern w:val="0"/>
        </w:rPr>
        <w:t>0701201000308281</w:t>
      </w:r>
    </w:p>
    <w:p w14:paraId="57E855BE">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交纳时间：投标（响应）截止时间，以银行到账时间为准</w:t>
      </w:r>
      <w:r>
        <w:rPr>
          <w:rFonts w:hint="eastAsia" w:ascii="宋体" w:hAnsi="宋体" w:eastAsia="宋体" w:cs="宋体"/>
          <w:color w:val="000080"/>
          <w:kern w:val="0"/>
          <w:lang w:val="zh-CN"/>
        </w:rPr>
        <w:t>。</w:t>
      </w:r>
      <w:r>
        <w:rPr>
          <w:rFonts w:hint="eastAsia" w:ascii="宋体" w:hAnsi="宋体" w:eastAsia="宋体" w:cs="宋体"/>
          <w:color w:val="000000"/>
          <w:kern w:val="0"/>
          <w:lang w:val="zh-CN"/>
        </w:rPr>
        <w:t>如采购项目变更开标时间，则保证金交纳时间相应顺延。</w:t>
      </w:r>
    </w:p>
    <w:p w14:paraId="28E2FE6B">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9.2</w:t>
      </w:r>
      <w:r>
        <w:rPr>
          <w:rFonts w:hint="eastAsia" w:ascii="宋体" w:hAnsi="宋体" w:eastAsia="宋体" w:cs="宋体"/>
          <w:color w:val="000000"/>
          <w:kern w:val="0"/>
        </w:rPr>
        <w:t xml:space="preserve"> 缴费方式：投标保证金应当以支票、汇票、本票或者金融机构、担保机构出具的保函等非现金形式提交。</w:t>
      </w:r>
    </w:p>
    <w:p w14:paraId="6A887D8A">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9.3</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投标保证金退还：投标人在投标截止时间前撤回已提交的投标文件的，采购代理机构应当自收到投标人书面撤回通知之日起5个工作日内，退还已收取的投标保证金，但因投标人自身原因导致无法及时退还的除外。</w:t>
      </w:r>
    </w:p>
    <w:p w14:paraId="40A5A34B">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采购代理机构应当自中标通知书发出之日起5个工作日内退还未中标人的投标保证金，自采购合同签订之日起5个工作日内退还中标人的投标保证金或者转为中标人的履约保证金。</w:t>
      </w:r>
    </w:p>
    <w:p w14:paraId="27F4E637">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14:paraId="03A5C92D">
      <w:pPr>
        <w:rPr>
          <w:rFonts w:hint="eastAsia" w:ascii="宋体" w:hAnsi="宋体" w:eastAsia="宋体" w:cs="宋体"/>
        </w:rPr>
      </w:pPr>
    </w:p>
    <w:p w14:paraId="473EA879">
      <w:pPr>
        <w:pStyle w:val="23"/>
        <w:spacing w:before="0" w:after="0" w:line="360" w:lineRule="auto"/>
        <w:jc w:val="left"/>
        <w:rPr>
          <w:rFonts w:hint="eastAsia" w:ascii="宋体" w:hAnsi="宋体" w:eastAsia="宋体" w:cs="宋体"/>
          <w:color w:val="000000"/>
          <w:lang w:val="zh-CN"/>
        </w:rPr>
      </w:pPr>
      <w:bookmarkStart w:id="15" w:name="_Toc18832"/>
      <w:r>
        <w:rPr>
          <w:rFonts w:hint="eastAsia" w:ascii="宋体" w:hAnsi="宋体" w:eastAsia="宋体" w:cs="宋体"/>
          <w:color w:val="000000"/>
          <w:sz w:val="28"/>
          <w:szCs w:val="28"/>
          <w:lang w:val="zh-CN"/>
        </w:rPr>
        <w:t>10.投标有效期</w:t>
      </w:r>
      <w:bookmarkEnd w:id="15"/>
    </w:p>
    <w:p w14:paraId="41852D74">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shd w:val="clear" w:color="auto" w:fill="FFFFFF"/>
        </w:rPr>
        <w:t>从提交投标文件的截止之日起</w:t>
      </w:r>
      <w:r>
        <w:rPr>
          <w:rFonts w:hint="eastAsia" w:ascii="宋体" w:hAnsi="宋体" w:eastAsia="宋体" w:cs="宋体"/>
          <w:color w:val="000000"/>
          <w:kern w:val="0"/>
        </w:rPr>
        <w:t>60</w:t>
      </w:r>
      <w:r>
        <w:rPr>
          <w:rFonts w:hint="eastAsia" w:ascii="宋体" w:hAnsi="宋体" w:eastAsia="宋体" w:cs="宋体"/>
          <w:color w:val="000000"/>
          <w:kern w:val="0"/>
          <w:lang w:val="zh-CN"/>
        </w:rPr>
        <w:t>日历日。投标文件中承诺的投标有效期应当不少于招标文件中载明的投标有效期。</w:t>
      </w:r>
    </w:p>
    <w:p w14:paraId="57EF7D8C">
      <w:pPr>
        <w:pStyle w:val="23"/>
        <w:spacing w:before="0" w:after="0" w:line="360" w:lineRule="auto"/>
        <w:jc w:val="left"/>
        <w:rPr>
          <w:rFonts w:hint="eastAsia" w:ascii="宋体" w:hAnsi="宋体" w:eastAsia="宋体" w:cs="宋体"/>
          <w:color w:val="000000"/>
          <w:lang w:val="zh-CN"/>
        </w:rPr>
      </w:pPr>
      <w:bookmarkStart w:id="16" w:name="_Toc18705"/>
      <w:r>
        <w:rPr>
          <w:rFonts w:hint="eastAsia" w:ascii="宋体" w:hAnsi="宋体" w:eastAsia="宋体" w:cs="宋体"/>
          <w:color w:val="000000"/>
          <w:sz w:val="28"/>
          <w:szCs w:val="28"/>
          <w:lang w:val="zh-CN"/>
        </w:rPr>
        <w:t>11.投标文件构成</w:t>
      </w:r>
      <w:bookmarkEnd w:id="16"/>
    </w:p>
    <w:p w14:paraId="661B1E01">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投标人应提交相关证明材料，作为其参加投标和中标后有能力履行合同的证明。编写的投标文件须包括以下内容（格式见招标文件第四部分）：</w:t>
      </w:r>
    </w:p>
    <w:p w14:paraId="408D8C2B">
      <w:pPr>
        <w:autoSpaceDE w:val="0"/>
        <w:autoSpaceDN w:val="0"/>
        <w:spacing w:line="360" w:lineRule="auto"/>
        <w:ind w:firstLine="482" w:firstLineChars="200"/>
        <w:rPr>
          <w:rFonts w:hint="eastAsia" w:ascii="宋体" w:hAnsi="宋体" w:eastAsia="宋体" w:cs="宋体"/>
          <w:color w:val="000000"/>
        </w:rPr>
      </w:pPr>
      <w:r>
        <w:rPr>
          <w:rFonts w:hint="eastAsia" w:ascii="宋体" w:hAnsi="宋体" w:eastAsia="宋体" w:cs="宋体"/>
          <w:b/>
          <w:bCs/>
          <w:color w:val="000000"/>
          <w:kern w:val="0"/>
        </w:rPr>
        <w:t>11.1</w:t>
      </w:r>
      <w:r>
        <w:rPr>
          <w:rFonts w:hint="eastAsia" w:ascii="宋体" w:hAnsi="宋体" w:eastAsia="宋体" w:cs="宋体"/>
          <w:b/>
          <w:bCs/>
          <w:color w:val="000000"/>
          <w:kern w:val="0"/>
          <w:lang w:val="zh-CN"/>
        </w:rPr>
        <w:t>、投标文件（上册）（资格审查）</w:t>
      </w:r>
    </w:p>
    <w:p w14:paraId="0C5F70E7">
      <w:pPr>
        <w:numPr>
          <w:ilvl w:val="0"/>
          <w:numId w:val="2"/>
        </w:num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投标函</w:t>
      </w:r>
    </w:p>
    <w:p w14:paraId="66F009D4">
      <w:pPr>
        <w:numPr>
          <w:ilvl w:val="0"/>
          <w:numId w:val="2"/>
        </w:num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法定代表人证明书</w:t>
      </w:r>
    </w:p>
    <w:p w14:paraId="57CB9742">
      <w:pPr>
        <w:numPr>
          <w:ilvl w:val="0"/>
          <w:numId w:val="2"/>
        </w:num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法定代表人授权书</w:t>
      </w:r>
    </w:p>
    <w:p w14:paraId="426BB7E9">
      <w:pPr>
        <w:numPr>
          <w:ilvl w:val="0"/>
          <w:numId w:val="2"/>
        </w:num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投标人承诺函</w:t>
      </w:r>
    </w:p>
    <w:p w14:paraId="2A867B4A">
      <w:pPr>
        <w:numPr>
          <w:ilvl w:val="0"/>
          <w:numId w:val="2"/>
        </w:num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投标人诚信承诺书</w:t>
      </w:r>
    </w:p>
    <w:p w14:paraId="29AE3021">
      <w:pPr>
        <w:numPr>
          <w:ilvl w:val="0"/>
          <w:numId w:val="2"/>
        </w:num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资格证明材料</w:t>
      </w:r>
    </w:p>
    <w:p w14:paraId="29C5B235">
      <w:pPr>
        <w:numPr>
          <w:ilvl w:val="0"/>
          <w:numId w:val="2"/>
        </w:num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财务状况报告，依法缴纳税收和社会保障资金的相关材料</w:t>
      </w:r>
    </w:p>
    <w:p w14:paraId="0B51D2B3">
      <w:pPr>
        <w:numPr>
          <w:ilvl w:val="0"/>
          <w:numId w:val="2"/>
        </w:num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具备履行合同所必需的设备和专业技术能力的证明材料</w:t>
      </w:r>
    </w:p>
    <w:p w14:paraId="291F65CA">
      <w:pPr>
        <w:numPr>
          <w:ilvl w:val="0"/>
          <w:numId w:val="2"/>
        </w:num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无重大违法记录声明</w:t>
      </w:r>
    </w:p>
    <w:p w14:paraId="7CB553DD">
      <w:pPr>
        <w:numPr>
          <w:ilvl w:val="0"/>
          <w:numId w:val="2"/>
        </w:num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投标保证金证明</w:t>
      </w:r>
    </w:p>
    <w:p w14:paraId="16A8C90E">
      <w:pPr>
        <w:autoSpaceDE w:val="0"/>
        <w:autoSpaceDN w:val="0"/>
        <w:spacing w:line="360" w:lineRule="auto"/>
        <w:ind w:firstLine="482" w:firstLineChars="200"/>
        <w:rPr>
          <w:rFonts w:hint="eastAsia" w:ascii="宋体" w:hAnsi="宋体" w:eastAsia="宋体" w:cs="宋体"/>
          <w:color w:val="000000"/>
          <w:kern w:val="0"/>
          <w:lang w:val="zh-CN"/>
        </w:rPr>
      </w:pPr>
      <w:r>
        <w:rPr>
          <w:rFonts w:hint="eastAsia" w:ascii="宋体" w:hAnsi="宋体" w:eastAsia="宋体" w:cs="宋体"/>
          <w:b/>
          <w:bCs/>
          <w:color w:val="000000"/>
          <w:kern w:val="0"/>
        </w:rPr>
        <w:t xml:space="preserve">11.2 </w:t>
      </w:r>
      <w:r>
        <w:rPr>
          <w:rFonts w:hint="eastAsia" w:ascii="宋体" w:hAnsi="宋体" w:eastAsia="宋体" w:cs="宋体"/>
          <w:b/>
          <w:bCs/>
          <w:color w:val="000000"/>
          <w:kern w:val="0"/>
          <w:lang w:val="zh-CN"/>
        </w:rPr>
        <w:t>投标文件（下册）</w:t>
      </w:r>
    </w:p>
    <w:p w14:paraId="1A91D84F">
      <w:pPr>
        <w:numPr>
          <w:ilvl w:val="0"/>
          <w:numId w:val="2"/>
        </w:num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评分对照表</w:t>
      </w:r>
    </w:p>
    <w:p w14:paraId="12707474">
      <w:pPr>
        <w:numPr>
          <w:ilvl w:val="0"/>
          <w:numId w:val="2"/>
        </w:num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开标一览表（报价表）</w:t>
      </w:r>
    </w:p>
    <w:p w14:paraId="3D442A7A">
      <w:pPr>
        <w:numPr>
          <w:ilvl w:val="0"/>
          <w:numId w:val="2"/>
        </w:num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分项报价表</w:t>
      </w:r>
    </w:p>
    <w:p w14:paraId="07CCE8E7">
      <w:pPr>
        <w:numPr>
          <w:ilvl w:val="0"/>
          <w:numId w:val="2"/>
        </w:num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技术规格响应表</w:t>
      </w:r>
    </w:p>
    <w:p w14:paraId="35DE088C">
      <w:pPr>
        <w:numPr>
          <w:ilvl w:val="0"/>
          <w:numId w:val="2"/>
        </w:num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投标产品相关资料</w:t>
      </w:r>
    </w:p>
    <w:p w14:paraId="7290CA0C">
      <w:pPr>
        <w:numPr>
          <w:ilvl w:val="0"/>
          <w:numId w:val="2"/>
        </w:num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投标人的类似业绩证明材料</w:t>
      </w:r>
    </w:p>
    <w:p w14:paraId="2CC26900">
      <w:pPr>
        <w:numPr>
          <w:ilvl w:val="0"/>
          <w:numId w:val="2"/>
        </w:num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中小企业声明函</w:t>
      </w:r>
    </w:p>
    <w:p w14:paraId="3EF324EC">
      <w:pPr>
        <w:numPr>
          <w:ilvl w:val="0"/>
          <w:numId w:val="2"/>
        </w:num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rPr>
        <w:t>残疾人福利性单位声明函</w:t>
      </w:r>
    </w:p>
    <w:p w14:paraId="3A3FC516">
      <w:pPr>
        <w:numPr>
          <w:ilvl w:val="0"/>
          <w:numId w:val="2"/>
        </w:num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投标人认为在其他方面有必要说明的事项</w:t>
      </w:r>
    </w:p>
    <w:p w14:paraId="791C8C6E">
      <w:pPr>
        <w:autoSpaceDE w:val="0"/>
        <w:autoSpaceDN w:val="0"/>
        <w:spacing w:line="360" w:lineRule="auto"/>
        <w:ind w:firstLine="600" w:firstLineChars="250"/>
        <w:rPr>
          <w:rFonts w:hint="eastAsia" w:ascii="宋体" w:hAnsi="宋体" w:eastAsia="宋体" w:cs="宋体"/>
          <w:color w:val="000000"/>
          <w:kern w:val="0"/>
          <w:lang w:val="zh-CN"/>
        </w:rPr>
      </w:pPr>
      <w:r>
        <w:rPr>
          <w:rFonts w:hint="eastAsia" w:ascii="宋体" w:hAnsi="宋体" w:eastAsia="宋体" w:cs="宋体"/>
          <w:color w:val="000000"/>
          <w:kern w:val="0"/>
          <w:lang w:val="zh-CN"/>
        </w:rPr>
        <w:t>注：投标人须按上述内容、顺序和格式编制投标文件，并按要求编制目录、页码，并保证所提供的全部资料真实可信，自愿承担相应责任。</w:t>
      </w:r>
    </w:p>
    <w:p w14:paraId="38059570">
      <w:pPr>
        <w:pStyle w:val="23"/>
        <w:spacing w:before="0" w:after="0" w:line="360" w:lineRule="auto"/>
        <w:jc w:val="left"/>
        <w:rPr>
          <w:rFonts w:hint="eastAsia" w:ascii="宋体" w:hAnsi="宋体" w:eastAsia="宋体" w:cs="宋体"/>
          <w:color w:val="000000"/>
          <w:lang w:val="zh-CN"/>
        </w:rPr>
      </w:pPr>
      <w:bookmarkStart w:id="17" w:name="_Toc32432"/>
      <w:r>
        <w:rPr>
          <w:rFonts w:hint="eastAsia" w:ascii="宋体" w:hAnsi="宋体" w:eastAsia="宋体" w:cs="宋体"/>
          <w:color w:val="000000"/>
          <w:sz w:val="28"/>
          <w:szCs w:val="28"/>
          <w:lang w:val="zh-CN"/>
        </w:rPr>
        <w:t>12.投标文件的编制要求</w:t>
      </w:r>
      <w:bookmarkEnd w:id="17"/>
    </w:p>
    <w:p w14:paraId="4D5A6011">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12.1</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14:paraId="575C5BE1">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12.</w:t>
      </w:r>
      <w:r>
        <w:rPr>
          <w:rFonts w:hint="eastAsia" w:ascii="宋体" w:hAnsi="宋体" w:eastAsia="宋体" w:cs="宋体"/>
          <w:color w:val="000000"/>
          <w:kern w:val="0"/>
        </w:rPr>
        <w:t>2</w:t>
      </w:r>
      <w:r>
        <w:rPr>
          <w:rFonts w:hint="eastAsia" w:ascii="宋体" w:hAnsi="宋体" w:eastAsia="宋体" w:cs="宋体"/>
          <w:color w:val="000000"/>
          <w:kern w:val="0"/>
          <w:lang w:val="zh-CN"/>
        </w:rPr>
        <w:t xml:space="preserve"> 投标文件中不得行间插字、涂改或增删，如有修改错漏处，须由投标人法定代表人或其委托代理人签字、加盖公章。</w:t>
      </w:r>
    </w:p>
    <w:p w14:paraId="0010C3E1">
      <w:pPr>
        <w:pStyle w:val="23"/>
        <w:spacing w:before="0" w:after="0" w:line="360" w:lineRule="auto"/>
        <w:rPr>
          <w:rFonts w:hint="eastAsia" w:ascii="宋体" w:hAnsi="宋体" w:eastAsia="宋体" w:cs="宋体"/>
          <w:color w:val="000000"/>
          <w:kern w:val="0"/>
        </w:rPr>
      </w:pPr>
      <w:bookmarkStart w:id="18" w:name="_Toc31517"/>
      <w:r>
        <w:rPr>
          <w:rFonts w:hint="eastAsia" w:ascii="宋体" w:hAnsi="宋体" w:eastAsia="宋体" w:cs="宋体"/>
          <w:color w:val="000000"/>
          <w:lang w:val="zh-CN"/>
        </w:rPr>
        <w:t>四、投标文件的提交</w:t>
      </w:r>
      <w:bookmarkEnd w:id="18"/>
    </w:p>
    <w:p w14:paraId="164EB56E">
      <w:pPr>
        <w:pStyle w:val="23"/>
        <w:spacing w:before="0" w:after="0" w:line="360" w:lineRule="auto"/>
        <w:jc w:val="left"/>
        <w:rPr>
          <w:rFonts w:hint="eastAsia" w:ascii="宋体" w:hAnsi="宋体" w:eastAsia="宋体" w:cs="宋体"/>
          <w:color w:val="000000"/>
          <w:sz w:val="28"/>
          <w:szCs w:val="28"/>
          <w:lang w:val="en-US" w:eastAsia="zh-CN"/>
        </w:rPr>
      </w:pPr>
      <w:bookmarkStart w:id="19" w:name="_Toc16622"/>
      <w:r>
        <w:rPr>
          <w:rFonts w:hint="eastAsia" w:ascii="宋体" w:hAnsi="宋体" w:eastAsia="宋体" w:cs="宋体"/>
          <w:color w:val="000000"/>
          <w:sz w:val="28"/>
          <w:szCs w:val="28"/>
          <w:lang w:val="en-US" w:eastAsia="zh-CN"/>
        </w:rPr>
        <w:t>13.投标文件的密封和标记</w:t>
      </w:r>
      <w:bookmarkEnd w:id="19"/>
    </w:p>
    <w:p w14:paraId="49EA5B72">
      <w:pPr>
        <w:autoSpaceDE w:val="0"/>
        <w:autoSpaceDN w:val="0"/>
        <w:spacing w:line="360" w:lineRule="auto"/>
        <w:ind w:firstLine="480" w:firstLineChars="200"/>
        <w:rPr>
          <w:rFonts w:hint="eastAsia" w:ascii="宋体" w:hAnsi="宋体" w:eastAsia="宋体" w:cs="宋体"/>
          <w:color w:val="000000"/>
          <w:sz w:val="28"/>
          <w:szCs w:val="28"/>
          <w:lang w:val="zh-CN"/>
        </w:rPr>
      </w:pPr>
      <w:r>
        <w:rPr>
          <w:rFonts w:hint="eastAsia" w:ascii="宋体" w:hAnsi="宋体" w:eastAsia="宋体" w:cs="宋体"/>
        </w:rPr>
        <w:t>供应商在投标截止时间前按招标文件要求使用政采云电子投标客户端制作上传电子投标文件，并在开标后30分钟内远程解密投标文件。</w:t>
      </w:r>
    </w:p>
    <w:p w14:paraId="0033318E">
      <w:pPr>
        <w:pStyle w:val="23"/>
        <w:spacing w:before="0" w:after="0" w:line="360" w:lineRule="auto"/>
        <w:jc w:val="left"/>
        <w:rPr>
          <w:rFonts w:hint="eastAsia" w:ascii="宋体" w:hAnsi="宋体" w:eastAsia="宋体" w:cs="宋体"/>
          <w:color w:val="000000"/>
          <w:lang w:val="zh-CN"/>
        </w:rPr>
      </w:pPr>
      <w:bookmarkStart w:id="20" w:name="_Toc17762"/>
      <w:r>
        <w:rPr>
          <w:rFonts w:hint="eastAsia" w:ascii="宋体" w:hAnsi="宋体" w:eastAsia="宋体" w:cs="宋体"/>
          <w:color w:val="000000"/>
          <w:sz w:val="28"/>
          <w:szCs w:val="28"/>
          <w:lang w:val="zh-CN"/>
        </w:rPr>
        <w:t>1</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lang w:val="zh-CN"/>
        </w:rPr>
        <w:t>.提交投标文件的时间、地点、方式</w:t>
      </w:r>
      <w:bookmarkEnd w:id="20"/>
    </w:p>
    <w:p w14:paraId="6E2322ED">
      <w:pPr>
        <w:autoSpaceDE w:val="0"/>
        <w:autoSpaceDN w:val="0"/>
        <w:spacing w:line="360" w:lineRule="auto"/>
        <w:ind w:firstLine="480" w:firstLineChars="200"/>
        <w:rPr>
          <w:rFonts w:hint="eastAsia" w:ascii="宋体" w:hAnsi="宋体" w:eastAsia="宋体" w:cs="宋体"/>
          <w:kern w:val="0"/>
          <w:lang w:val="zh-CN"/>
        </w:rPr>
      </w:pPr>
      <w:r>
        <w:rPr>
          <w:rFonts w:hint="eastAsia" w:ascii="宋体" w:hAnsi="宋体" w:eastAsia="宋体" w:cs="宋体"/>
          <w:kern w:val="0"/>
        </w:rPr>
        <w:t>14.1</w:t>
      </w:r>
      <w:r>
        <w:rPr>
          <w:rFonts w:hint="eastAsia" w:ascii="宋体" w:hAnsi="宋体" w:eastAsia="宋体" w:cs="宋体"/>
          <w:kern w:val="0"/>
          <w:lang w:val="zh-CN"/>
        </w:rPr>
        <w:t>投标人应当在招标文件要求提交投标文件的截止时间前，</w:t>
      </w:r>
      <w:r>
        <w:rPr>
          <w:rFonts w:hint="eastAsia" w:ascii="宋体" w:hAnsi="宋体" w:eastAsia="宋体" w:cs="宋体"/>
          <w:kern w:val="0"/>
        </w:rPr>
        <w:t>将投标文件上传至</w:t>
      </w:r>
      <w:r>
        <w:rPr>
          <w:rFonts w:hint="eastAsia" w:ascii="宋体" w:hAnsi="宋体" w:eastAsia="宋体" w:cs="宋体"/>
          <w:kern w:val="0"/>
          <w:lang w:val="zh-CN"/>
        </w:rPr>
        <w:t>政采云投标客户端。</w:t>
      </w:r>
      <w:r>
        <w:rPr>
          <w:rFonts w:hint="eastAsia" w:ascii="宋体" w:hAnsi="宋体" w:eastAsia="宋体" w:cs="宋体"/>
        </w:rPr>
        <w:t>并在开标后30分钟内远程解密投标文件。</w:t>
      </w:r>
    </w:p>
    <w:p w14:paraId="786F42D3">
      <w:pPr>
        <w:autoSpaceDE w:val="0"/>
        <w:autoSpaceDN w:val="0"/>
        <w:spacing w:line="360" w:lineRule="auto"/>
        <w:ind w:firstLine="480" w:firstLineChars="200"/>
        <w:rPr>
          <w:rFonts w:hint="eastAsia" w:ascii="宋体" w:hAnsi="宋体" w:eastAsia="宋体" w:cs="宋体"/>
          <w:kern w:val="0"/>
          <w:lang w:val="zh-CN"/>
        </w:rPr>
      </w:pPr>
      <w:r>
        <w:rPr>
          <w:rFonts w:hint="eastAsia" w:ascii="宋体" w:hAnsi="宋体" w:eastAsia="宋体" w:cs="宋体"/>
          <w:kern w:val="0"/>
        </w:rPr>
        <w:t>14.2</w:t>
      </w:r>
      <w:r>
        <w:rPr>
          <w:rFonts w:hint="eastAsia" w:ascii="宋体" w:hAnsi="宋体" w:eastAsia="宋体" w:cs="宋体"/>
          <w:kern w:val="0"/>
          <w:lang w:val="zh-CN"/>
        </w:rPr>
        <w:t>投标人在招标文件要求提交投标文件的截止时间</w:t>
      </w:r>
      <w:r>
        <w:rPr>
          <w:rFonts w:hint="eastAsia" w:ascii="宋体" w:hAnsi="宋体" w:eastAsia="宋体" w:cs="宋体"/>
          <w:kern w:val="0"/>
        </w:rPr>
        <w:t>及开标时间</w:t>
      </w:r>
      <w:r>
        <w:rPr>
          <w:rFonts w:hint="eastAsia" w:ascii="宋体" w:hAnsi="宋体" w:eastAsia="宋体" w:cs="宋体"/>
          <w:kern w:val="0"/>
          <w:lang w:val="zh-CN"/>
        </w:rPr>
        <w:t>前，</w:t>
      </w:r>
      <w:r>
        <w:rPr>
          <w:rFonts w:hint="eastAsia" w:ascii="宋体" w:hAnsi="宋体" w:eastAsia="宋体" w:cs="宋体"/>
          <w:kern w:val="0"/>
        </w:rPr>
        <w:t>未将投标文件上传至</w:t>
      </w:r>
      <w:r>
        <w:rPr>
          <w:rFonts w:hint="eastAsia" w:ascii="宋体" w:hAnsi="宋体" w:eastAsia="宋体" w:cs="宋体"/>
          <w:kern w:val="0"/>
          <w:lang w:val="zh-CN"/>
        </w:rPr>
        <w:t>政采云投标客户端、</w:t>
      </w:r>
      <w:r>
        <w:rPr>
          <w:rFonts w:hint="eastAsia" w:ascii="宋体" w:hAnsi="宋体" w:eastAsia="宋体" w:cs="宋体"/>
          <w:kern w:val="0"/>
        </w:rPr>
        <w:t>或文件解密失败的，视为无效投标</w:t>
      </w:r>
      <w:r>
        <w:rPr>
          <w:rFonts w:hint="eastAsia" w:ascii="宋体" w:hAnsi="宋体" w:eastAsia="宋体" w:cs="宋体"/>
          <w:kern w:val="0"/>
          <w:lang w:val="zh-CN"/>
        </w:rPr>
        <w:t>。</w:t>
      </w:r>
    </w:p>
    <w:p w14:paraId="119F522B">
      <w:pPr>
        <w:numPr>
          <w:ilvl w:val="0"/>
          <w:numId w:val="3"/>
        </w:numPr>
        <w:autoSpaceDE w:val="0"/>
        <w:autoSpaceDN w:val="0"/>
        <w:spacing w:line="360" w:lineRule="auto"/>
        <w:rPr>
          <w:rFonts w:hint="eastAsia" w:ascii="宋体" w:hAnsi="宋体" w:eastAsia="宋体" w:cs="宋体"/>
          <w:b/>
          <w:bCs/>
          <w:color w:val="000000"/>
          <w:sz w:val="28"/>
          <w:szCs w:val="28"/>
        </w:rPr>
      </w:pPr>
      <w:r>
        <w:rPr>
          <w:rFonts w:hint="eastAsia" w:ascii="宋体" w:hAnsi="宋体" w:eastAsia="宋体" w:cs="宋体"/>
          <w:b/>
          <w:bCs/>
          <w:color w:val="000000"/>
          <w:sz w:val="28"/>
          <w:szCs w:val="28"/>
        </w:rPr>
        <w:t>投标文件的补充、修改或者撤回</w:t>
      </w:r>
    </w:p>
    <w:p w14:paraId="4EE52570">
      <w:pPr>
        <w:autoSpaceDE w:val="0"/>
        <w:autoSpaceDN w:val="0"/>
        <w:spacing w:line="360" w:lineRule="auto"/>
        <w:ind w:firstLine="480" w:firstLineChars="200"/>
        <w:rPr>
          <w:rFonts w:hint="eastAsia" w:ascii="宋体" w:hAnsi="宋体" w:eastAsia="宋体" w:cs="宋体"/>
          <w:kern w:val="0"/>
        </w:rPr>
      </w:pPr>
      <w:r>
        <w:rPr>
          <w:rFonts w:hint="eastAsia" w:ascii="宋体" w:hAnsi="宋体" w:eastAsia="宋体" w:cs="宋体"/>
          <w:kern w:val="0"/>
        </w:rPr>
        <w:t>投标人在投标截止时间前，可以对所投的投标文件进行补充、修改或者撤回，并书面通知采购人或者采购代理机构。</w:t>
      </w:r>
    </w:p>
    <w:p w14:paraId="61D52BB8">
      <w:pPr>
        <w:pStyle w:val="23"/>
        <w:spacing w:before="0" w:after="0" w:line="360" w:lineRule="auto"/>
        <w:rPr>
          <w:rFonts w:hint="eastAsia" w:ascii="宋体" w:hAnsi="宋体" w:eastAsia="宋体" w:cs="宋体"/>
          <w:color w:val="000000"/>
          <w:highlight w:val="green"/>
        </w:rPr>
      </w:pPr>
      <w:bookmarkStart w:id="21" w:name="_Toc24766"/>
      <w:r>
        <w:rPr>
          <w:rFonts w:hint="eastAsia" w:ascii="宋体" w:hAnsi="宋体" w:eastAsia="宋体" w:cs="宋体"/>
          <w:color w:val="000000"/>
          <w:lang w:val="zh-CN"/>
        </w:rPr>
        <w:t>五、开标</w:t>
      </w:r>
      <w:bookmarkEnd w:id="21"/>
    </w:p>
    <w:p w14:paraId="0F342068">
      <w:pPr>
        <w:pStyle w:val="23"/>
        <w:spacing w:before="0" w:after="0" w:line="360" w:lineRule="auto"/>
        <w:jc w:val="left"/>
        <w:rPr>
          <w:rFonts w:hint="eastAsia" w:ascii="宋体" w:hAnsi="宋体" w:eastAsia="宋体" w:cs="宋体"/>
          <w:color w:val="000000"/>
          <w:lang w:val="zh-CN"/>
        </w:rPr>
      </w:pPr>
      <w:bookmarkStart w:id="22" w:name="_Toc21809"/>
      <w:r>
        <w:rPr>
          <w:rFonts w:hint="eastAsia" w:ascii="宋体" w:hAnsi="宋体" w:eastAsia="宋体" w:cs="宋体"/>
          <w:color w:val="000000"/>
          <w:sz w:val="28"/>
          <w:szCs w:val="28"/>
          <w:lang w:val="zh-CN"/>
        </w:rPr>
        <w:t>1</w:t>
      </w:r>
      <w:r>
        <w:rPr>
          <w:rFonts w:hint="eastAsia" w:ascii="宋体" w:hAnsi="宋体" w:eastAsia="宋体" w:cs="宋体"/>
          <w:color w:val="000000"/>
          <w:sz w:val="28"/>
          <w:szCs w:val="28"/>
          <w:lang w:val="en-US" w:eastAsia="zh-CN"/>
        </w:rPr>
        <w:t>6</w:t>
      </w:r>
      <w:r>
        <w:rPr>
          <w:rFonts w:hint="eastAsia" w:ascii="宋体" w:hAnsi="宋体" w:eastAsia="宋体" w:cs="宋体"/>
          <w:color w:val="000000"/>
          <w:sz w:val="28"/>
          <w:szCs w:val="28"/>
          <w:lang w:val="zh-CN"/>
        </w:rPr>
        <w:t>.开标</w:t>
      </w:r>
      <w:bookmarkEnd w:id="22"/>
    </w:p>
    <w:p w14:paraId="6B2C3E38">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1</w:t>
      </w:r>
      <w:r>
        <w:rPr>
          <w:rFonts w:hint="eastAsia" w:ascii="宋体" w:hAnsi="宋体" w:eastAsia="宋体" w:cs="宋体"/>
          <w:color w:val="000000"/>
          <w:kern w:val="0"/>
        </w:rPr>
        <w:t>6</w:t>
      </w:r>
      <w:r>
        <w:rPr>
          <w:rFonts w:hint="eastAsia" w:ascii="宋体" w:hAnsi="宋体" w:eastAsia="宋体" w:cs="宋体"/>
          <w:color w:val="000000"/>
          <w:kern w:val="0"/>
          <w:lang w:val="zh-CN"/>
        </w:rPr>
        <w:t>.1</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开标应当在招标文件确定的提交投标文件截止时间的同一时间进行。采购代理机构应当按本文件中确定的时间和地点组织开标活动。</w:t>
      </w:r>
    </w:p>
    <w:p w14:paraId="56BFD896">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采购人或者采购代理机构应当对开标、评标现场活动进行全程录音录像。录音录像应当清晰可辨，音像资料作为采购文件一并存档。</w:t>
      </w:r>
    </w:p>
    <w:p w14:paraId="3777FF84">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1</w:t>
      </w:r>
      <w:r>
        <w:rPr>
          <w:rFonts w:hint="eastAsia" w:ascii="宋体" w:hAnsi="宋体" w:eastAsia="宋体" w:cs="宋体"/>
          <w:color w:val="000000"/>
          <w:kern w:val="0"/>
        </w:rPr>
        <w:t>6</w:t>
      </w:r>
      <w:r>
        <w:rPr>
          <w:rFonts w:hint="eastAsia" w:ascii="宋体" w:hAnsi="宋体" w:eastAsia="宋体" w:cs="宋体"/>
          <w:color w:val="000000"/>
          <w:kern w:val="0"/>
          <w:lang w:val="zh-CN"/>
        </w:rPr>
        <w:t>.2</w:t>
      </w:r>
      <w:r>
        <w:rPr>
          <w:rFonts w:hint="eastAsia" w:ascii="宋体" w:hAnsi="宋体" w:eastAsia="宋体" w:cs="宋体"/>
          <w:color w:val="000000"/>
          <w:kern w:val="0"/>
        </w:rPr>
        <w:t xml:space="preserve"> </w:t>
      </w:r>
      <w:r>
        <w:rPr>
          <w:rFonts w:hint="eastAsia" w:ascii="宋体" w:hAnsi="宋体" w:eastAsia="宋体" w:cs="宋体"/>
          <w:color w:val="000000"/>
          <w:shd w:val="clear" w:color="auto" w:fill="FFFFFF"/>
        </w:rPr>
        <w:t>开标由</w:t>
      </w:r>
      <w:r>
        <w:rPr>
          <w:rFonts w:hint="eastAsia" w:ascii="宋体" w:hAnsi="宋体" w:eastAsia="宋体" w:cs="宋体"/>
          <w:color w:val="000000"/>
          <w:kern w:val="0"/>
          <w:lang w:val="zh-CN"/>
        </w:rPr>
        <w:t>采购代理机构</w:t>
      </w:r>
      <w:r>
        <w:rPr>
          <w:rFonts w:hint="eastAsia" w:ascii="宋体" w:hAnsi="宋体" w:eastAsia="宋体" w:cs="宋体"/>
          <w:color w:val="000000"/>
          <w:shd w:val="clear" w:color="auto" w:fill="FFFFFF"/>
        </w:rPr>
        <w:t>主持，邀请投标人参加。评标委员会成员不得参加开标活动。</w:t>
      </w:r>
    </w:p>
    <w:p w14:paraId="319B4CCA">
      <w:pPr>
        <w:autoSpaceDE w:val="0"/>
        <w:autoSpaceDN w:val="0"/>
        <w:spacing w:line="360" w:lineRule="auto"/>
        <w:ind w:firstLine="480" w:firstLineChars="200"/>
        <w:rPr>
          <w:rFonts w:hint="eastAsia" w:ascii="宋体" w:hAnsi="宋体" w:eastAsia="宋体" w:cs="宋体"/>
          <w:color w:val="000000"/>
          <w:shd w:val="clear" w:color="auto" w:fill="FFFFFF"/>
          <w:lang w:val="zh-CN"/>
        </w:rPr>
      </w:pPr>
      <w:r>
        <w:rPr>
          <w:rFonts w:hint="eastAsia" w:ascii="宋体" w:hAnsi="宋体" w:eastAsia="宋体" w:cs="宋体"/>
          <w:color w:val="000000"/>
          <w:shd w:val="clear" w:color="auto" w:fill="FFFFFF"/>
          <w:lang w:val="zh-CN"/>
        </w:rPr>
        <w:t>投标人不足3家的，不得开标。</w:t>
      </w:r>
    </w:p>
    <w:p w14:paraId="628EB702">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16.3开标过程应当由</w:t>
      </w:r>
      <w:r>
        <w:rPr>
          <w:rFonts w:hint="eastAsia" w:ascii="宋体" w:hAnsi="宋体" w:eastAsia="宋体" w:cs="宋体"/>
          <w:color w:val="000000"/>
          <w:kern w:val="0"/>
          <w:lang w:val="zh-CN"/>
        </w:rPr>
        <w:t>采购代理机构</w:t>
      </w:r>
      <w:r>
        <w:rPr>
          <w:rFonts w:hint="eastAsia" w:ascii="宋体" w:hAnsi="宋体" w:eastAsia="宋体" w:cs="宋体"/>
          <w:color w:val="000000"/>
          <w:kern w:val="0"/>
        </w:rPr>
        <w:t>负责记录，由参加开标的各投标人代表和相关工作人员签字确认后随采购文件一并存档。</w:t>
      </w:r>
    </w:p>
    <w:p w14:paraId="09D290C8">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2BEC42EF">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投标人未参加开标的，视同认可开标结果。</w:t>
      </w:r>
    </w:p>
    <w:p w14:paraId="19917D6E">
      <w:pPr>
        <w:pStyle w:val="23"/>
        <w:spacing w:before="0" w:after="0" w:line="360" w:lineRule="auto"/>
        <w:rPr>
          <w:rFonts w:hint="eastAsia" w:ascii="宋体" w:hAnsi="宋体" w:eastAsia="宋体" w:cs="宋体"/>
          <w:color w:val="000000"/>
          <w:kern w:val="0"/>
        </w:rPr>
      </w:pPr>
      <w:bookmarkStart w:id="23" w:name="_Toc8757"/>
      <w:bookmarkStart w:id="24" w:name="_Toc496004006"/>
      <w:r>
        <w:rPr>
          <w:rFonts w:hint="eastAsia" w:ascii="宋体" w:hAnsi="宋体" w:eastAsia="宋体" w:cs="宋体"/>
          <w:kern w:val="0"/>
          <w:szCs w:val="36"/>
        </w:rPr>
        <w:t>六、资格</w:t>
      </w:r>
      <w:r>
        <w:rPr>
          <w:rFonts w:hint="eastAsia" w:ascii="宋体" w:hAnsi="宋体" w:eastAsia="宋体" w:cs="宋体"/>
          <w:color w:val="000000"/>
          <w:lang w:val="zh-CN"/>
        </w:rPr>
        <w:t>审查</w:t>
      </w:r>
      <w:r>
        <w:rPr>
          <w:rFonts w:hint="eastAsia" w:ascii="宋体" w:hAnsi="宋体" w:eastAsia="宋体" w:cs="宋体"/>
          <w:kern w:val="0"/>
          <w:szCs w:val="36"/>
        </w:rPr>
        <w:t>程序</w:t>
      </w:r>
      <w:bookmarkEnd w:id="23"/>
      <w:bookmarkEnd w:id="24"/>
    </w:p>
    <w:p w14:paraId="6DB96A29">
      <w:pPr>
        <w:pStyle w:val="23"/>
        <w:spacing w:before="0" w:after="0" w:line="360" w:lineRule="auto"/>
        <w:jc w:val="left"/>
        <w:rPr>
          <w:rFonts w:hint="eastAsia" w:ascii="宋体" w:hAnsi="宋体" w:eastAsia="宋体" w:cs="宋体"/>
          <w:color w:val="000000"/>
          <w:sz w:val="28"/>
          <w:szCs w:val="28"/>
        </w:rPr>
      </w:pPr>
      <w:bookmarkStart w:id="25" w:name="_Toc580"/>
      <w:r>
        <w:rPr>
          <w:rFonts w:hint="eastAsia" w:ascii="宋体" w:hAnsi="宋体" w:eastAsia="宋体" w:cs="宋体"/>
          <w:color w:val="000000"/>
          <w:sz w:val="28"/>
          <w:szCs w:val="28"/>
        </w:rPr>
        <w:t>17.资格审查</w:t>
      </w:r>
      <w:bookmarkEnd w:id="25"/>
    </w:p>
    <w:p w14:paraId="7BE42B8B">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17.1 开标结束后，采购人和采购代理机构应当依法对投标人的资格性审查文件（上册）进行审查。</w:t>
      </w:r>
    </w:p>
    <w:p w14:paraId="3301ED39">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17.2 合格投标人不足3家的，不得评标。</w:t>
      </w:r>
    </w:p>
    <w:p w14:paraId="316B42F4">
      <w:pPr>
        <w:autoSpaceDE w:val="0"/>
        <w:autoSpaceDN w:val="0"/>
        <w:spacing w:line="360" w:lineRule="auto"/>
        <w:ind w:firstLine="480" w:firstLineChars="200"/>
        <w:rPr>
          <w:rFonts w:hint="eastAsia" w:ascii="宋体" w:hAnsi="宋体" w:eastAsia="宋体" w:cs="宋体"/>
          <w:color w:val="000000"/>
          <w:sz w:val="28"/>
          <w:szCs w:val="28"/>
        </w:rPr>
      </w:pPr>
      <w:bookmarkStart w:id="26" w:name="_Toc497503516"/>
      <w:bookmarkStart w:id="27" w:name="_Toc497503315"/>
      <w:bookmarkStart w:id="28" w:name="_Toc30809"/>
      <w:bookmarkStart w:id="29" w:name="_Toc497503449"/>
      <w:bookmarkStart w:id="30" w:name="_Toc497503249"/>
      <w:r>
        <w:rPr>
          <w:rFonts w:hint="eastAsia" w:ascii="宋体" w:hAnsi="宋体" w:eastAsia="宋体" w:cs="宋体"/>
          <w:color w:val="000000"/>
          <w:kern w:val="0"/>
        </w:rPr>
        <w:t>17.3 资格审查时，投标人存在下列情况之一的，按无效投标处理：</w:t>
      </w:r>
      <w:bookmarkEnd w:id="26"/>
      <w:bookmarkEnd w:id="27"/>
      <w:bookmarkEnd w:id="28"/>
      <w:bookmarkEnd w:id="29"/>
      <w:bookmarkEnd w:id="30"/>
    </w:p>
    <w:p w14:paraId="62F04F55">
      <w:pPr>
        <w:tabs>
          <w:tab w:val="left" w:pos="312"/>
          <w:tab w:val="left" w:pos="960"/>
        </w:tabs>
        <w:autoSpaceDE w:val="0"/>
        <w:autoSpaceDN w:val="0"/>
        <w:spacing w:line="360" w:lineRule="auto"/>
        <w:rPr>
          <w:rFonts w:hint="eastAsia" w:ascii="宋体" w:hAnsi="宋体" w:eastAsia="宋体" w:cs="宋体"/>
          <w:color w:val="000000"/>
          <w:kern w:val="0"/>
        </w:rPr>
      </w:pPr>
      <w:r>
        <w:rPr>
          <w:rFonts w:hint="eastAsia" w:ascii="宋体" w:hAnsi="宋体" w:eastAsia="宋体" w:cs="宋体"/>
          <w:color w:val="000000"/>
          <w:shd w:val="clear" w:color="auto" w:fill="FFFFFF"/>
        </w:rPr>
        <w:t xml:space="preserve">     (1)不具备</w:t>
      </w:r>
      <w:r>
        <w:rPr>
          <w:rFonts w:hint="eastAsia" w:ascii="宋体" w:hAnsi="宋体" w:eastAsia="宋体" w:cs="宋体"/>
          <w:color w:val="000000"/>
          <w:kern w:val="0"/>
          <w:lang w:val="zh-CN"/>
        </w:rPr>
        <w:t>第一部分“投标邀请”中各包投标人资格要求</w:t>
      </w:r>
      <w:r>
        <w:rPr>
          <w:rFonts w:hint="eastAsia" w:ascii="宋体" w:hAnsi="宋体" w:eastAsia="宋体" w:cs="宋体"/>
          <w:color w:val="000000"/>
          <w:shd w:val="clear" w:color="auto" w:fill="FFFFFF"/>
        </w:rPr>
        <w:t>的；</w:t>
      </w:r>
    </w:p>
    <w:p w14:paraId="13E63D41">
      <w:pPr>
        <w:tabs>
          <w:tab w:val="left" w:pos="312"/>
          <w:tab w:val="left" w:pos="960"/>
        </w:tabs>
        <w:autoSpaceDE w:val="0"/>
        <w:autoSpaceDN w:val="0"/>
        <w:spacing w:line="360" w:lineRule="auto"/>
        <w:rPr>
          <w:rFonts w:hint="eastAsia" w:ascii="宋体" w:hAnsi="宋体" w:eastAsia="宋体" w:cs="宋体"/>
          <w:color w:val="000000"/>
          <w:kern w:val="0"/>
        </w:rPr>
      </w:pPr>
      <w:r>
        <w:rPr>
          <w:rFonts w:hint="eastAsia" w:ascii="宋体" w:hAnsi="宋体" w:eastAsia="宋体" w:cs="宋体"/>
          <w:color w:val="000000"/>
          <w:kern w:val="0"/>
        </w:rPr>
        <w:t xml:space="preserve">     (2)未按招标文件要求交纳或未足额交纳投标保证金的；</w:t>
      </w:r>
    </w:p>
    <w:p w14:paraId="1D04048B">
      <w:pPr>
        <w:tabs>
          <w:tab w:val="left" w:pos="312"/>
          <w:tab w:val="left" w:pos="960"/>
        </w:tabs>
        <w:autoSpaceDE w:val="0"/>
        <w:autoSpaceDN w:val="0"/>
        <w:spacing w:line="360" w:lineRule="auto"/>
        <w:rPr>
          <w:rFonts w:hint="eastAsia" w:ascii="宋体" w:hAnsi="宋体" w:eastAsia="宋体" w:cs="宋体"/>
          <w:color w:val="000000"/>
          <w:kern w:val="0"/>
        </w:rPr>
      </w:pPr>
      <w:r>
        <w:rPr>
          <w:rFonts w:hint="eastAsia" w:ascii="宋体" w:hAnsi="宋体" w:eastAsia="宋体" w:cs="宋体"/>
          <w:color w:val="000000"/>
          <w:kern w:val="0"/>
        </w:rPr>
        <w:t xml:space="preserve">     (3)未按第11.1要求提供相关资料的；</w:t>
      </w:r>
    </w:p>
    <w:p w14:paraId="2A9BECD7">
      <w:pPr>
        <w:tabs>
          <w:tab w:val="left" w:pos="312"/>
          <w:tab w:val="left" w:pos="960"/>
        </w:tabs>
        <w:autoSpaceDE w:val="0"/>
        <w:autoSpaceDN w:val="0"/>
        <w:spacing w:line="360" w:lineRule="auto"/>
        <w:rPr>
          <w:rFonts w:hint="eastAsia" w:ascii="宋体" w:hAnsi="宋体" w:eastAsia="宋体" w:cs="宋体"/>
          <w:color w:val="000000"/>
          <w:shd w:val="clear" w:color="auto" w:fill="FFFFFF"/>
        </w:rPr>
      </w:pPr>
      <w:r>
        <w:rPr>
          <w:rFonts w:hint="eastAsia" w:ascii="宋体" w:hAnsi="宋体" w:eastAsia="宋体" w:cs="宋体"/>
          <w:color w:val="000000"/>
          <w:kern w:val="0"/>
        </w:rPr>
        <w:t xml:space="preserve">     (4)资格性审查文件未按招标文件规定和要求签字、盖章的；</w:t>
      </w:r>
    </w:p>
    <w:p w14:paraId="19060287">
      <w:pPr>
        <w:tabs>
          <w:tab w:val="left" w:pos="312"/>
          <w:tab w:val="left" w:pos="960"/>
        </w:tabs>
        <w:autoSpaceDE w:val="0"/>
        <w:autoSpaceDN w:val="0"/>
        <w:spacing w:line="360" w:lineRule="auto"/>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 xml:space="preserve">     (5)报价超过招标文件中规定的预算金额或者最高限价的；</w:t>
      </w:r>
    </w:p>
    <w:p w14:paraId="5916E4F0">
      <w:pPr>
        <w:tabs>
          <w:tab w:val="left" w:pos="312"/>
          <w:tab w:val="left" w:pos="960"/>
        </w:tabs>
        <w:autoSpaceDE w:val="0"/>
        <w:autoSpaceDN w:val="0"/>
        <w:spacing w:line="360" w:lineRule="auto"/>
        <w:rPr>
          <w:rFonts w:hint="eastAsia" w:ascii="宋体" w:hAnsi="宋体" w:eastAsia="宋体" w:cs="宋体"/>
          <w:color w:val="000000"/>
          <w:shd w:val="clear" w:color="auto" w:fill="FFFFFF"/>
        </w:rPr>
      </w:pPr>
      <w:r>
        <w:rPr>
          <w:rFonts w:hint="eastAsia" w:ascii="宋体" w:hAnsi="宋体" w:eastAsia="宋体" w:cs="宋体"/>
          <w:color w:val="000000"/>
          <w:kern w:val="0"/>
        </w:rPr>
        <w:t xml:space="preserve">     (6)</w:t>
      </w:r>
      <w:r>
        <w:rPr>
          <w:rFonts w:hint="eastAsia" w:ascii="宋体" w:hAnsi="宋体" w:eastAsia="宋体" w:cs="宋体"/>
          <w:color w:val="000000"/>
          <w:kern w:val="0"/>
          <w:lang w:val="zh-CN"/>
        </w:rPr>
        <w:t>投标有效期不能满足招标文件要求的；</w:t>
      </w:r>
    </w:p>
    <w:p w14:paraId="1F82F516">
      <w:pPr>
        <w:tabs>
          <w:tab w:val="left" w:pos="312"/>
          <w:tab w:val="left" w:pos="960"/>
        </w:tabs>
        <w:autoSpaceDE w:val="0"/>
        <w:autoSpaceDN w:val="0"/>
        <w:spacing w:line="360" w:lineRule="auto"/>
        <w:rPr>
          <w:rFonts w:hint="eastAsia" w:ascii="宋体" w:hAnsi="宋体" w:eastAsia="宋体" w:cs="宋体"/>
          <w:color w:val="000000"/>
          <w:kern w:val="0"/>
        </w:rPr>
      </w:pPr>
      <w:r>
        <w:rPr>
          <w:rFonts w:hint="eastAsia" w:ascii="宋体" w:hAnsi="宋体" w:eastAsia="宋体" w:cs="宋体"/>
          <w:color w:val="000000"/>
          <w:kern w:val="0"/>
        </w:rPr>
        <w:t xml:space="preserve">     (7)</w:t>
      </w:r>
      <w:r>
        <w:rPr>
          <w:rFonts w:hint="eastAsia" w:ascii="宋体" w:hAnsi="宋体" w:eastAsia="宋体" w:cs="宋体"/>
          <w:color w:val="000000"/>
          <w:kern w:val="0"/>
          <w:lang w:val="zh-CN"/>
        </w:rPr>
        <w:t>未按招标文件要求制作并上传电子投标文件的；</w:t>
      </w:r>
    </w:p>
    <w:p w14:paraId="08ED1761">
      <w:pPr>
        <w:tabs>
          <w:tab w:val="left" w:pos="312"/>
          <w:tab w:val="left" w:pos="960"/>
        </w:tabs>
        <w:autoSpaceDE w:val="0"/>
        <w:autoSpaceDN w:val="0"/>
        <w:spacing w:line="360" w:lineRule="auto"/>
        <w:rPr>
          <w:rFonts w:hint="eastAsia" w:ascii="宋体" w:hAnsi="宋体" w:eastAsia="宋体" w:cs="宋体"/>
          <w:color w:val="000000"/>
          <w:kern w:val="0"/>
        </w:rPr>
      </w:pPr>
      <w:r>
        <w:rPr>
          <w:rFonts w:hint="eastAsia" w:ascii="宋体" w:hAnsi="宋体" w:eastAsia="宋体" w:cs="宋体"/>
          <w:color w:val="000000"/>
          <w:kern w:val="0"/>
        </w:rPr>
        <w:t xml:space="preserve">     (8)由于供应商原因造成电子投标文件无法正常解密的。</w:t>
      </w:r>
    </w:p>
    <w:p w14:paraId="65449CAA">
      <w:pPr>
        <w:pStyle w:val="23"/>
        <w:spacing w:before="0" w:after="0" w:line="360" w:lineRule="auto"/>
        <w:rPr>
          <w:rFonts w:hint="eastAsia" w:ascii="宋体" w:hAnsi="宋体" w:eastAsia="宋体" w:cs="宋体"/>
          <w:color w:val="000000"/>
        </w:rPr>
      </w:pPr>
      <w:bookmarkStart w:id="31" w:name="_Toc31281"/>
      <w:r>
        <w:rPr>
          <w:rFonts w:hint="eastAsia" w:ascii="宋体" w:hAnsi="宋体" w:eastAsia="宋体" w:cs="宋体"/>
          <w:color w:val="000000"/>
          <w:lang w:val="zh-CN"/>
        </w:rPr>
        <w:t>七、评审程序及方法</w:t>
      </w:r>
      <w:bookmarkEnd w:id="31"/>
    </w:p>
    <w:p w14:paraId="3CB556E8">
      <w:pPr>
        <w:pStyle w:val="23"/>
        <w:spacing w:before="0" w:after="0" w:line="360" w:lineRule="auto"/>
        <w:jc w:val="left"/>
        <w:rPr>
          <w:rFonts w:hint="eastAsia" w:ascii="宋体" w:hAnsi="宋体" w:eastAsia="宋体" w:cs="宋体"/>
          <w:color w:val="000000"/>
          <w:lang w:val="zh-CN"/>
        </w:rPr>
      </w:pPr>
      <w:bookmarkStart w:id="32" w:name="_Toc16843"/>
      <w:r>
        <w:rPr>
          <w:rFonts w:hint="eastAsia" w:ascii="宋体" w:hAnsi="宋体" w:eastAsia="宋体" w:cs="宋体"/>
          <w:color w:val="000000"/>
          <w:sz w:val="28"/>
          <w:szCs w:val="28"/>
          <w:lang w:val="zh-CN"/>
        </w:rPr>
        <w:t>1</w:t>
      </w:r>
      <w:r>
        <w:rPr>
          <w:rFonts w:hint="eastAsia" w:ascii="宋体" w:hAnsi="宋体" w:eastAsia="宋体" w:cs="宋体"/>
          <w:color w:val="000000"/>
          <w:sz w:val="28"/>
          <w:szCs w:val="28"/>
        </w:rPr>
        <w:t>8</w:t>
      </w:r>
      <w:r>
        <w:rPr>
          <w:rFonts w:hint="eastAsia" w:ascii="宋体" w:hAnsi="宋体" w:eastAsia="宋体" w:cs="宋体"/>
          <w:color w:val="000000"/>
          <w:sz w:val="28"/>
          <w:szCs w:val="28"/>
          <w:lang w:val="zh-CN"/>
        </w:rPr>
        <w:t>.评标委员会</w:t>
      </w:r>
      <w:bookmarkEnd w:id="32"/>
    </w:p>
    <w:p w14:paraId="520D5B06">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rPr>
        <w:t xml:space="preserve">18.1 </w:t>
      </w:r>
      <w:r>
        <w:rPr>
          <w:rFonts w:hint="eastAsia" w:ascii="宋体" w:hAnsi="宋体" w:eastAsia="宋体" w:cs="宋体"/>
          <w:color w:val="000000"/>
          <w:kern w:val="0"/>
          <w:lang w:val="zh-CN"/>
        </w:rPr>
        <w:t>采购代理机构负责组织评标工作，并履行下列职责：</w:t>
      </w:r>
    </w:p>
    <w:p w14:paraId="6FCF9BB0">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w:t>
      </w:r>
      <w:r>
        <w:rPr>
          <w:rFonts w:hint="eastAsia" w:ascii="宋体" w:hAnsi="宋体" w:eastAsia="宋体" w:cs="宋体"/>
          <w:color w:val="000000"/>
          <w:kern w:val="0"/>
        </w:rPr>
        <w:t>1</w:t>
      </w:r>
      <w:r>
        <w:rPr>
          <w:rFonts w:hint="eastAsia" w:ascii="宋体" w:hAnsi="宋体" w:eastAsia="宋体" w:cs="宋体"/>
          <w:color w:val="000000"/>
          <w:kern w:val="0"/>
          <w:lang w:val="zh-CN"/>
        </w:rPr>
        <w:t>）核对评审专家身份和采购人代表授权函，对评审专家在政府采购活动中的职责履行情况予以记录，并及时将有关违法违规行为向财政部门报告；</w:t>
      </w:r>
    </w:p>
    <w:p w14:paraId="17225C72">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w:t>
      </w:r>
      <w:r>
        <w:rPr>
          <w:rFonts w:hint="eastAsia" w:ascii="宋体" w:hAnsi="宋体" w:eastAsia="宋体" w:cs="宋体"/>
          <w:color w:val="000000"/>
          <w:kern w:val="0"/>
        </w:rPr>
        <w:t>2</w:t>
      </w:r>
      <w:r>
        <w:rPr>
          <w:rFonts w:hint="eastAsia" w:ascii="宋体" w:hAnsi="宋体" w:eastAsia="宋体" w:cs="宋体"/>
          <w:color w:val="000000"/>
          <w:kern w:val="0"/>
          <w:lang w:val="zh-CN"/>
        </w:rPr>
        <w:t>）宣布评标纪律；</w:t>
      </w:r>
    </w:p>
    <w:p w14:paraId="1F460C9F">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w:t>
      </w:r>
      <w:r>
        <w:rPr>
          <w:rFonts w:hint="eastAsia" w:ascii="宋体" w:hAnsi="宋体" w:eastAsia="宋体" w:cs="宋体"/>
          <w:color w:val="000000"/>
          <w:kern w:val="0"/>
        </w:rPr>
        <w:t>3</w:t>
      </w:r>
      <w:r>
        <w:rPr>
          <w:rFonts w:hint="eastAsia" w:ascii="宋体" w:hAnsi="宋体" w:eastAsia="宋体" w:cs="宋体"/>
          <w:color w:val="000000"/>
          <w:kern w:val="0"/>
          <w:lang w:val="zh-CN"/>
        </w:rPr>
        <w:t>）公布投标人名单，告知评审专家应当回避的情形；</w:t>
      </w:r>
    </w:p>
    <w:p w14:paraId="4750ECD2">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w:t>
      </w:r>
      <w:r>
        <w:rPr>
          <w:rFonts w:hint="eastAsia" w:ascii="宋体" w:hAnsi="宋体" w:eastAsia="宋体" w:cs="宋体"/>
          <w:color w:val="000000"/>
          <w:kern w:val="0"/>
        </w:rPr>
        <w:t>4</w:t>
      </w:r>
      <w:r>
        <w:rPr>
          <w:rFonts w:hint="eastAsia" w:ascii="宋体" w:hAnsi="宋体" w:eastAsia="宋体" w:cs="宋体"/>
          <w:color w:val="000000"/>
          <w:kern w:val="0"/>
          <w:lang w:val="zh-CN"/>
        </w:rPr>
        <w:t>）组织评标委员会推选评标组长，采购人代表不得担任组长；</w:t>
      </w:r>
    </w:p>
    <w:p w14:paraId="0D894A47">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w:t>
      </w:r>
      <w:r>
        <w:rPr>
          <w:rFonts w:hint="eastAsia" w:ascii="宋体" w:hAnsi="宋体" w:eastAsia="宋体" w:cs="宋体"/>
          <w:color w:val="000000"/>
          <w:kern w:val="0"/>
        </w:rPr>
        <w:t>5</w:t>
      </w:r>
      <w:r>
        <w:rPr>
          <w:rFonts w:hint="eastAsia" w:ascii="宋体" w:hAnsi="宋体" w:eastAsia="宋体" w:cs="宋体"/>
          <w:color w:val="000000"/>
          <w:kern w:val="0"/>
          <w:lang w:val="zh-CN"/>
        </w:rPr>
        <w:t>）在评标期间采取必要的通讯管理措施，保证评标活动不受外界干扰；</w:t>
      </w:r>
    </w:p>
    <w:p w14:paraId="07A5A942">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w:t>
      </w:r>
      <w:r>
        <w:rPr>
          <w:rFonts w:hint="eastAsia" w:ascii="宋体" w:hAnsi="宋体" w:eastAsia="宋体" w:cs="宋体"/>
          <w:color w:val="000000"/>
          <w:kern w:val="0"/>
        </w:rPr>
        <w:t>6</w:t>
      </w:r>
      <w:r>
        <w:rPr>
          <w:rFonts w:hint="eastAsia" w:ascii="宋体" w:hAnsi="宋体" w:eastAsia="宋体" w:cs="宋体"/>
          <w:color w:val="000000"/>
          <w:kern w:val="0"/>
          <w:lang w:val="zh-CN"/>
        </w:rPr>
        <w:t>）根据评标委员会的要求介绍政府采购相关政策法规、招标文件；</w:t>
      </w:r>
    </w:p>
    <w:p w14:paraId="7572E255">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w:t>
      </w:r>
      <w:r>
        <w:rPr>
          <w:rFonts w:hint="eastAsia" w:ascii="宋体" w:hAnsi="宋体" w:eastAsia="宋体" w:cs="宋体"/>
          <w:color w:val="000000"/>
          <w:kern w:val="0"/>
        </w:rPr>
        <w:t>7</w:t>
      </w:r>
      <w:r>
        <w:rPr>
          <w:rFonts w:hint="eastAsia" w:ascii="宋体" w:hAnsi="宋体" w:eastAsia="宋体" w:cs="宋体"/>
          <w:color w:val="000000"/>
          <w:kern w:val="0"/>
          <w:lang w:val="zh-CN"/>
        </w:rPr>
        <w:t>）维护评标秩序，监督评标委员会依照招标文件规定的评标程序、方法和标准进行独立评审，及时制止和纠正采购人代表、评审专家的倾向性言论或者违法违规行为；</w:t>
      </w:r>
    </w:p>
    <w:p w14:paraId="1AC5C64B">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w:t>
      </w:r>
      <w:r>
        <w:rPr>
          <w:rFonts w:hint="eastAsia" w:ascii="宋体" w:hAnsi="宋体" w:eastAsia="宋体" w:cs="宋体"/>
          <w:color w:val="000000"/>
          <w:kern w:val="0"/>
        </w:rPr>
        <w:t>8</w:t>
      </w:r>
      <w:r>
        <w:rPr>
          <w:rFonts w:hint="eastAsia" w:ascii="宋体" w:hAnsi="宋体" w:eastAsia="宋体" w:cs="宋体"/>
          <w:color w:val="000000"/>
          <w:kern w:val="0"/>
          <w:lang w:val="zh-CN"/>
        </w:rPr>
        <w:t>）核对评标结果，有</w:t>
      </w:r>
      <w:r>
        <w:rPr>
          <w:rFonts w:hint="eastAsia" w:ascii="宋体" w:hAnsi="宋体" w:eastAsia="宋体" w:cs="宋体"/>
          <w:color w:val="000000"/>
          <w:kern w:val="0"/>
        </w:rPr>
        <w:t>20.4</w:t>
      </w:r>
      <w:r>
        <w:rPr>
          <w:rFonts w:hint="eastAsia" w:ascii="宋体" w:hAnsi="宋体" w:eastAsia="宋体" w:cs="宋体"/>
          <w:color w:val="000000"/>
          <w:kern w:val="0"/>
          <w:lang w:val="zh-CN"/>
        </w:rPr>
        <w:t>规定情形的，要求评标委员会复核或者书面说明理由，评标委员会拒绝的，应予记录并向本级财政部门报告；</w:t>
      </w:r>
    </w:p>
    <w:p w14:paraId="3AE1ECCC">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w:t>
      </w:r>
      <w:r>
        <w:rPr>
          <w:rFonts w:hint="eastAsia" w:ascii="宋体" w:hAnsi="宋体" w:eastAsia="宋体" w:cs="宋体"/>
          <w:color w:val="000000"/>
          <w:kern w:val="0"/>
        </w:rPr>
        <w:t>9</w:t>
      </w:r>
      <w:r>
        <w:rPr>
          <w:rFonts w:hint="eastAsia" w:ascii="宋体" w:hAnsi="宋体" w:eastAsia="宋体" w:cs="宋体"/>
          <w:color w:val="000000"/>
          <w:kern w:val="0"/>
          <w:lang w:val="zh-CN"/>
        </w:rPr>
        <w:t>）评审工作完成后，按照规定由采购人向评审专家支付劳务报酬和异地评审差旅费，不得向评审专家以外的其他人员支付评审劳务报酬；</w:t>
      </w:r>
    </w:p>
    <w:p w14:paraId="40734684">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w:t>
      </w:r>
      <w:r>
        <w:rPr>
          <w:rFonts w:hint="eastAsia" w:ascii="宋体" w:hAnsi="宋体" w:eastAsia="宋体" w:cs="宋体"/>
          <w:color w:val="000000"/>
          <w:kern w:val="0"/>
        </w:rPr>
        <w:t>10</w:t>
      </w:r>
      <w:r>
        <w:rPr>
          <w:rFonts w:hint="eastAsia" w:ascii="宋体" w:hAnsi="宋体" w:eastAsia="宋体" w:cs="宋体"/>
          <w:color w:val="000000"/>
          <w:kern w:val="0"/>
          <w:lang w:val="zh-CN"/>
        </w:rPr>
        <w:t>）处理与评标有关的其他事项。</w:t>
      </w:r>
    </w:p>
    <w:p w14:paraId="71AF34F9">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lang w:val="zh-CN"/>
        </w:rPr>
        <w:t>采购人可以在评标前说明项目背景和采购需求，说明内容不得含有歧视性、倾向性意见，不得超出招标文件所述范围。说明应当提交书面材料，并随采购文件一并存档。</w:t>
      </w:r>
    </w:p>
    <w:p w14:paraId="239E450A">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18.2 评标委员会负责具体评标事务，并独立履行下列职责：</w:t>
      </w:r>
    </w:p>
    <w:p w14:paraId="6D21D39E">
      <w:pPr>
        <w:autoSpaceDE w:val="0"/>
        <w:autoSpaceDN w:val="0"/>
        <w:spacing w:line="360" w:lineRule="auto"/>
        <w:rPr>
          <w:rFonts w:hint="eastAsia" w:ascii="宋体" w:hAnsi="宋体" w:eastAsia="宋体" w:cs="宋体"/>
          <w:color w:val="000000"/>
          <w:kern w:val="0"/>
        </w:rPr>
      </w:pPr>
      <w:r>
        <w:rPr>
          <w:rFonts w:hint="eastAsia" w:ascii="宋体" w:hAnsi="宋体" w:eastAsia="宋体" w:cs="宋体"/>
          <w:color w:val="000000"/>
          <w:kern w:val="0"/>
        </w:rPr>
        <w:t xml:space="preserve">   （1）严格遵守评审工作纪律,按照客观、公正、审慎的原则,根据采购文件规定的评审程序、评审方法和评审标准进行独立评审</w:t>
      </w:r>
      <w:r>
        <w:rPr>
          <w:rFonts w:hint="eastAsia" w:ascii="宋体" w:hAnsi="宋体" w:eastAsia="宋体" w:cs="宋体"/>
          <w:color w:val="000000"/>
          <w:kern w:val="0"/>
          <w:lang w:val="zh-CN"/>
        </w:rPr>
        <w:t>；</w:t>
      </w:r>
    </w:p>
    <w:p w14:paraId="3D33F7AB">
      <w:pPr>
        <w:autoSpaceDE w:val="0"/>
        <w:autoSpaceDN w:val="0"/>
        <w:spacing w:line="360" w:lineRule="auto"/>
        <w:rPr>
          <w:rFonts w:hint="eastAsia" w:ascii="宋体" w:hAnsi="宋体" w:eastAsia="宋体" w:cs="宋体"/>
          <w:color w:val="000000"/>
          <w:kern w:val="0"/>
        </w:rPr>
      </w:pPr>
      <w:r>
        <w:rPr>
          <w:rFonts w:hint="eastAsia" w:ascii="宋体" w:hAnsi="宋体" w:eastAsia="宋体" w:cs="宋体"/>
          <w:color w:val="000000"/>
          <w:kern w:val="0"/>
        </w:rPr>
        <w:t xml:space="preserve">  （2）现采购文件内容违反国家有关强制性规定或者采购文件存在歧义、重大缺陷导致评审工作无法进行时,应当停止评审并向采购人或者采购代理机构书面说明情况</w:t>
      </w:r>
      <w:r>
        <w:rPr>
          <w:rFonts w:hint="eastAsia" w:ascii="宋体" w:hAnsi="宋体" w:eastAsia="宋体" w:cs="宋体"/>
          <w:color w:val="000000"/>
          <w:kern w:val="0"/>
          <w:lang w:val="zh-CN"/>
        </w:rPr>
        <w:t>；</w:t>
      </w:r>
    </w:p>
    <w:p w14:paraId="259865F7">
      <w:pPr>
        <w:autoSpaceDE w:val="0"/>
        <w:autoSpaceDN w:val="0"/>
        <w:spacing w:line="360" w:lineRule="auto"/>
        <w:rPr>
          <w:rFonts w:hint="eastAsia" w:ascii="宋体" w:hAnsi="宋体" w:eastAsia="宋体" w:cs="宋体"/>
          <w:color w:val="000000"/>
          <w:kern w:val="0"/>
        </w:rPr>
      </w:pPr>
      <w:r>
        <w:rPr>
          <w:rFonts w:hint="eastAsia" w:ascii="宋体" w:hAnsi="宋体" w:eastAsia="宋体" w:cs="宋体"/>
          <w:color w:val="000000"/>
          <w:kern w:val="0"/>
        </w:rPr>
        <w:t xml:space="preserve">  （3）审查、评价投标文件是否符合招标文件的商务、技术等实质性要求</w:t>
      </w:r>
      <w:r>
        <w:rPr>
          <w:rFonts w:hint="eastAsia" w:ascii="宋体" w:hAnsi="宋体" w:eastAsia="宋体" w:cs="宋体"/>
          <w:color w:val="000000"/>
          <w:kern w:val="0"/>
          <w:lang w:val="zh-CN"/>
        </w:rPr>
        <w:t>；</w:t>
      </w:r>
    </w:p>
    <w:p w14:paraId="091EA9E2">
      <w:pPr>
        <w:autoSpaceDE w:val="0"/>
        <w:autoSpaceDN w:val="0"/>
        <w:spacing w:line="360" w:lineRule="auto"/>
        <w:rPr>
          <w:rFonts w:hint="eastAsia" w:ascii="宋体" w:hAnsi="宋体" w:eastAsia="宋体" w:cs="宋体"/>
          <w:color w:val="000000"/>
          <w:kern w:val="0"/>
        </w:rPr>
      </w:pPr>
      <w:r>
        <w:rPr>
          <w:rFonts w:hint="eastAsia" w:ascii="宋体" w:hAnsi="宋体" w:eastAsia="宋体" w:cs="宋体"/>
          <w:color w:val="000000"/>
          <w:kern w:val="0"/>
        </w:rPr>
        <w:t xml:space="preserve">  （4）要求投标人对投标文件有关事项作出澄清或者说明；</w:t>
      </w:r>
    </w:p>
    <w:p w14:paraId="6CAD7886">
      <w:pPr>
        <w:autoSpaceDE w:val="0"/>
        <w:autoSpaceDN w:val="0"/>
        <w:spacing w:line="360" w:lineRule="auto"/>
        <w:rPr>
          <w:rFonts w:hint="eastAsia" w:ascii="宋体" w:hAnsi="宋体" w:eastAsia="宋体" w:cs="宋体"/>
          <w:color w:val="000000"/>
          <w:kern w:val="0"/>
        </w:rPr>
      </w:pPr>
      <w:r>
        <w:rPr>
          <w:rFonts w:hint="eastAsia" w:ascii="宋体" w:hAnsi="宋体" w:eastAsia="宋体" w:cs="宋体"/>
          <w:color w:val="000000"/>
          <w:kern w:val="0"/>
        </w:rPr>
        <w:t xml:space="preserve">  （5）对投标文件进行比较和评价；</w:t>
      </w:r>
    </w:p>
    <w:p w14:paraId="3207C972">
      <w:pPr>
        <w:autoSpaceDE w:val="0"/>
        <w:autoSpaceDN w:val="0"/>
        <w:spacing w:line="360" w:lineRule="auto"/>
        <w:rPr>
          <w:rFonts w:hint="eastAsia" w:ascii="宋体" w:hAnsi="宋体" w:eastAsia="宋体" w:cs="宋体"/>
          <w:color w:val="000000"/>
          <w:kern w:val="0"/>
        </w:rPr>
      </w:pPr>
      <w:r>
        <w:rPr>
          <w:rFonts w:hint="eastAsia" w:ascii="宋体" w:hAnsi="宋体" w:eastAsia="宋体" w:cs="宋体"/>
          <w:color w:val="000000"/>
          <w:kern w:val="0"/>
        </w:rPr>
        <w:t xml:space="preserve">  （6）确定中标候选人名单，以及根据采购人委托直接确定中标人；</w:t>
      </w:r>
    </w:p>
    <w:p w14:paraId="5145AE63">
      <w:pPr>
        <w:autoSpaceDE w:val="0"/>
        <w:autoSpaceDN w:val="0"/>
        <w:spacing w:line="360" w:lineRule="auto"/>
        <w:rPr>
          <w:rFonts w:hint="eastAsia" w:ascii="宋体" w:hAnsi="宋体" w:eastAsia="宋体" w:cs="宋体"/>
          <w:color w:val="000000"/>
          <w:kern w:val="0"/>
        </w:rPr>
      </w:pPr>
      <w:r>
        <w:rPr>
          <w:rFonts w:hint="eastAsia" w:ascii="宋体" w:hAnsi="宋体" w:eastAsia="宋体" w:cs="宋体"/>
          <w:color w:val="000000"/>
          <w:kern w:val="0"/>
        </w:rPr>
        <w:t xml:space="preserve">  （7）配合答复供应商的询问、质疑和投诉等事项,不得泄露评审文件、评审情况和在评审过程中获悉的商业秘密</w:t>
      </w:r>
      <w:r>
        <w:rPr>
          <w:rFonts w:hint="eastAsia" w:ascii="宋体" w:hAnsi="宋体" w:eastAsia="宋体" w:cs="宋体"/>
          <w:color w:val="000000"/>
          <w:kern w:val="0"/>
          <w:lang w:val="zh-CN"/>
        </w:rPr>
        <w:t>；</w:t>
      </w:r>
    </w:p>
    <w:p w14:paraId="6113A9D2">
      <w:pPr>
        <w:autoSpaceDE w:val="0"/>
        <w:autoSpaceDN w:val="0"/>
        <w:spacing w:line="360" w:lineRule="auto"/>
        <w:rPr>
          <w:rFonts w:hint="eastAsia" w:ascii="宋体" w:hAnsi="宋体" w:eastAsia="宋体" w:cs="宋体"/>
          <w:color w:val="000000"/>
          <w:kern w:val="0"/>
        </w:rPr>
      </w:pPr>
      <w:r>
        <w:rPr>
          <w:rFonts w:hint="eastAsia" w:ascii="宋体" w:hAnsi="宋体" w:eastAsia="宋体" w:cs="宋体"/>
          <w:color w:val="000000"/>
          <w:kern w:val="0"/>
        </w:rPr>
        <w:t xml:space="preserve">  （8）向采购人、采购代理机构或者有关部门报告评标中发现的违法行为。</w:t>
      </w:r>
    </w:p>
    <w:p w14:paraId="5EE4A164">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18.3 评标委员会由采购人代表和评审专家组成，成员人数应当为5人以上单数，其中评审专家不得少于成员总数的三分之二。</w:t>
      </w:r>
    </w:p>
    <w:p w14:paraId="7F86A45E">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采购项目符合下列情形之一的，评标委员会成员人数应当为7人以上单数：</w:t>
      </w:r>
    </w:p>
    <w:p w14:paraId="4A850759">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（1）采购预算金额在1000万元以上；</w:t>
      </w:r>
    </w:p>
    <w:p w14:paraId="1E67F135">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（2）技术复杂；</w:t>
      </w:r>
    </w:p>
    <w:p w14:paraId="633E5E89">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（3）社会影响较大。</w:t>
      </w:r>
    </w:p>
    <w:p w14:paraId="484F482B">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评审专家对本单位的采购项目只能作为采购人代表参与评标。采购代理机构工作人员不得参加由本机构代理的政府采购项目的评标。</w:t>
      </w:r>
    </w:p>
    <w:p w14:paraId="0DA5FE0A">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评标委员会成员名单在评标结果公告前应当保密。</w:t>
      </w:r>
    </w:p>
    <w:p w14:paraId="0213FF0A">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 xml:space="preserve">18.4 </w:t>
      </w:r>
      <w:r>
        <w:rPr>
          <w:rFonts w:hint="eastAsia" w:ascii="宋体" w:hAnsi="宋体" w:eastAsia="宋体" w:cs="宋体"/>
          <w:color w:val="000000"/>
          <w:kern w:val="0"/>
          <w:lang w:val="zh-CN"/>
        </w:rPr>
        <w:t>采购代理机构</w:t>
      </w:r>
      <w:r>
        <w:rPr>
          <w:rFonts w:hint="eastAsia" w:ascii="宋体" w:hAnsi="宋体" w:eastAsia="宋体" w:cs="宋体"/>
          <w:color w:val="000000"/>
          <w:kern w:val="0"/>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14:paraId="082D526A">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lang w:val="zh-CN"/>
        </w:rPr>
        <w:t>1</w:t>
      </w:r>
      <w:r>
        <w:rPr>
          <w:rFonts w:hint="eastAsia" w:ascii="宋体" w:hAnsi="宋体" w:eastAsia="宋体" w:cs="宋体"/>
          <w:color w:val="000000"/>
          <w:kern w:val="0"/>
        </w:rPr>
        <w:t>8</w:t>
      </w:r>
      <w:r>
        <w:rPr>
          <w:rFonts w:hint="eastAsia" w:ascii="宋体" w:hAnsi="宋体" w:eastAsia="宋体" w:cs="宋体"/>
          <w:color w:val="000000"/>
          <w:kern w:val="0"/>
          <w:lang w:val="zh-CN"/>
        </w:rPr>
        <w:t>.</w:t>
      </w:r>
      <w:r>
        <w:rPr>
          <w:rFonts w:hint="eastAsia" w:ascii="宋体" w:hAnsi="宋体" w:eastAsia="宋体" w:cs="宋体"/>
          <w:color w:val="000000"/>
          <w:kern w:val="0"/>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14:paraId="067E2FC9">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采购代理机构</w:t>
      </w:r>
      <w:r>
        <w:rPr>
          <w:rFonts w:hint="eastAsia" w:ascii="宋体" w:hAnsi="宋体" w:eastAsia="宋体" w:cs="宋体"/>
          <w:color w:val="000000"/>
          <w:kern w:val="0"/>
        </w:rPr>
        <w:t>应当将变更、重新组建评标委员会的情况予以记录，并随采购文件一并存档。</w:t>
      </w:r>
    </w:p>
    <w:p w14:paraId="46F99D19">
      <w:pPr>
        <w:pStyle w:val="23"/>
        <w:spacing w:before="0" w:after="0" w:line="360" w:lineRule="auto"/>
        <w:jc w:val="left"/>
        <w:rPr>
          <w:rFonts w:hint="eastAsia" w:ascii="宋体" w:hAnsi="宋体" w:eastAsia="宋体" w:cs="宋体"/>
          <w:color w:val="000000"/>
          <w:lang w:val="zh-CN"/>
        </w:rPr>
      </w:pPr>
      <w:bookmarkStart w:id="33" w:name="_Toc13768"/>
      <w:r>
        <w:rPr>
          <w:rFonts w:hint="eastAsia" w:ascii="宋体" w:hAnsi="宋体" w:eastAsia="宋体" w:cs="宋体"/>
          <w:color w:val="000000"/>
          <w:sz w:val="28"/>
          <w:szCs w:val="28"/>
        </w:rPr>
        <w:t>19</w:t>
      </w:r>
      <w:r>
        <w:rPr>
          <w:rFonts w:hint="eastAsia" w:ascii="宋体" w:hAnsi="宋体" w:eastAsia="宋体" w:cs="宋体"/>
          <w:color w:val="000000"/>
          <w:sz w:val="28"/>
          <w:szCs w:val="28"/>
          <w:lang w:val="zh-CN"/>
        </w:rPr>
        <w:t>.评审工作程序</w:t>
      </w:r>
      <w:bookmarkEnd w:id="33"/>
    </w:p>
    <w:p w14:paraId="7BCE5F79">
      <w:pPr>
        <w:autoSpaceDE w:val="0"/>
        <w:autoSpaceDN w:val="0"/>
        <w:spacing w:line="360" w:lineRule="auto"/>
        <w:ind w:firstLine="482" w:firstLineChars="200"/>
        <w:rPr>
          <w:rFonts w:hint="eastAsia" w:ascii="宋体" w:hAnsi="宋体" w:eastAsia="宋体" w:cs="宋体"/>
          <w:color w:val="000000"/>
          <w:kern w:val="0"/>
          <w:lang w:val="zh-CN"/>
        </w:rPr>
      </w:pPr>
      <w:r>
        <w:rPr>
          <w:rFonts w:hint="eastAsia" w:ascii="宋体" w:hAnsi="宋体" w:eastAsia="宋体" w:cs="宋体"/>
          <w:b/>
          <w:bCs/>
          <w:color w:val="000000"/>
          <w:kern w:val="0"/>
          <w:lang w:val="zh-CN"/>
        </w:rPr>
        <w:t>1</w:t>
      </w:r>
      <w:r>
        <w:rPr>
          <w:rFonts w:hint="eastAsia" w:ascii="宋体" w:hAnsi="宋体" w:eastAsia="宋体" w:cs="宋体"/>
          <w:b/>
          <w:bCs/>
          <w:color w:val="000000"/>
          <w:kern w:val="0"/>
        </w:rPr>
        <w:t>9</w:t>
      </w:r>
      <w:r>
        <w:rPr>
          <w:rFonts w:hint="eastAsia" w:ascii="宋体" w:hAnsi="宋体" w:eastAsia="宋体" w:cs="宋体"/>
          <w:b/>
          <w:bCs/>
          <w:color w:val="000000"/>
          <w:kern w:val="0"/>
          <w:lang w:val="zh-CN"/>
        </w:rPr>
        <w:t>.1</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评标委员会应当对符合资格的投标人的符合性文件进行审查，以确定其是否满足招标文件的实质性要求。</w:t>
      </w:r>
    </w:p>
    <w:p w14:paraId="3BB3EAF9">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rPr>
        <w:t>19.1.1</w:t>
      </w:r>
      <w:r>
        <w:rPr>
          <w:rFonts w:hint="eastAsia" w:ascii="宋体" w:hAnsi="宋体" w:eastAsia="宋体" w:cs="宋体"/>
          <w:b/>
          <w:bCs/>
          <w:color w:val="000000"/>
          <w:kern w:val="0"/>
        </w:rPr>
        <w:t xml:space="preserve"> </w:t>
      </w:r>
      <w:r>
        <w:rPr>
          <w:rFonts w:hint="eastAsia" w:ascii="宋体" w:hAnsi="宋体" w:eastAsia="宋体" w:cs="宋体"/>
          <w:color w:val="000000"/>
          <w:kern w:val="0"/>
          <w:lang w:val="zh-CN"/>
        </w:rPr>
        <w:t>投标文件中含义不明确、同类问题表述不一致或者有明显文字和计算错误的内容，评标委员会应当以书面形式要求投标人作出必要的澄清、说明或者补正。</w:t>
      </w:r>
    </w:p>
    <w:p w14:paraId="4D889435">
      <w:pPr>
        <w:autoSpaceDE w:val="0"/>
        <w:autoSpaceDN w:val="0"/>
        <w:spacing w:line="360" w:lineRule="auto"/>
        <w:ind w:firstLine="480" w:firstLineChars="200"/>
        <w:rPr>
          <w:rFonts w:hint="eastAsia" w:ascii="宋体" w:hAnsi="宋体" w:eastAsia="宋体" w:cs="宋体"/>
          <w:b/>
          <w:bCs/>
          <w:color w:val="000000"/>
          <w:kern w:val="0"/>
        </w:rPr>
      </w:pPr>
      <w:r>
        <w:rPr>
          <w:rFonts w:hint="eastAsia" w:ascii="宋体" w:hAnsi="宋体" w:eastAsia="宋体" w:cs="宋体"/>
          <w:color w:val="000000"/>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3664D918">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1</w:t>
      </w:r>
      <w:r>
        <w:rPr>
          <w:rFonts w:hint="eastAsia" w:ascii="宋体" w:hAnsi="宋体" w:eastAsia="宋体" w:cs="宋体"/>
          <w:color w:val="000000"/>
          <w:kern w:val="0"/>
        </w:rPr>
        <w:t>9</w:t>
      </w:r>
      <w:r>
        <w:rPr>
          <w:rFonts w:hint="eastAsia" w:ascii="宋体" w:hAnsi="宋体" w:eastAsia="宋体" w:cs="宋体"/>
          <w:color w:val="000000"/>
          <w:kern w:val="0"/>
          <w:lang w:val="zh-CN"/>
        </w:rPr>
        <w:t>.</w:t>
      </w:r>
      <w:r>
        <w:rPr>
          <w:rFonts w:hint="eastAsia" w:ascii="宋体" w:hAnsi="宋体" w:eastAsia="宋体" w:cs="宋体"/>
          <w:color w:val="000000"/>
          <w:kern w:val="0"/>
        </w:rPr>
        <w:t>1</w:t>
      </w:r>
      <w:r>
        <w:rPr>
          <w:rFonts w:hint="eastAsia" w:ascii="宋体" w:hAnsi="宋体" w:eastAsia="宋体" w:cs="宋体"/>
          <w:color w:val="000000"/>
          <w:kern w:val="0"/>
          <w:lang w:val="zh-CN"/>
        </w:rPr>
        <w:t>.2投标人存在下列情况之一的，投标无效:</w:t>
      </w:r>
    </w:p>
    <w:p w14:paraId="29147BEE">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rPr>
        <w:t xml:space="preserve">   </w:t>
      </w:r>
      <w:r>
        <w:rPr>
          <w:rFonts w:hint="eastAsia" w:ascii="宋体" w:hAnsi="宋体" w:eastAsia="宋体" w:cs="宋体"/>
          <w:color w:val="000000"/>
          <w:kern w:val="0"/>
          <w:lang w:val="zh-CN"/>
        </w:rPr>
        <w:t>（</w:t>
      </w:r>
      <w:r>
        <w:rPr>
          <w:rFonts w:hint="eastAsia" w:ascii="宋体" w:hAnsi="宋体" w:eastAsia="宋体" w:cs="宋体"/>
          <w:color w:val="000000"/>
          <w:kern w:val="0"/>
        </w:rPr>
        <w:t>1</w:t>
      </w:r>
      <w:r>
        <w:rPr>
          <w:rFonts w:hint="eastAsia" w:ascii="宋体" w:hAnsi="宋体" w:eastAsia="宋体" w:cs="宋体"/>
          <w:color w:val="000000"/>
          <w:kern w:val="0"/>
          <w:lang w:val="zh-CN"/>
        </w:rPr>
        <w:t>）符合性审查文件未按招标文件要求签署、盖章的；</w:t>
      </w:r>
    </w:p>
    <w:p w14:paraId="40C3EB83">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rPr>
        <w:t xml:space="preserve">   </w:t>
      </w:r>
      <w:r>
        <w:rPr>
          <w:rFonts w:hint="eastAsia" w:ascii="宋体" w:hAnsi="宋体" w:eastAsia="宋体" w:cs="宋体"/>
          <w:color w:val="000000"/>
          <w:lang w:val="zh-CN"/>
        </w:rPr>
        <w:t>（</w:t>
      </w:r>
      <w:r>
        <w:rPr>
          <w:rFonts w:hint="eastAsia" w:ascii="宋体" w:hAnsi="宋体" w:eastAsia="宋体" w:cs="宋体"/>
          <w:color w:val="000000"/>
        </w:rPr>
        <w:t>2</w:t>
      </w:r>
      <w:r>
        <w:rPr>
          <w:rFonts w:hint="eastAsia" w:ascii="宋体" w:hAnsi="宋体" w:eastAsia="宋体" w:cs="宋体"/>
          <w:color w:val="000000"/>
          <w:lang w:val="zh-CN"/>
        </w:rPr>
        <w:t>）未按第11</w:t>
      </w:r>
      <w:r>
        <w:rPr>
          <w:rFonts w:hint="eastAsia" w:ascii="宋体" w:hAnsi="宋体" w:eastAsia="宋体" w:cs="宋体"/>
          <w:color w:val="000000"/>
        </w:rPr>
        <w:t>.</w:t>
      </w:r>
      <w:r>
        <w:rPr>
          <w:rFonts w:hint="eastAsia" w:ascii="宋体" w:hAnsi="宋体" w:eastAsia="宋体" w:cs="宋体"/>
          <w:color w:val="000000"/>
          <w:lang w:val="zh-CN"/>
        </w:rPr>
        <w:t>2（11）-（15）款要求提供相关资料的；</w:t>
      </w:r>
    </w:p>
    <w:p w14:paraId="269E49B1">
      <w:pPr>
        <w:autoSpaceDE w:val="0"/>
        <w:autoSpaceDN w:val="0"/>
        <w:spacing w:line="360" w:lineRule="auto"/>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 xml:space="preserve">   （3）投标文件含有采购人不能接受的附加条件的；</w:t>
      </w:r>
    </w:p>
    <w:p w14:paraId="5A4D1E02">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rPr>
        <w:t xml:space="preserve">   </w:t>
      </w:r>
      <w:r>
        <w:rPr>
          <w:rFonts w:hint="eastAsia" w:ascii="宋体" w:hAnsi="宋体" w:eastAsia="宋体" w:cs="宋体"/>
          <w:color w:val="000000"/>
          <w:kern w:val="0"/>
          <w:lang w:val="zh-CN"/>
        </w:rPr>
        <w:t>（</w:t>
      </w:r>
      <w:r>
        <w:rPr>
          <w:rFonts w:hint="eastAsia" w:ascii="宋体" w:hAnsi="宋体" w:eastAsia="宋体" w:cs="宋体"/>
          <w:color w:val="000000"/>
          <w:kern w:val="0"/>
        </w:rPr>
        <w:t>4</w:t>
      </w:r>
      <w:r>
        <w:rPr>
          <w:rFonts w:hint="eastAsia" w:ascii="宋体" w:hAnsi="宋体" w:eastAsia="宋体" w:cs="宋体"/>
          <w:color w:val="000000"/>
          <w:kern w:val="0"/>
          <w:lang w:val="zh-CN"/>
        </w:rPr>
        <w:t>）产品交货时间不能满足招标文件要求的；</w:t>
      </w:r>
    </w:p>
    <w:p w14:paraId="37D8A3CB">
      <w:pPr>
        <w:autoSpaceDE w:val="0"/>
        <w:autoSpaceDN w:val="0"/>
        <w:spacing w:line="360" w:lineRule="auto"/>
        <w:rPr>
          <w:rFonts w:hint="eastAsia" w:ascii="宋体" w:hAnsi="宋体" w:eastAsia="宋体" w:cs="宋体"/>
          <w:color w:val="FF0000"/>
          <w:kern w:val="0"/>
          <w:lang w:val="zh-CN"/>
        </w:rPr>
      </w:pPr>
      <w:r>
        <w:rPr>
          <w:rFonts w:hint="eastAsia" w:ascii="宋体" w:hAnsi="宋体" w:eastAsia="宋体" w:cs="宋体"/>
          <w:color w:val="000000"/>
        </w:rPr>
        <w:t xml:space="preserve">   （5）投标总报价超过招标文件规定的采购预算额度或者最高限价的；</w:t>
      </w:r>
    </w:p>
    <w:p w14:paraId="2A60D63A">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rPr>
        <w:t xml:space="preserve">    (6)</w:t>
      </w:r>
      <w:r>
        <w:rPr>
          <w:rFonts w:hint="eastAsia" w:ascii="宋体" w:hAnsi="宋体" w:eastAsia="宋体" w:cs="宋体"/>
          <w:color w:val="000000"/>
          <w:kern w:val="0"/>
          <w:lang w:val="zh-CN"/>
        </w:rPr>
        <w:t>存在串通投标行为；</w:t>
      </w:r>
    </w:p>
    <w:p w14:paraId="56972C9F">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rPr>
        <w:t xml:space="preserve">    (7)评标委员会认为应按无效投标处理的其他情况；</w:t>
      </w:r>
    </w:p>
    <w:p w14:paraId="041B26FA">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rPr>
        <w:t xml:space="preserve">    (8)</w:t>
      </w:r>
      <w:r>
        <w:rPr>
          <w:rFonts w:hint="eastAsia" w:ascii="宋体" w:hAnsi="宋体" w:eastAsia="宋体" w:cs="宋体"/>
          <w:color w:val="000000"/>
          <w:kern w:val="0"/>
          <w:lang w:val="zh-CN"/>
        </w:rPr>
        <w:t>法律、法规和招标文件规定的其他无效情形。</w:t>
      </w:r>
    </w:p>
    <w:p w14:paraId="2AED595F">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19.1.3 投标文件报价出现前后不一致的，按照下列规定修正：</w:t>
      </w:r>
    </w:p>
    <w:p w14:paraId="2C0ED283">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（1）投标文件中开标一览表（报价表）内容与投标文件中相应内容不一致的，以开标一览表（报价表）为准；</w:t>
      </w:r>
    </w:p>
    <w:p w14:paraId="18479EDD">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（2）大写金额和小写金额不一致的，以大写金额为准；</w:t>
      </w:r>
    </w:p>
    <w:p w14:paraId="5C755F5E">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（3）单价金额小数点或者百分比有明显错位的，以开标一览表的总价为准，并修改单价；</w:t>
      </w:r>
    </w:p>
    <w:p w14:paraId="5F1688DA">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（4）总价金额与按单价汇总金额不一致的，以单价金额计算结果为准。</w:t>
      </w:r>
    </w:p>
    <w:p w14:paraId="0EFFD91B">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同时出现两种以上不一致的，按照前款规定的顺序修正。修正后的报价按19.1.1第二款的规定经投标人确认后产生约束力。</w:t>
      </w:r>
    </w:p>
    <w:p w14:paraId="18B5A9D0">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rPr>
        <w:t xml:space="preserve">19.2 </w:t>
      </w:r>
      <w:r>
        <w:rPr>
          <w:rFonts w:hint="eastAsia" w:ascii="宋体" w:hAnsi="宋体" w:eastAsia="宋体" w:cs="宋体"/>
          <w:color w:val="000000"/>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根据《政府采购促进中小企业发展管理办法》，属小型、微型企业制造/服务的货物/服务（产品），投标人须提供该制造/服务（生产）企业出具的《中小企业声明函》、《从业人员声明函》，其划型标准严格按照国家工信部、国家统计局、国家发改委、根据《政府采购促进中小企业发展管理办法》（财库﹝2020﹞46 号）的规定。投标人提供的《中小企业声明函》、《从业人员声明函》资料必须真实，否则，按照有关规定予以处理。</w:t>
      </w:r>
    </w:p>
    <w:p w14:paraId="329B5A1C">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ab/>
      </w:r>
      <w:r>
        <w:rPr>
          <w:rFonts w:hint="eastAsia" w:ascii="宋体" w:hAnsi="宋体" w:eastAsia="宋体" w:cs="宋体"/>
          <w:color w:val="000000"/>
          <w:kern w:val="0"/>
          <w:lang w:val="zh-CN"/>
        </w:rPr>
        <w:t>根据财政部、民政部、中国残疾人联合会出台的《关于促进残疾人就业政府采购政策的通知》（财库[2017]141号），属残疾人福利性单位的，投标人须提供《残疾人福利性单位声明函》（详见附件19），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14:paraId="1CFCEA75">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rPr>
        <w:t xml:space="preserve">19.3 </w:t>
      </w:r>
      <w:r>
        <w:rPr>
          <w:rFonts w:hint="eastAsia" w:ascii="宋体" w:hAnsi="宋体" w:eastAsia="宋体" w:cs="宋体"/>
          <w:color w:val="000000"/>
          <w:kern w:val="0"/>
          <w:lang w:val="zh-CN"/>
        </w:rPr>
        <w:t>在评审过程中，</w:t>
      </w:r>
      <w:r>
        <w:rPr>
          <w:rFonts w:hint="eastAsia" w:ascii="宋体" w:hAnsi="宋体" w:eastAsia="宋体" w:cs="宋体"/>
          <w:color w:val="000000"/>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14:paraId="413EC8A4">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1</w:t>
      </w:r>
      <w:r>
        <w:rPr>
          <w:rFonts w:hint="eastAsia" w:ascii="宋体" w:hAnsi="宋体" w:eastAsia="宋体" w:cs="宋体"/>
          <w:color w:val="000000"/>
          <w:kern w:val="0"/>
        </w:rPr>
        <w:t>9</w:t>
      </w:r>
      <w:r>
        <w:rPr>
          <w:rFonts w:hint="eastAsia" w:ascii="宋体" w:hAnsi="宋体" w:eastAsia="宋体" w:cs="宋体"/>
          <w:color w:val="000000"/>
          <w:kern w:val="0"/>
          <w:lang w:val="zh-CN"/>
        </w:rPr>
        <w:t>.</w:t>
      </w:r>
      <w:r>
        <w:rPr>
          <w:rFonts w:hint="eastAsia" w:ascii="宋体" w:hAnsi="宋体" w:eastAsia="宋体" w:cs="宋体"/>
          <w:color w:val="000000"/>
          <w:kern w:val="0"/>
        </w:rPr>
        <w:t>4</w:t>
      </w:r>
      <w:r>
        <w:rPr>
          <w:rFonts w:hint="eastAsia" w:ascii="宋体" w:hAnsi="宋体" w:eastAsia="宋体" w:cs="宋体"/>
          <w:color w:val="000000"/>
          <w:kern w:val="0"/>
          <w:lang w:val="zh-CN"/>
        </w:rPr>
        <w:t xml:space="preserve"> </w:t>
      </w:r>
      <w:r>
        <w:rPr>
          <w:rFonts w:hint="eastAsia" w:ascii="宋体" w:hAnsi="宋体" w:eastAsia="宋体" w:cs="宋体"/>
          <w:color w:val="000000"/>
          <w:shd w:val="clear" w:color="auto" w:fill="FFFFFF"/>
        </w:rPr>
        <w:t>评标委员会应当按照招标文件中规定的评标方法和标准，对符合性审查合格的投标文件进行商务和技术评估，综合比较与评价。</w:t>
      </w:r>
    </w:p>
    <w:p w14:paraId="7BFD1456">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lang w:val="zh-CN"/>
        </w:rPr>
        <w:t>1</w:t>
      </w:r>
      <w:r>
        <w:rPr>
          <w:rFonts w:hint="eastAsia" w:ascii="宋体" w:hAnsi="宋体" w:eastAsia="宋体" w:cs="宋体"/>
          <w:color w:val="000000"/>
          <w:kern w:val="0"/>
        </w:rPr>
        <w:t>9</w:t>
      </w:r>
      <w:r>
        <w:rPr>
          <w:rFonts w:hint="eastAsia" w:ascii="宋体" w:hAnsi="宋体" w:eastAsia="宋体" w:cs="宋体"/>
          <w:color w:val="000000"/>
          <w:kern w:val="0"/>
          <w:lang w:val="zh-CN"/>
        </w:rPr>
        <w:t>.</w:t>
      </w:r>
      <w:r>
        <w:rPr>
          <w:rFonts w:hint="eastAsia" w:ascii="宋体" w:hAnsi="宋体" w:eastAsia="宋体" w:cs="宋体"/>
          <w:color w:val="000000"/>
          <w:kern w:val="0"/>
        </w:rPr>
        <w:t xml:space="preserve">5 </w:t>
      </w:r>
      <w:r>
        <w:rPr>
          <w:rFonts w:hint="eastAsia" w:ascii="宋体" w:hAnsi="宋体" w:eastAsia="宋体" w:cs="宋体"/>
          <w:color w:val="000000"/>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ED97631">
      <w:pPr>
        <w:autoSpaceDE w:val="0"/>
        <w:autoSpaceDN w:val="0"/>
        <w:spacing w:line="360" w:lineRule="auto"/>
        <w:ind w:firstLine="480" w:firstLineChars="200"/>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14:paraId="6231AE3F">
      <w:pPr>
        <w:pStyle w:val="23"/>
        <w:spacing w:before="0" w:after="0" w:line="360" w:lineRule="auto"/>
        <w:jc w:val="left"/>
        <w:rPr>
          <w:rFonts w:hint="eastAsia" w:ascii="宋体" w:hAnsi="宋体" w:eastAsia="宋体" w:cs="宋体"/>
          <w:color w:val="000000"/>
          <w:sz w:val="28"/>
          <w:szCs w:val="28"/>
          <w:lang w:val="zh-CN"/>
        </w:rPr>
      </w:pPr>
      <w:bookmarkStart w:id="34" w:name="_Toc11935"/>
      <w:r>
        <w:rPr>
          <w:rFonts w:hint="eastAsia" w:ascii="宋体" w:hAnsi="宋体" w:eastAsia="宋体" w:cs="宋体"/>
          <w:color w:val="000000"/>
          <w:sz w:val="28"/>
          <w:szCs w:val="28"/>
        </w:rPr>
        <w:t>20</w:t>
      </w:r>
      <w:r>
        <w:rPr>
          <w:rFonts w:hint="eastAsia" w:ascii="宋体" w:hAnsi="宋体" w:eastAsia="宋体" w:cs="宋体"/>
          <w:color w:val="000000"/>
          <w:sz w:val="28"/>
          <w:szCs w:val="28"/>
          <w:lang w:val="zh-CN"/>
        </w:rPr>
        <w:t>.评审方法和标准</w:t>
      </w:r>
      <w:bookmarkEnd w:id="34"/>
    </w:p>
    <w:p w14:paraId="76983785">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rPr>
        <w:t>20</w:t>
      </w:r>
      <w:r>
        <w:rPr>
          <w:rFonts w:hint="eastAsia" w:ascii="宋体" w:hAnsi="宋体" w:eastAsia="宋体" w:cs="宋体"/>
          <w:color w:val="000000"/>
          <w:kern w:val="0"/>
          <w:lang w:val="zh-CN"/>
        </w:rPr>
        <w:t>.1</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依照《中华人民共和国政府采购法》、《中华人民共和国政府采购法实施条例》、《政府采购货物和服务招投标管理办法》等法律法规的规定，结合该项目的特点制定本评审办法。</w:t>
      </w:r>
    </w:p>
    <w:p w14:paraId="60E90168">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20.2本次评审方法采用综合评分法。</w:t>
      </w:r>
    </w:p>
    <w:p w14:paraId="7BB8FB3F">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综合评分法，是指投标文件满足招标文件全部实质性要求，且按照评审因素的量化指标评审得分最高的投标人为中标候选人的评标方法。</w:t>
      </w:r>
    </w:p>
    <w:p w14:paraId="1AEE8D7A">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评审因素的设定应当与投标人所提供货物服务的质量相关，包括投标报价、技术或者服务水平、履约能力、售后服务等。资格条件不得作为评审因素。</w:t>
      </w:r>
    </w:p>
    <w:p w14:paraId="107609FE">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评审因素应当细化和量化，且与相应的商务条件和采购需求对应。商务条件和采购需求指标有区间规定的，评审因素应当量化到相应区间，并设置各区间对应的不同分值。</w:t>
      </w:r>
    </w:p>
    <w:p w14:paraId="419CA480">
      <w:pPr>
        <w:autoSpaceDE w:val="0"/>
        <w:autoSpaceDN w:val="0"/>
        <w:spacing w:line="360" w:lineRule="auto"/>
        <w:ind w:firstLine="480" w:firstLineChars="200"/>
        <w:rPr>
          <w:rFonts w:hint="eastAsia" w:ascii="宋体" w:hAnsi="宋体" w:eastAsia="宋体" w:cs="宋体"/>
          <w:color w:val="000000"/>
          <w:kern w:val="0"/>
          <w:lang w:val="zh-CN"/>
        </w:rPr>
      </w:pPr>
    </w:p>
    <w:p w14:paraId="6909F103">
      <w:pPr>
        <w:autoSpaceDE w:val="0"/>
        <w:autoSpaceDN w:val="0"/>
        <w:spacing w:line="360" w:lineRule="auto"/>
        <w:ind w:firstLine="480" w:firstLineChars="200"/>
        <w:rPr>
          <w:rFonts w:hint="eastAsia" w:ascii="宋体" w:hAnsi="宋体" w:eastAsia="宋体" w:cs="宋体"/>
          <w:color w:val="000000"/>
          <w:kern w:val="0"/>
          <w:lang w:val="zh-CN"/>
        </w:rPr>
      </w:pPr>
    </w:p>
    <w:p w14:paraId="01D22235">
      <w:pPr>
        <w:autoSpaceDE w:val="0"/>
        <w:autoSpaceDN w:val="0"/>
        <w:spacing w:line="360" w:lineRule="auto"/>
        <w:ind w:firstLine="480" w:firstLineChars="200"/>
        <w:rPr>
          <w:rFonts w:hint="eastAsia" w:ascii="宋体" w:hAnsi="宋体" w:eastAsia="宋体" w:cs="宋体"/>
          <w:color w:val="000000"/>
          <w:kern w:val="0"/>
          <w:lang w:val="zh-CN"/>
        </w:rPr>
      </w:pPr>
    </w:p>
    <w:p w14:paraId="30BE1ADA">
      <w:pPr>
        <w:autoSpaceDE w:val="0"/>
        <w:autoSpaceDN w:val="0"/>
        <w:spacing w:line="360" w:lineRule="auto"/>
        <w:ind w:firstLine="480" w:firstLineChars="200"/>
        <w:rPr>
          <w:rFonts w:hint="eastAsia" w:ascii="宋体" w:hAnsi="宋体" w:eastAsia="宋体" w:cs="宋体"/>
          <w:color w:val="000000"/>
          <w:kern w:val="0"/>
          <w:lang w:val="zh-CN"/>
        </w:rPr>
      </w:pPr>
    </w:p>
    <w:p w14:paraId="0344BEFE">
      <w:pPr>
        <w:autoSpaceDE w:val="0"/>
        <w:autoSpaceDN w:val="0"/>
        <w:spacing w:line="360" w:lineRule="auto"/>
        <w:ind w:firstLine="480" w:firstLineChars="200"/>
        <w:rPr>
          <w:rFonts w:hint="eastAsia" w:ascii="宋体" w:hAnsi="宋体" w:eastAsia="宋体" w:cs="宋体"/>
          <w:color w:val="000000"/>
          <w:kern w:val="0"/>
          <w:lang w:val="zh-CN"/>
        </w:rPr>
      </w:pPr>
    </w:p>
    <w:p w14:paraId="0F74539B">
      <w:pPr>
        <w:autoSpaceDE w:val="0"/>
        <w:autoSpaceDN w:val="0"/>
        <w:spacing w:line="360" w:lineRule="auto"/>
        <w:ind w:firstLine="480" w:firstLineChars="200"/>
        <w:rPr>
          <w:rFonts w:hint="eastAsia" w:ascii="宋体" w:hAnsi="宋体" w:eastAsia="宋体" w:cs="宋体"/>
          <w:color w:val="000000"/>
          <w:kern w:val="0"/>
          <w:lang w:val="zh-CN"/>
        </w:rPr>
      </w:pPr>
    </w:p>
    <w:p w14:paraId="405F8E7C">
      <w:pPr>
        <w:autoSpaceDE w:val="0"/>
        <w:autoSpaceDN w:val="0"/>
        <w:spacing w:line="360" w:lineRule="auto"/>
        <w:ind w:firstLine="480" w:firstLineChars="200"/>
        <w:rPr>
          <w:rFonts w:hint="eastAsia" w:ascii="宋体" w:hAnsi="宋体" w:eastAsia="宋体" w:cs="宋体"/>
          <w:color w:val="000000"/>
          <w:kern w:val="0"/>
          <w:lang w:val="zh-CN"/>
        </w:rPr>
      </w:pPr>
    </w:p>
    <w:p w14:paraId="7BF2173D">
      <w:pPr>
        <w:autoSpaceDE w:val="0"/>
        <w:autoSpaceDN w:val="0"/>
        <w:spacing w:line="360" w:lineRule="auto"/>
        <w:ind w:firstLine="480" w:firstLineChars="200"/>
        <w:rPr>
          <w:rFonts w:hint="eastAsia" w:ascii="宋体" w:hAnsi="宋体" w:eastAsia="宋体" w:cs="宋体"/>
          <w:color w:val="000000"/>
          <w:kern w:val="0"/>
          <w:lang w:val="zh-CN"/>
        </w:rPr>
      </w:pPr>
    </w:p>
    <w:p w14:paraId="738213AD">
      <w:pPr>
        <w:autoSpaceDE w:val="0"/>
        <w:autoSpaceDN w:val="0"/>
        <w:spacing w:line="360" w:lineRule="auto"/>
        <w:ind w:firstLine="480" w:firstLineChars="200"/>
        <w:rPr>
          <w:rFonts w:hint="eastAsia" w:ascii="宋体" w:hAnsi="宋体" w:eastAsia="宋体" w:cs="宋体"/>
          <w:color w:val="000000"/>
          <w:kern w:val="0"/>
          <w:lang w:val="zh-CN"/>
        </w:rPr>
      </w:pPr>
    </w:p>
    <w:p w14:paraId="3AA27835">
      <w:pPr>
        <w:autoSpaceDE w:val="0"/>
        <w:autoSpaceDN w:val="0"/>
        <w:spacing w:line="360" w:lineRule="auto"/>
        <w:ind w:firstLine="480" w:firstLineChars="200"/>
        <w:rPr>
          <w:rFonts w:hint="eastAsia" w:ascii="宋体" w:hAnsi="宋体" w:eastAsia="宋体" w:cs="宋体"/>
          <w:color w:val="000000"/>
          <w:kern w:val="0"/>
          <w:lang w:val="zh-CN"/>
        </w:rPr>
      </w:pPr>
    </w:p>
    <w:p w14:paraId="300E824D">
      <w:pPr>
        <w:autoSpaceDE w:val="0"/>
        <w:autoSpaceDN w:val="0"/>
        <w:spacing w:line="360" w:lineRule="auto"/>
        <w:ind w:firstLine="480" w:firstLineChars="200"/>
        <w:rPr>
          <w:rFonts w:hint="eastAsia" w:ascii="宋体" w:hAnsi="宋体" w:eastAsia="宋体" w:cs="宋体"/>
          <w:color w:val="000000"/>
          <w:kern w:val="0"/>
          <w:lang w:val="zh-CN"/>
        </w:rPr>
      </w:pPr>
    </w:p>
    <w:p w14:paraId="3D79F0B0">
      <w:pPr>
        <w:autoSpaceDE w:val="0"/>
        <w:autoSpaceDN w:val="0"/>
        <w:spacing w:line="360" w:lineRule="auto"/>
        <w:ind w:firstLine="480" w:firstLineChars="200"/>
        <w:rPr>
          <w:rFonts w:hint="eastAsia" w:ascii="宋体" w:hAnsi="宋体" w:eastAsia="宋体" w:cs="宋体"/>
          <w:color w:val="000000"/>
          <w:kern w:val="0"/>
          <w:lang w:val="zh-CN"/>
        </w:rPr>
      </w:pPr>
    </w:p>
    <w:p w14:paraId="24B7A2D6">
      <w:pPr>
        <w:autoSpaceDE w:val="0"/>
        <w:autoSpaceDN w:val="0"/>
        <w:spacing w:line="360" w:lineRule="auto"/>
        <w:ind w:firstLine="482" w:firstLineChars="200"/>
        <w:jc w:val="center"/>
        <w:rPr>
          <w:rFonts w:hint="eastAsia" w:ascii="宋体" w:hAnsi="宋体" w:eastAsia="宋体" w:cs="宋体"/>
          <w:b/>
          <w:bCs/>
          <w:color w:val="000000"/>
          <w:sz w:val="24"/>
          <w:szCs w:val="32"/>
          <w:lang w:val="zh-CN"/>
        </w:rPr>
      </w:pPr>
    </w:p>
    <w:p w14:paraId="63A650FA">
      <w:pPr>
        <w:autoSpaceDE w:val="0"/>
        <w:autoSpaceDN w:val="0"/>
        <w:spacing w:line="360" w:lineRule="auto"/>
        <w:ind w:firstLine="482" w:firstLineChars="200"/>
        <w:jc w:val="center"/>
        <w:rPr>
          <w:rFonts w:hint="eastAsia" w:ascii="宋体" w:hAnsi="宋体" w:eastAsia="宋体" w:cs="宋体"/>
          <w:b/>
          <w:bCs/>
          <w:color w:val="000000"/>
          <w:sz w:val="24"/>
          <w:szCs w:val="32"/>
          <w:lang w:val="zh-CN"/>
        </w:rPr>
      </w:pPr>
      <w:r>
        <w:rPr>
          <w:rFonts w:hint="eastAsia" w:ascii="宋体" w:hAnsi="宋体" w:eastAsia="宋体" w:cs="宋体"/>
          <w:b/>
          <w:bCs/>
          <w:color w:val="000000"/>
          <w:sz w:val="24"/>
          <w:szCs w:val="32"/>
          <w:lang w:val="zh-CN"/>
        </w:rPr>
        <w:t>评审办法</w:t>
      </w:r>
    </w:p>
    <w:p w14:paraId="37322347">
      <w:pPr>
        <w:pStyle w:val="10"/>
        <w:jc w:val="center"/>
        <w:rPr>
          <w:rFonts w:hint="eastAsia" w:ascii="宋体" w:hAnsi="宋体" w:eastAsia="宋体" w:cs="宋体"/>
          <w:b/>
          <w:bCs/>
          <w:color w:val="000000"/>
          <w:sz w:val="24"/>
          <w:szCs w:val="32"/>
          <w:lang w:val="en-US" w:eastAsia="zh-CN"/>
        </w:rPr>
      </w:pPr>
      <w:r>
        <w:rPr>
          <w:rFonts w:hint="eastAsia" w:ascii="宋体" w:hAnsi="宋体" w:eastAsia="宋体" w:cs="宋体"/>
          <w:b/>
          <w:bCs/>
          <w:color w:val="000000"/>
          <w:sz w:val="24"/>
          <w:szCs w:val="32"/>
          <w:lang w:val="en-US" w:eastAsia="zh-CN"/>
        </w:rPr>
        <w:t>包一；</w:t>
      </w:r>
    </w:p>
    <w:tbl>
      <w:tblPr>
        <w:tblStyle w:val="25"/>
        <w:tblW w:w="9208"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1200"/>
        <w:gridCol w:w="1271"/>
        <w:gridCol w:w="1131"/>
        <w:gridCol w:w="5606"/>
      </w:tblGrid>
      <w:tr w14:paraId="7A0CC3B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30" w:hRule="atLeast"/>
        </w:trPr>
        <w:tc>
          <w:tcPr>
            <w:tcW w:w="1200" w:type="dxa"/>
            <w:tcBorders>
              <w:bottom w:val="single" w:color="000000" w:sz="6" w:space="0"/>
              <w:right w:val="single" w:color="000000" w:sz="6" w:space="0"/>
            </w:tcBorders>
            <w:noWrap w:val="0"/>
            <w:vAlign w:val="center"/>
          </w:tcPr>
          <w:p w14:paraId="28BD72F9">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b/>
                <w:bCs/>
                <w:sz w:val="24"/>
                <w:szCs w:val="24"/>
                <w:shd w:val="clear" w:color="auto" w:fill="FFFFFF"/>
                <w:lang w:val="zh-CN"/>
              </w:rPr>
            </w:pPr>
            <w:r>
              <w:rPr>
                <w:rFonts w:hint="eastAsia" w:ascii="宋体" w:hAnsi="宋体" w:eastAsia="宋体" w:cs="宋体"/>
                <w:b/>
                <w:bCs/>
                <w:sz w:val="24"/>
                <w:szCs w:val="24"/>
                <w:shd w:val="clear" w:color="auto" w:fill="FFFFFF"/>
                <w:lang w:val="zh-CN"/>
              </w:rPr>
              <w:t>评审因素</w:t>
            </w:r>
          </w:p>
        </w:tc>
        <w:tc>
          <w:tcPr>
            <w:tcW w:w="1271" w:type="dxa"/>
            <w:tcBorders>
              <w:left w:val="single" w:color="000000" w:sz="6" w:space="0"/>
              <w:bottom w:val="single" w:color="000000" w:sz="6" w:space="0"/>
              <w:right w:val="single" w:color="000000" w:sz="6" w:space="0"/>
            </w:tcBorders>
            <w:noWrap w:val="0"/>
            <w:vAlign w:val="center"/>
          </w:tcPr>
          <w:p w14:paraId="3B54F047">
            <w:pPr>
              <w:keepNext w:val="0"/>
              <w:keepLines w:val="0"/>
              <w:suppressLineNumbers w:val="0"/>
              <w:autoSpaceDE w:val="0"/>
              <w:autoSpaceDN w:val="0"/>
              <w:spacing w:before="0" w:beforeAutospacing="0" w:after="0" w:afterAutospacing="0" w:line="360" w:lineRule="auto"/>
              <w:ind w:left="0" w:right="0" w:firstLine="482" w:firstLineChars="200"/>
              <w:rPr>
                <w:rFonts w:hint="eastAsia" w:ascii="宋体" w:hAnsi="宋体" w:eastAsia="宋体" w:cs="宋体"/>
                <w:b/>
                <w:bCs/>
                <w:sz w:val="24"/>
                <w:szCs w:val="24"/>
                <w:shd w:val="clear" w:color="auto" w:fill="FFFFFF"/>
                <w:lang w:val="zh-CN"/>
              </w:rPr>
            </w:pPr>
            <w:r>
              <w:rPr>
                <w:rFonts w:hint="eastAsia" w:ascii="宋体" w:hAnsi="宋体" w:eastAsia="宋体" w:cs="宋体"/>
                <w:b/>
                <w:bCs/>
                <w:sz w:val="24"/>
                <w:szCs w:val="24"/>
                <w:shd w:val="clear" w:color="auto" w:fill="FFFFFF"/>
                <w:lang w:val="zh-CN"/>
              </w:rPr>
              <w:t>项目</w:t>
            </w:r>
          </w:p>
        </w:tc>
        <w:tc>
          <w:tcPr>
            <w:tcW w:w="1131" w:type="dxa"/>
            <w:tcBorders>
              <w:left w:val="single" w:color="000000" w:sz="6" w:space="0"/>
              <w:bottom w:val="single" w:color="000000" w:sz="6" w:space="0"/>
              <w:right w:val="single" w:color="000000" w:sz="6" w:space="0"/>
            </w:tcBorders>
            <w:noWrap w:val="0"/>
            <w:vAlign w:val="center"/>
          </w:tcPr>
          <w:p w14:paraId="685DCD29">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b/>
                <w:bCs/>
                <w:sz w:val="24"/>
                <w:szCs w:val="24"/>
                <w:shd w:val="clear" w:color="auto" w:fill="FFFFFF"/>
                <w:lang w:val="zh-CN"/>
              </w:rPr>
            </w:pPr>
            <w:r>
              <w:rPr>
                <w:rFonts w:hint="eastAsia" w:ascii="宋体" w:hAnsi="宋体" w:eastAsia="宋体" w:cs="宋体"/>
                <w:b/>
                <w:bCs/>
                <w:sz w:val="24"/>
                <w:szCs w:val="24"/>
                <w:shd w:val="clear" w:color="auto" w:fill="FFFFFF"/>
                <w:lang w:val="zh-CN"/>
              </w:rPr>
              <w:t>分值</w:t>
            </w:r>
          </w:p>
        </w:tc>
        <w:tc>
          <w:tcPr>
            <w:tcW w:w="5606" w:type="dxa"/>
            <w:tcBorders>
              <w:left w:val="single" w:color="000000" w:sz="6" w:space="0"/>
              <w:bottom w:val="single" w:color="000000" w:sz="6" w:space="0"/>
            </w:tcBorders>
            <w:noWrap w:val="0"/>
            <w:vAlign w:val="center"/>
          </w:tcPr>
          <w:p w14:paraId="7016A214">
            <w:pPr>
              <w:keepNext w:val="0"/>
              <w:keepLines w:val="0"/>
              <w:suppressLineNumbers w:val="0"/>
              <w:autoSpaceDE w:val="0"/>
              <w:autoSpaceDN w:val="0"/>
              <w:spacing w:before="0" w:beforeAutospacing="0" w:after="0" w:afterAutospacing="0" w:line="360" w:lineRule="auto"/>
              <w:ind w:left="0" w:right="0" w:firstLine="482" w:firstLineChars="200"/>
              <w:rPr>
                <w:rFonts w:hint="eastAsia" w:ascii="宋体" w:hAnsi="宋体" w:eastAsia="宋体" w:cs="宋体"/>
                <w:b/>
                <w:bCs/>
                <w:sz w:val="24"/>
                <w:szCs w:val="24"/>
                <w:shd w:val="clear" w:color="auto" w:fill="FFFFFF"/>
                <w:lang w:val="zh-CN"/>
              </w:rPr>
            </w:pPr>
            <w:r>
              <w:rPr>
                <w:rFonts w:hint="eastAsia" w:ascii="宋体" w:hAnsi="宋体" w:eastAsia="宋体" w:cs="宋体"/>
                <w:b/>
                <w:bCs/>
                <w:sz w:val="24"/>
                <w:szCs w:val="24"/>
                <w:shd w:val="clear" w:color="auto" w:fill="FFFFFF"/>
                <w:lang w:val="zh-CN"/>
              </w:rPr>
              <w:t>评审标准</w:t>
            </w:r>
          </w:p>
        </w:tc>
      </w:tr>
      <w:tr w14:paraId="3CAE379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412" w:hRule="atLeast"/>
        </w:trPr>
        <w:tc>
          <w:tcPr>
            <w:tcW w:w="1200" w:type="dxa"/>
            <w:tcBorders>
              <w:top w:val="single" w:color="000000" w:sz="6" w:space="0"/>
              <w:bottom w:val="single" w:color="000000" w:sz="6" w:space="0"/>
              <w:right w:val="single" w:color="000000" w:sz="6" w:space="0"/>
            </w:tcBorders>
            <w:noWrap w:val="0"/>
            <w:vAlign w:val="center"/>
          </w:tcPr>
          <w:p w14:paraId="64486154">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sz w:val="24"/>
                <w:szCs w:val="24"/>
                <w:shd w:val="clear" w:color="auto" w:fill="FFFFFF"/>
                <w:lang w:val="zh-CN"/>
              </w:rPr>
            </w:pPr>
            <w:r>
              <w:rPr>
                <w:rFonts w:hint="eastAsia" w:ascii="宋体" w:hAnsi="宋体" w:eastAsia="宋体" w:cs="宋体"/>
                <w:sz w:val="24"/>
                <w:szCs w:val="24"/>
                <w:shd w:val="clear" w:color="auto" w:fill="FFFFFF"/>
                <w:lang w:val="zh-CN"/>
              </w:rPr>
              <w:t>投标报价</w:t>
            </w:r>
          </w:p>
          <w:p w14:paraId="35583BEC">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sz w:val="24"/>
                <w:szCs w:val="24"/>
                <w:shd w:val="clear" w:color="auto" w:fill="FFFFFF"/>
                <w:lang w:val="zh-CN"/>
              </w:rPr>
            </w:pPr>
            <w:r>
              <w:rPr>
                <w:rFonts w:hint="eastAsia" w:ascii="宋体" w:hAnsi="宋体" w:eastAsia="宋体" w:cs="宋体"/>
                <w:sz w:val="24"/>
                <w:szCs w:val="24"/>
                <w:shd w:val="clear" w:color="auto" w:fill="FFFFFF"/>
                <w:lang w:val="zh-CN"/>
              </w:rPr>
              <w:t>（3</w:t>
            </w:r>
            <w:r>
              <w:rPr>
                <w:rFonts w:hint="eastAsia" w:ascii="宋体" w:hAnsi="宋体" w:eastAsia="宋体" w:cs="宋体"/>
                <w:sz w:val="24"/>
                <w:szCs w:val="24"/>
                <w:shd w:val="clear" w:color="auto" w:fill="FFFFFF"/>
              </w:rPr>
              <w:t>0</w:t>
            </w:r>
            <w:r>
              <w:rPr>
                <w:rFonts w:hint="eastAsia" w:ascii="宋体" w:hAnsi="宋体" w:eastAsia="宋体" w:cs="宋体"/>
                <w:sz w:val="24"/>
                <w:szCs w:val="24"/>
                <w:shd w:val="clear" w:color="auto" w:fill="FFFFFF"/>
                <w:lang w:val="zh-CN"/>
              </w:rPr>
              <w:t>分）</w:t>
            </w:r>
          </w:p>
        </w:tc>
        <w:tc>
          <w:tcPr>
            <w:tcW w:w="1271" w:type="dxa"/>
            <w:tcBorders>
              <w:top w:val="single" w:color="000000" w:sz="6" w:space="0"/>
              <w:left w:val="single" w:color="000000" w:sz="6" w:space="0"/>
              <w:bottom w:val="single" w:color="000000" w:sz="6" w:space="0"/>
              <w:right w:val="single" w:color="000000" w:sz="6" w:space="0"/>
            </w:tcBorders>
            <w:noWrap w:val="0"/>
            <w:vAlign w:val="center"/>
          </w:tcPr>
          <w:p w14:paraId="37235370">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sz w:val="24"/>
                <w:szCs w:val="24"/>
                <w:shd w:val="clear" w:color="auto" w:fill="FFFFFF"/>
                <w:lang w:val="zh-CN"/>
              </w:rPr>
            </w:pPr>
            <w:r>
              <w:rPr>
                <w:rFonts w:hint="eastAsia" w:ascii="宋体" w:hAnsi="宋体" w:eastAsia="宋体" w:cs="宋体"/>
                <w:sz w:val="24"/>
                <w:szCs w:val="24"/>
                <w:shd w:val="clear" w:color="auto" w:fill="FFFFFF"/>
                <w:lang w:val="zh-CN"/>
              </w:rPr>
              <w:t>投标报价</w:t>
            </w:r>
          </w:p>
        </w:tc>
        <w:tc>
          <w:tcPr>
            <w:tcW w:w="1131" w:type="dxa"/>
            <w:tcBorders>
              <w:top w:val="single" w:color="000000" w:sz="6" w:space="0"/>
              <w:left w:val="single" w:color="000000" w:sz="6" w:space="0"/>
              <w:bottom w:val="single" w:color="000000" w:sz="6" w:space="0"/>
              <w:right w:val="single" w:color="000000" w:sz="6" w:space="0"/>
            </w:tcBorders>
            <w:noWrap w:val="0"/>
            <w:vAlign w:val="center"/>
          </w:tcPr>
          <w:p w14:paraId="3C1AFB9F">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sz w:val="24"/>
                <w:szCs w:val="24"/>
                <w:shd w:val="clear" w:color="auto" w:fill="FFFFFF"/>
                <w:lang w:val="zh-CN"/>
              </w:rPr>
            </w:pPr>
            <w:r>
              <w:rPr>
                <w:rFonts w:hint="eastAsia" w:ascii="宋体" w:hAnsi="宋体" w:eastAsia="宋体" w:cs="宋体"/>
                <w:sz w:val="24"/>
                <w:szCs w:val="24"/>
                <w:shd w:val="clear" w:color="auto" w:fill="FFFFFF"/>
                <w:lang w:val="zh-CN"/>
              </w:rPr>
              <w:t>3</w:t>
            </w:r>
            <w:r>
              <w:rPr>
                <w:rFonts w:hint="eastAsia" w:ascii="宋体" w:hAnsi="宋体" w:eastAsia="宋体" w:cs="宋体"/>
                <w:sz w:val="24"/>
                <w:szCs w:val="24"/>
                <w:shd w:val="clear" w:color="auto" w:fill="FFFFFF"/>
              </w:rPr>
              <w:t>0</w:t>
            </w:r>
            <w:r>
              <w:rPr>
                <w:rFonts w:hint="eastAsia" w:ascii="宋体" w:hAnsi="宋体" w:eastAsia="宋体" w:cs="宋体"/>
                <w:sz w:val="24"/>
                <w:szCs w:val="24"/>
                <w:shd w:val="clear" w:color="auto" w:fill="FFFFFF"/>
                <w:lang w:val="zh-CN"/>
              </w:rPr>
              <w:t>分</w:t>
            </w:r>
          </w:p>
        </w:tc>
        <w:tc>
          <w:tcPr>
            <w:tcW w:w="5606" w:type="dxa"/>
            <w:tcBorders>
              <w:top w:val="single" w:color="000000" w:sz="6" w:space="0"/>
              <w:left w:val="single" w:color="000000" w:sz="6" w:space="0"/>
              <w:bottom w:val="single" w:color="000000" w:sz="6" w:space="0"/>
            </w:tcBorders>
            <w:noWrap w:val="0"/>
            <w:vAlign w:val="center"/>
          </w:tcPr>
          <w:p w14:paraId="1CA50FE8">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sz w:val="24"/>
                <w:szCs w:val="24"/>
                <w:shd w:val="clear" w:color="auto" w:fill="FFFFFF"/>
                <w:lang w:val="zh-CN"/>
              </w:rPr>
            </w:pPr>
            <w:r>
              <w:rPr>
                <w:rFonts w:hint="eastAsia" w:ascii="宋体" w:hAnsi="宋体" w:eastAsia="宋体" w:cs="宋体"/>
                <w:sz w:val="24"/>
                <w:szCs w:val="24"/>
                <w:shd w:val="clear" w:color="auto" w:fill="FFFFFF"/>
                <w:lang w:val="zh-CN"/>
              </w:rPr>
              <w:t>在所有的有效投标报价中，以最低投标报价为基准价，其价格分为满分。其他供应商的报价分统一按下列公式计算：投标报价得分=(评标基准价／投标报价)×价格权值（30%）×100（四舍五入后保留小数点后两位）。</w:t>
            </w:r>
          </w:p>
          <w:p w14:paraId="2B0B1876">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sz w:val="24"/>
                <w:szCs w:val="24"/>
                <w:shd w:val="clear" w:color="auto" w:fill="FFFFFF"/>
                <w:lang w:val="zh-CN"/>
              </w:rPr>
            </w:pPr>
            <w:r>
              <w:rPr>
                <w:rFonts w:hint="eastAsia" w:ascii="宋体" w:hAnsi="宋体" w:eastAsia="宋体" w:cs="宋体"/>
                <w:sz w:val="24"/>
                <w:szCs w:val="24"/>
                <w:shd w:val="clear" w:color="auto" w:fill="FFFFFF"/>
                <w:lang w:val="zh-CN"/>
              </w:rPr>
              <w:t>注：根据《政府采购促进中小企业发展暂行办法》的相关规定，对小型和微型企业制造（生产）产品的价格给予10%的扣除，用扣除后的价格参与评审。残疾人福利性单位属于小型、微型企业的，不重复享受政策。执行国家统一定价标准和采用固定价格采购的项目，其价格不列为评审因素。</w:t>
            </w:r>
          </w:p>
        </w:tc>
      </w:tr>
      <w:tr w14:paraId="358B113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906" w:hRule="atLeast"/>
        </w:trPr>
        <w:tc>
          <w:tcPr>
            <w:tcW w:w="1200" w:type="dxa"/>
            <w:tcBorders>
              <w:top w:val="single" w:color="000000" w:sz="6" w:space="0"/>
              <w:bottom w:val="single" w:color="000000" w:sz="6" w:space="0"/>
              <w:right w:val="single" w:color="000000" w:sz="6" w:space="0"/>
            </w:tcBorders>
            <w:noWrap w:val="0"/>
            <w:vAlign w:val="center"/>
          </w:tcPr>
          <w:p w14:paraId="4891C2AF">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val="zh-CN"/>
              </w:rPr>
              <w:t>类似业绩</w:t>
            </w:r>
            <w:r>
              <w:rPr>
                <w:rFonts w:hint="eastAsia" w:ascii="宋体" w:hAnsi="宋体" w:eastAsia="宋体" w:cs="宋体"/>
                <w:sz w:val="24"/>
                <w:szCs w:val="24"/>
                <w:shd w:val="clear" w:color="auto" w:fill="FFFFFF"/>
                <w:lang w:val="en-US" w:eastAsia="zh-CN"/>
              </w:rPr>
              <w:t>（</w:t>
            </w:r>
            <w:r>
              <w:rPr>
                <w:rFonts w:hint="eastAsia" w:ascii="宋体" w:hAnsi="宋体" w:cs="宋体"/>
                <w:sz w:val="24"/>
                <w:szCs w:val="24"/>
                <w:shd w:val="clear" w:color="auto" w:fill="FFFFFF"/>
                <w:lang w:val="en-US" w:eastAsia="zh-CN"/>
              </w:rPr>
              <w:t>8</w:t>
            </w:r>
            <w:r>
              <w:rPr>
                <w:rFonts w:hint="eastAsia" w:ascii="宋体" w:hAnsi="宋体" w:eastAsia="宋体" w:cs="宋体"/>
                <w:sz w:val="24"/>
                <w:szCs w:val="24"/>
                <w:shd w:val="clear" w:color="auto" w:fill="FFFFFF"/>
                <w:lang w:val="en-US" w:eastAsia="zh-CN"/>
              </w:rPr>
              <w:t>分）</w:t>
            </w:r>
          </w:p>
        </w:tc>
        <w:tc>
          <w:tcPr>
            <w:tcW w:w="1271" w:type="dxa"/>
            <w:tcBorders>
              <w:top w:val="single" w:color="000000" w:sz="6" w:space="0"/>
              <w:left w:val="single" w:color="000000" w:sz="6" w:space="0"/>
              <w:bottom w:val="single" w:color="000000" w:sz="6" w:space="0"/>
              <w:right w:val="single" w:color="000000" w:sz="6" w:space="0"/>
            </w:tcBorders>
            <w:noWrap w:val="0"/>
            <w:vAlign w:val="center"/>
          </w:tcPr>
          <w:p w14:paraId="49A84545">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sz w:val="24"/>
                <w:szCs w:val="24"/>
                <w:shd w:val="clear" w:color="auto" w:fill="FFFFFF"/>
                <w:lang w:val="zh-CN" w:eastAsia="zh-CN"/>
              </w:rPr>
            </w:pPr>
            <w:r>
              <w:rPr>
                <w:rFonts w:hint="eastAsia" w:ascii="宋体" w:hAnsi="宋体" w:eastAsia="宋体" w:cs="宋体"/>
                <w:sz w:val="24"/>
                <w:szCs w:val="24"/>
                <w:shd w:val="clear" w:color="auto" w:fill="FFFFFF"/>
                <w:lang w:val="zh-CN"/>
              </w:rPr>
              <w:t>类似业绩</w:t>
            </w:r>
          </w:p>
        </w:tc>
        <w:tc>
          <w:tcPr>
            <w:tcW w:w="1131" w:type="dxa"/>
            <w:tcBorders>
              <w:top w:val="single" w:color="000000" w:sz="6" w:space="0"/>
              <w:left w:val="single" w:color="000000" w:sz="6" w:space="0"/>
              <w:bottom w:val="single" w:color="000000" w:sz="6" w:space="0"/>
              <w:right w:val="single" w:color="000000" w:sz="6" w:space="0"/>
            </w:tcBorders>
            <w:noWrap w:val="0"/>
            <w:vAlign w:val="center"/>
          </w:tcPr>
          <w:p w14:paraId="1958E16B">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sz w:val="24"/>
                <w:szCs w:val="24"/>
                <w:shd w:val="clear" w:color="auto" w:fill="FFFFFF"/>
                <w:lang w:val="zh-CN" w:eastAsia="zh-CN"/>
              </w:rPr>
            </w:pPr>
            <w:r>
              <w:rPr>
                <w:rFonts w:hint="eastAsia" w:ascii="宋体" w:hAnsi="宋体" w:cs="宋体"/>
                <w:sz w:val="24"/>
                <w:szCs w:val="24"/>
                <w:shd w:val="clear" w:color="auto" w:fill="FFFFFF"/>
                <w:lang w:val="en-US" w:eastAsia="zh-CN"/>
              </w:rPr>
              <w:t>8</w:t>
            </w:r>
            <w:r>
              <w:rPr>
                <w:rFonts w:hint="eastAsia" w:ascii="宋体" w:hAnsi="宋体" w:eastAsia="宋体" w:cs="宋体"/>
                <w:sz w:val="24"/>
                <w:szCs w:val="24"/>
                <w:shd w:val="clear" w:color="auto" w:fill="FFFFFF"/>
                <w:lang w:val="zh-CN"/>
              </w:rPr>
              <w:t>分</w:t>
            </w:r>
          </w:p>
        </w:tc>
        <w:tc>
          <w:tcPr>
            <w:tcW w:w="5606" w:type="dxa"/>
            <w:tcBorders>
              <w:top w:val="single" w:color="000000" w:sz="6" w:space="0"/>
              <w:left w:val="single" w:color="000000" w:sz="6" w:space="0"/>
              <w:bottom w:val="single" w:color="000000" w:sz="6" w:space="0"/>
            </w:tcBorders>
            <w:noWrap w:val="0"/>
            <w:vAlign w:val="center"/>
          </w:tcPr>
          <w:p w14:paraId="0A945C72">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sz w:val="24"/>
                <w:szCs w:val="24"/>
                <w:shd w:val="clear" w:color="auto" w:fill="FFFFFF"/>
                <w:lang w:val="zh-CN" w:eastAsia="zh-CN"/>
              </w:rPr>
            </w:pPr>
            <w:r>
              <w:rPr>
                <w:rFonts w:hint="eastAsia" w:ascii="宋体" w:hAnsi="宋体" w:eastAsia="宋体" w:cs="宋体"/>
                <w:sz w:val="24"/>
                <w:szCs w:val="24"/>
                <w:shd w:val="clear" w:color="auto" w:fill="FFFFFF"/>
              </w:rPr>
              <w:t>提供20</w:t>
            </w:r>
            <w:r>
              <w:rPr>
                <w:rFonts w:hint="eastAsia" w:ascii="宋体" w:hAnsi="宋体" w:eastAsia="宋体" w:cs="宋体"/>
                <w:sz w:val="24"/>
                <w:szCs w:val="24"/>
                <w:shd w:val="clear" w:color="auto" w:fill="FFFFFF"/>
                <w:lang w:val="en-US" w:eastAsia="zh-CN"/>
              </w:rPr>
              <w:t>22</w:t>
            </w:r>
            <w:r>
              <w:rPr>
                <w:rFonts w:hint="eastAsia" w:ascii="宋体" w:hAnsi="宋体" w:eastAsia="宋体" w:cs="宋体"/>
                <w:sz w:val="24"/>
                <w:szCs w:val="24"/>
                <w:shd w:val="clear" w:color="auto" w:fill="FFFFFF"/>
              </w:rPr>
              <w:t>年1月1日至今投标人类似业绩证明材料。（须提供合同首页、合同金额所在页、合同标的页、签字盖章、合同签署日期页复印件或中标通知书</w:t>
            </w:r>
            <w:r>
              <w:rPr>
                <w:rFonts w:hint="eastAsia" w:ascii="宋体" w:hAnsi="宋体" w:cs="宋体"/>
                <w:sz w:val="24"/>
                <w:szCs w:val="24"/>
                <w:shd w:val="clear" w:color="auto" w:fill="FFFFFF"/>
                <w:lang w:eastAsia="zh-CN"/>
              </w:rPr>
              <w:t>；</w:t>
            </w:r>
            <w:r>
              <w:rPr>
                <w:rFonts w:hint="eastAsia" w:ascii="宋体" w:hAnsi="宋体" w:cs="宋体"/>
                <w:sz w:val="24"/>
                <w:szCs w:val="24"/>
                <w:shd w:val="clear" w:color="auto" w:fill="FFFFFF"/>
                <w:lang w:val="en-US" w:eastAsia="zh-CN"/>
              </w:rPr>
              <w:t>类似业绩是指与招标项目标的内容相类似且已完成的业绩</w:t>
            </w:r>
            <w:r>
              <w:rPr>
                <w:rFonts w:hint="eastAsia" w:ascii="宋体" w:hAnsi="宋体" w:eastAsia="宋体" w:cs="宋体"/>
                <w:sz w:val="24"/>
                <w:szCs w:val="24"/>
                <w:shd w:val="clear" w:color="auto" w:fill="FFFFFF"/>
              </w:rPr>
              <w:t>）每提供1项得2分，满分</w:t>
            </w:r>
            <w:r>
              <w:rPr>
                <w:rFonts w:hint="eastAsia" w:ascii="宋体" w:hAnsi="宋体" w:eastAsia="宋体" w:cs="宋体"/>
                <w:sz w:val="24"/>
                <w:szCs w:val="24"/>
                <w:shd w:val="clear" w:color="auto" w:fill="FFFFFF"/>
                <w:lang w:val="en-US" w:eastAsia="zh-CN"/>
              </w:rPr>
              <w:t>10</w:t>
            </w:r>
            <w:r>
              <w:rPr>
                <w:rFonts w:hint="eastAsia" w:ascii="宋体" w:hAnsi="宋体" w:eastAsia="宋体" w:cs="宋体"/>
                <w:sz w:val="24"/>
                <w:szCs w:val="24"/>
                <w:shd w:val="clear" w:color="auto" w:fill="FFFFFF"/>
              </w:rPr>
              <w:t>分；</w:t>
            </w:r>
            <w:r>
              <w:rPr>
                <w:rFonts w:hint="eastAsia" w:ascii="宋体" w:hAnsi="宋体" w:eastAsia="宋体" w:cs="宋体"/>
                <w:sz w:val="24"/>
                <w:szCs w:val="24"/>
                <w:shd w:val="clear" w:color="auto" w:fill="FFFFFF"/>
                <w:lang w:val="en-US" w:eastAsia="zh-CN"/>
              </w:rPr>
              <w:t>未</w:t>
            </w:r>
            <w:r>
              <w:rPr>
                <w:rFonts w:hint="eastAsia" w:ascii="宋体" w:hAnsi="宋体" w:eastAsia="宋体" w:cs="宋体"/>
                <w:sz w:val="24"/>
                <w:szCs w:val="24"/>
                <w:shd w:val="clear" w:color="auto" w:fill="FFFFFF"/>
              </w:rPr>
              <w:t>提供不得分。</w:t>
            </w:r>
          </w:p>
        </w:tc>
      </w:tr>
      <w:tr w14:paraId="29E7C6D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433" w:hRule="atLeast"/>
        </w:trPr>
        <w:tc>
          <w:tcPr>
            <w:tcW w:w="1200" w:type="dxa"/>
            <w:vMerge w:val="restart"/>
            <w:tcBorders>
              <w:top w:val="single" w:color="auto" w:sz="4" w:space="0"/>
              <w:right w:val="single" w:color="000000" w:sz="6" w:space="0"/>
            </w:tcBorders>
            <w:noWrap w:val="0"/>
            <w:vAlign w:val="center"/>
          </w:tcPr>
          <w:p w14:paraId="47D6DD8D">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sz w:val="24"/>
                <w:szCs w:val="24"/>
                <w:shd w:val="clear" w:color="auto" w:fill="FFFFFF"/>
                <w:lang w:val="zh-CN"/>
              </w:rPr>
            </w:pPr>
            <w:r>
              <w:rPr>
                <w:rFonts w:hint="eastAsia" w:ascii="宋体" w:hAnsi="宋体" w:eastAsia="宋体" w:cs="宋体"/>
                <w:sz w:val="24"/>
                <w:szCs w:val="24"/>
                <w:shd w:val="clear" w:color="auto" w:fill="FFFFFF"/>
                <w:lang w:val="zh-CN"/>
              </w:rPr>
              <w:t>技术部分（</w:t>
            </w:r>
            <w:r>
              <w:rPr>
                <w:rFonts w:hint="eastAsia" w:ascii="宋体" w:hAnsi="宋体" w:cs="宋体"/>
                <w:sz w:val="24"/>
                <w:szCs w:val="24"/>
                <w:shd w:val="clear" w:color="auto" w:fill="FFFFFF"/>
                <w:lang w:val="en-US" w:eastAsia="zh-CN"/>
              </w:rPr>
              <w:t>62</w:t>
            </w:r>
            <w:r>
              <w:rPr>
                <w:rFonts w:hint="eastAsia" w:ascii="宋体" w:hAnsi="宋体" w:eastAsia="宋体" w:cs="宋体"/>
                <w:sz w:val="24"/>
                <w:szCs w:val="24"/>
                <w:shd w:val="clear" w:color="auto" w:fill="FFFFFF"/>
                <w:lang w:val="zh-CN"/>
              </w:rPr>
              <w:t>分）</w:t>
            </w:r>
          </w:p>
        </w:tc>
        <w:tc>
          <w:tcPr>
            <w:tcW w:w="1271" w:type="dxa"/>
            <w:tcBorders>
              <w:top w:val="single" w:color="auto" w:sz="4" w:space="0"/>
              <w:left w:val="single" w:color="000000" w:sz="6" w:space="0"/>
              <w:bottom w:val="single" w:color="000000" w:sz="6" w:space="0"/>
              <w:right w:val="single" w:color="auto" w:sz="4" w:space="0"/>
            </w:tcBorders>
            <w:noWrap w:val="0"/>
            <w:vAlign w:val="center"/>
          </w:tcPr>
          <w:p w14:paraId="0A1F278B">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sz w:val="24"/>
                <w:szCs w:val="24"/>
                <w:shd w:val="clear" w:color="auto" w:fill="FFFFFF"/>
                <w:lang w:val="zh-CN"/>
              </w:rPr>
            </w:pPr>
            <w:r>
              <w:rPr>
                <w:rFonts w:hint="eastAsia" w:ascii="宋体" w:hAnsi="宋体" w:eastAsia="宋体" w:cs="宋体"/>
                <w:sz w:val="24"/>
                <w:szCs w:val="24"/>
                <w:shd w:val="clear" w:color="auto" w:fill="FFFFFF"/>
                <w:lang w:val="zh-CN"/>
              </w:rPr>
              <w:t>技术性能指标</w:t>
            </w:r>
          </w:p>
        </w:tc>
        <w:tc>
          <w:tcPr>
            <w:tcW w:w="1131" w:type="dxa"/>
            <w:tcBorders>
              <w:top w:val="single" w:color="000000" w:sz="6" w:space="0"/>
              <w:left w:val="single" w:color="auto" w:sz="4" w:space="0"/>
              <w:bottom w:val="single" w:color="000000" w:sz="6" w:space="0"/>
              <w:right w:val="single" w:color="000000" w:sz="6" w:space="0"/>
            </w:tcBorders>
            <w:noWrap w:val="0"/>
            <w:vAlign w:val="center"/>
          </w:tcPr>
          <w:p w14:paraId="3AFF45D5">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sz w:val="24"/>
                <w:szCs w:val="24"/>
                <w:shd w:val="clear" w:color="auto" w:fill="FFFFFF"/>
              </w:rPr>
            </w:pPr>
            <w:r>
              <w:rPr>
                <w:rFonts w:hint="eastAsia" w:ascii="宋体" w:hAnsi="宋体" w:cs="宋体"/>
                <w:sz w:val="24"/>
                <w:szCs w:val="24"/>
                <w:shd w:val="clear" w:color="auto" w:fill="FFFFFF"/>
                <w:lang w:val="en-US" w:eastAsia="zh-CN"/>
              </w:rPr>
              <w:t>24</w:t>
            </w:r>
            <w:r>
              <w:rPr>
                <w:rFonts w:hint="eastAsia" w:ascii="宋体" w:hAnsi="宋体" w:eastAsia="宋体" w:cs="宋体"/>
                <w:sz w:val="24"/>
                <w:szCs w:val="24"/>
                <w:shd w:val="clear" w:color="auto" w:fill="FFFFFF"/>
              </w:rPr>
              <w:t>分</w:t>
            </w:r>
          </w:p>
        </w:tc>
        <w:tc>
          <w:tcPr>
            <w:tcW w:w="5606" w:type="dxa"/>
            <w:tcBorders>
              <w:top w:val="single" w:color="000000" w:sz="6" w:space="0"/>
              <w:left w:val="single" w:color="000000" w:sz="6" w:space="0"/>
              <w:bottom w:val="single" w:color="000000" w:sz="6" w:space="0"/>
            </w:tcBorders>
            <w:noWrap w:val="0"/>
            <w:vAlign w:val="center"/>
          </w:tcPr>
          <w:p w14:paraId="50454164">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sz w:val="24"/>
                <w:szCs w:val="24"/>
                <w:shd w:val="clear" w:color="auto" w:fill="FFFFFF"/>
                <w:lang w:val="zh-CN"/>
              </w:rPr>
            </w:pPr>
            <w:r>
              <w:rPr>
                <w:rFonts w:hint="eastAsia" w:ascii="宋体" w:hAnsi="宋体" w:eastAsia="宋体" w:cs="宋体"/>
                <w:sz w:val="24"/>
                <w:szCs w:val="24"/>
                <w:shd w:val="clear" w:color="auto" w:fill="FFFFFF"/>
                <w:lang w:val="zh-CN"/>
              </w:rPr>
              <w:t>所提供的设备技术参数全部满足或高于招标文件技术参数要求得</w:t>
            </w:r>
            <w:r>
              <w:rPr>
                <w:rFonts w:hint="eastAsia" w:ascii="宋体" w:hAnsi="宋体" w:cs="宋体"/>
                <w:sz w:val="24"/>
                <w:szCs w:val="24"/>
                <w:shd w:val="clear" w:color="auto" w:fill="FFFFFF"/>
                <w:lang w:val="en-US" w:eastAsia="zh-CN"/>
              </w:rPr>
              <w:t>24</w:t>
            </w:r>
            <w:r>
              <w:rPr>
                <w:rFonts w:hint="eastAsia" w:ascii="宋体" w:hAnsi="宋体" w:eastAsia="宋体" w:cs="宋体"/>
                <w:sz w:val="24"/>
                <w:szCs w:val="24"/>
                <w:shd w:val="clear" w:color="auto" w:fill="FFFFFF"/>
                <w:lang w:val="zh-CN"/>
              </w:rPr>
              <w:t>分；每有一个技术参数负偏离扣</w:t>
            </w:r>
            <w:r>
              <w:rPr>
                <w:rFonts w:hint="eastAsia" w:ascii="宋体" w:hAnsi="宋体" w:cs="宋体"/>
                <w:sz w:val="24"/>
                <w:szCs w:val="24"/>
                <w:shd w:val="clear" w:color="auto" w:fill="FFFFFF"/>
                <w:lang w:val="en-US" w:eastAsia="zh-CN"/>
              </w:rPr>
              <w:t>1.5</w:t>
            </w:r>
            <w:r>
              <w:rPr>
                <w:rFonts w:hint="eastAsia" w:ascii="宋体" w:hAnsi="宋体" w:eastAsia="宋体" w:cs="宋体"/>
                <w:sz w:val="24"/>
                <w:szCs w:val="24"/>
                <w:shd w:val="clear" w:color="auto" w:fill="FFFFFF"/>
                <w:lang w:val="zh-CN"/>
              </w:rPr>
              <w:t>分，扣完为止。</w:t>
            </w:r>
          </w:p>
        </w:tc>
      </w:tr>
      <w:tr w14:paraId="7F3A858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2" w:hRule="atLeast"/>
        </w:trPr>
        <w:tc>
          <w:tcPr>
            <w:tcW w:w="1200" w:type="dxa"/>
            <w:vMerge w:val="continue"/>
            <w:tcBorders>
              <w:right w:val="single" w:color="000000" w:sz="6" w:space="0"/>
            </w:tcBorders>
            <w:noWrap w:val="0"/>
            <w:vAlign w:val="center"/>
          </w:tcPr>
          <w:p w14:paraId="02BF3786">
            <w:pPr>
              <w:keepNext w:val="0"/>
              <w:keepLines w:val="0"/>
              <w:suppressLineNumbers w:val="0"/>
              <w:autoSpaceDE w:val="0"/>
              <w:autoSpaceDN w:val="0"/>
              <w:spacing w:before="0" w:beforeAutospacing="0" w:after="0" w:afterAutospacing="0" w:line="360" w:lineRule="auto"/>
              <w:ind w:left="0" w:right="0" w:firstLine="480" w:firstLineChars="200"/>
              <w:rPr>
                <w:rFonts w:hint="eastAsia" w:ascii="宋体" w:hAnsi="宋体" w:eastAsia="宋体" w:cs="宋体"/>
                <w:sz w:val="24"/>
                <w:szCs w:val="24"/>
                <w:shd w:val="clear" w:color="auto" w:fill="FFFFFF"/>
                <w:lang w:val="zh-CN"/>
              </w:rPr>
            </w:pPr>
          </w:p>
        </w:tc>
        <w:tc>
          <w:tcPr>
            <w:tcW w:w="1271" w:type="dxa"/>
            <w:tcBorders>
              <w:top w:val="single" w:color="000000" w:sz="6" w:space="0"/>
              <w:left w:val="single" w:color="000000" w:sz="6" w:space="0"/>
              <w:bottom w:val="single" w:color="000000" w:sz="6" w:space="0"/>
              <w:right w:val="single" w:color="auto" w:sz="4" w:space="0"/>
            </w:tcBorders>
            <w:noWrap w:val="0"/>
            <w:vAlign w:val="center"/>
          </w:tcPr>
          <w:p w14:paraId="32FF4A42">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sz w:val="24"/>
                <w:szCs w:val="24"/>
                <w:shd w:val="clear" w:color="auto" w:fill="FFFFFF"/>
                <w:lang w:val="zh-CN"/>
              </w:rPr>
            </w:pPr>
            <w:r>
              <w:rPr>
                <w:rFonts w:hint="eastAsia" w:ascii="宋体" w:hAnsi="宋体" w:eastAsia="宋体" w:cs="宋体"/>
                <w:sz w:val="24"/>
                <w:szCs w:val="24"/>
                <w:shd w:val="clear" w:color="auto" w:fill="FFFFFF"/>
                <w:lang w:val="zh-CN"/>
              </w:rPr>
              <w:t>实施方案</w:t>
            </w:r>
          </w:p>
        </w:tc>
        <w:tc>
          <w:tcPr>
            <w:tcW w:w="1131" w:type="dxa"/>
            <w:tcBorders>
              <w:top w:val="single" w:color="000000" w:sz="6" w:space="0"/>
              <w:left w:val="single" w:color="auto" w:sz="4" w:space="0"/>
              <w:bottom w:val="single" w:color="000000" w:sz="6" w:space="0"/>
              <w:right w:val="single" w:color="000000" w:sz="6" w:space="0"/>
            </w:tcBorders>
            <w:noWrap w:val="0"/>
            <w:vAlign w:val="center"/>
          </w:tcPr>
          <w:p w14:paraId="2AC5D075">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sz w:val="24"/>
                <w:szCs w:val="24"/>
                <w:shd w:val="clear" w:color="auto" w:fill="FFFFFF"/>
              </w:rPr>
            </w:pPr>
            <w:r>
              <w:rPr>
                <w:rFonts w:hint="eastAsia" w:ascii="宋体" w:hAnsi="宋体" w:cs="宋体"/>
                <w:sz w:val="24"/>
                <w:szCs w:val="24"/>
                <w:shd w:val="clear" w:color="auto" w:fill="FFFFFF"/>
                <w:lang w:val="en-US" w:eastAsia="zh-CN"/>
              </w:rPr>
              <w:t>18</w:t>
            </w:r>
            <w:r>
              <w:rPr>
                <w:rFonts w:hint="eastAsia" w:ascii="宋体" w:hAnsi="宋体" w:eastAsia="宋体" w:cs="宋体"/>
                <w:sz w:val="24"/>
                <w:szCs w:val="24"/>
                <w:shd w:val="clear" w:color="auto" w:fill="FFFFFF"/>
                <w:lang w:val="zh-CN"/>
              </w:rPr>
              <w:t>分</w:t>
            </w:r>
          </w:p>
        </w:tc>
        <w:tc>
          <w:tcPr>
            <w:tcW w:w="5606" w:type="dxa"/>
            <w:tcBorders>
              <w:top w:val="single" w:color="000000" w:sz="6" w:space="0"/>
              <w:left w:val="single" w:color="000000" w:sz="6" w:space="0"/>
              <w:bottom w:val="single" w:color="000000" w:sz="6" w:space="0"/>
            </w:tcBorders>
            <w:noWrap w:val="0"/>
            <w:vAlign w:val="center"/>
          </w:tcPr>
          <w:p w14:paraId="1966E135">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sz w:val="24"/>
                <w:szCs w:val="24"/>
                <w:shd w:val="clear" w:color="auto" w:fill="FFFFFF"/>
                <w:lang w:val="zh-CN"/>
              </w:rPr>
            </w:pPr>
            <w:r>
              <w:rPr>
                <w:rFonts w:hint="eastAsia" w:ascii="宋体" w:hAnsi="宋体" w:eastAsia="宋体" w:cs="宋体"/>
                <w:sz w:val="24"/>
                <w:szCs w:val="24"/>
                <w:shd w:val="clear" w:color="auto" w:fill="FFFFFF"/>
                <w:lang w:val="zh-CN"/>
              </w:rPr>
              <w:t>投标人根据项目要求提供项目实施方案，对方案的完整性、科学性、可行性等综合评定，包含：①系统平台搭建和运行方案；②技术服务方案；③货源准备方案；④产品质量保障措施；⑤安全保障措施；⑥实施过程风险预想预防措施；满分18分，每缺少一项扣3分，所提供的每项内容中每有一处具有缺陷的扣0.5分，未提供不得分。</w:t>
            </w:r>
          </w:p>
        </w:tc>
      </w:tr>
      <w:tr w14:paraId="6AEC458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287" w:hRule="atLeast"/>
        </w:trPr>
        <w:tc>
          <w:tcPr>
            <w:tcW w:w="1200" w:type="dxa"/>
            <w:vMerge w:val="continue"/>
            <w:tcBorders>
              <w:right w:val="single" w:color="000000" w:sz="6" w:space="0"/>
            </w:tcBorders>
            <w:noWrap w:val="0"/>
            <w:vAlign w:val="center"/>
          </w:tcPr>
          <w:p w14:paraId="3D24B24F">
            <w:pPr>
              <w:keepNext w:val="0"/>
              <w:keepLines w:val="0"/>
              <w:suppressLineNumbers w:val="0"/>
              <w:autoSpaceDE w:val="0"/>
              <w:autoSpaceDN w:val="0"/>
              <w:spacing w:before="0" w:beforeAutospacing="0" w:after="0" w:afterAutospacing="0" w:line="360" w:lineRule="auto"/>
              <w:ind w:left="0" w:right="0" w:firstLine="480" w:firstLineChars="200"/>
              <w:rPr>
                <w:rFonts w:hint="eastAsia" w:ascii="宋体" w:hAnsi="宋体" w:eastAsia="宋体" w:cs="宋体"/>
                <w:sz w:val="24"/>
                <w:szCs w:val="24"/>
                <w:shd w:val="clear" w:color="auto" w:fill="FFFFFF"/>
                <w:lang w:val="zh-CN"/>
              </w:rPr>
            </w:pPr>
          </w:p>
        </w:tc>
        <w:tc>
          <w:tcPr>
            <w:tcW w:w="1271"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14:paraId="2CDC93A2">
            <w:pPr>
              <w:keepNext w:val="0"/>
              <w:keepLines w:val="0"/>
              <w:suppressLineNumbers w:val="0"/>
              <w:autoSpaceDE w:val="0"/>
              <w:autoSpaceDN w:val="0"/>
              <w:spacing w:before="0" w:beforeAutospacing="0" w:after="0" w:afterAutospacing="0" w:line="360" w:lineRule="auto"/>
              <w:ind w:left="0" w:leftChars="0" w:right="0" w:rightChars="0"/>
              <w:rPr>
                <w:rFonts w:hint="default" w:ascii="宋体" w:hAnsi="宋体" w:eastAsia="宋体" w:cs="宋体"/>
                <w:kern w:val="2"/>
                <w:sz w:val="24"/>
                <w:szCs w:val="24"/>
                <w:shd w:val="clear" w:color="auto" w:fill="FFFFFF"/>
                <w:lang w:val="en-US" w:eastAsia="zh-CN" w:bidi="ar-SA"/>
              </w:rPr>
            </w:pPr>
            <w:r>
              <w:rPr>
                <w:rFonts w:hint="eastAsia" w:ascii="宋体" w:hAnsi="宋体" w:cs="宋体"/>
                <w:sz w:val="24"/>
                <w:szCs w:val="24"/>
                <w:shd w:val="clear" w:color="auto" w:fill="FFFFFF"/>
                <w:lang w:val="en-US" w:eastAsia="zh-CN"/>
              </w:rPr>
              <w:t>项目进度保证措施</w:t>
            </w:r>
          </w:p>
        </w:tc>
        <w:tc>
          <w:tcPr>
            <w:tcW w:w="1131"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14:paraId="001C824E">
            <w:pPr>
              <w:keepNext w:val="0"/>
              <w:keepLines w:val="0"/>
              <w:suppressLineNumbers w:val="0"/>
              <w:autoSpaceDE w:val="0"/>
              <w:autoSpaceDN w:val="0"/>
              <w:spacing w:before="0" w:beforeAutospacing="0" w:after="0" w:afterAutospacing="0" w:line="360" w:lineRule="auto"/>
              <w:ind w:left="0" w:leftChars="0" w:right="0" w:rightChars="0"/>
              <w:jc w:val="center"/>
              <w:rPr>
                <w:rFonts w:hint="default" w:ascii="宋体" w:hAnsi="宋体" w:eastAsia="宋体" w:cs="宋体"/>
                <w:kern w:val="2"/>
                <w:sz w:val="24"/>
                <w:szCs w:val="24"/>
                <w:shd w:val="clear" w:color="auto" w:fill="FFFFFF"/>
                <w:lang w:val="en-US" w:eastAsia="zh-CN" w:bidi="ar-SA"/>
              </w:rPr>
            </w:pPr>
            <w:r>
              <w:rPr>
                <w:rFonts w:hint="eastAsia" w:ascii="宋体" w:hAnsi="宋体" w:cs="宋体"/>
                <w:sz w:val="24"/>
                <w:szCs w:val="24"/>
                <w:shd w:val="clear" w:color="auto" w:fill="FFFFFF"/>
                <w:lang w:val="en-US" w:eastAsia="zh-CN"/>
              </w:rPr>
              <w:t>6分</w:t>
            </w:r>
          </w:p>
        </w:tc>
        <w:tc>
          <w:tcPr>
            <w:tcW w:w="5606" w:type="dxa"/>
            <w:tcBorders>
              <w:top w:val="single" w:color="000000" w:sz="6" w:space="0"/>
              <w:left w:val="single" w:color="000000" w:sz="6" w:space="0"/>
              <w:bottom w:val="single" w:color="000000" w:sz="6" w:space="0"/>
            </w:tcBorders>
            <w:shd w:val="clear" w:color="auto" w:fill="auto"/>
            <w:noWrap w:val="0"/>
            <w:vAlign w:val="center"/>
          </w:tcPr>
          <w:p w14:paraId="31482314">
            <w:pPr>
              <w:keepNext w:val="0"/>
              <w:keepLines w:val="0"/>
              <w:suppressLineNumbers w:val="0"/>
              <w:autoSpaceDE w:val="0"/>
              <w:autoSpaceDN w:val="0"/>
              <w:spacing w:before="0" w:beforeAutospacing="0" w:after="0" w:afterAutospacing="0" w:line="360" w:lineRule="auto"/>
              <w:ind w:left="0" w:leftChars="0" w:right="0" w:rightChars="0"/>
              <w:rPr>
                <w:rFonts w:hint="default" w:ascii="宋体" w:hAnsi="宋体" w:eastAsia="宋体" w:cs="宋体"/>
                <w:kern w:val="2"/>
                <w:sz w:val="24"/>
                <w:szCs w:val="24"/>
                <w:shd w:val="clear" w:color="auto" w:fill="FFFFFF"/>
                <w:lang w:val="en-US" w:eastAsia="zh-CN" w:bidi="ar-SA"/>
              </w:rPr>
            </w:pPr>
            <w:r>
              <w:rPr>
                <w:rFonts w:hint="eastAsia" w:ascii="宋体" w:hAnsi="宋体" w:cs="宋体"/>
                <w:sz w:val="24"/>
                <w:szCs w:val="24"/>
                <w:shd w:val="clear" w:color="auto" w:fill="FFFFFF"/>
                <w:lang w:val="en-US" w:eastAsia="zh-CN"/>
              </w:rPr>
              <w:t>根据项目特点制定科学、有效的供货进度保证措施，其中包括①供货计划和准备；②供货进度划分明细；③按时交货保证措施；</w:t>
            </w:r>
            <w:r>
              <w:rPr>
                <w:rFonts w:hint="eastAsia" w:ascii="宋体" w:hAnsi="宋体" w:eastAsia="宋体" w:cs="宋体"/>
                <w:sz w:val="24"/>
                <w:szCs w:val="24"/>
                <w:shd w:val="clear" w:color="auto" w:fill="FFFFFF"/>
                <w:lang w:val="en-US" w:eastAsia="zh-CN"/>
              </w:rPr>
              <w:t>满分</w:t>
            </w:r>
            <w:r>
              <w:rPr>
                <w:rFonts w:hint="eastAsia" w:ascii="宋体" w:hAnsi="宋体" w:cs="宋体"/>
                <w:sz w:val="24"/>
                <w:szCs w:val="24"/>
                <w:shd w:val="clear" w:color="auto" w:fill="FFFFFF"/>
                <w:lang w:val="en-US" w:eastAsia="zh-CN"/>
              </w:rPr>
              <w:t>6</w:t>
            </w:r>
            <w:r>
              <w:rPr>
                <w:rFonts w:hint="eastAsia" w:ascii="宋体" w:hAnsi="宋体" w:eastAsia="宋体" w:cs="宋体"/>
                <w:sz w:val="24"/>
                <w:szCs w:val="24"/>
                <w:shd w:val="clear" w:color="auto" w:fill="FFFFFF"/>
                <w:lang w:val="en-US" w:eastAsia="zh-CN"/>
              </w:rPr>
              <w:t>分，每缺少一项扣</w:t>
            </w:r>
            <w:r>
              <w:rPr>
                <w:rFonts w:hint="eastAsia" w:ascii="宋体" w:hAnsi="宋体" w:cs="宋体"/>
                <w:sz w:val="24"/>
                <w:szCs w:val="24"/>
                <w:shd w:val="clear" w:color="auto" w:fill="FFFFFF"/>
                <w:lang w:val="en-US" w:eastAsia="zh-CN"/>
              </w:rPr>
              <w:t>2</w:t>
            </w:r>
            <w:r>
              <w:rPr>
                <w:rFonts w:hint="eastAsia" w:ascii="宋体" w:hAnsi="宋体" w:eastAsia="宋体" w:cs="宋体"/>
                <w:sz w:val="24"/>
                <w:szCs w:val="24"/>
                <w:shd w:val="clear" w:color="auto" w:fill="FFFFFF"/>
                <w:lang w:val="en-US" w:eastAsia="zh-CN"/>
              </w:rPr>
              <w:t>分，</w:t>
            </w:r>
            <w:r>
              <w:rPr>
                <w:rFonts w:hint="eastAsia" w:ascii="宋体" w:hAnsi="宋体" w:eastAsia="宋体" w:cs="宋体"/>
                <w:sz w:val="24"/>
                <w:szCs w:val="24"/>
                <w:shd w:val="clear" w:color="auto" w:fill="FFFFFF"/>
              </w:rPr>
              <w:t>所提供的每项内容中每有一处具有缺陷的扣0.5分，未</w:t>
            </w:r>
            <w:r>
              <w:rPr>
                <w:rFonts w:hint="eastAsia" w:ascii="宋体" w:hAnsi="宋体" w:eastAsia="宋体" w:cs="宋体"/>
                <w:sz w:val="24"/>
                <w:szCs w:val="24"/>
                <w:shd w:val="clear" w:color="auto" w:fill="FFFFFF"/>
                <w:lang w:val="zh-CN"/>
              </w:rPr>
              <w:t>提供不得分。</w:t>
            </w:r>
          </w:p>
        </w:tc>
      </w:tr>
      <w:tr w14:paraId="5124A04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287" w:hRule="atLeast"/>
        </w:trPr>
        <w:tc>
          <w:tcPr>
            <w:tcW w:w="1200" w:type="dxa"/>
            <w:vMerge w:val="continue"/>
            <w:tcBorders>
              <w:right w:val="single" w:color="000000" w:sz="6" w:space="0"/>
            </w:tcBorders>
            <w:noWrap w:val="0"/>
            <w:vAlign w:val="center"/>
          </w:tcPr>
          <w:p w14:paraId="6A79ED91">
            <w:pPr>
              <w:keepNext w:val="0"/>
              <w:keepLines w:val="0"/>
              <w:suppressLineNumbers w:val="0"/>
              <w:autoSpaceDE w:val="0"/>
              <w:autoSpaceDN w:val="0"/>
              <w:spacing w:before="0" w:beforeAutospacing="0" w:after="0" w:afterAutospacing="0" w:line="360" w:lineRule="auto"/>
              <w:ind w:left="0" w:right="0" w:firstLine="480" w:firstLineChars="200"/>
              <w:rPr>
                <w:rFonts w:hint="eastAsia" w:ascii="宋体" w:hAnsi="宋体" w:eastAsia="宋体" w:cs="宋体"/>
                <w:sz w:val="24"/>
                <w:szCs w:val="24"/>
                <w:shd w:val="clear" w:color="auto" w:fill="FFFFFF"/>
                <w:lang w:val="zh-CN"/>
              </w:rPr>
            </w:pPr>
          </w:p>
        </w:tc>
        <w:tc>
          <w:tcPr>
            <w:tcW w:w="1271"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14:paraId="6F4D871A">
            <w:pPr>
              <w:keepNext w:val="0"/>
              <w:keepLines w:val="0"/>
              <w:suppressLineNumbers w:val="0"/>
              <w:autoSpaceDE w:val="0"/>
              <w:autoSpaceDN w:val="0"/>
              <w:spacing w:before="0" w:beforeAutospacing="0" w:after="0" w:afterAutospacing="0" w:line="360" w:lineRule="auto"/>
              <w:ind w:left="0" w:leftChars="0" w:right="0" w:rightChars="0"/>
              <w:rPr>
                <w:rFonts w:hint="eastAsia" w:ascii="宋体" w:hAnsi="宋体" w:eastAsia="宋体" w:cs="宋体"/>
                <w:kern w:val="2"/>
                <w:sz w:val="24"/>
                <w:szCs w:val="24"/>
                <w:shd w:val="clear" w:color="auto" w:fill="FFFFFF"/>
                <w:lang w:val="en-US" w:eastAsia="zh-CN" w:bidi="ar-SA"/>
              </w:rPr>
            </w:pPr>
            <w:r>
              <w:rPr>
                <w:rFonts w:hint="eastAsia" w:ascii="宋体" w:hAnsi="宋体" w:cs="宋体"/>
                <w:sz w:val="24"/>
                <w:szCs w:val="24"/>
                <w:shd w:val="clear" w:color="auto" w:fill="FFFFFF"/>
                <w:lang w:val="en-US" w:eastAsia="zh-CN"/>
              </w:rPr>
              <w:t>培训指导使用方案</w:t>
            </w:r>
          </w:p>
        </w:tc>
        <w:tc>
          <w:tcPr>
            <w:tcW w:w="1131"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14:paraId="7174AC24">
            <w:pPr>
              <w:keepNext w:val="0"/>
              <w:keepLines w:val="0"/>
              <w:suppressLineNumbers w:val="0"/>
              <w:autoSpaceDE w:val="0"/>
              <w:autoSpaceDN w:val="0"/>
              <w:spacing w:before="0" w:beforeAutospacing="0" w:after="0" w:afterAutospacing="0" w:line="360" w:lineRule="auto"/>
              <w:ind w:left="0" w:leftChars="0" w:right="0" w:rightChars="0"/>
              <w:jc w:val="center"/>
              <w:rPr>
                <w:rFonts w:hint="eastAsia" w:ascii="宋体" w:hAnsi="宋体" w:eastAsia="宋体" w:cs="宋体"/>
                <w:kern w:val="2"/>
                <w:sz w:val="24"/>
                <w:szCs w:val="24"/>
                <w:shd w:val="clear" w:color="auto" w:fill="FFFFFF"/>
                <w:lang w:val="en-US" w:eastAsia="zh-CN" w:bidi="ar-SA"/>
              </w:rPr>
            </w:pPr>
            <w:r>
              <w:rPr>
                <w:rFonts w:hint="eastAsia" w:ascii="宋体" w:hAnsi="宋体" w:cs="宋体"/>
                <w:sz w:val="24"/>
                <w:szCs w:val="24"/>
                <w:shd w:val="clear" w:color="auto" w:fill="FFFFFF"/>
                <w:lang w:val="en-US" w:eastAsia="zh-CN"/>
              </w:rPr>
              <w:t>6分</w:t>
            </w:r>
          </w:p>
        </w:tc>
        <w:tc>
          <w:tcPr>
            <w:tcW w:w="5606" w:type="dxa"/>
            <w:tcBorders>
              <w:top w:val="single" w:color="000000" w:sz="6" w:space="0"/>
              <w:left w:val="single" w:color="000000" w:sz="6" w:space="0"/>
              <w:bottom w:val="single" w:color="000000" w:sz="6" w:space="0"/>
            </w:tcBorders>
            <w:shd w:val="clear" w:color="auto" w:fill="auto"/>
            <w:noWrap w:val="0"/>
            <w:vAlign w:val="center"/>
          </w:tcPr>
          <w:p w14:paraId="7C84A64B">
            <w:pPr>
              <w:keepNext w:val="0"/>
              <w:keepLines w:val="0"/>
              <w:suppressLineNumbers w:val="0"/>
              <w:autoSpaceDE w:val="0"/>
              <w:autoSpaceDN w:val="0"/>
              <w:spacing w:before="0" w:beforeAutospacing="0" w:after="0" w:afterAutospacing="0" w:line="360" w:lineRule="auto"/>
              <w:ind w:left="0" w:leftChars="0" w:right="0" w:rightChars="0"/>
              <w:rPr>
                <w:rFonts w:hint="eastAsia" w:ascii="宋体" w:hAnsi="宋体" w:eastAsia="宋体" w:cs="宋体"/>
                <w:kern w:val="2"/>
                <w:sz w:val="24"/>
                <w:szCs w:val="24"/>
                <w:shd w:val="clear" w:color="auto" w:fill="FFFFFF"/>
                <w:lang w:val="en-US" w:eastAsia="zh-CN" w:bidi="ar-SA"/>
              </w:rPr>
            </w:pPr>
            <w:r>
              <w:rPr>
                <w:rFonts w:hint="eastAsia" w:ascii="宋体" w:hAnsi="宋体" w:cs="宋体"/>
                <w:sz w:val="24"/>
                <w:szCs w:val="24"/>
                <w:shd w:val="clear" w:color="auto" w:fill="FFFFFF"/>
                <w:lang w:val="en-US" w:eastAsia="zh-CN"/>
              </w:rPr>
              <w:t>根据项目特点制定详尽的培训指导方案，其中包括①培训内容制定方案；②培训实施方案；③培训效果控制方案；</w:t>
            </w:r>
            <w:r>
              <w:rPr>
                <w:rFonts w:hint="eastAsia" w:ascii="宋体" w:hAnsi="宋体" w:eastAsia="宋体" w:cs="宋体"/>
                <w:sz w:val="24"/>
                <w:szCs w:val="24"/>
                <w:shd w:val="clear" w:color="auto" w:fill="FFFFFF"/>
                <w:lang w:val="en-US" w:eastAsia="zh-CN"/>
              </w:rPr>
              <w:t>满分</w:t>
            </w:r>
            <w:r>
              <w:rPr>
                <w:rFonts w:hint="eastAsia" w:ascii="宋体" w:hAnsi="宋体" w:cs="宋体"/>
                <w:sz w:val="24"/>
                <w:szCs w:val="24"/>
                <w:shd w:val="clear" w:color="auto" w:fill="FFFFFF"/>
                <w:lang w:val="en-US" w:eastAsia="zh-CN"/>
              </w:rPr>
              <w:t>6</w:t>
            </w:r>
            <w:r>
              <w:rPr>
                <w:rFonts w:hint="eastAsia" w:ascii="宋体" w:hAnsi="宋体" w:eastAsia="宋体" w:cs="宋体"/>
                <w:sz w:val="24"/>
                <w:szCs w:val="24"/>
                <w:shd w:val="clear" w:color="auto" w:fill="FFFFFF"/>
                <w:lang w:val="en-US" w:eastAsia="zh-CN"/>
              </w:rPr>
              <w:t>分，每缺少一项扣</w:t>
            </w:r>
            <w:r>
              <w:rPr>
                <w:rFonts w:hint="eastAsia" w:ascii="宋体" w:hAnsi="宋体" w:cs="宋体"/>
                <w:sz w:val="24"/>
                <w:szCs w:val="24"/>
                <w:shd w:val="clear" w:color="auto" w:fill="FFFFFF"/>
                <w:lang w:val="en-US" w:eastAsia="zh-CN"/>
              </w:rPr>
              <w:t>2</w:t>
            </w:r>
            <w:r>
              <w:rPr>
                <w:rFonts w:hint="eastAsia" w:ascii="宋体" w:hAnsi="宋体" w:eastAsia="宋体" w:cs="宋体"/>
                <w:sz w:val="24"/>
                <w:szCs w:val="24"/>
                <w:shd w:val="clear" w:color="auto" w:fill="FFFFFF"/>
                <w:lang w:val="en-US" w:eastAsia="zh-CN"/>
              </w:rPr>
              <w:t>分，</w:t>
            </w:r>
            <w:r>
              <w:rPr>
                <w:rFonts w:hint="eastAsia" w:ascii="宋体" w:hAnsi="宋体" w:eastAsia="宋体" w:cs="宋体"/>
                <w:sz w:val="24"/>
                <w:szCs w:val="24"/>
                <w:shd w:val="clear" w:color="auto" w:fill="FFFFFF"/>
              </w:rPr>
              <w:t>所提供的每项内容中每有一处具有缺陷的扣0.5分，未</w:t>
            </w:r>
            <w:r>
              <w:rPr>
                <w:rFonts w:hint="eastAsia" w:ascii="宋体" w:hAnsi="宋体" w:eastAsia="宋体" w:cs="宋体"/>
                <w:sz w:val="24"/>
                <w:szCs w:val="24"/>
                <w:shd w:val="clear" w:color="auto" w:fill="FFFFFF"/>
                <w:lang w:val="zh-CN"/>
              </w:rPr>
              <w:t>提供不得分。</w:t>
            </w:r>
          </w:p>
        </w:tc>
      </w:tr>
      <w:tr w14:paraId="1656FCC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89" w:hRule="atLeast"/>
        </w:trPr>
        <w:tc>
          <w:tcPr>
            <w:tcW w:w="1200" w:type="dxa"/>
            <w:vMerge w:val="continue"/>
            <w:tcBorders>
              <w:bottom w:val="single" w:color="auto" w:sz="4" w:space="0"/>
              <w:right w:val="single" w:color="000000" w:sz="6" w:space="0"/>
            </w:tcBorders>
            <w:noWrap w:val="0"/>
            <w:vAlign w:val="center"/>
          </w:tcPr>
          <w:p w14:paraId="318372C5">
            <w:pPr>
              <w:keepNext w:val="0"/>
              <w:keepLines w:val="0"/>
              <w:suppressLineNumbers w:val="0"/>
              <w:autoSpaceDE w:val="0"/>
              <w:autoSpaceDN w:val="0"/>
              <w:spacing w:before="0" w:beforeAutospacing="0" w:after="0" w:afterAutospacing="0" w:line="360" w:lineRule="auto"/>
              <w:ind w:left="0" w:right="0" w:firstLine="480" w:firstLineChars="200"/>
              <w:rPr>
                <w:rFonts w:hint="eastAsia" w:ascii="宋体" w:hAnsi="宋体" w:eastAsia="宋体" w:cs="宋体"/>
                <w:sz w:val="24"/>
                <w:szCs w:val="24"/>
                <w:shd w:val="clear" w:color="auto" w:fill="FFFFFF"/>
              </w:rPr>
            </w:pPr>
          </w:p>
        </w:tc>
        <w:tc>
          <w:tcPr>
            <w:tcW w:w="1271" w:type="dxa"/>
            <w:tcBorders>
              <w:top w:val="single" w:color="auto" w:sz="4" w:space="0"/>
              <w:left w:val="single" w:color="000000" w:sz="6" w:space="0"/>
              <w:bottom w:val="single" w:color="auto" w:sz="4" w:space="0"/>
              <w:right w:val="single" w:color="auto" w:sz="4" w:space="0"/>
            </w:tcBorders>
            <w:noWrap w:val="0"/>
            <w:vAlign w:val="center"/>
          </w:tcPr>
          <w:p w14:paraId="65B49730">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sz w:val="24"/>
                <w:szCs w:val="24"/>
                <w:shd w:val="clear" w:color="auto" w:fill="FFFFFF"/>
                <w:lang w:val="zh-CN" w:eastAsia="zh-CN"/>
              </w:rPr>
            </w:pPr>
            <w:r>
              <w:rPr>
                <w:rFonts w:hint="eastAsia" w:ascii="宋体" w:hAnsi="宋体" w:eastAsia="宋体" w:cs="宋体"/>
                <w:sz w:val="24"/>
                <w:szCs w:val="24"/>
                <w:shd w:val="clear" w:color="auto" w:fill="FFFFFF"/>
                <w:lang w:val="zh-CN"/>
              </w:rPr>
              <w:t>售后服务</w:t>
            </w:r>
          </w:p>
        </w:tc>
        <w:tc>
          <w:tcPr>
            <w:tcW w:w="1131" w:type="dxa"/>
            <w:tcBorders>
              <w:top w:val="single" w:color="000000" w:sz="6" w:space="0"/>
              <w:left w:val="single" w:color="auto" w:sz="4" w:space="0"/>
              <w:bottom w:val="single" w:color="000000" w:sz="6" w:space="0"/>
              <w:right w:val="single" w:color="000000" w:sz="6" w:space="0"/>
            </w:tcBorders>
            <w:noWrap w:val="0"/>
            <w:vAlign w:val="center"/>
          </w:tcPr>
          <w:p w14:paraId="42820CC1">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sz w:val="24"/>
                <w:szCs w:val="24"/>
                <w:shd w:val="clear" w:color="auto" w:fill="FFFFFF"/>
                <w:lang w:val="zh-CN" w:eastAsia="zh-CN"/>
              </w:rPr>
            </w:pPr>
            <w:r>
              <w:rPr>
                <w:rFonts w:hint="eastAsia" w:ascii="宋体" w:hAnsi="宋体" w:eastAsia="宋体" w:cs="宋体"/>
                <w:sz w:val="24"/>
                <w:szCs w:val="24"/>
                <w:shd w:val="clear" w:color="auto" w:fill="FFFFFF"/>
                <w:lang w:val="en-US" w:eastAsia="zh-CN"/>
              </w:rPr>
              <w:t>8</w:t>
            </w:r>
            <w:r>
              <w:rPr>
                <w:rFonts w:hint="eastAsia" w:ascii="宋体" w:hAnsi="宋体" w:eastAsia="宋体" w:cs="宋体"/>
                <w:sz w:val="24"/>
                <w:szCs w:val="24"/>
                <w:shd w:val="clear" w:color="auto" w:fill="FFFFFF"/>
                <w:lang w:val="zh-CN"/>
              </w:rPr>
              <w:t>分</w:t>
            </w:r>
          </w:p>
        </w:tc>
        <w:tc>
          <w:tcPr>
            <w:tcW w:w="5606" w:type="dxa"/>
            <w:tcBorders>
              <w:top w:val="single" w:color="000000" w:sz="6" w:space="0"/>
              <w:left w:val="single" w:color="000000" w:sz="6" w:space="0"/>
              <w:bottom w:val="single" w:color="000000" w:sz="6" w:space="0"/>
            </w:tcBorders>
            <w:noWrap w:val="0"/>
            <w:vAlign w:val="center"/>
          </w:tcPr>
          <w:p w14:paraId="6802CBAF">
            <w:pPr>
              <w:keepNext w:val="0"/>
              <w:keepLines w:val="0"/>
              <w:numPr>
                <w:ilvl w:val="0"/>
                <w:numId w:val="4"/>
              </w:numPr>
              <w:suppressLineNumbers w:val="0"/>
              <w:autoSpaceDE w:val="0"/>
              <w:autoSpaceDN w:val="0"/>
              <w:spacing w:before="0" w:beforeAutospacing="0" w:after="0" w:afterAutospacing="0" w:line="360" w:lineRule="auto"/>
              <w:ind w:left="0" w:right="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lang w:val="en-US" w:eastAsia="zh-CN"/>
              </w:rPr>
              <w:t>制定</w:t>
            </w:r>
            <w:r>
              <w:rPr>
                <w:rFonts w:hint="eastAsia" w:ascii="宋体" w:hAnsi="宋体" w:eastAsia="宋体" w:cs="宋体"/>
                <w:sz w:val="24"/>
                <w:szCs w:val="24"/>
                <w:shd w:val="clear" w:color="auto" w:fill="FFFFFF"/>
              </w:rPr>
              <w:t>本项目</w:t>
            </w:r>
            <w:r>
              <w:rPr>
                <w:rFonts w:hint="eastAsia" w:ascii="宋体" w:hAnsi="宋体" w:eastAsia="宋体" w:cs="宋体"/>
                <w:sz w:val="24"/>
                <w:szCs w:val="24"/>
                <w:shd w:val="clear" w:color="auto" w:fill="FFFFFF"/>
                <w:lang w:val="en-US" w:eastAsia="zh-CN"/>
              </w:rPr>
              <w:t>售后</w:t>
            </w:r>
            <w:r>
              <w:rPr>
                <w:rFonts w:hint="eastAsia" w:ascii="宋体" w:hAnsi="宋体" w:cs="宋体"/>
                <w:sz w:val="24"/>
                <w:szCs w:val="24"/>
                <w:shd w:val="clear" w:color="auto" w:fill="FFFFFF"/>
                <w:lang w:val="en-US" w:eastAsia="zh-CN"/>
              </w:rPr>
              <w:t>服务</w:t>
            </w:r>
            <w:r>
              <w:rPr>
                <w:rFonts w:hint="eastAsia" w:ascii="宋体" w:hAnsi="宋体" w:eastAsia="宋体" w:cs="宋体"/>
                <w:sz w:val="24"/>
                <w:szCs w:val="24"/>
                <w:shd w:val="clear" w:color="auto" w:fill="FFFFFF"/>
                <w:lang w:val="en-US" w:eastAsia="zh-CN"/>
              </w:rPr>
              <w:t>方案</w:t>
            </w:r>
            <w:r>
              <w:rPr>
                <w:rFonts w:hint="eastAsia" w:ascii="宋体" w:hAnsi="宋体" w:eastAsia="宋体" w:cs="宋体"/>
                <w:sz w:val="24"/>
                <w:szCs w:val="24"/>
                <w:shd w:val="clear" w:color="auto" w:fill="FFFFFF"/>
              </w:rPr>
              <w:t>；方案内</w:t>
            </w:r>
            <w:r>
              <w:rPr>
                <w:rFonts w:hint="eastAsia" w:ascii="宋体" w:hAnsi="宋体" w:eastAsia="宋体" w:cs="宋体"/>
                <w:b w:val="0"/>
                <w:bCs w:val="0"/>
                <w:color w:val="auto"/>
                <w:sz w:val="24"/>
                <w:szCs w:val="24"/>
                <w:shd w:val="clear" w:color="auto" w:fill="FFFFFF"/>
              </w:rPr>
              <w:t>容</w:t>
            </w:r>
            <w:r>
              <w:rPr>
                <w:rFonts w:hint="eastAsia" w:ascii="宋体" w:hAnsi="宋体" w:eastAsia="宋体" w:cs="宋体"/>
                <w:b w:val="0"/>
                <w:bCs w:val="0"/>
                <w:color w:val="auto"/>
                <w:sz w:val="24"/>
                <w:szCs w:val="24"/>
                <w:shd w:val="clear" w:color="auto" w:fill="FFFFFF"/>
                <w:lang w:val="en-US" w:eastAsia="zh-CN"/>
              </w:rPr>
              <w:t>包括</w:t>
            </w:r>
            <w:r>
              <w:rPr>
                <w:rFonts w:hint="eastAsia" w:ascii="宋体" w:hAnsi="宋体" w:eastAsia="宋体" w:cs="宋体"/>
                <w:b w:val="0"/>
                <w:bCs w:val="0"/>
                <w:i w:val="0"/>
                <w:iCs w:val="0"/>
                <w:color w:val="auto"/>
                <w:kern w:val="0"/>
                <w:sz w:val="24"/>
                <w:szCs w:val="24"/>
                <w:u w:val="none"/>
                <w:lang w:val="en-US" w:eastAsia="zh-CN" w:bidi="ar"/>
              </w:rPr>
              <w:t>①</w:t>
            </w:r>
            <w:r>
              <w:rPr>
                <w:rFonts w:hint="eastAsia" w:ascii="宋体" w:hAnsi="宋体" w:eastAsia="宋体" w:cs="宋体"/>
                <w:b w:val="0"/>
                <w:bCs w:val="0"/>
                <w:color w:val="auto"/>
                <w:sz w:val="24"/>
                <w:szCs w:val="24"/>
                <w:shd w:val="clear" w:color="auto" w:fill="FFFFFF"/>
                <w:lang w:val="en-US" w:eastAsia="zh-CN"/>
              </w:rPr>
              <w:t>后期项目运维</w:t>
            </w:r>
            <w:r>
              <w:rPr>
                <w:rFonts w:hint="eastAsia" w:ascii="宋体" w:hAnsi="宋体" w:cs="宋体"/>
                <w:b w:val="0"/>
                <w:bCs w:val="0"/>
                <w:color w:val="auto"/>
                <w:sz w:val="24"/>
                <w:szCs w:val="24"/>
                <w:shd w:val="clear" w:color="auto" w:fill="FFFFFF"/>
                <w:lang w:val="en-US" w:eastAsia="zh-CN"/>
              </w:rPr>
              <w:t>计划</w:t>
            </w:r>
            <w:r>
              <w:rPr>
                <w:rFonts w:hint="eastAsia" w:ascii="宋体" w:hAnsi="宋体" w:eastAsia="宋体" w:cs="宋体"/>
                <w:b w:val="0"/>
                <w:bCs w:val="0"/>
                <w:color w:val="auto"/>
                <w:sz w:val="24"/>
                <w:szCs w:val="24"/>
                <w:shd w:val="clear" w:color="auto" w:fill="FFFFFF"/>
                <w:lang w:val="en-US" w:eastAsia="zh-CN"/>
              </w:rPr>
              <w:t>方案</w:t>
            </w:r>
            <w:r>
              <w:rPr>
                <w:rFonts w:hint="eastAsia" w:ascii="宋体" w:hAnsi="宋体" w:eastAsia="宋体" w:cs="宋体"/>
                <w:b w:val="0"/>
                <w:bCs w:val="0"/>
                <w:i w:val="0"/>
                <w:iCs w:val="0"/>
                <w:color w:val="auto"/>
                <w:kern w:val="0"/>
                <w:sz w:val="24"/>
                <w:szCs w:val="24"/>
                <w:u w:val="none"/>
                <w:lang w:val="en-US" w:eastAsia="zh-CN" w:bidi="ar"/>
              </w:rPr>
              <w:t>；②</w:t>
            </w:r>
            <w:r>
              <w:rPr>
                <w:rFonts w:hint="eastAsia" w:ascii="宋体" w:hAnsi="宋体" w:cs="宋体"/>
                <w:b w:val="0"/>
                <w:bCs w:val="0"/>
                <w:i w:val="0"/>
                <w:iCs w:val="0"/>
                <w:color w:val="auto"/>
                <w:kern w:val="0"/>
                <w:sz w:val="24"/>
                <w:szCs w:val="24"/>
                <w:u w:val="none"/>
                <w:lang w:val="en-US" w:eastAsia="zh-CN" w:bidi="ar"/>
              </w:rPr>
              <w:t>突发情况处置细则</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③</w:t>
            </w:r>
            <w:r>
              <w:rPr>
                <w:rFonts w:hint="eastAsia" w:ascii="宋体" w:hAnsi="宋体" w:eastAsia="宋体" w:cs="宋体"/>
                <w:i w:val="0"/>
                <w:iCs w:val="0"/>
                <w:color w:val="000000"/>
                <w:kern w:val="0"/>
                <w:sz w:val="24"/>
                <w:szCs w:val="24"/>
                <w:u w:val="none"/>
                <w:lang w:val="en-US" w:eastAsia="zh-CN" w:bidi="ar"/>
              </w:rPr>
              <w:t>售后服务方式及售后</w:t>
            </w:r>
            <w:r>
              <w:rPr>
                <w:rFonts w:hint="eastAsia" w:ascii="宋体" w:hAnsi="宋体" w:cs="宋体"/>
                <w:i w:val="0"/>
                <w:iCs w:val="0"/>
                <w:color w:val="000000"/>
                <w:kern w:val="0"/>
                <w:sz w:val="24"/>
                <w:szCs w:val="24"/>
                <w:u w:val="none"/>
                <w:lang w:val="en-US" w:eastAsia="zh-CN" w:bidi="ar"/>
              </w:rPr>
              <w:t>服务承诺</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sz w:val="24"/>
                <w:szCs w:val="24"/>
                <w:shd w:val="clear" w:color="auto" w:fill="FFFFFF"/>
                <w:lang w:val="zh-CN"/>
              </w:rPr>
              <w:t>每缺少一项内容扣</w:t>
            </w:r>
            <w:r>
              <w:rPr>
                <w:rFonts w:hint="eastAsia" w:ascii="宋体" w:hAnsi="宋体" w:cs="宋体"/>
                <w:sz w:val="24"/>
                <w:szCs w:val="24"/>
                <w:shd w:val="clear" w:color="auto" w:fill="FFFFFF"/>
                <w:lang w:val="en-US" w:eastAsia="zh-CN"/>
              </w:rPr>
              <w:t>2</w:t>
            </w:r>
            <w:r>
              <w:rPr>
                <w:rFonts w:hint="eastAsia" w:ascii="宋体" w:hAnsi="宋体" w:eastAsia="宋体" w:cs="宋体"/>
                <w:sz w:val="24"/>
                <w:szCs w:val="24"/>
                <w:shd w:val="clear" w:color="auto" w:fill="FFFFFF"/>
                <w:lang w:val="zh-CN"/>
              </w:rPr>
              <w:t>分，</w:t>
            </w:r>
            <w:r>
              <w:rPr>
                <w:rFonts w:hint="eastAsia" w:ascii="宋体" w:hAnsi="宋体" w:eastAsia="宋体" w:cs="宋体"/>
                <w:sz w:val="24"/>
                <w:szCs w:val="24"/>
                <w:shd w:val="clear" w:color="auto" w:fill="FFFFFF"/>
                <w:lang w:val="en-US" w:eastAsia="zh-CN"/>
              </w:rPr>
              <w:t>满分</w:t>
            </w:r>
            <w:r>
              <w:rPr>
                <w:rFonts w:hint="eastAsia" w:ascii="宋体" w:hAnsi="宋体" w:cs="宋体"/>
                <w:sz w:val="24"/>
                <w:szCs w:val="24"/>
                <w:shd w:val="clear" w:color="auto" w:fill="FFFFFF"/>
                <w:lang w:val="en-US" w:eastAsia="zh-CN"/>
              </w:rPr>
              <w:t>6</w:t>
            </w:r>
            <w:r>
              <w:rPr>
                <w:rFonts w:hint="eastAsia" w:ascii="宋体" w:hAnsi="宋体" w:eastAsia="宋体" w:cs="宋体"/>
                <w:sz w:val="24"/>
                <w:szCs w:val="24"/>
                <w:shd w:val="clear" w:color="auto" w:fill="FFFFFF"/>
                <w:lang w:val="en-US" w:eastAsia="zh-CN"/>
              </w:rPr>
              <w:t>分，</w:t>
            </w:r>
            <w:r>
              <w:rPr>
                <w:rFonts w:hint="eastAsia" w:ascii="宋体" w:hAnsi="宋体" w:eastAsia="宋体" w:cs="宋体"/>
                <w:sz w:val="24"/>
                <w:szCs w:val="24"/>
                <w:shd w:val="clear" w:color="auto" w:fill="FFFFFF"/>
                <w:lang w:val="zh-CN"/>
              </w:rPr>
              <w:t>所提供的每项内容中每有一处具有缺陷的扣</w:t>
            </w:r>
            <w:r>
              <w:rPr>
                <w:rFonts w:hint="eastAsia" w:ascii="宋体" w:hAnsi="宋体" w:eastAsia="宋体" w:cs="宋体"/>
                <w:sz w:val="24"/>
                <w:szCs w:val="24"/>
                <w:shd w:val="clear" w:color="auto" w:fill="FFFFFF"/>
                <w:lang w:val="en-US" w:eastAsia="zh-CN"/>
              </w:rPr>
              <w:t>0.5</w:t>
            </w:r>
            <w:r>
              <w:rPr>
                <w:rFonts w:hint="eastAsia" w:ascii="宋体" w:hAnsi="宋体" w:eastAsia="宋体" w:cs="宋体"/>
                <w:sz w:val="24"/>
                <w:szCs w:val="24"/>
                <w:shd w:val="clear" w:color="auto" w:fill="FFFFFF"/>
                <w:lang w:val="zh-CN"/>
              </w:rPr>
              <w:t>分；</w:t>
            </w:r>
            <w:r>
              <w:rPr>
                <w:rFonts w:hint="eastAsia" w:ascii="宋体" w:hAnsi="宋体" w:eastAsia="宋体" w:cs="宋体"/>
                <w:sz w:val="24"/>
                <w:szCs w:val="24"/>
                <w:shd w:val="clear" w:color="auto" w:fill="FFFFFF"/>
                <w:lang w:val="en-US" w:eastAsia="zh-CN"/>
              </w:rPr>
              <w:t>未</w:t>
            </w:r>
            <w:r>
              <w:rPr>
                <w:rFonts w:hint="eastAsia" w:ascii="宋体" w:hAnsi="宋体" w:eastAsia="宋体" w:cs="宋体"/>
                <w:sz w:val="24"/>
                <w:szCs w:val="24"/>
                <w:shd w:val="clear" w:color="auto" w:fill="FFFFFF"/>
              </w:rPr>
              <w:t>提供不得分。</w:t>
            </w:r>
          </w:p>
          <w:p w14:paraId="42F57A8C">
            <w:pPr>
              <w:keepNext w:val="0"/>
              <w:keepLines w:val="0"/>
              <w:numPr>
                <w:ilvl w:val="0"/>
                <w:numId w:val="0"/>
              </w:numPr>
              <w:suppressLineNumbers w:val="0"/>
              <w:autoSpaceDE w:val="0"/>
              <w:autoSpaceDN w:val="0"/>
              <w:spacing w:before="0" w:beforeAutospacing="0" w:after="0" w:afterAutospacing="0" w:line="360" w:lineRule="auto"/>
              <w:ind w:left="0" w:right="0" w:rightChars="0"/>
              <w:rPr>
                <w:rFonts w:hint="default" w:ascii="宋体" w:hAnsi="宋体" w:eastAsia="宋体" w:cs="宋体"/>
                <w:sz w:val="24"/>
                <w:szCs w:val="24"/>
                <w:shd w:val="clear" w:color="auto" w:fill="FFFFFF"/>
                <w:lang w:val="en-US" w:eastAsia="zh-CN"/>
              </w:rPr>
            </w:pPr>
            <w:r>
              <w:rPr>
                <w:rFonts w:hint="eastAsia" w:ascii="宋体" w:hAnsi="宋体" w:cs="宋体"/>
                <w:sz w:val="24"/>
                <w:szCs w:val="24"/>
                <w:shd w:val="clear" w:color="auto" w:fill="FFFFFF"/>
                <w:lang w:val="en-US" w:eastAsia="zh-CN"/>
              </w:rPr>
              <w:t>2.售后服务团队在2人的基础上，每增加1人得0.5分；满分2分，未提供不得分。</w:t>
            </w:r>
          </w:p>
        </w:tc>
      </w:tr>
      <w:tr w14:paraId="27A6627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39" w:hRule="atLeast"/>
        </w:trPr>
        <w:tc>
          <w:tcPr>
            <w:tcW w:w="9208" w:type="dxa"/>
            <w:gridSpan w:val="4"/>
            <w:noWrap w:val="0"/>
            <w:vAlign w:val="center"/>
          </w:tcPr>
          <w:p w14:paraId="683CF556">
            <w:pPr>
              <w:keepNext w:val="0"/>
              <w:keepLines w:val="0"/>
              <w:suppressLineNumbers w:val="0"/>
              <w:autoSpaceDE w:val="0"/>
              <w:autoSpaceDN w:val="0"/>
              <w:spacing w:before="0" w:beforeAutospacing="0" w:after="0" w:afterAutospacing="0" w:line="360" w:lineRule="auto"/>
              <w:ind w:left="0" w:right="0" w:firstLine="480" w:firstLineChars="200"/>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val="en-US" w:eastAsia="zh-CN"/>
              </w:rPr>
              <w:t>注：</w:t>
            </w:r>
            <w:r>
              <w:rPr>
                <w:rFonts w:hint="eastAsia" w:ascii="宋体" w:hAnsi="宋体" w:eastAsia="宋体" w:cs="宋体"/>
                <w:sz w:val="24"/>
                <w:szCs w:val="24"/>
                <w:shd w:val="clear" w:color="auto" w:fill="FFFFFF"/>
                <w:lang w:val="zh-CN"/>
              </w:rPr>
              <w:t>缺陷是指内容前后不一致、前后逻辑错误、地点区域错误、内容缺失、不符合采购需求、只有简单描述无实质性内容。</w:t>
            </w:r>
          </w:p>
        </w:tc>
      </w:tr>
    </w:tbl>
    <w:p w14:paraId="713A1C41">
      <w:pPr>
        <w:autoSpaceDE w:val="0"/>
        <w:autoSpaceDN w:val="0"/>
        <w:spacing w:line="360" w:lineRule="auto"/>
        <w:jc w:val="both"/>
        <w:rPr>
          <w:rFonts w:hint="eastAsia" w:ascii="宋体" w:hAnsi="宋体" w:eastAsia="宋体" w:cs="宋体"/>
          <w:color w:val="000000"/>
          <w:kern w:val="0"/>
          <w:lang w:val="en-US" w:eastAsia="zh-CN"/>
        </w:rPr>
      </w:pPr>
    </w:p>
    <w:p w14:paraId="459897CC">
      <w:pPr>
        <w:pStyle w:val="10"/>
        <w:jc w:val="center"/>
        <w:rPr>
          <w:rFonts w:hint="eastAsia" w:ascii="宋体" w:hAnsi="宋体" w:eastAsia="宋体" w:cs="宋体"/>
          <w:b/>
          <w:bCs/>
          <w:color w:val="000000"/>
          <w:sz w:val="24"/>
          <w:szCs w:val="32"/>
          <w:lang w:val="en-US" w:eastAsia="zh-CN"/>
        </w:rPr>
      </w:pPr>
      <w:r>
        <w:rPr>
          <w:rFonts w:hint="eastAsia" w:ascii="宋体" w:hAnsi="宋体" w:eastAsia="宋体" w:cs="宋体"/>
          <w:color w:val="000000"/>
          <w:kern w:val="0"/>
        </w:rPr>
        <w:br w:type="page"/>
      </w:r>
      <w:r>
        <w:rPr>
          <w:rFonts w:hint="eastAsia" w:ascii="宋体" w:hAnsi="宋体" w:eastAsia="宋体" w:cs="宋体"/>
          <w:b/>
          <w:bCs/>
          <w:color w:val="000000"/>
          <w:sz w:val="24"/>
          <w:szCs w:val="32"/>
          <w:lang w:val="en-US" w:eastAsia="zh-CN"/>
        </w:rPr>
        <w:t>包</w:t>
      </w:r>
      <w:r>
        <w:rPr>
          <w:rFonts w:hint="eastAsia" w:ascii="宋体" w:hAnsi="宋体" w:cs="宋体"/>
          <w:b/>
          <w:bCs/>
          <w:color w:val="000000"/>
          <w:sz w:val="24"/>
          <w:szCs w:val="32"/>
          <w:lang w:val="en-US" w:eastAsia="zh-CN"/>
        </w:rPr>
        <w:t>二</w:t>
      </w:r>
      <w:r>
        <w:rPr>
          <w:rFonts w:hint="eastAsia" w:ascii="宋体" w:hAnsi="宋体" w:eastAsia="宋体" w:cs="宋体"/>
          <w:b/>
          <w:bCs/>
          <w:color w:val="000000"/>
          <w:sz w:val="24"/>
          <w:szCs w:val="32"/>
          <w:lang w:val="en-US" w:eastAsia="zh-CN"/>
        </w:rPr>
        <w:t>；</w:t>
      </w:r>
    </w:p>
    <w:tbl>
      <w:tblPr>
        <w:tblStyle w:val="25"/>
        <w:tblW w:w="9208"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1200"/>
        <w:gridCol w:w="1271"/>
        <w:gridCol w:w="1131"/>
        <w:gridCol w:w="5606"/>
      </w:tblGrid>
      <w:tr w14:paraId="378CA68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30" w:hRule="atLeast"/>
        </w:trPr>
        <w:tc>
          <w:tcPr>
            <w:tcW w:w="1200" w:type="dxa"/>
            <w:tcBorders>
              <w:bottom w:val="single" w:color="000000" w:sz="6" w:space="0"/>
              <w:right w:val="single" w:color="000000" w:sz="6" w:space="0"/>
            </w:tcBorders>
            <w:noWrap w:val="0"/>
            <w:vAlign w:val="center"/>
          </w:tcPr>
          <w:p w14:paraId="7AE4B41E">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b/>
                <w:bCs/>
                <w:sz w:val="24"/>
                <w:szCs w:val="24"/>
                <w:shd w:val="clear" w:color="auto" w:fill="FFFFFF"/>
                <w:lang w:val="zh-CN"/>
              </w:rPr>
            </w:pPr>
            <w:r>
              <w:rPr>
                <w:rFonts w:hint="eastAsia" w:ascii="宋体" w:hAnsi="宋体" w:eastAsia="宋体" w:cs="宋体"/>
                <w:b/>
                <w:bCs/>
                <w:sz w:val="24"/>
                <w:szCs w:val="24"/>
                <w:shd w:val="clear" w:color="auto" w:fill="FFFFFF"/>
                <w:lang w:val="zh-CN"/>
              </w:rPr>
              <w:t>评审因素</w:t>
            </w:r>
          </w:p>
        </w:tc>
        <w:tc>
          <w:tcPr>
            <w:tcW w:w="1271" w:type="dxa"/>
            <w:tcBorders>
              <w:left w:val="single" w:color="000000" w:sz="6" w:space="0"/>
              <w:bottom w:val="single" w:color="000000" w:sz="6" w:space="0"/>
              <w:right w:val="single" w:color="000000" w:sz="6" w:space="0"/>
            </w:tcBorders>
            <w:noWrap w:val="0"/>
            <w:vAlign w:val="center"/>
          </w:tcPr>
          <w:p w14:paraId="72EBFFBD">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b/>
                <w:bCs/>
                <w:sz w:val="24"/>
                <w:szCs w:val="24"/>
                <w:shd w:val="clear" w:color="auto" w:fill="FFFFFF"/>
                <w:lang w:val="zh-CN"/>
              </w:rPr>
            </w:pPr>
            <w:r>
              <w:rPr>
                <w:rFonts w:hint="eastAsia" w:ascii="宋体" w:hAnsi="宋体" w:eastAsia="宋体" w:cs="宋体"/>
                <w:b/>
                <w:bCs/>
                <w:sz w:val="24"/>
                <w:szCs w:val="24"/>
                <w:shd w:val="clear" w:color="auto" w:fill="FFFFFF"/>
                <w:lang w:val="zh-CN"/>
              </w:rPr>
              <w:t>项目</w:t>
            </w:r>
          </w:p>
        </w:tc>
        <w:tc>
          <w:tcPr>
            <w:tcW w:w="1131" w:type="dxa"/>
            <w:tcBorders>
              <w:left w:val="single" w:color="000000" w:sz="6" w:space="0"/>
              <w:bottom w:val="single" w:color="000000" w:sz="6" w:space="0"/>
              <w:right w:val="single" w:color="000000" w:sz="6" w:space="0"/>
            </w:tcBorders>
            <w:noWrap w:val="0"/>
            <w:vAlign w:val="center"/>
          </w:tcPr>
          <w:p w14:paraId="6C8BBBE9">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b/>
                <w:bCs/>
                <w:sz w:val="24"/>
                <w:szCs w:val="24"/>
                <w:shd w:val="clear" w:color="auto" w:fill="FFFFFF"/>
                <w:lang w:val="zh-CN"/>
              </w:rPr>
            </w:pPr>
            <w:r>
              <w:rPr>
                <w:rFonts w:hint="eastAsia" w:ascii="宋体" w:hAnsi="宋体" w:eastAsia="宋体" w:cs="宋体"/>
                <w:b/>
                <w:bCs/>
                <w:sz w:val="24"/>
                <w:szCs w:val="24"/>
                <w:shd w:val="clear" w:color="auto" w:fill="FFFFFF"/>
                <w:lang w:val="zh-CN"/>
              </w:rPr>
              <w:t>分值</w:t>
            </w:r>
          </w:p>
        </w:tc>
        <w:tc>
          <w:tcPr>
            <w:tcW w:w="5606" w:type="dxa"/>
            <w:tcBorders>
              <w:left w:val="single" w:color="000000" w:sz="6" w:space="0"/>
              <w:bottom w:val="single" w:color="000000" w:sz="6" w:space="0"/>
            </w:tcBorders>
            <w:noWrap w:val="0"/>
            <w:vAlign w:val="center"/>
          </w:tcPr>
          <w:p w14:paraId="073AF49B">
            <w:pPr>
              <w:keepNext w:val="0"/>
              <w:keepLines w:val="0"/>
              <w:suppressLineNumbers w:val="0"/>
              <w:autoSpaceDE w:val="0"/>
              <w:autoSpaceDN w:val="0"/>
              <w:spacing w:before="0" w:beforeAutospacing="0" w:after="0" w:afterAutospacing="0" w:line="360" w:lineRule="auto"/>
              <w:ind w:left="0" w:right="0" w:firstLine="482" w:firstLineChars="200"/>
              <w:rPr>
                <w:rFonts w:hint="eastAsia" w:ascii="宋体" w:hAnsi="宋体" w:eastAsia="宋体" w:cs="宋体"/>
                <w:b/>
                <w:bCs/>
                <w:sz w:val="24"/>
                <w:szCs w:val="24"/>
                <w:shd w:val="clear" w:color="auto" w:fill="FFFFFF"/>
                <w:lang w:val="zh-CN"/>
              </w:rPr>
            </w:pPr>
            <w:r>
              <w:rPr>
                <w:rFonts w:hint="eastAsia" w:ascii="宋体" w:hAnsi="宋体" w:eastAsia="宋体" w:cs="宋体"/>
                <w:b/>
                <w:bCs/>
                <w:sz w:val="24"/>
                <w:szCs w:val="24"/>
                <w:shd w:val="clear" w:color="auto" w:fill="FFFFFF"/>
                <w:lang w:val="zh-CN"/>
              </w:rPr>
              <w:t>评审标准</w:t>
            </w:r>
          </w:p>
        </w:tc>
      </w:tr>
      <w:tr w14:paraId="5CF3C98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412" w:hRule="atLeast"/>
        </w:trPr>
        <w:tc>
          <w:tcPr>
            <w:tcW w:w="1200" w:type="dxa"/>
            <w:tcBorders>
              <w:top w:val="single" w:color="000000" w:sz="6" w:space="0"/>
              <w:bottom w:val="single" w:color="000000" w:sz="6" w:space="0"/>
              <w:right w:val="single" w:color="000000" w:sz="6" w:space="0"/>
            </w:tcBorders>
            <w:noWrap w:val="0"/>
            <w:vAlign w:val="center"/>
          </w:tcPr>
          <w:p w14:paraId="564382C8">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sz w:val="24"/>
                <w:szCs w:val="24"/>
                <w:shd w:val="clear" w:color="auto" w:fill="FFFFFF"/>
                <w:lang w:val="zh-CN"/>
              </w:rPr>
            </w:pPr>
            <w:r>
              <w:rPr>
                <w:rFonts w:hint="eastAsia" w:ascii="宋体" w:hAnsi="宋体" w:eastAsia="宋体" w:cs="宋体"/>
                <w:sz w:val="24"/>
                <w:szCs w:val="24"/>
                <w:shd w:val="clear" w:color="auto" w:fill="FFFFFF"/>
                <w:lang w:val="zh-CN"/>
              </w:rPr>
              <w:t>投标报价</w:t>
            </w:r>
          </w:p>
          <w:p w14:paraId="7831E330">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sz w:val="24"/>
                <w:szCs w:val="24"/>
                <w:shd w:val="clear" w:color="auto" w:fill="FFFFFF"/>
                <w:lang w:val="zh-CN"/>
              </w:rPr>
            </w:pPr>
            <w:r>
              <w:rPr>
                <w:rFonts w:hint="eastAsia" w:ascii="宋体" w:hAnsi="宋体" w:eastAsia="宋体" w:cs="宋体"/>
                <w:sz w:val="24"/>
                <w:szCs w:val="24"/>
                <w:shd w:val="clear" w:color="auto" w:fill="FFFFFF"/>
                <w:lang w:val="zh-CN"/>
              </w:rPr>
              <w:t>（3</w:t>
            </w:r>
            <w:r>
              <w:rPr>
                <w:rFonts w:hint="eastAsia" w:ascii="宋体" w:hAnsi="宋体" w:eastAsia="宋体" w:cs="宋体"/>
                <w:sz w:val="24"/>
                <w:szCs w:val="24"/>
                <w:shd w:val="clear" w:color="auto" w:fill="FFFFFF"/>
              </w:rPr>
              <w:t>0</w:t>
            </w:r>
            <w:r>
              <w:rPr>
                <w:rFonts w:hint="eastAsia" w:ascii="宋体" w:hAnsi="宋体" w:eastAsia="宋体" w:cs="宋体"/>
                <w:sz w:val="24"/>
                <w:szCs w:val="24"/>
                <w:shd w:val="clear" w:color="auto" w:fill="FFFFFF"/>
                <w:lang w:val="zh-CN"/>
              </w:rPr>
              <w:t>分）</w:t>
            </w:r>
          </w:p>
        </w:tc>
        <w:tc>
          <w:tcPr>
            <w:tcW w:w="1271" w:type="dxa"/>
            <w:tcBorders>
              <w:top w:val="single" w:color="000000" w:sz="6" w:space="0"/>
              <w:left w:val="single" w:color="000000" w:sz="6" w:space="0"/>
              <w:bottom w:val="single" w:color="000000" w:sz="6" w:space="0"/>
              <w:right w:val="single" w:color="000000" w:sz="6" w:space="0"/>
            </w:tcBorders>
            <w:noWrap w:val="0"/>
            <w:vAlign w:val="center"/>
          </w:tcPr>
          <w:p w14:paraId="3F386B88">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sz w:val="24"/>
                <w:szCs w:val="24"/>
                <w:shd w:val="clear" w:color="auto" w:fill="FFFFFF"/>
                <w:lang w:val="zh-CN"/>
              </w:rPr>
            </w:pPr>
            <w:r>
              <w:rPr>
                <w:rFonts w:hint="eastAsia" w:ascii="宋体" w:hAnsi="宋体" w:eastAsia="宋体" w:cs="宋体"/>
                <w:sz w:val="24"/>
                <w:szCs w:val="24"/>
                <w:shd w:val="clear" w:color="auto" w:fill="FFFFFF"/>
                <w:lang w:val="zh-CN"/>
              </w:rPr>
              <w:t>投标报价</w:t>
            </w:r>
          </w:p>
        </w:tc>
        <w:tc>
          <w:tcPr>
            <w:tcW w:w="1131" w:type="dxa"/>
            <w:tcBorders>
              <w:top w:val="single" w:color="000000" w:sz="6" w:space="0"/>
              <w:left w:val="single" w:color="000000" w:sz="6" w:space="0"/>
              <w:bottom w:val="single" w:color="000000" w:sz="6" w:space="0"/>
              <w:right w:val="single" w:color="000000" w:sz="6" w:space="0"/>
            </w:tcBorders>
            <w:noWrap w:val="0"/>
            <w:vAlign w:val="center"/>
          </w:tcPr>
          <w:p w14:paraId="3FCA597C">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sz w:val="24"/>
                <w:szCs w:val="24"/>
                <w:shd w:val="clear" w:color="auto" w:fill="FFFFFF"/>
                <w:lang w:val="zh-CN"/>
              </w:rPr>
            </w:pPr>
            <w:r>
              <w:rPr>
                <w:rFonts w:hint="eastAsia" w:ascii="宋体" w:hAnsi="宋体" w:eastAsia="宋体" w:cs="宋体"/>
                <w:sz w:val="24"/>
                <w:szCs w:val="24"/>
                <w:shd w:val="clear" w:color="auto" w:fill="FFFFFF"/>
                <w:lang w:val="zh-CN"/>
              </w:rPr>
              <w:t>3</w:t>
            </w:r>
            <w:r>
              <w:rPr>
                <w:rFonts w:hint="eastAsia" w:ascii="宋体" w:hAnsi="宋体" w:eastAsia="宋体" w:cs="宋体"/>
                <w:sz w:val="24"/>
                <w:szCs w:val="24"/>
                <w:shd w:val="clear" w:color="auto" w:fill="FFFFFF"/>
              </w:rPr>
              <w:t>0</w:t>
            </w:r>
            <w:r>
              <w:rPr>
                <w:rFonts w:hint="eastAsia" w:ascii="宋体" w:hAnsi="宋体" w:eastAsia="宋体" w:cs="宋体"/>
                <w:sz w:val="24"/>
                <w:szCs w:val="24"/>
                <w:shd w:val="clear" w:color="auto" w:fill="FFFFFF"/>
                <w:lang w:val="zh-CN"/>
              </w:rPr>
              <w:t>分</w:t>
            </w:r>
          </w:p>
        </w:tc>
        <w:tc>
          <w:tcPr>
            <w:tcW w:w="5606" w:type="dxa"/>
            <w:tcBorders>
              <w:top w:val="single" w:color="000000" w:sz="6" w:space="0"/>
              <w:left w:val="single" w:color="000000" w:sz="6" w:space="0"/>
              <w:bottom w:val="single" w:color="000000" w:sz="6" w:space="0"/>
            </w:tcBorders>
            <w:noWrap w:val="0"/>
            <w:vAlign w:val="center"/>
          </w:tcPr>
          <w:p w14:paraId="5C3C2474">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sz w:val="24"/>
                <w:szCs w:val="24"/>
                <w:shd w:val="clear" w:color="auto" w:fill="FFFFFF"/>
                <w:lang w:val="zh-CN"/>
              </w:rPr>
            </w:pPr>
            <w:r>
              <w:rPr>
                <w:rFonts w:hint="eastAsia" w:ascii="宋体" w:hAnsi="宋体" w:eastAsia="宋体" w:cs="宋体"/>
                <w:sz w:val="24"/>
                <w:szCs w:val="24"/>
                <w:shd w:val="clear" w:color="auto" w:fill="FFFFFF"/>
                <w:lang w:val="zh-CN"/>
              </w:rPr>
              <w:t>在所有的有效投标报价中，以最低投标报价为基准价，其价格分为满分。其他供应商的报价分统一按下列公式计算：投标报价得分=(评标基准价／投标报价)×价格权值（30%）×100（四舍五入后保留小数点后两位）。</w:t>
            </w:r>
          </w:p>
          <w:p w14:paraId="69B18DFB">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sz w:val="24"/>
                <w:szCs w:val="24"/>
                <w:shd w:val="clear" w:color="auto" w:fill="FFFFFF"/>
                <w:lang w:val="zh-CN"/>
              </w:rPr>
            </w:pPr>
            <w:r>
              <w:rPr>
                <w:rFonts w:hint="eastAsia" w:ascii="宋体" w:hAnsi="宋体" w:eastAsia="宋体" w:cs="宋体"/>
                <w:sz w:val="24"/>
                <w:szCs w:val="24"/>
                <w:shd w:val="clear" w:color="auto" w:fill="FFFFFF"/>
                <w:lang w:val="zh-CN"/>
              </w:rPr>
              <w:t>注：根据《政府采购促进中小企业发展暂行办法》的相关规定，对小型和微型企业制造（生产）产品的价格给予10%的扣除，用扣除后的价格参与评审。残疾人福利性单位属于小型、微型企业的，不重复享受政策。执行国家统一定价标准和采用固定价格采购的项目，其价格不列为评审因素。</w:t>
            </w:r>
          </w:p>
        </w:tc>
      </w:tr>
      <w:tr w14:paraId="2219C39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906" w:hRule="atLeast"/>
        </w:trPr>
        <w:tc>
          <w:tcPr>
            <w:tcW w:w="1200" w:type="dxa"/>
            <w:tcBorders>
              <w:top w:val="single" w:color="000000" w:sz="6" w:space="0"/>
              <w:bottom w:val="single" w:color="000000" w:sz="6" w:space="0"/>
              <w:right w:val="single" w:color="000000" w:sz="6" w:space="0"/>
            </w:tcBorders>
            <w:noWrap w:val="0"/>
            <w:vAlign w:val="center"/>
          </w:tcPr>
          <w:p w14:paraId="04945879">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val="zh-CN"/>
              </w:rPr>
              <w:t>类似业绩</w:t>
            </w:r>
            <w:r>
              <w:rPr>
                <w:rFonts w:hint="eastAsia" w:ascii="宋体" w:hAnsi="宋体" w:eastAsia="宋体" w:cs="宋体"/>
                <w:sz w:val="24"/>
                <w:szCs w:val="24"/>
                <w:shd w:val="clear" w:color="auto" w:fill="FFFFFF"/>
                <w:lang w:val="en-US" w:eastAsia="zh-CN"/>
              </w:rPr>
              <w:t>（</w:t>
            </w:r>
            <w:r>
              <w:rPr>
                <w:rFonts w:hint="eastAsia" w:ascii="宋体" w:hAnsi="宋体" w:cs="宋体"/>
                <w:sz w:val="24"/>
                <w:szCs w:val="24"/>
                <w:shd w:val="clear" w:color="auto" w:fill="FFFFFF"/>
                <w:lang w:val="en-US" w:eastAsia="zh-CN"/>
              </w:rPr>
              <w:t>8</w:t>
            </w:r>
            <w:r>
              <w:rPr>
                <w:rFonts w:hint="eastAsia" w:ascii="宋体" w:hAnsi="宋体" w:eastAsia="宋体" w:cs="宋体"/>
                <w:sz w:val="24"/>
                <w:szCs w:val="24"/>
                <w:shd w:val="clear" w:color="auto" w:fill="FFFFFF"/>
                <w:lang w:val="en-US" w:eastAsia="zh-CN"/>
              </w:rPr>
              <w:t>分）</w:t>
            </w:r>
          </w:p>
        </w:tc>
        <w:tc>
          <w:tcPr>
            <w:tcW w:w="1271" w:type="dxa"/>
            <w:tcBorders>
              <w:top w:val="single" w:color="000000" w:sz="6" w:space="0"/>
              <w:left w:val="single" w:color="000000" w:sz="6" w:space="0"/>
              <w:bottom w:val="single" w:color="000000" w:sz="6" w:space="0"/>
              <w:right w:val="single" w:color="000000" w:sz="6" w:space="0"/>
            </w:tcBorders>
            <w:noWrap w:val="0"/>
            <w:vAlign w:val="center"/>
          </w:tcPr>
          <w:p w14:paraId="61A2C2E2">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sz w:val="24"/>
                <w:szCs w:val="24"/>
                <w:shd w:val="clear" w:color="auto" w:fill="FFFFFF"/>
                <w:lang w:val="zh-CN" w:eastAsia="zh-CN"/>
              </w:rPr>
            </w:pPr>
            <w:r>
              <w:rPr>
                <w:rFonts w:hint="eastAsia" w:ascii="宋体" w:hAnsi="宋体" w:eastAsia="宋体" w:cs="宋体"/>
                <w:sz w:val="24"/>
                <w:szCs w:val="24"/>
                <w:shd w:val="clear" w:color="auto" w:fill="FFFFFF"/>
                <w:lang w:val="zh-CN"/>
              </w:rPr>
              <w:t>类似业绩</w:t>
            </w:r>
          </w:p>
        </w:tc>
        <w:tc>
          <w:tcPr>
            <w:tcW w:w="1131" w:type="dxa"/>
            <w:tcBorders>
              <w:top w:val="single" w:color="000000" w:sz="6" w:space="0"/>
              <w:left w:val="single" w:color="000000" w:sz="6" w:space="0"/>
              <w:bottom w:val="single" w:color="000000" w:sz="6" w:space="0"/>
              <w:right w:val="single" w:color="000000" w:sz="6" w:space="0"/>
            </w:tcBorders>
            <w:noWrap w:val="0"/>
            <w:vAlign w:val="center"/>
          </w:tcPr>
          <w:p w14:paraId="7A1378AA">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sz w:val="24"/>
                <w:szCs w:val="24"/>
                <w:shd w:val="clear" w:color="auto" w:fill="FFFFFF"/>
                <w:lang w:val="zh-CN" w:eastAsia="zh-CN"/>
              </w:rPr>
            </w:pPr>
            <w:r>
              <w:rPr>
                <w:rFonts w:hint="eastAsia" w:ascii="宋体" w:hAnsi="宋体" w:cs="宋体"/>
                <w:sz w:val="24"/>
                <w:szCs w:val="24"/>
                <w:shd w:val="clear" w:color="auto" w:fill="FFFFFF"/>
                <w:lang w:val="en-US" w:eastAsia="zh-CN"/>
              </w:rPr>
              <w:t>8</w:t>
            </w:r>
            <w:r>
              <w:rPr>
                <w:rFonts w:hint="eastAsia" w:ascii="宋体" w:hAnsi="宋体" w:eastAsia="宋体" w:cs="宋体"/>
                <w:sz w:val="24"/>
                <w:szCs w:val="24"/>
                <w:shd w:val="clear" w:color="auto" w:fill="FFFFFF"/>
                <w:lang w:val="zh-CN"/>
              </w:rPr>
              <w:t>分</w:t>
            </w:r>
          </w:p>
        </w:tc>
        <w:tc>
          <w:tcPr>
            <w:tcW w:w="5606" w:type="dxa"/>
            <w:tcBorders>
              <w:top w:val="single" w:color="000000" w:sz="6" w:space="0"/>
              <w:left w:val="single" w:color="000000" w:sz="6" w:space="0"/>
              <w:bottom w:val="single" w:color="000000" w:sz="6" w:space="0"/>
            </w:tcBorders>
            <w:noWrap w:val="0"/>
            <w:vAlign w:val="center"/>
          </w:tcPr>
          <w:p w14:paraId="47542BE1">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sz w:val="24"/>
                <w:szCs w:val="24"/>
                <w:shd w:val="clear" w:color="auto" w:fill="FFFFFF"/>
                <w:lang w:val="zh-CN" w:eastAsia="zh-CN"/>
              </w:rPr>
            </w:pPr>
            <w:r>
              <w:rPr>
                <w:rFonts w:hint="eastAsia" w:ascii="宋体" w:hAnsi="宋体" w:eastAsia="宋体" w:cs="宋体"/>
                <w:sz w:val="24"/>
                <w:szCs w:val="24"/>
                <w:shd w:val="clear" w:color="auto" w:fill="FFFFFF"/>
              </w:rPr>
              <w:t>提供20</w:t>
            </w:r>
            <w:r>
              <w:rPr>
                <w:rFonts w:hint="eastAsia" w:ascii="宋体" w:hAnsi="宋体" w:eastAsia="宋体" w:cs="宋体"/>
                <w:sz w:val="24"/>
                <w:szCs w:val="24"/>
                <w:shd w:val="clear" w:color="auto" w:fill="FFFFFF"/>
                <w:lang w:val="en-US" w:eastAsia="zh-CN"/>
              </w:rPr>
              <w:t>22</w:t>
            </w:r>
            <w:r>
              <w:rPr>
                <w:rFonts w:hint="eastAsia" w:ascii="宋体" w:hAnsi="宋体" w:eastAsia="宋体" w:cs="宋体"/>
                <w:sz w:val="24"/>
                <w:szCs w:val="24"/>
                <w:shd w:val="clear" w:color="auto" w:fill="FFFFFF"/>
              </w:rPr>
              <w:t>年1月1日至今投标人类似业绩证明材料。（须提供合同首页、合同金额所在页、合同标的页、签字盖章、合同签署日期页复印件或中标通知书</w:t>
            </w:r>
            <w:r>
              <w:rPr>
                <w:rFonts w:hint="eastAsia" w:ascii="宋体" w:hAnsi="宋体" w:cs="宋体"/>
                <w:sz w:val="24"/>
                <w:szCs w:val="24"/>
                <w:shd w:val="clear" w:color="auto" w:fill="FFFFFF"/>
                <w:lang w:eastAsia="zh-CN"/>
              </w:rPr>
              <w:t>；</w:t>
            </w:r>
            <w:r>
              <w:rPr>
                <w:rFonts w:hint="eastAsia" w:ascii="宋体" w:hAnsi="宋体" w:cs="宋体"/>
                <w:sz w:val="24"/>
                <w:szCs w:val="24"/>
                <w:shd w:val="clear" w:color="auto" w:fill="FFFFFF"/>
                <w:lang w:val="en-US" w:eastAsia="zh-CN"/>
              </w:rPr>
              <w:t>类似业绩是指与招标项目标的内容相类似且已完成的业绩</w:t>
            </w:r>
            <w:r>
              <w:rPr>
                <w:rFonts w:hint="eastAsia" w:ascii="宋体" w:hAnsi="宋体" w:eastAsia="宋体" w:cs="宋体"/>
                <w:sz w:val="24"/>
                <w:szCs w:val="24"/>
                <w:shd w:val="clear" w:color="auto" w:fill="FFFFFF"/>
              </w:rPr>
              <w:t>）每提供1项得2分，满分</w:t>
            </w:r>
            <w:r>
              <w:rPr>
                <w:rFonts w:hint="eastAsia" w:ascii="宋体" w:hAnsi="宋体" w:eastAsia="宋体" w:cs="宋体"/>
                <w:sz w:val="24"/>
                <w:szCs w:val="24"/>
                <w:shd w:val="clear" w:color="auto" w:fill="FFFFFF"/>
                <w:lang w:val="en-US" w:eastAsia="zh-CN"/>
              </w:rPr>
              <w:t>10</w:t>
            </w:r>
            <w:r>
              <w:rPr>
                <w:rFonts w:hint="eastAsia" w:ascii="宋体" w:hAnsi="宋体" w:eastAsia="宋体" w:cs="宋体"/>
                <w:sz w:val="24"/>
                <w:szCs w:val="24"/>
                <w:shd w:val="clear" w:color="auto" w:fill="FFFFFF"/>
              </w:rPr>
              <w:t>分；</w:t>
            </w:r>
            <w:r>
              <w:rPr>
                <w:rFonts w:hint="eastAsia" w:ascii="宋体" w:hAnsi="宋体" w:eastAsia="宋体" w:cs="宋体"/>
                <w:sz w:val="24"/>
                <w:szCs w:val="24"/>
                <w:shd w:val="clear" w:color="auto" w:fill="FFFFFF"/>
                <w:lang w:val="en-US" w:eastAsia="zh-CN"/>
              </w:rPr>
              <w:t>未</w:t>
            </w:r>
            <w:r>
              <w:rPr>
                <w:rFonts w:hint="eastAsia" w:ascii="宋体" w:hAnsi="宋体" w:eastAsia="宋体" w:cs="宋体"/>
                <w:sz w:val="24"/>
                <w:szCs w:val="24"/>
                <w:shd w:val="clear" w:color="auto" w:fill="FFFFFF"/>
              </w:rPr>
              <w:t>提供不得分。</w:t>
            </w:r>
          </w:p>
        </w:tc>
      </w:tr>
      <w:tr w14:paraId="0A8C03A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433" w:hRule="atLeast"/>
        </w:trPr>
        <w:tc>
          <w:tcPr>
            <w:tcW w:w="1200" w:type="dxa"/>
            <w:vMerge w:val="restart"/>
            <w:tcBorders>
              <w:top w:val="single" w:color="auto" w:sz="4" w:space="0"/>
              <w:right w:val="single" w:color="000000" w:sz="6" w:space="0"/>
            </w:tcBorders>
            <w:noWrap w:val="0"/>
            <w:vAlign w:val="center"/>
          </w:tcPr>
          <w:p w14:paraId="320DAD6C">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sz w:val="24"/>
                <w:szCs w:val="24"/>
                <w:shd w:val="clear" w:color="auto" w:fill="FFFFFF"/>
                <w:lang w:val="zh-CN"/>
              </w:rPr>
            </w:pPr>
            <w:r>
              <w:rPr>
                <w:rFonts w:hint="eastAsia" w:ascii="宋体" w:hAnsi="宋体" w:eastAsia="宋体" w:cs="宋体"/>
                <w:sz w:val="24"/>
                <w:szCs w:val="24"/>
                <w:shd w:val="clear" w:color="auto" w:fill="FFFFFF"/>
                <w:lang w:val="zh-CN"/>
              </w:rPr>
              <w:t>技术部分（</w:t>
            </w:r>
            <w:r>
              <w:rPr>
                <w:rFonts w:hint="eastAsia" w:ascii="宋体" w:hAnsi="宋体" w:cs="宋体"/>
                <w:sz w:val="24"/>
                <w:szCs w:val="24"/>
                <w:shd w:val="clear" w:color="auto" w:fill="FFFFFF"/>
                <w:lang w:val="en-US" w:eastAsia="zh-CN"/>
              </w:rPr>
              <w:t>62</w:t>
            </w:r>
            <w:r>
              <w:rPr>
                <w:rFonts w:hint="eastAsia" w:ascii="宋体" w:hAnsi="宋体" w:eastAsia="宋体" w:cs="宋体"/>
                <w:sz w:val="24"/>
                <w:szCs w:val="24"/>
                <w:shd w:val="clear" w:color="auto" w:fill="FFFFFF"/>
                <w:lang w:val="zh-CN"/>
              </w:rPr>
              <w:t>分）</w:t>
            </w:r>
          </w:p>
        </w:tc>
        <w:tc>
          <w:tcPr>
            <w:tcW w:w="1271" w:type="dxa"/>
            <w:tcBorders>
              <w:top w:val="single" w:color="auto" w:sz="4" w:space="0"/>
              <w:left w:val="single" w:color="000000" w:sz="6" w:space="0"/>
              <w:bottom w:val="single" w:color="000000" w:sz="6" w:space="0"/>
              <w:right w:val="single" w:color="auto" w:sz="4" w:space="0"/>
            </w:tcBorders>
            <w:noWrap w:val="0"/>
            <w:vAlign w:val="center"/>
          </w:tcPr>
          <w:p w14:paraId="6B9C6169">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sz w:val="24"/>
                <w:szCs w:val="24"/>
                <w:shd w:val="clear" w:color="auto" w:fill="FFFFFF"/>
                <w:lang w:val="zh-CN"/>
              </w:rPr>
            </w:pPr>
            <w:r>
              <w:rPr>
                <w:rFonts w:hint="eastAsia" w:ascii="宋体" w:hAnsi="宋体" w:eastAsia="宋体" w:cs="宋体"/>
                <w:sz w:val="24"/>
                <w:szCs w:val="24"/>
                <w:shd w:val="clear" w:color="auto" w:fill="FFFFFF"/>
                <w:lang w:val="zh-CN"/>
              </w:rPr>
              <w:t>技术性能指标</w:t>
            </w:r>
          </w:p>
        </w:tc>
        <w:tc>
          <w:tcPr>
            <w:tcW w:w="1131" w:type="dxa"/>
            <w:tcBorders>
              <w:top w:val="single" w:color="000000" w:sz="6" w:space="0"/>
              <w:left w:val="single" w:color="auto" w:sz="4" w:space="0"/>
              <w:bottom w:val="single" w:color="000000" w:sz="6" w:space="0"/>
              <w:right w:val="single" w:color="000000" w:sz="6" w:space="0"/>
            </w:tcBorders>
            <w:noWrap w:val="0"/>
            <w:vAlign w:val="center"/>
          </w:tcPr>
          <w:p w14:paraId="76ADAB79">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sz w:val="24"/>
                <w:szCs w:val="24"/>
                <w:shd w:val="clear" w:color="auto" w:fill="FFFFFF"/>
              </w:rPr>
            </w:pPr>
            <w:r>
              <w:rPr>
                <w:rFonts w:hint="eastAsia" w:ascii="宋体" w:hAnsi="宋体" w:cs="宋体"/>
                <w:sz w:val="24"/>
                <w:szCs w:val="24"/>
                <w:shd w:val="clear" w:color="auto" w:fill="FFFFFF"/>
                <w:lang w:val="en-US" w:eastAsia="zh-CN"/>
              </w:rPr>
              <w:t>24</w:t>
            </w:r>
            <w:r>
              <w:rPr>
                <w:rFonts w:hint="eastAsia" w:ascii="宋体" w:hAnsi="宋体" w:eastAsia="宋体" w:cs="宋体"/>
                <w:sz w:val="24"/>
                <w:szCs w:val="24"/>
                <w:shd w:val="clear" w:color="auto" w:fill="FFFFFF"/>
              </w:rPr>
              <w:t>分</w:t>
            </w:r>
          </w:p>
        </w:tc>
        <w:tc>
          <w:tcPr>
            <w:tcW w:w="5606" w:type="dxa"/>
            <w:tcBorders>
              <w:top w:val="single" w:color="000000" w:sz="6" w:space="0"/>
              <w:left w:val="single" w:color="000000" w:sz="6" w:space="0"/>
              <w:bottom w:val="single" w:color="000000" w:sz="6" w:space="0"/>
            </w:tcBorders>
            <w:noWrap w:val="0"/>
            <w:vAlign w:val="center"/>
          </w:tcPr>
          <w:p w14:paraId="27EE7E08">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sz w:val="24"/>
                <w:szCs w:val="24"/>
                <w:shd w:val="clear" w:color="auto" w:fill="FFFFFF"/>
                <w:lang w:val="zh-CN"/>
              </w:rPr>
            </w:pPr>
            <w:r>
              <w:rPr>
                <w:rFonts w:hint="eastAsia" w:ascii="宋体" w:hAnsi="宋体" w:eastAsia="宋体" w:cs="宋体"/>
                <w:sz w:val="24"/>
                <w:szCs w:val="24"/>
                <w:shd w:val="clear" w:color="auto" w:fill="FFFFFF"/>
                <w:lang w:val="zh-CN"/>
              </w:rPr>
              <w:t>所提供的设备技术参数全部满足或高于招标文件技术参数要求得</w:t>
            </w:r>
            <w:r>
              <w:rPr>
                <w:rFonts w:hint="eastAsia" w:ascii="宋体" w:hAnsi="宋体" w:cs="宋体"/>
                <w:sz w:val="24"/>
                <w:szCs w:val="24"/>
                <w:shd w:val="clear" w:color="auto" w:fill="FFFFFF"/>
                <w:lang w:val="en-US" w:eastAsia="zh-CN"/>
              </w:rPr>
              <w:t>24</w:t>
            </w:r>
            <w:r>
              <w:rPr>
                <w:rFonts w:hint="eastAsia" w:ascii="宋体" w:hAnsi="宋体" w:eastAsia="宋体" w:cs="宋体"/>
                <w:sz w:val="24"/>
                <w:szCs w:val="24"/>
                <w:shd w:val="clear" w:color="auto" w:fill="FFFFFF"/>
                <w:lang w:val="zh-CN"/>
              </w:rPr>
              <w:t>分；每有一个技术参数负偏离扣</w:t>
            </w:r>
            <w:r>
              <w:rPr>
                <w:rFonts w:hint="eastAsia" w:ascii="宋体" w:hAnsi="宋体" w:cs="宋体"/>
                <w:sz w:val="24"/>
                <w:szCs w:val="24"/>
                <w:shd w:val="clear" w:color="auto" w:fill="FFFFFF"/>
                <w:lang w:val="en-US" w:eastAsia="zh-CN"/>
              </w:rPr>
              <w:t>0.2</w:t>
            </w:r>
            <w:r>
              <w:rPr>
                <w:rFonts w:hint="eastAsia" w:ascii="宋体" w:hAnsi="宋体" w:eastAsia="宋体" w:cs="宋体"/>
                <w:sz w:val="24"/>
                <w:szCs w:val="24"/>
                <w:shd w:val="clear" w:color="auto" w:fill="FFFFFF"/>
                <w:lang w:val="zh-CN"/>
              </w:rPr>
              <w:t>分，扣完为止。</w:t>
            </w:r>
          </w:p>
        </w:tc>
      </w:tr>
      <w:tr w14:paraId="16AD4F7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2" w:hRule="atLeast"/>
        </w:trPr>
        <w:tc>
          <w:tcPr>
            <w:tcW w:w="1200" w:type="dxa"/>
            <w:vMerge w:val="continue"/>
            <w:tcBorders>
              <w:right w:val="single" w:color="000000" w:sz="6" w:space="0"/>
            </w:tcBorders>
            <w:noWrap w:val="0"/>
            <w:vAlign w:val="center"/>
          </w:tcPr>
          <w:p w14:paraId="1950BCB7">
            <w:pPr>
              <w:keepNext w:val="0"/>
              <w:keepLines w:val="0"/>
              <w:suppressLineNumbers w:val="0"/>
              <w:autoSpaceDE w:val="0"/>
              <w:autoSpaceDN w:val="0"/>
              <w:spacing w:before="0" w:beforeAutospacing="0" w:after="0" w:afterAutospacing="0" w:line="360" w:lineRule="auto"/>
              <w:ind w:left="0" w:right="0" w:firstLine="480" w:firstLineChars="200"/>
              <w:rPr>
                <w:rFonts w:hint="eastAsia" w:ascii="宋体" w:hAnsi="宋体" w:eastAsia="宋体" w:cs="宋体"/>
                <w:sz w:val="24"/>
                <w:szCs w:val="24"/>
                <w:shd w:val="clear" w:color="auto" w:fill="FFFFFF"/>
                <w:lang w:val="zh-CN"/>
              </w:rPr>
            </w:pPr>
          </w:p>
        </w:tc>
        <w:tc>
          <w:tcPr>
            <w:tcW w:w="1271" w:type="dxa"/>
            <w:tcBorders>
              <w:top w:val="single" w:color="000000" w:sz="6" w:space="0"/>
              <w:left w:val="single" w:color="000000" w:sz="6" w:space="0"/>
              <w:bottom w:val="single" w:color="000000" w:sz="6" w:space="0"/>
              <w:right w:val="single" w:color="auto" w:sz="4" w:space="0"/>
            </w:tcBorders>
            <w:noWrap w:val="0"/>
            <w:vAlign w:val="center"/>
          </w:tcPr>
          <w:p w14:paraId="2174073D">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sz w:val="24"/>
                <w:szCs w:val="24"/>
                <w:shd w:val="clear" w:color="auto" w:fill="FFFFFF"/>
                <w:lang w:val="zh-CN"/>
              </w:rPr>
            </w:pPr>
            <w:r>
              <w:rPr>
                <w:rFonts w:hint="eastAsia" w:ascii="宋体" w:hAnsi="宋体" w:eastAsia="宋体" w:cs="宋体"/>
                <w:sz w:val="24"/>
                <w:szCs w:val="24"/>
                <w:shd w:val="clear" w:color="auto" w:fill="FFFFFF"/>
                <w:lang w:val="zh-CN"/>
              </w:rPr>
              <w:t>实施方案</w:t>
            </w:r>
          </w:p>
        </w:tc>
        <w:tc>
          <w:tcPr>
            <w:tcW w:w="1131" w:type="dxa"/>
            <w:tcBorders>
              <w:top w:val="single" w:color="000000" w:sz="6" w:space="0"/>
              <w:left w:val="single" w:color="auto" w:sz="4" w:space="0"/>
              <w:bottom w:val="single" w:color="000000" w:sz="6" w:space="0"/>
              <w:right w:val="single" w:color="000000" w:sz="6" w:space="0"/>
            </w:tcBorders>
            <w:noWrap w:val="0"/>
            <w:vAlign w:val="center"/>
          </w:tcPr>
          <w:p w14:paraId="3B659E8A">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sz w:val="24"/>
                <w:szCs w:val="24"/>
                <w:shd w:val="clear" w:color="auto" w:fill="FFFFFF"/>
              </w:rPr>
            </w:pPr>
            <w:r>
              <w:rPr>
                <w:rFonts w:hint="eastAsia" w:ascii="宋体" w:hAnsi="宋体" w:cs="宋体"/>
                <w:sz w:val="24"/>
                <w:szCs w:val="24"/>
                <w:shd w:val="clear" w:color="auto" w:fill="FFFFFF"/>
                <w:lang w:val="en-US" w:eastAsia="zh-CN"/>
              </w:rPr>
              <w:t>18</w:t>
            </w:r>
            <w:r>
              <w:rPr>
                <w:rFonts w:hint="eastAsia" w:ascii="宋体" w:hAnsi="宋体" w:eastAsia="宋体" w:cs="宋体"/>
                <w:sz w:val="24"/>
                <w:szCs w:val="24"/>
                <w:shd w:val="clear" w:color="auto" w:fill="FFFFFF"/>
                <w:lang w:val="zh-CN"/>
              </w:rPr>
              <w:t>分</w:t>
            </w:r>
          </w:p>
        </w:tc>
        <w:tc>
          <w:tcPr>
            <w:tcW w:w="5606" w:type="dxa"/>
            <w:tcBorders>
              <w:top w:val="single" w:color="000000" w:sz="6" w:space="0"/>
              <w:left w:val="single" w:color="000000" w:sz="6" w:space="0"/>
              <w:bottom w:val="single" w:color="000000" w:sz="6" w:space="0"/>
            </w:tcBorders>
            <w:noWrap w:val="0"/>
            <w:vAlign w:val="center"/>
          </w:tcPr>
          <w:p w14:paraId="2FDD424F">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sz w:val="24"/>
                <w:szCs w:val="24"/>
                <w:shd w:val="clear" w:color="auto" w:fill="FFFFFF"/>
                <w:lang w:val="zh-CN"/>
              </w:rPr>
            </w:pPr>
            <w:r>
              <w:rPr>
                <w:rFonts w:hint="eastAsia" w:ascii="宋体" w:hAnsi="宋体" w:eastAsia="宋体" w:cs="宋体"/>
                <w:sz w:val="24"/>
                <w:szCs w:val="24"/>
                <w:shd w:val="clear" w:color="auto" w:fill="FFFFFF"/>
                <w:lang w:val="zh-CN"/>
              </w:rPr>
              <w:t>投标人根据项目要求提供项目实施方案，对方案的完整性、科学性、可行性等综合评定，包含：①系统平台搭建和运行方案；②技术服务方案；③货源准备方案；④产品质量保障措施；⑤安全保障措施；⑥实施过程风险预想预防措施；满分18分，每缺少一项扣3分，所提供的每项内容中每有一处具有缺陷的扣0.5分，未提供不得分。</w:t>
            </w:r>
          </w:p>
        </w:tc>
      </w:tr>
      <w:tr w14:paraId="2E2DD58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26" w:hRule="atLeast"/>
        </w:trPr>
        <w:tc>
          <w:tcPr>
            <w:tcW w:w="1200" w:type="dxa"/>
            <w:vMerge w:val="continue"/>
            <w:tcBorders>
              <w:right w:val="single" w:color="000000" w:sz="6" w:space="0"/>
            </w:tcBorders>
            <w:noWrap w:val="0"/>
            <w:vAlign w:val="center"/>
          </w:tcPr>
          <w:p w14:paraId="2F3AF130">
            <w:pPr>
              <w:keepNext w:val="0"/>
              <w:keepLines w:val="0"/>
              <w:suppressLineNumbers w:val="0"/>
              <w:autoSpaceDE w:val="0"/>
              <w:autoSpaceDN w:val="0"/>
              <w:spacing w:before="0" w:beforeAutospacing="0" w:after="0" w:afterAutospacing="0" w:line="360" w:lineRule="auto"/>
              <w:ind w:left="0" w:right="0" w:firstLine="480" w:firstLineChars="200"/>
              <w:rPr>
                <w:rFonts w:hint="eastAsia" w:ascii="宋体" w:hAnsi="宋体" w:eastAsia="宋体" w:cs="宋体"/>
                <w:sz w:val="24"/>
                <w:szCs w:val="24"/>
                <w:shd w:val="clear" w:color="auto" w:fill="FFFFFF"/>
                <w:lang w:val="zh-CN"/>
              </w:rPr>
            </w:pPr>
          </w:p>
        </w:tc>
        <w:tc>
          <w:tcPr>
            <w:tcW w:w="1271" w:type="dxa"/>
            <w:tcBorders>
              <w:top w:val="single" w:color="000000" w:sz="6" w:space="0"/>
              <w:left w:val="single" w:color="000000" w:sz="6" w:space="0"/>
              <w:bottom w:val="single" w:color="000000" w:sz="6" w:space="0"/>
              <w:right w:val="single" w:color="auto" w:sz="4" w:space="0"/>
            </w:tcBorders>
            <w:noWrap w:val="0"/>
            <w:vAlign w:val="center"/>
          </w:tcPr>
          <w:p w14:paraId="74708F42">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sz w:val="24"/>
                <w:szCs w:val="24"/>
                <w:shd w:val="clear" w:color="auto" w:fill="FFFFFF"/>
                <w:lang w:val="en-US" w:eastAsia="zh-CN"/>
              </w:rPr>
            </w:pPr>
            <w:r>
              <w:rPr>
                <w:rFonts w:hint="eastAsia" w:ascii="宋体" w:hAnsi="宋体" w:cs="宋体"/>
                <w:sz w:val="24"/>
                <w:szCs w:val="24"/>
                <w:shd w:val="clear" w:color="auto" w:fill="FFFFFF"/>
                <w:lang w:val="en-US" w:eastAsia="zh-CN"/>
              </w:rPr>
              <w:t>项目进度保证措施</w:t>
            </w:r>
          </w:p>
        </w:tc>
        <w:tc>
          <w:tcPr>
            <w:tcW w:w="1131" w:type="dxa"/>
            <w:tcBorders>
              <w:top w:val="single" w:color="000000" w:sz="6" w:space="0"/>
              <w:left w:val="single" w:color="auto" w:sz="4" w:space="0"/>
              <w:bottom w:val="single" w:color="000000" w:sz="6" w:space="0"/>
              <w:right w:val="single" w:color="000000" w:sz="6" w:space="0"/>
            </w:tcBorders>
            <w:noWrap w:val="0"/>
            <w:vAlign w:val="center"/>
          </w:tcPr>
          <w:p w14:paraId="39E1EF9B">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sz w:val="24"/>
                <w:szCs w:val="24"/>
                <w:shd w:val="clear" w:color="auto" w:fill="FFFFFF"/>
                <w:lang w:val="en-US" w:eastAsia="zh-CN"/>
              </w:rPr>
            </w:pPr>
            <w:r>
              <w:rPr>
                <w:rFonts w:hint="eastAsia" w:ascii="宋体" w:hAnsi="宋体" w:cs="宋体"/>
                <w:sz w:val="24"/>
                <w:szCs w:val="24"/>
                <w:shd w:val="clear" w:color="auto" w:fill="FFFFFF"/>
                <w:lang w:val="en-US" w:eastAsia="zh-CN"/>
              </w:rPr>
              <w:t>6分</w:t>
            </w:r>
          </w:p>
        </w:tc>
        <w:tc>
          <w:tcPr>
            <w:tcW w:w="5606" w:type="dxa"/>
            <w:tcBorders>
              <w:top w:val="single" w:color="000000" w:sz="6" w:space="0"/>
              <w:left w:val="single" w:color="000000" w:sz="6" w:space="0"/>
              <w:bottom w:val="single" w:color="000000" w:sz="6" w:space="0"/>
            </w:tcBorders>
            <w:noWrap w:val="0"/>
            <w:vAlign w:val="center"/>
          </w:tcPr>
          <w:p w14:paraId="14FE4FA8">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sz w:val="24"/>
                <w:szCs w:val="24"/>
                <w:shd w:val="clear" w:color="auto" w:fill="FFFFFF"/>
                <w:lang w:val="en-US" w:eastAsia="zh-CN"/>
              </w:rPr>
            </w:pPr>
            <w:r>
              <w:rPr>
                <w:rFonts w:hint="eastAsia" w:ascii="宋体" w:hAnsi="宋体" w:cs="宋体"/>
                <w:sz w:val="24"/>
                <w:szCs w:val="24"/>
                <w:shd w:val="clear" w:color="auto" w:fill="FFFFFF"/>
                <w:lang w:val="en-US" w:eastAsia="zh-CN"/>
              </w:rPr>
              <w:t>根据项目特点制定科学、有效的供货进度保证措施，其中包括①供货计划和准备；②供货进度划分明细；③按时交货保证措施；</w:t>
            </w:r>
            <w:r>
              <w:rPr>
                <w:rFonts w:hint="eastAsia" w:ascii="宋体" w:hAnsi="宋体" w:eastAsia="宋体" w:cs="宋体"/>
                <w:sz w:val="24"/>
                <w:szCs w:val="24"/>
                <w:shd w:val="clear" w:color="auto" w:fill="FFFFFF"/>
                <w:lang w:val="en-US" w:eastAsia="zh-CN"/>
              </w:rPr>
              <w:t>满分</w:t>
            </w:r>
            <w:r>
              <w:rPr>
                <w:rFonts w:hint="eastAsia" w:ascii="宋体" w:hAnsi="宋体" w:cs="宋体"/>
                <w:sz w:val="24"/>
                <w:szCs w:val="24"/>
                <w:shd w:val="clear" w:color="auto" w:fill="FFFFFF"/>
                <w:lang w:val="en-US" w:eastAsia="zh-CN"/>
              </w:rPr>
              <w:t>6</w:t>
            </w:r>
            <w:r>
              <w:rPr>
                <w:rFonts w:hint="eastAsia" w:ascii="宋体" w:hAnsi="宋体" w:eastAsia="宋体" w:cs="宋体"/>
                <w:sz w:val="24"/>
                <w:szCs w:val="24"/>
                <w:shd w:val="clear" w:color="auto" w:fill="FFFFFF"/>
                <w:lang w:val="en-US" w:eastAsia="zh-CN"/>
              </w:rPr>
              <w:t>分，每缺少一项扣</w:t>
            </w:r>
            <w:r>
              <w:rPr>
                <w:rFonts w:hint="eastAsia" w:ascii="宋体" w:hAnsi="宋体" w:cs="宋体"/>
                <w:sz w:val="24"/>
                <w:szCs w:val="24"/>
                <w:shd w:val="clear" w:color="auto" w:fill="FFFFFF"/>
                <w:lang w:val="en-US" w:eastAsia="zh-CN"/>
              </w:rPr>
              <w:t>2</w:t>
            </w:r>
            <w:r>
              <w:rPr>
                <w:rFonts w:hint="eastAsia" w:ascii="宋体" w:hAnsi="宋体" w:eastAsia="宋体" w:cs="宋体"/>
                <w:sz w:val="24"/>
                <w:szCs w:val="24"/>
                <w:shd w:val="clear" w:color="auto" w:fill="FFFFFF"/>
                <w:lang w:val="en-US" w:eastAsia="zh-CN"/>
              </w:rPr>
              <w:t>分，</w:t>
            </w:r>
            <w:r>
              <w:rPr>
                <w:rFonts w:hint="eastAsia" w:ascii="宋体" w:hAnsi="宋体" w:eastAsia="宋体" w:cs="宋体"/>
                <w:sz w:val="24"/>
                <w:szCs w:val="24"/>
                <w:shd w:val="clear" w:color="auto" w:fill="FFFFFF"/>
              </w:rPr>
              <w:t>所提供的每项内容中每有一处具有缺陷的扣0.5分，未</w:t>
            </w:r>
            <w:r>
              <w:rPr>
                <w:rFonts w:hint="eastAsia" w:ascii="宋体" w:hAnsi="宋体" w:eastAsia="宋体" w:cs="宋体"/>
                <w:sz w:val="24"/>
                <w:szCs w:val="24"/>
                <w:shd w:val="clear" w:color="auto" w:fill="FFFFFF"/>
                <w:lang w:val="zh-CN"/>
              </w:rPr>
              <w:t>提供不得分。</w:t>
            </w:r>
          </w:p>
        </w:tc>
      </w:tr>
      <w:tr w14:paraId="528B4AD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26" w:hRule="atLeast"/>
        </w:trPr>
        <w:tc>
          <w:tcPr>
            <w:tcW w:w="1200" w:type="dxa"/>
            <w:vMerge w:val="continue"/>
            <w:tcBorders>
              <w:right w:val="single" w:color="000000" w:sz="6" w:space="0"/>
            </w:tcBorders>
            <w:noWrap w:val="0"/>
            <w:vAlign w:val="center"/>
          </w:tcPr>
          <w:p w14:paraId="05C6CE41">
            <w:pPr>
              <w:keepNext w:val="0"/>
              <w:keepLines w:val="0"/>
              <w:suppressLineNumbers w:val="0"/>
              <w:autoSpaceDE w:val="0"/>
              <w:autoSpaceDN w:val="0"/>
              <w:spacing w:before="0" w:beforeAutospacing="0" w:after="0" w:afterAutospacing="0" w:line="360" w:lineRule="auto"/>
              <w:ind w:left="0" w:right="0" w:firstLine="480" w:firstLineChars="200"/>
              <w:rPr>
                <w:rFonts w:hint="eastAsia" w:ascii="宋体" w:hAnsi="宋体" w:eastAsia="宋体" w:cs="宋体"/>
                <w:sz w:val="24"/>
                <w:szCs w:val="24"/>
                <w:shd w:val="clear" w:color="auto" w:fill="FFFFFF"/>
                <w:lang w:val="zh-CN"/>
              </w:rPr>
            </w:pPr>
          </w:p>
        </w:tc>
        <w:tc>
          <w:tcPr>
            <w:tcW w:w="1271"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14:paraId="464F4698">
            <w:pPr>
              <w:keepNext w:val="0"/>
              <w:keepLines w:val="0"/>
              <w:suppressLineNumbers w:val="0"/>
              <w:autoSpaceDE w:val="0"/>
              <w:autoSpaceDN w:val="0"/>
              <w:spacing w:before="0" w:beforeAutospacing="0" w:after="0" w:afterAutospacing="0" w:line="360" w:lineRule="auto"/>
              <w:ind w:left="0" w:leftChars="0" w:right="0" w:rightChars="0"/>
              <w:rPr>
                <w:rFonts w:hint="eastAsia" w:ascii="宋体" w:hAnsi="宋体" w:eastAsia="宋体" w:cs="宋体"/>
                <w:kern w:val="2"/>
                <w:sz w:val="24"/>
                <w:szCs w:val="24"/>
                <w:shd w:val="clear" w:color="auto" w:fill="FFFFFF"/>
                <w:lang w:val="en-US" w:eastAsia="zh-CN" w:bidi="ar-SA"/>
              </w:rPr>
            </w:pPr>
            <w:r>
              <w:rPr>
                <w:rFonts w:hint="eastAsia" w:ascii="宋体" w:hAnsi="宋体" w:cs="宋体"/>
                <w:sz w:val="24"/>
                <w:szCs w:val="24"/>
                <w:shd w:val="clear" w:color="auto" w:fill="FFFFFF"/>
                <w:lang w:val="en-US" w:eastAsia="zh-CN"/>
              </w:rPr>
              <w:t>培训指导使用方案</w:t>
            </w:r>
          </w:p>
        </w:tc>
        <w:tc>
          <w:tcPr>
            <w:tcW w:w="1131"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14:paraId="7C01F7A5">
            <w:pPr>
              <w:keepNext w:val="0"/>
              <w:keepLines w:val="0"/>
              <w:suppressLineNumbers w:val="0"/>
              <w:autoSpaceDE w:val="0"/>
              <w:autoSpaceDN w:val="0"/>
              <w:spacing w:before="0" w:beforeAutospacing="0" w:after="0" w:afterAutospacing="0" w:line="360" w:lineRule="auto"/>
              <w:ind w:left="0" w:leftChars="0" w:right="0" w:rightChars="0"/>
              <w:jc w:val="center"/>
              <w:rPr>
                <w:rFonts w:hint="eastAsia" w:ascii="宋体" w:hAnsi="宋体" w:eastAsia="宋体" w:cs="宋体"/>
                <w:kern w:val="2"/>
                <w:sz w:val="24"/>
                <w:szCs w:val="24"/>
                <w:shd w:val="clear" w:color="auto" w:fill="FFFFFF"/>
                <w:lang w:val="en-US" w:eastAsia="zh-CN" w:bidi="ar-SA"/>
              </w:rPr>
            </w:pPr>
            <w:r>
              <w:rPr>
                <w:rFonts w:hint="eastAsia" w:ascii="宋体" w:hAnsi="宋体" w:cs="宋体"/>
                <w:sz w:val="24"/>
                <w:szCs w:val="24"/>
                <w:shd w:val="clear" w:color="auto" w:fill="FFFFFF"/>
                <w:lang w:val="en-US" w:eastAsia="zh-CN"/>
              </w:rPr>
              <w:t>6分</w:t>
            </w:r>
          </w:p>
        </w:tc>
        <w:tc>
          <w:tcPr>
            <w:tcW w:w="5606" w:type="dxa"/>
            <w:tcBorders>
              <w:top w:val="single" w:color="000000" w:sz="6" w:space="0"/>
              <w:left w:val="single" w:color="000000" w:sz="6" w:space="0"/>
              <w:bottom w:val="single" w:color="000000" w:sz="6" w:space="0"/>
            </w:tcBorders>
            <w:shd w:val="clear" w:color="auto" w:fill="auto"/>
            <w:noWrap w:val="0"/>
            <w:vAlign w:val="center"/>
          </w:tcPr>
          <w:p w14:paraId="36AD92BF">
            <w:pPr>
              <w:keepNext w:val="0"/>
              <w:keepLines w:val="0"/>
              <w:suppressLineNumbers w:val="0"/>
              <w:autoSpaceDE w:val="0"/>
              <w:autoSpaceDN w:val="0"/>
              <w:spacing w:before="0" w:beforeAutospacing="0" w:after="0" w:afterAutospacing="0" w:line="360" w:lineRule="auto"/>
              <w:ind w:left="0" w:leftChars="0" w:right="0" w:rightChars="0"/>
              <w:rPr>
                <w:rFonts w:hint="eastAsia" w:ascii="宋体" w:hAnsi="宋体" w:eastAsia="宋体" w:cs="宋体"/>
                <w:kern w:val="2"/>
                <w:sz w:val="24"/>
                <w:szCs w:val="24"/>
                <w:shd w:val="clear" w:color="auto" w:fill="FFFFFF"/>
                <w:lang w:val="en-US" w:eastAsia="zh-CN" w:bidi="ar-SA"/>
              </w:rPr>
            </w:pPr>
            <w:r>
              <w:rPr>
                <w:rFonts w:hint="eastAsia" w:ascii="宋体" w:hAnsi="宋体" w:cs="宋体"/>
                <w:sz w:val="24"/>
                <w:szCs w:val="24"/>
                <w:shd w:val="clear" w:color="auto" w:fill="FFFFFF"/>
                <w:lang w:val="en-US" w:eastAsia="zh-CN"/>
              </w:rPr>
              <w:t>根据项目特点制定详尽的培训指导方案，其中包括①培训内容制定方案；②培训实施方案；③培训效果控制方案；</w:t>
            </w:r>
            <w:r>
              <w:rPr>
                <w:rFonts w:hint="eastAsia" w:ascii="宋体" w:hAnsi="宋体" w:eastAsia="宋体" w:cs="宋体"/>
                <w:sz w:val="24"/>
                <w:szCs w:val="24"/>
                <w:shd w:val="clear" w:color="auto" w:fill="FFFFFF"/>
                <w:lang w:val="en-US" w:eastAsia="zh-CN"/>
              </w:rPr>
              <w:t>满分</w:t>
            </w:r>
            <w:r>
              <w:rPr>
                <w:rFonts w:hint="eastAsia" w:ascii="宋体" w:hAnsi="宋体" w:cs="宋体"/>
                <w:sz w:val="24"/>
                <w:szCs w:val="24"/>
                <w:shd w:val="clear" w:color="auto" w:fill="FFFFFF"/>
                <w:lang w:val="en-US" w:eastAsia="zh-CN"/>
              </w:rPr>
              <w:t>6</w:t>
            </w:r>
            <w:r>
              <w:rPr>
                <w:rFonts w:hint="eastAsia" w:ascii="宋体" w:hAnsi="宋体" w:eastAsia="宋体" w:cs="宋体"/>
                <w:sz w:val="24"/>
                <w:szCs w:val="24"/>
                <w:shd w:val="clear" w:color="auto" w:fill="FFFFFF"/>
                <w:lang w:val="en-US" w:eastAsia="zh-CN"/>
              </w:rPr>
              <w:t>分，每缺少一项扣</w:t>
            </w:r>
            <w:r>
              <w:rPr>
                <w:rFonts w:hint="eastAsia" w:ascii="宋体" w:hAnsi="宋体" w:cs="宋体"/>
                <w:sz w:val="24"/>
                <w:szCs w:val="24"/>
                <w:shd w:val="clear" w:color="auto" w:fill="FFFFFF"/>
                <w:lang w:val="en-US" w:eastAsia="zh-CN"/>
              </w:rPr>
              <w:t>2</w:t>
            </w:r>
            <w:r>
              <w:rPr>
                <w:rFonts w:hint="eastAsia" w:ascii="宋体" w:hAnsi="宋体" w:eastAsia="宋体" w:cs="宋体"/>
                <w:sz w:val="24"/>
                <w:szCs w:val="24"/>
                <w:shd w:val="clear" w:color="auto" w:fill="FFFFFF"/>
                <w:lang w:val="en-US" w:eastAsia="zh-CN"/>
              </w:rPr>
              <w:t>分，</w:t>
            </w:r>
            <w:r>
              <w:rPr>
                <w:rFonts w:hint="eastAsia" w:ascii="宋体" w:hAnsi="宋体" w:eastAsia="宋体" w:cs="宋体"/>
                <w:sz w:val="24"/>
                <w:szCs w:val="24"/>
                <w:shd w:val="clear" w:color="auto" w:fill="FFFFFF"/>
              </w:rPr>
              <w:t>所提供的每项内容中每有一处具有缺陷的扣0.5分，未</w:t>
            </w:r>
            <w:r>
              <w:rPr>
                <w:rFonts w:hint="eastAsia" w:ascii="宋体" w:hAnsi="宋体" w:eastAsia="宋体" w:cs="宋体"/>
                <w:sz w:val="24"/>
                <w:szCs w:val="24"/>
                <w:shd w:val="clear" w:color="auto" w:fill="FFFFFF"/>
                <w:lang w:val="zh-CN"/>
              </w:rPr>
              <w:t>提供不得分。</w:t>
            </w:r>
          </w:p>
        </w:tc>
      </w:tr>
      <w:tr w14:paraId="0EBFC40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89" w:hRule="atLeast"/>
        </w:trPr>
        <w:tc>
          <w:tcPr>
            <w:tcW w:w="1200" w:type="dxa"/>
            <w:vMerge w:val="continue"/>
            <w:tcBorders>
              <w:bottom w:val="single" w:color="auto" w:sz="4" w:space="0"/>
              <w:right w:val="single" w:color="000000" w:sz="6" w:space="0"/>
            </w:tcBorders>
            <w:noWrap w:val="0"/>
            <w:vAlign w:val="center"/>
          </w:tcPr>
          <w:p w14:paraId="7E7C5D34">
            <w:pPr>
              <w:keepNext w:val="0"/>
              <w:keepLines w:val="0"/>
              <w:suppressLineNumbers w:val="0"/>
              <w:autoSpaceDE w:val="0"/>
              <w:autoSpaceDN w:val="0"/>
              <w:spacing w:before="0" w:beforeAutospacing="0" w:after="0" w:afterAutospacing="0" w:line="360" w:lineRule="auto"/>
              <w:ind w:left="0" w:right="0" w:firstLine="480" w:firstLineChars="200"/>
              <w:rPr>
                <w:rFonts w:hint="eastAsia" w:ascii="宋体" w:hAnsi="宋体" w:eastAsia="宋体" w:cs="宋体"/>
                <w:sz w:val="24"/>
                <w:szCs w:val="24"/>
                <w:shd w:val="clear" w:color="auto" w:fill="FFFFFF"/>
              </w:rPr>
            </w:pPr>
          </w:p>
        </w:tc>
        <w:tc>
          <w:tcPr>
            <w:tcW w:w="1271" w:type="dxa"/>
            <w:tcBorders>
              <w:top w:val="single" w:color="auto" w:sz="4" w:space="0"/>
              <w:left w:val="single" w:color="000000" w:sz="6" w:space="0"/>
              <w:bottom w:val="single" w:color="auto" w:sz="4" w:space="0"/>
              <w:right w:val="single" w:color="auto" w:sz="4" w:space="0"/>
            </w:tcBorders>
            <w:noWrap w:val="0"/>
            <w:vAlign w:val="center"/>
          </w:tcPr>
          <w:p w14:paraId="5D8AE934">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sz w:val="24"/>
                <w:szCs w:val="24"/>
                <w:shd w:val="clear" w:color="auto" w:fill="FFFFFF"/>
                <w:lang w:val="zh-CN" w:eastAsia="zh-CN"/>
              </w:rPr>
            </w:pPr>
            <w:r>
              <w:rPr>
                <w:rFonts w:hint="eastAsia" w:ascii="宋体" w:hAnsi="宋体" w:eastAsia="宋体" w:cs="宋体"/>
                <w:sz w:val="24"/>
                <w:szCs w:val="24"/>
                <w:shd w:val="clear" w:color="auto" w:fill="FFFFFF"/>
                <w:lang w:val="zh-CN"/>
              </w:rPr>
              <w:t>售后服务</w:t>
            </w:r>
          </w:p>
        </w:tc>
        <w:tc>
          <w:tcPr>
            <w:tcW w:w="1131" w:type="dxa"/>
            <w:tcBorders>
              <w:top w:val="single" w:color="000000" w:sz="6" w:space="0"/>
              <w:left w:val="single" w:color="auto" w:sz="4" w:space="0"/>
              <w:bottom w:val="single" w:color="000000" w:sz="6" w:space="0"/>
              <w:right w:val="single" w:color="000000" w:sz="6" w:space="0"/>
            </w:tcBorders>
            <w:noWrap w:val="0"/>
            <w:vAlign w:val="center"/>
          </w:tcPr>
          <w:p w14:paraId="344DA3AC">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sz w:val="24"/>
                <w:szCs w:val="24"/>
                <w:shd w:val="clear" w:color="auto" w:fill="FFFFFF"/>
                <w:lang w:val="zh-CN" w:eastAsia="zh-CN"/>
              </w:rPr>
            </w:pPr>
            <w:r>
              <w:rPr>
                <w:rFonts w:hint="eastAsia" w:ascii="宋体" w:hAnsi="宋体" w:eastAsia="宋体" w:cs="宋体"/>
                <w:sz w:val="24"/>
                <w:szCs w:val="24"/>
                <w:shd w:val="clear" w:color="auto" w:fill="FFFFFF"/>
                <w:lang w:val="en-US" w:eastAsia="zh-CN"/>
              </w:rPr>
              <w:t>8</w:t>
            </w:r>
            <w:r>
              <w:rPr>
                <w:rFonts w:hint="eastAsia" w:ascii="宋体" w:hAnsi="宋体" w:eastAsia="宋体" w:cs="宋体"/>
                <w:sz w:val="24"/>
                <w:szCs w:val="24"/>
                <w:shd w:val="clear" w:color="auto" w:fill="FFFFFF"/>
                <w:lang w:val="zh-CN"/>
              </w:rPr>
              <w:t>分</w:t>
            </w:r>
          </w:p>
        </w:tc>
        <w:tc>
          <w:tcPr>
            <w:tcW w:w="5606" w:type="dxa"/>
            <w:tcBorders>
              <w:top w:val="single" w:color="000000" w:sz="6" w:space="0"/>
              <w:left w:val="single" w:color="000000" w:sz="6" w:space="0"/>
              <w:bottom w:val="single" w:color="000000" w:sz="6" w:space="0"/>
            </w:tcBorders>
            <w:noWrap w:val="0"/>
            <w:vAlign w:val="center"/>
          </w:tcPr>
          <w:p w14:paraId="55CC7A07">
            <w:pPr>
              <w:keepNext w:val="0"/>
              <w:keepLines w:val="0"/>
              <w:numPr>
                <w:ilvl w:val="0"/>
                <w:numId w:val="4"/>
              </w:numPr>
              <w:suppressLineNumbers w:val="0"/>
              <w:autoSpaceDE w:val="0"/>
              <w:autoSpaceDN w:val="0"/>
              <w:spacing w:before="0" w:beforeAutospacing="0" w:after="0" w:afterAutospacing="0" w:line="360" w:lineRule="auto"/>
              <w:ind w:left="0" w:right="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lang w:val="en-US" w:eastAsia="zh-CN"/>
              </w:rPr>
              <w:t>制定</w:t>
            </w:r>
            <w:r>
              <w:rPr>
                <w:rFonts w:hint="eastAsia" w:ascii="宋体" w:hAnsi="宋体" w:eastAsia="宋体" w:cs="宋体"/>
                <w:sz w:val="24"/>
                <w:szCs w:val="24"/>
                <w:shd w:val="clear" w:color="auto" w:fill="FFFFFF"/>
              </w:rPr>
              <w:t>本项目</w:t>
            </w:r>
            <w:r>
              <w:rPr>
                <w:rFonts w:hint="eastAsia" w:ascii="宋体" w:hAnsi="宋体" w:eastAsia="宋体" w:cs="宋体"/>
                <w:sz w:val="24"/>
                <w:szCs w:val="24"/>
                <w:shd w:val="clear" w:color="auto" w:fill="FFFFFF"/>
                <w:lang w:val="en-US" w:eastAsia="zh-CN"/>
              </w:rPr>
              <w:t>售后</w:t>
            </w:r>
            <w:r>
              <w:rPr>
                <w:rFonts w:hint="eastAsia" w:ascii="宋体" w:hAnsi="宋体" w:cs="宋体"/>
                <w:sz w:val="24"/>
                <w:szCs w:val="24"/>
                <w:shd w:val="clear" w:color="auto" w:fill="FFFFFF"/>
                <w:lang w:val="en-US" w:eastAsia="zh-CN"/>
              </w:rPr>
              <w:t>服务</w:t>
            </w:r>
            <w:r>
              <w:rPr>
                <w:rFonts w:hint="eastAsia" w:ascii="宋体" w:hAnsi="宋体" w:eastAsia="宋体" w:cs="宋体"/>
                <w:sz w:val="24"/>
                <w:szCs w:val="24"/>
                <w:shd w:val="clear" w:color="auto" w:fill="FFFFFF"/>
                <w:lang w:val="en-US" w:eastAsia="zh-CN"/>
              </w:rPr>
              <w:t>方案</w:t>
            </w:r>
            <w:r>
              <w:rPr>
                <w:rFonts w:hint="eastAsia" w:ascii="宋体" w:hAnsi="宋体" w:eastAsia="宋体" w:cs="宋体"/>
                <w:sz w:val="24"/>
                <w:szCs w:val="24"/>
                <w:shd w:val="clear" w:color="auto" w:fill="FFFFFF"/>
              </w:rPr>
              <w:t>；方案内</w:t>
            </w:r>
            <w:r>
              <w:rPr>
                <w:rFonts w:hint="eastAsia" w:ascii="宋体" w:hAnsi="宋体" w:eastAsia="宋体" w:cs="宋体"/>
                <w:b w:val="0"/>
                <w:bCs w:val="0"/>
                <w:color w:val="auto"/>
                <w:sz w:val="24"/>
                <w:szCs w:val="24"/>
                <w:shd w:val="clear" w:color="auto" w:fill="FFFFFF"/>
              </w:rPr>
              <w:t>容</w:t>
            </w:r>
            <w:r>
              <w:rPr>
                <w:rFonts w:hint="eastAsia" w:ascii="宋体" w:hAnsi="宋体" w:eastAsia="宋体" w:cs="宋体"/>
                <w:b w:val="0"/>
                <w:bCs w:val="0"/>
                <w:color w:val="auto"/>
                <w:sz w:val="24"/>
                <w:szCs w:val="24"/>
                <w:shd w:val="clear" w:color="auto" w:fill="FFFFFF"/>
                <w:lang w:val="en-US" w:eastAsia="zh-CN"/>
              </w:rPr>
              <w:t>包括</w:t>
            </w:r>
            <w:r>
              <w:rPr>
                <w:rFonts w:hint="eastAsia" w:ascii="宋体" w:hAnsi="宋体" w:eastAsia="宋体" w:cs="宋体"/>
                <w:b w:val="0"/>
                <w:bCs w:val="0"/>
                <w:i w:val="0"/>
                <w:iCs w:val="0"/>
                <w:color w:val="auto"/>
                <w:kern w:val="0"/>
                <w:sz w:val="24"/>
                <w:szCs w:val="24"/>
                <w:u w:val="none"/>
                <w:lang w:val="en-US" w:eastAsia="zh-CN" w:bidi="ar"/>
              </w:rPr>
              <w:t>①</w:t>
            </w:r>
            <w:r>
              <w:rPr>
                <w:rFonts w:hint="eastAsia" w:ascii="宋体" w:hAnsi="宋体" w:eastAsia="宋体" w:cs="宋体"/>
                <w:b w:val="0"/>
                <w:bCs w:val="0"/>
                <w:color w:val="auto"/>
                <w:sz w:val="24"/>
                <w:szCs w:val="24"/>
                <w:shd w:val="clear" w:color="auto" w:fill="FFFFFF"/>
                <w:lang w:val="en-US" w:eastAsia="zh-CN"/>
              </w:rPr>
              <w:t>后期项目运维</w:t>
            </w:r>
            <w:r>
              <w:rPr>
                <w:rFonts w:hint="eastAsia" w:ascii="宋体" w:hAnsi="宋体" w:cs="宋体"/>
                <w:b w:val="0"/>
                <w:bCs w:val="0"/>
                <w:color w:val="auto"/>
                <w:sz w:val="24"/>
                <w:szCs w:val="24"/>
                <w:shd w:val="clear" w:color="auto" w:fill="FFFFFF"/>
                <w:lang w:val="en-US" w:eastAsia="zh-CN"/>
              </w:rPr>
              <w:t>计划</w:t>
            </w:r>
            <w:r>
              <w:rPr>
                <w:rFonts w:hint="eastAsia" w:ascii="宋体" w:hAnsi="宋体" w:eastAsia="宋体" w:cs="宋体"/>
                <w:b w:val="0"/>
                <w:bCs w:val="0"/>
                <w:color w:val="auto"/>
                <w:sz w:val="24"/>
                <w:szCs w:val="24"/>
                <w:shd w:val="clear" w:color="auto" w:fill="FFFFFF"/>
                <w:lang w:val="en-US" w:eastAsia="zh-CN"/>
              </w:rPr>
              <w:t>方案</w:t>
            </w:r>
            <w:r>
              <w:rPr>
                <w:rFonts w:hint="eastAsia" w:ascii="宋体" w:hAnsi="宋体" w:eastAsia="宋体" w:cs="宋体"/>
                <w:b w:val="0"/>
                <w:bCs w:val="0"/>
                <w:i w:val="0"/>
                <w:iCs w:val="0"/>
                <w:color w:val="auto"/>
                <w:kern w:val="0"/>
                <w:sz w:val="24"/>
                <w:szCs w:val="24"/>
                <w:u w:val="none"/>
                <w:lang w:val="en-US" w:eastAsia="zh-CN" w:bidi="ar"/>
              </w:rPr>
              <w:t>；②</w:t>
            </w:r>
            <w:r>
              <w:rPr>
                <w:rFonts w:hint="eastAsia" w:ascii="宋体" w:hAnsi="宋体" w:cs="宋体"/>
                <w:b w:val="0"/>
                <w:bCs w:val="0"/>
                <w:i w:val="0"/>
                <w:iCs w:val="0"/>
                <w:color w:val="auto"/>
                <w:kern w:val="0"/>
                <w:sz w:val="24"/>
                <w:szCs w:val="24"/>
                <w:u w:val="none"/>
                <w:lang w:val="en-US" w:eastAsia="zh-CN" w:bidi="ar"/>
              </w:rPr>
              <w:t>突发情况处置细则</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③</w:t>
            </w:r>
            <w:r>
              <w:rPr>
                <w:rFonts w:hint="eastAsia" w:ascii="宋体" w:hAnsi="宋体" w:eastAsia="宋体" w:cs="宋体"/>
                <w:i w:val="0"/>
                <w:iCs w:val="0"/>
                <w:color w:val="000000"/>
                <w:kern w:val="0"/>
                <w:sz w:val="24"/>
                <w:szCs w:val="24"/>
                <w:u w:val="none"/>
                <w:lang w:val="en-US" w:eastAsia="zh-CN" w:bidi="ar"/>
              </w:rPr>
              <w:t>售后服务方式及售后</w:t>
            </w:r>
            <w:r>
              <w:rPr>
                <w:rFonts w:hint="eastAsia" w:ascii="宋体" w:hAnsi="宋体" w:cs="宋体"/>
                <w:i w:val="0"/>
                <w:iCs w:val="0"/>
                <w:color w:val="000000"/>
                <w:kern w:val="0"/>
                <w:sz w:val="24"/>
                <w:szCs w:val="24"/>
                <w:u w:val="none"/>
                <w:lang w:val="en-US" w:eastAsia="zh-CN" w:bidi="ar"/>
              </w:rPr>
              <w:t>服务承诺</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sz w:val="24"/>
                <w:szCs w:val="24"/>
                <w:shd w:val="clear" w:color="auto" w:fill="FFFFFF"/>
                <w:lang w:val="zh-CN"/>
              </w:rPr>
              <w:t>每缺少一项内容扣</w:t>
            </w:r>
            <w:r>
              <w:rPr>
                <w:rFonts w:hint="eastAsia" w:ascii="宋体" w:hAnsi="宋体" w:cs="宋体"/>
                <w:sz w:val="24"/>
                <w:szCs w:val="24"/>
                <w:shd w:val="clear" w:color="auto" w:fill="FFFFFF"/>
                <w:lang w:val="en-US" w:eastAsia="zh-CN"/>
              </w:rPr>
              <w:t>2</w:t>
            </w:r>
            <w:r>
              <w:rPr>
                <w:rFonts w:hint="eastAsia" w:ascii="宋体" w:hAnsi="宋体" w:eastAsia="宋体" w:cs="宋体"/>
                <w:sz w:val="24"/>
                <w:szCs w:val="24"/>
                <w:shd w:val="clear" w:color="auto" w:fill="FFFFFF"/>
                <w:lang w:val="zh-CN"/>
              </w:rPr>
              <w:t>分，</w:t>
            </w:r>
            <w:r>
              <w:rPr>
                <w:rFonts w:hint="eastAsia" w:ascii="宋体" w:hAnsi="宋体" w:eastAsia="宋体" w:cs="宋体"/>
                <w:sz w:val="24"/>
                <w:szCs w:val="24"/>
                <w:shd w:val="clear" w:color="auto" w:fill="FFFFFF"/>
                <w:lang w:val="en-US" w:eastAsia="zh-CN"/>
              </w:rPr>
              <w:t>满分</w:t>
            </w:r>
            <w:r>
              <w:rPr>
                <w:rFonts w:hint="eastAsia" w:ascii="宋体" w:hAnsi="宋体" w:cs="宋体"/>
                <w:sz w:val="24"/>
                <w:szCs w:val="24"/>
                <w:shd w:val="clear" w:color="auto" w:fill="FFFFFF"/>
                <w:lang w:val="en-US" w:eastAsia="zh-CN"/>
              </w:rPr>
              <w:t>6</w:t>
            </w:r>
            <w:r>
              <w:rPr>
                <w:rFonts w:hint="eastAsia" w:ascii="宋体" w:hAnsi="宋体" w:eastAsia="宋体" w:cs="宋体"/>
                <w:sz w:val="24"/>
                <w:szCs w:val="24"/>
                <w:shd w:val="clear" w:color="auto" w:fill="FFFFFF"/>
                <w:lang w:val="en-US" w:eastAsia="zh-CN"/>
              </w:rPr>
              <w:t>分，</w:t>
            </w:r>
            <w:r>
              <w:rPr>
                <w:rFonts w:hint="eastAsia" w:ascii="宋体" w:hAnsi="宋体" w:eastAsia="宋体" w:cs="宋体"/>
                <w:sz w:val="24"/>
                <w:szCs w:val="24"/>
                <w:shd w:val="clear" w:color="auto" w:fill="FFFFFF"/>
                <w:lang w:val="zh-CN"/>
              </w:rPr>
              <w:t>所提供的每项内容中每有一处具有缺陷的扣</w:t>
            </w:r>
            <w:r>
              <w:rPr>
                <w:rFonts w:hint="eastAsia" w:ascii="宋体" w:hAnsi="宋体" w:eastAsia="宋体" w:cs="宋体"/>
                <w:sz w:val="24"/>
                <w:szCs w:val="24"/>
                <w:shd w:val="clear" w:color="auto" w:fill="FFFFFF"/>
                <w:lang w:val="en-US" w:eastAsia="zh-CN"/>
              </w:rPr>
              <w:t>0.5</w:t>
            </w:r>
            <w:r>
              <w:rPr>
                <w:rFonts w:hint="eastAsia" w:ascii="宋体" w:hAnsi="宋体" w:eastAsia="宋体" w:cs="宋体"/>
                <w:sz w:val="24"/>
                <w:szCs w:val="24"/>
                <w:shd w:val="clear" w:color="auto" w:fill="FFFFFF"/>
                <w:lang w:val="zh-CN"/>
              </w:rPr>
              <w:t>分；</w:t>
            </w:r>
            <w:r>
              <w:rPr>
                <w:rFonts w:hint="eastAsia" w:ascii="宋体" w:hAnsi="宋体" w:eastAsia="宋体" w:cs="宋体"/>
                <w:sz w:val="24"/>
                <w:szCs w:val="24"/>
                <w:shd w:val="clear" w:color="auto" w:fill="FFFFFF"/>
                <w:lang w:val="en-US" w:eastAsia="zh-CN"/>
              </w:rPr>
              <w:t>未</w:t>
            </w:r>
            <w:r>
              <w:rPr>
                <w:rFonts w:hint="eastAsia" w:ascii="宋体" w:hAnsi="宋体" w:eastAsia="宋体" w:cs="宋体"/>
                <w:sz w:val="24"/>
                <w:szCs w:val="24"/>
                <w:shd w:val="clear" w:color="auto" w:fill="FFFFFF"/>
              </w:rPr>
              <w:t>提供不得分。</w:t>
            </w:r>
          </w:p>
          <w:p w14:paraId="3DA1ED31">
            <w:pPr>
              <w:keepNext w:val="0"/>
              <w:keepLines w:val="0"/>
              <w:numPr>
                <w:ilvl w:val="0"/>
                <w:numId w:val="0"/>
              </w:numPr>
              <w:suppressLineNumbers w:val="0"/>
              <w:autoSpaceDE w:val="0"/>
              <w:autoSpaceDN w:val="0"/>
              <w:spacing w:before="0" w:beforeAutospacing="0" w:after="0" w:afterAutospacing="0" w:line="360" w:lineRule="auto"/>
              <w:ind w:left="0" w:right="0" w:rightChars="0"/>
              <w:rPr>
                <w:rFonts w:hint="default" w:ascii="宋体" w:hAnsi="宋体" w:eastAsia="宋体" w:cs="宋体"/>
                <w:sz w:val="24"/>
                <w:szCs w:val="24"/>
                <w:shd w:val="clear" w:color="auto" w:fill="FFFFFF"/>
                <w:lang w:val="en-US" w:eastAsia="zh-CN"/>
              </w:rPr>
            </w:pPr>
            <w:r>
              <w:rPr>
                <w:rFonts w:hint="eastAsia" w:ascii="宋体" w:hAnsi="宋体" w:cs="宋体"/>
                <w:sz w:val="24"/>
                <w:szCs w:val="24"/>
                <w:shd w:val="clear" w:color="auto" w:fill="FFFFFF"/>
                <w:lang w:val="en-US" w:eastAsia="zh-CN"/>
              </w:rPr>
              <w:t>2.售后服务团队在2人的基础上，每增加1人得0.5分；满分2分，未提供不得分。</w:t>
            </w:r>
          </w:p>
        </w:tc>
      </w:tr>
      <w:tr w14:paraId="0687B25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39" w:hRule="atLeast"/>
        </w:trPr>
        <w:tc>
          <w:tcPr>
            <w:tcW w:w="9208" w:type="dxa"/>
            <w:gridSpan w:val="4"/>
            <w:noWrap w:val="0"/>
            <w:vAlign w:val="center"/>
          </w:tcPr>
          <w:p w14:paraId="3E9F48CA">
            <w:pPr>
              <w:keepNext w:val="0"/>
              <w:keepLines w:val="0"/>
              <w:suppressLineNumbers w:val="0"/>
              <w:autoSpaceDE w:val="0"/>
              <w:autoSpaceDN w:val="0"/>
              <w:spacing w:before="0" w:beforeAutospacing="0" w:after="0" w:afterAutospacing="0" w:line="360" w:lineRule="auto"/>
              <w:ind w:left="0" w:right="0" w:firstLine="480" w:firstLineChars="200"/>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val="en-US" w:eastAsia="zh-CN"/>
              </w:rPr>
              <w:t>注：</w:t>
            </w:r>
            <w:r>
              <w:rPr>
                <w:rFonts w:hint="eastAsia" w:ascii="宋体" w:hAnsi="宋体" w:eastAsia="宋体" w:cs="宋体"/>
                <w:sz w:val="24"/>
                <w:szCs w:val="24"/>
                <w:shd w:val="clear" w:color="auto" w:fill="FFFFFF"/>
                <w:lang w:val="zh-CN"/>
              </w:rPr>
              <w:t>缺陷是指内容前后不一致、前后逻辑错误、地点区域错误、内容缺失、不符合采购需求、只有简单描述无实质性内容。</w:t>
            </w:r>
          </w:p>
        </w:tc>
      </w:tr>
    </w:tbl>
    <w:p w14:paraId="4D89D22F"/>
    <w:p w14:paraId="3F268BFB">
      <w:pPr>
        <w:autoSpaceDE w:val="0"/>
        <w:autoSpaceDN w:val="0"/>
        <w:spacing w:line="360" w:lineRule="auto"/>
        <w:ind w:firstLine="482" w:firstLineChars="200"/>
        <w:jc w:val="both"/>
        <w:rPr>
          <w:rFonts w:hint="eastAsia" w:ascii="宋体" w:hAnsi="宋体" w:eastAsia="宋体" w:cs="宋体"/>
          <w:color w:val="000000"/>
          <w:shd w:val="clear" w:color="auto" w:fill="FFFFFF"/>
        </w:rPr>
      </w:pPr>
      <w:r>
        <w:rPr>
          <w:rFonts w:hint="eastAsia" w:ascii="宋体" w:hAnsi="宋体" w:eastAsia="宋体" w:cs="宋体"/>
          <w:b/>
          <w:bCs/>
          <w:color w:val="000000"/>
          <w:sz w:val="24"/>
          <w:szCs w:val="32"/>
          <w:lang w:val="zh-CN"/>
        </w:rPr>
        <w:br w:type="page"/>
      </w:r>
      <w:r>
        <w:rPr>
          <w:rFonts w:hint="eastAsia" w:ascii="宋体" w:hAnsi="宋体" w:eastAsia="宋体" w:cs="宋体"/>
          <w:color w:val="000000"/>
          <w:kern w:val="0"/>
        </w:rPr>
        <w:t>20</w:t>
      </w:r>
      <w:r>
        <w:rPr>
          <w:rFonts w:hint="eastAsia" w:ascii="宋体" w:hAnsi="宋体" w:eastAsia="宋体" w:cs="宋体"/>
          <w:color w:val="000000"/>
          <w:kern w:val="0"/>
          <w:lang w:val="zh-CN"/>
        </w:rPr>
        <w:t>.2</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本次评审方法采用综合评分法</w:t>
      </w:r>
      <w:r>
        <w:rPr>
          <w:rFonts w:hint="eastAsia" w:ascii="宋体" w:hAnsi="宋体" w:eastAsia="宋体" w:cs="宋体"/>
          <w:color w:val="000000"/>
          <w:kern w:val="0"/>
        </w:rPr>
        <w:t>。</w:t>
      </w:r>
    </w:p>
    <w:p w14:paraId="401D3E19">
      <w:pPr>
        <w:autoSpaceDE w:val="0"/>
        <w:autoSpaceDN w:val="0"/>
        <w:spacing w:line="360" w:lineRule="auto"/>
        <w:ind w:firstLine="480" w:firstLineChars="200"/>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20.3 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87D2151">
      <w:pPr>
        <w:autoSpaceDE w:val="0"/>
        <w:autoSpaceDN w:val="0"/>
        <w:spacing w:line="360" w:lineRule="auto"/>
        <w:ind w:firstLine="480" w:firstLineChars="200"/>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20.4 评标结果汇总完成后，除下列情形外，任何人不得修改评标结果：</w:t>
      </w:r>
    </w:p>
    <w:p w14:paraId="233580A8">
      <w:pPr>
        <w:autoSpaceDE w:val="0"/>
        <w:autoSpaceDN w:val="0"/>
        <w:spacing w:line="360" w:lineRule="auto"/>
        <w:ind w:firstLine="480" w:firstLineChars="200"/>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（1）分值汇总计算错误的；</w:t>
      </w:r>
    </w:p>
    <w:p w14:paraId="2D360A19">
      <w:pPr>
        <w:autoSpaceDE w:val="0"/>
        <w:autoSpaceDN w:val="0"/>
        <w:spacing w:line="360" w:lineRule="auto"/>
        <w:ind w:firstLine="480" w:firstLineChars="200"/>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（2）分项评分超出评分标准范围的；</w:t>
      </w:r>
    </w:p>
    <w:p w14:paraId="1982B481">
      <w:pPr>
        <w:autoSpaceDE w:val="0"/>
        <w:autoSpaceDN w:val="0"/>
        <w:spacing w:line="360" w:lineRule="auto"/>
        <w:ind w:firstLine="480" w:firstLineChars="200"/>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（3）评标委员会成员对客观评审因素评分不一致的；</w:t>
      </w:r>
    </w:p>
    <w:p w14:paraId="3391BD79">
      <w:pPr>
        <w:autoSpaceDE w:val="0"/>
        <w:autoSpaceDN w:val="0"/>
        <w:spacing w:line="360" w:lineRule="auto"/>
        <w:ind w:firstLine="480" w:firstLineChars="200"/>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（4）经评标委员会认定评分畸高、畸低的。</w:t>
      </w:r>
    </w:p>
    <w:p w14:paraId="0DE84A04">
      <w:pPr>
        <w:autoSpaceDE w:val="0"/>
        <w:autoSpaceDN w:val="0"/>
        <w:spacing w:line="360" w:lineRule="auto"/>
        <w:ind w:firstLine="480" w:firstLineChars="200"/>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614406AB">
      <w:pPr>
        <w:autoSpaceDE w:val="0"/>
        <w:autoSpaceDN w:val="0"/>
        <w:spacing w:line="360" w:lineRule="auto"/>
        <w:ind w:firstLine="480" w:firstLineChars="200"/>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投标人对以上情形提出质疑的，采购人或者采购代理机构可以组织原评标委员会进行重新评审，重新评审改变评标结果的，应当书面报告本级财政部门。</w:t>
      </w:r>
    </w:p>
    <w:p w14:paraId="3D103B8E">
      <w:pPr>
        <w:pStyle w:val="23"/>
        <w:spacing w:before="0" w:after="0" w:line="360" w:lineRule="auto"/>
        <w:rPr>
          <w:rFonts w:hint="eastAsia" w:ascii="宋体" w:hAnsi="宋体" w:eastAsia="宋体" w:cs="宋体"/>
          <w:color w:val="000000"/>
          <w:lang w:val="zh-CN"/>
        </w:rPr>
      </w:pPr>
      <w:bookmarkStart w:id="35" w:name="_Toc26146"/>
      <w:r>
        <w:rPr>
          <w:rFonts w:hint="eastAsia" w:ascii="宋体" w:hAnsi="宋体" w:eastAsia="宋体" w:cs="宋体"/>
          <w:color w:val="000000"/>
          <w:lang w:val="zh-CN"/>
        </w:rPr>
        <w:t>八、中标</w:t>
      </w:r>
      <w:bookmarkEnd w:id="35"/>
    </w:p>
    <w:p w14:paraId="3577DC9D">
      <w:pPr>
        <w:pStyle w:val="23"/>
        <w:spacing w:before="0" w:after="0" w:line="360" w:lineRule="auto"/>
        <w:jc w:val="left"/>
        <w:rPr>
          <w:rFonts w:hint="eastAsia" w:ascii="宋体" w:hAnsi="宋体" w:eastAsia="宋体" w:cs="宋体"/>
          <w:color w:val="000000"/>
          <w:lang w:val="zh-CN"/>
        </w:rPr>
      </w:pPr>
      <w:bookmarkStart w:id="36" w:name="_Toc14387"/>
      <w:r>
        <w:rPr>
          <w:rFonts w:hint="eastAsia" w:ascii="宋体" w:hAnsi="宋体" w:eastAsia="宋体" w:cs="宋体"/>
          <w:color w:val="000000"/>
          <w:sz w:val="28"/>
          <w:szCs w:val="28"/>
          <w:lang w:val="zh-CN"/>
        </w:rPr>
        <w:t>2</w:t>
      </w:r>
      <w:r>
        <w:rPr>
          <w:rFonts w:hint="eastAsia" w:ascii="宋体" w:hAnsi="宋体" w:eastAsia="宋体" w:cs="宋体"/>
          <w:color w:val="000000"/>
          <w:sz w:val="28"/>
          <w:szCs w:val="28"/>
        </w:rPr>
        <w:t>1</w:t>
      </w:r>
      <w:r>
        <w:rPr>
          <w:rFonts w:hint="eastAsia" w:ascii="宋体" w:hAnsi="宋体" w:eastAsia="宋体" w:cs="宋体"/>
          <w:color w:val="000000"/>
          <w:sz w:val="28"/>
          <w:szCs w:val="28"/>
          <w:lang w:val="zh-CN"/>
        </w:rPr>
        <w:t>.推荐并确定中标人</w:t>
      </w:r>
      <w:bookmarkEnd w:id="36"/>
    </w:p>
    <w:p w14:paraId="51710A62">
      <w:pPr>
        <w:autoSpaceDE w:val="0"/>
        <w:autoSpaceDN w:val="0"/>
        <w:spacing w:line="360" w:lineRule="auto"/>
        <w:ind w:firstLine="480" w:firstLineChars="200"/>
        <w:rPr>
          <w:rFonts w:hint="eastAsia" w:ascii="宋体" w:hAnsi="宋体" w:eastAsia="宋体" w:cs="宋体"/>
          <w:color w:val="000000"/>
        </w:rPr>
      </w:pPr>
      <w:r>
        <w:rPr>
          <w:rFonts w:hint="eastAsia" w:ascii="宋体" w:hAnsi="宋体" w:eastAsia="宋体" w:cs="宋体"/>
          <w:color w:val="000000"/>
        </w:rPr>
        <w:t>21.1 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6EA01CAA">
      <w:pPr>
        <w:autoSpaceDE w:val="0"/>
        <w:autoSpaceDN w:val="0"/>
        <w:spacing w:line="360" w:lineRule="auto"/>
        <w:ind w:firstLine="480" w:firstLineChars="200"/>
        <w:rPr>
          <w:rFonts w:hint="eastAsia" w:ascii="宋体" w:hAnsi="宋体" w:eastAsia="宋体" w:cs="宋体"/>
          <w:color w:val="000000"/>
        </w:rPr>
      </w:pPr>
      <w:r>
        <w:rPr>
          <w:rFonts w:hint="eastAsia" w:ascii="宋体" w:hAnsi="宋体" w:eastAsia="宋体" w:cs="宋体"/>
          <w:color w:val="000000"/>
        </w:rPr>
        <w:t>21.2 采购人自行组织招标的，应当在评标结束后5个工作日内确定中标人。</w:t>
      </w:r>
    </w:p>
    <w:p w14:paraId="017E3DC8">
      <w:pPr>
        <w:autoSpaceDE w:val="0"/>
        <w:autoSpaceDN w:val="0"/>
        <w:spacing w:line="360" w:lineRule="auto"/>
        <w:ind w:firstLine="480" w:firstLineChars="200"/>
        <w:rPr>
          <w:rFonts w:hint="eastAsia" w:ascii="宋体" w:hAnsi="宋体" w:eastAsia="宋体" w:cs="宋体"/>
          <w:color w:val="000000"/>
        </w:rPr>
      </w:pPr>
      <w:r>
        <w:rPr>
          <w:rFonts w:hint="eastAsia" w:ascii="宋体" w:hAnsi="宋体" w:eastAsia="宋体" w:cs="宋体"/>
          <w:color w:val="000000"/>
        </w:rPr>
        <w:t>21.3 采购人在收到评标报告5个工作日内未按评标报告推荐的中标候选人顺序确定中标人，又不能说明合法理由的，视同按评标报告推荐的顺序确定排名第一的中标候选人为中标人。</w:t>
      </w:r>
    </w:p>
    <w:p w14:paraId="510BE769">
      <w:pPr>
        <w:pStyle w:val="23"/>
        <w:spacing w:before="0" w:after="0" w:line="360" w:lineRule="auto"/>
        <w:jc w:val="left"/>
        <w:rPr>
          <w:rFonts w:hint="eastAsia" w:ascii="宋体" w:hAnsi="宋体" w:eastAsia="宋体" w:cs="宋体"/>
          <w:color w:val="000000"/>
          <w:lang w:val="zh-CN"/>
        </w:rPr>
      </w:pPr>
      <w:bookmarkStart w:id="37" w:name="_Toc31783"/>
      <w:r>
        <w:rPr>
          <w:rFonts w:hint="eastAsia" w:ascii="宋体" w:hAnsi="宋体" w:eastAsia="宋体" w:cs="宋体"/>
          <w:color w:val="000000"/>
          <w:sz w:val="28"/>
          <w:szCs w:val="28"/>
          <w:lang w:val="zh-CN"/>
        </w:rPr>
        <w:t>2</w:t>
      </w:r>
      <w:r>
        <w:rPr>
          <w:rFonts w:hint="eastAsia" w:ascii="宋体" w:hAnsi="宋体" w:eastAsia="宋体" w:cs="宋体"/>
          <w:color w:val="000000"/>
          <w:sz w:val="28"/>
          <w:szCs w:val="28"/>
        </w:rPr>
        <w:t>2</w:t>
      </w:r>
      <w:r>
        <w:rPr>
          <w:rFonts w:hint="eastAsia" w:ascii="宋体" w:hAnsi="宋体" w:eastAsia="宋体" w:cs="宋体"/>
          <w:color w:val="000000"/>
          <w:sz w:val="28"/>
          <w:szCs w:val="28"/>
          <w:lang w:val="zh-CN"/>
        </w:rPr>
        <w:t>.中标通知</w:t>
      </w:r>
      <w:bookmarkEnd w:id="37"/>
    </w:p>
    <w:p w14:paraId="40BD15FE">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22.1 采购人或者采购代理机构应当自中标人确定之日起2个工作日内，在省级以上财政部门指定的媒体上公告中标结果。</w:t>
      </w:r>
    </w:p>
    <w:p w14:paraId="11045DD9">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14:paraId="40C2C95E">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22.3 中标公告期限为1个工作日。</w:t>
      </w:r>
    </w:p>
    <w:p w14:paraId="5B59B82A">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22.4 在公告中标结果的同时，</w:t>
      </w:r>
      <w:r>
        <w:rPr>
          <w:rFonts w:hint="eastAsia" w:ascii="宋体" w:hAnsi="宋体" w:eastAsia="宋体" w:cs="宋体"/>
          <w:color w:val="000000"/>
          <w:shd w:val="clear" w:color="auto" w:fill="FFFFFF"/>
        </w:rPr>
        <w:t>采购代理机构</w:t>
      </w:r>
      <w:r>
        <w:rPr>
          <w:rFonts w:hint="eastAsia" w:ascii="宋体" w:hAnsi="宋体" w:eastAsia="宋体" w:cs="宋体"/>
          <w:color w:val="000000"/>
          <w:kern w:val="0"/>
        </w:rPr>
        <w:t>应当向中标人发出中标通知书；对投标无效的投标人，采购人或采购代理机构应当告知其投标无效的原因；采用综合评分法评审的，还应当告知未中标人本人的评审得分与排序。</w:t>
      </w:r>
    </w:p>
    <w:p w14:paraId="2FEA6A38">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22.5 中标通知书发出后，采购人不得违法改变中标结果，中标人无正当理由不得放弃中标。</w:t>
      </w:r>
    </w:p>
    <w:p w14:paraId="7AEB9FF2">
      <w:pPr>
        <w:pStyle w:val="23"/>
        <w:spacing w:before="0" w:after="0" w:line="360" w:lineRule="auto"/>
        <w:rPr>
          <w:rFonts w:hint="eastAsia" w:ascii="宋体" w:hAnsi="宋体" w:eastAsia="宋体" w:cs="宋体"/>
          <w:color w:val="000000"/>
          <w:lang w:val="zh-CN"/>
        </w:rPr>
      </w:pPr>
      <w:bookmarkStart w:id="38" w:name="_Toc22020"/>
      <w:r>
        <w:rPr>
          <w:rFonts w:hint="eastAsia" w:ascii="宋体" w:hAnsi="宋体" w:eastAsia="宋体" w:cs="宋体"/>
          <w:color w:val="000000"/>
          <w:lang w:val="zh-CN"/>
        </w:rPr>
        <w:t>九、授予合同</w:t>
      </w:r>
      <w:bookmarkEnd w:id="38"/>
    </w:p>
    <w:p w14:paraId="06AF0F6B">
      <w:pPr>
        <w:pStyle w:val="23"/>
        <w:spacing w:before="0" w:after="0" w:line="360" w:lineRule="auto"/>
        <w:jc w:val="left"/>
        <w:rPr>
          <w:rFonts w:hint="eastAsia" w:ascii="宋体" w:hAnsi="宋体" w:eastAsia="宋体" w:cs="宋体"/>
          <w:color w:val="000000"/>
          <w:kern w:val="0"/>
          <w:sz w:val="24"/>
        </w:rPr>
      </w:pPr>
      <w:bookmarkStart w:id="39" w:name="_Toc6832"/>
      <w:r>
        <w:rPr>
          <w:rFonts w:hint="eastAsia" w:ascii="宋体" w:hAnsi="宋体" w:eastAsia="宋体" w:cs="宋体"/>
          <w:color w:val="000000"/>
          <w:sz w:val="28"/>
          <w:szCs w:val="28"/>
          <w:lang w:val="zh-CN"/>
        </w:rPr>
        <w:t>2</w:t>
      </w:r>
      <w:r>
        <w:rPr>
          <w:rFonts w:hint="eastAsia" w:ascii="宋体" w:hAnsi="宋体" w:eastAsia="宋体" w:cs="宋体"/>
          <w:color w:val="000000"/>
          <w:sz w:val="28"/>
          <w:szCs w:val="28"/>
        </w:rPr>
        <w:t>3</w:t>
      </w:r>
      <w:r>
        <w:rPr>
          <w:rFonts w:hint="eastAsia" w:ascii="宋体" w:hAnsi="宋体" w:eastAsia="宋体" w:cs="宋体"/>
          <w:color w:val="000000"/>
          <w:sz w:val="28"/>
          <w:szCs w:val="28"/>
          <w:lang w:val="zh-CN"/>
        </w:rPr>
        <w:t>.签订合同</w:t>
      </w:r>
      <w:bookmarkEnd w:id="39"/>
    </w:p>
    <w:p w14:paraId="14D6C672">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lang w:val="zh-CN"/>
        </w:rPr>
        <w:t>2</w:t>
      </w:r>
      <w:r>
        <w:rPr>
          <w:rFonts w:hint="eastAsia" w:ascii="宋体" w:hAnsi="宋体" w:eastAsia="宋体" w:cs="宋体"/>
          <w:color w:val="000000"/>
          <w:kern w:val="0"/>
        </w:rPr>
        <w:t>3</w:t>
      </w:r>
      <w:r>
        <w:rPr>
          <w:rFonts w:hint="eastAsia" w:ascii="宋体" w:hAnsi="宋体" w:eastAsia="宋体" w:cs="宋体"/>
          <w:color w:val="000000"/>
          <w:kern w:val="0"/>
          <w:lang w:val="zh-CN"/>
        </w:rPr>
        <w:t>.1</w:t>
      </w:r>
      <w:r>
        <w:rPr>
          <w:rFonts w:hint="eastAsia" w:ascii="宋体" w:hAnsi="宋体" w:eastAsia="宋体" w:cs="宋体"/>
          <w:color w:val="000000"/>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14:paraId="428B075F">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采购人不得向中标人提出任何不合理的要求作为签订合同的条件。</w:t>
      </w:r>
    </w:p>
    <w:p w14:paraId="2E7D9EAB">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2</w:t>
      </w:r>
      <w:r>
        <w:rPr>
          <w:rFonts w:hint="eastAsia" w:ascii="宋体" w:hAnsi="宋体" w:eastAsia="宋体" w:cs="宋体"/>
          <w:color w:val="000000"/>
          <w:kern w:val="0"/>
        </w:rPr>
        <w:t>3</w:t>
      </w:r>
      <w:r>
        <w:rPr>
          <w:rFonts w:hint="eastAsia" w:ascii="宋体" w:hAnsi="宋体" w:eastAsia="宋体" w:cs="宋体"/>
          <w:color w:val="000000"/>
          <w:kern w:val="0"/>
          <w:lang w:val="zh-CN"/>
        </w:rPr>
        <w:t>.2 签订合同时，可将中标人的投标保证金转为中标人的履约保证金或中标人应当以支票、汇票、本票等非现金形式向采购人指定的账户交纳履约保证金。履约保证金的数额由采购人确定，但不得超出采购合同总金额的10%。</w:t>
      </w:r>
    </w:p>
    <w:p w14:paraId="49C278D2">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2</w:t>
      </w:r>
      <w:r>
        <w:rPr>
          <w:rFonts w:hint="eastAsia" w:ascii="宋体" w:hAnsi="宋体" w:eastAsia="宋体" w:cs="宋体"/>
          <w:color w:val="000000"/>
          <w:kern w:val="0"/>
        </w:rPr>
        <w:t>3</w:t>
      </w:r>
      <w:r>
        <w:rPr>
          <w:rFonts w:hint="eastAsia" w:ascii="宋体" w:hAnsi="宋体" w:eastAsia="宋体" w:cs="宋体"/>
          <w:color w:val="000000"/>
          <w:kern w:val="0"/>
          <w:lang w:val="zh-CN"/>
        </w:rPr>
        <w:t>.3</w:t>
      </w:r>
      <w:r>
        <w:rPr>
          <w:rFonts w:hint="eastAsia" w:ascii="宋体" w:hAnsi="宋体" w:eastAsia="宋体" w:cs="宋体"/>
          <w:color w:val="000000"/>
          <w:kern w:val="0"/>
        </w:rPr>
        <w:t xml:space="preserve"> 中标人拒绝与采购人签订合同的</w:t>
      </w:r>
      <w:r>
        <w:rPr>
          <w:rFonts w:hint="eastAsia" w:ascii="宋体" w:hAnsi="宋体" w:eastAsia="宋体" w:cs="宋体"/>
          <w:color w:val="000000"/>
          <w:kern w:val="0"/>
          <w:lang w:val="zh-CN"/>
        </w:rPr>
        <w:t>，采购人可以按照评标报告推荐的中标候选人名单排序，确定下一候选人为中标人，也可重新开展政府采购活动。</w:t>
      </w:r>
    </w:p>
    <w:p w14:paraId="26C4C5F7">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2</w:t>
      </w:r>
      <w:r>
        <w:rPr>
          <w:rFonts w:hint="eastAsia" w:ascii="宋体" w:hAnsi="宋体" w:eastAsia="宋体" w:cs="宋体"/>
          <w:color w:val="000000"/>
          <w:kern w:val="0"/>
        </w:rPr>
        <w:t>3</w:t>
      </w:r>
      <w:r>
        <w:rPr>
          <w:rFonts w:hint="eastAsia" w:ascii="宋体" w:hAnsi="宋体" w:eastAsia="宋体" w:cs="宋体"/>
          <w:color w:val="000000"/>
          <w:kern w:val="0"/>
          <w:lang w:val="zh-CN"/>
        </w:rPr>
        <w:t>.4</w:t>
      </w:r>
      <w:r>
        <w:rPr>
          <w:rFonts w:hint="eastAsia" w:ascii="宋体" w:hAnsi="宋体" w:eastAsia="宋体" w:cs="宋体"/>
          <w:color w:val="000000"/>
          <w:kern w:val="0"/>
          <w:lang w:bidi="ar"/>
        </w:rPr>
        <w:t xml:space="preserve"> </w:t>
      </w:r>
      <w:r>
        <w:rPr>
          <w:rFonts w:hint="eastAsia" w:ascii="宋体" w:hAnsi="宋体" w:eastAsia="宋体" w:cs="宋体"/>
          <w:color w:val="000000"/>
          <w:kern w:val="0"/>
          <w:lang w:val="zh-CN"/>
        </w:rPr>
        <w:t>招标文件、中标人的投标文件、《中标通知书》及其澄清、说明文件、承诺等，均为签订采购合同的依据，作为采购合同的组成部分。</w:t>
      </w:r>
    </w:p>
    <w:p w14:paraId="0B996A41">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 xml:space="preserve">22.5 </w:t>
      </w:r>
      <w:r>
        <w:rPr>
          <w:rFonts w:hint="eastAsia" w:ascii="宋体" w:hAnsi="宋体" w:eastAsia="宋体" w:cs="宋体"/>
          <w:color w:val="000000"/>
          <w:kern w:val="0"/>
          <w:lang w:val="zh-CN"/>
        </w:rPr>
        <w:t>采购合同签订之日起</w:t>
      </w:r>
      <w:r>
        <w:rPr>
          <w:rFonts w:hint="eastAsia" w:ascii="宋体" w:hAnsi="宋体" w:eastAsia="宋体" w:cs="宋体"/>
          <w:color w:val="000000"/>
          <w:kern w:val="0"/>
        </w:rPr>
        <w:t>2</w:t>
      </w:r>
      <w:r>
        <w:rPr>
          <w:rFonts w:hint="eastAsia" w:ascii="宋体" w:hAnsi="宋体" w:eastAsia="宋体" w:cs="宋体"/>
          <w:color w:val="000000"/>
          <w:kern w:val="0"/>
          <w:lang w:val="zh-CN"/>
        </w:rPr>
        <w:t>个工作日内，由采购人将采购合同在青海政府采购网上公告，但采购合同中涉及国家秘密、商业秘密的内容除外。</w:t>
      </w:r>
    </w:p>
    <w:p w14:paraId="685984F6">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23.6 采购人与中标人应当根据合同的约定依法履行合同义务。政府采购合同的履行、违约责任和解决争议的方法等适用《中华人民共和国民法典》。</w:t>
      </w:r>
    </w:p>
    <w:p w14:paraId="60A6876C">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 xml:space="preserve">23.7 </w:t>
      </w:r>
      <w:r>
        <w:rPr>
          <w:rFonts w:hint="eastAsia" w:ascii="宋体" w:hAnsi="宋体" w:eastAsia="宋体" w:cs="宋体"/>
          <w:color w:val="000000"/>
        </w:rPr>
        <w:t>采购人或者采购代理机构应当按照政府采购合同规定的技术、服务、安全标准组织对供应商履约情况进行验收，并出具验收书。验收书应当包括每一项技术、服务、安全标准的履约情况。</w:t>
      </w:r>
    </w:p>
    <w:p w14:paraId="780276CC">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23.8 采购人可以邀请参加本项目的其他投标人或者第三方机构参与验收。参与验收的投标人或者第三方机构的意见作为验收书的参考资料一并存档。</w:t>
      </w:r>
    </w:p>
    <w:p w14:paraId="121A9232">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23.9 采购人应当加强对中标人的履约管理，并按照采购合同约定，及时向中标人支付采购资金。对于中标人违反采购合同约定的行为，采购人应当及时处理，依法追究其违约责任。</w:t>
      </w:r>
    </w:p>
    <w:p w14:paraId="20924C83">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23.10 采购人、采购代理机构应当建立真实完整的招标采购档案，妥善保存每项采购活动的采购文件。</w:t>
      </w:r>
    </w:p>
    <w:p w14:paraId="750F546B">
      <w:pPr>
        <w:pStyle w:val="23"/>
        <w:spacing w:before="0" w:after="0" w:line="360" w:lineRule="auto"/>
        <w:rPr>
          <w:rFonts w:hint="eastAsia" w:ascii="宋体" w:hAnsi="宋体" w:eastAsia="宋体" w:cs="宋体"/>
          <w:color w:val="000000"/>
          <w:lang w:val="zh-CN"/>
        </w:rPr>
      </w:pPr>
      <w:bookmarkStart w:id="40" w:name="_Toc19350"/>
      <w:r>
        <w:rPr>
          <w:rFonts w:hint="eastAsia" w:ascii="宋体" w:hAnsi="宋体" w:eastAsia="宋体" w:cs="宋体"/>
          <w:color w:val="000000"/>
          <w:lang w:val="zh-CN"/>
        </w:rPr>
        <w:t>十、其他</w:t>
      </w:r>
      <w:bookmarkEnd w:id="40"/>
    </w:p>
    <w:p w14:paraId="15380B8D">
      <w:pPr>
        <w:pStyle w:val="23"/>
        <w:spacing w:before="0" w:after="0" w:line="360" w:lineRule="auto"/>
        <w:jc w:val="left"/>
        <w:rPr>
          <w:rFonts w:hint="eastAsia" w:ascii="宋体" w:hAnsi="宋体" w:eastAsia="宋体" w:cs="宋体"/>
          <w:color w:val="000000"/>
          <w:sz w:val="28"/>
          <w:szCs w:val="28"/>
        </w:rPr>
      </w:pPr>
      <w:bookmarkStart w:id="41" w:name="_Toc6932"/>
      <w:r>
        <w:rPr>
          <w:rFonts w:hint="eastAsia" w:ascii="宋体" w:hAnsi="宋体" w:eastAsia="宋体" w:cs="宋体"/>
          <w:color w:val="000000"/>
          <w:sz w:val="28"/>
          <w:szCs w:val="28"/>
        </w:rPr>
        <w:t>24. 串通投标的情形</w:t>
      </w:r>
      <w:bookmarkEnd w:id="41"/>
    </w:p>
    <w:p w14:paraId="642AB2A7">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24.1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4C5EE9DE">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24.2 有下列情形之一的，视为投标人串通投标，其投标无效：</w:t>
      </w:r>
    </w:p>
    <w:p w14:paraId="55CB0538">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（1）不同投标人的投标文件由同一单位或者个人编制；</w:t>
      </w:r>
    </w:p>
    <w:p w14:paraId="587CD8FE">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（2）不同投标人委托同一单位或者个人办理投标事宜；</w:t>
      </w:r>
    </w:p>
    <w:p w14:paraId="3F7C5EDF">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（3）不同投标人的投标文件载明的项目管理成员或者联系人员为同一人；</w:t>
      </w:r>
    </w:p>
    <w:p w14:paraId="62619FF6">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（4）不同投标人的投标文件异常一致或者投标报价呈规律性差异；</w:t>
      </w:r>
    </w:p>
    <w:p w14:paraId="7C8C552A">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（5）不同投标人的投标文件相互混装；</w:t>
      </w:r>
    </w:p>
    <w:p w14:paraId="153ECEC6">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（6）不同投标人的投标保证金从同一单位或者个人的账户转出。</w:t>
      </w:r>
    </w:p>
    <w:p w14:paraId="218A33C1">
      <w:pPr>
        <w:pStyle w:val="23"/>
        <w:spacing w:before="0" w:after="0" w:line="360" w:lineRule="auto"/>
        <w:jc w:val="left"/>
        <w:rPr>
          <w:rFonts w:hint="eastAsia" w:ascii="宋体" w:hAnsi="宋体" w:eastAsia="宋体" w:cs="宋体"/>
          <w:color w:val="000000"/>
          <w:sz w:val="28"/>
          <w:szCs w:val="28"/>
        </w:rPr>
      </w:pPr>
      <w:bookmarkStart w:id="42" w:name="_Toc10557"/>
      <w:r>
        <w:rPr>
          <w:rFonts w:hint="eastAsia" w:ascii="宋体" w:hAnsi="宋体" w:eastAsia="宋体" w:cs="宋体"/>
          <w:color w:val="000000"/>
          <w:sz w:val="28"/>
          <w:szCs w:val="28"/>
        </w:rPr>
        <w:t>25. 废标</w:t>
      </w:r>
      <w:bookmarkEnd w:id="42"/>
    </w:p>
    <w:p w14:paraId="5C59C0E9">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25.1 在招标采购中，出现下列情形之一的，应予废标：</w:t>
      </w:r>
    </w:p>
    <w:p w14:paraId="28969068">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（1）符合专业条件的投标人或者对招标文件作实质性响应的投标人不足三家的。</w:t>
      </w:r>
    </w:p>
    <w:p w14:paraId="52F6CC9F">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（2）出现影响采购公正的违法、违规行为的。</w:t>
      </w:r>
    </w:p>
    <w:p w14:paraId="2D6EC9EF">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（3）投标人的报价均超出采购预算，采购人不能支付的。</w:t>
      </w:r>
    </w:p>
    <w:p w14:paraId="6E4A088C">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（4）因重大变故，采购任务取消的。</w:t>
      </w:r>
    </w:p>
    <w:p w14:paraId="13E4CA84">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废标后，由采购人或者采购代理机构发布废标公告。</w:t>
      </w:r>
    </w:p>
    <w:p w14:paraId="6951AD33">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25.2 公开招标数额标准以上的采购项目，投标截止后投标人不足3家或者通过资格审查或符合性审查的投标人不足3家的，除采购任务取消情形外，按照以下方式处理：</w:t>
      </w:r>
    </w:p>
    <w:p w14:paraId="5D4B2DEE">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（1）招标文件存在不合理条款或者招标程序不符合规定的，采购人、采购代理机构改正后依法重新招标；</w:t>
      </w:r>
    </w:p>
    <w:p w14:paraId="4FD0ECAE">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（2）招标文件没有不合理条款、招标程序符合规定，需要采用其他采购方式采购的，采购人应当依法报财政部门批准。</w:t>
      </w:r>
    </w:p>
    <w:p w14:paraId="234193EC">
      <w:pPr>
        <w:pStyle w:val="23"/>
        <w:spacing w:before="0" w:after="0" w:line="360" w:lineRule="auto"/>
        <w:jc w:val="left"/>
        <w:rPr>
          <w:rFonts w:hint="eastAsia" w:ascii="宋体" w:hAnsi="宋体" w:eastAsia="宋体" w:cs="宋体"/>
          <w:b w:val="0"/>
          <w:bCs w:val="0"/>
          <w:color w:val="000000"/>
          <w:kern w:val="0"/>
          <w:sz w:val="24"/>
          <w:szCs w:val="24"/>
        </w:rPr>
      </w:pPr>
      <w:bookmarkStart w:id="43" w:name="_Toc24391"/>
      <w:bookmarkStart w:id="44" w:name="_Toc11093"/>
      <w:r>
        <w:rPr>
          <w:rFonts w:hint="eastAsia" w:ascii="宋体" w:hAnsi="宋体" w:eastAsia="宋体" w:cs="宋体"/>
          <w:color w:val="000000"/>
          <w:sz w:val="28"/>
          <w:szCs w:val="28"/>
        </w:rPr>
        <w:t>26. 中标服务费</w:t>
      </w:r>
      <w:bookmarkEnd w:id="43"/>
      <w:bookmarkEnd w:id="44"/>
    </w:p>
    <w:p w14:paraId="3F2E7FAD">
      <w:pPr>
        <w:autoSpaceDE w:val="0"/>
        <w:autoSpaceDN w:val="0"/>
        <w:spacing w:line="360" w:lineRule="auto"/>
        <w:ind w:firstLine="480" w:firstLineChars="200"/>
        <w:jc w:val="left"/>
        <w:rPr>
          <w:rFonts w:hint="eastAsia" w:ascii="宋体" w:hAnsi="宋体" w:cs="宋体"/>
          <w:color w:val="auto"/>
          <w:kern w:val="0"/>
          <w:highlight w:val="none"/>
          <w:lang w:val="zh-CN" w:eastAsia="zh-CN"/>
        </w:rPr>
      </w:pPr>
      <w:r>
        <w:rPr>
          <w:rFonts w:hint="eastAsia" w:ascii="宋体" w:hAnsi="宋体" w:eastAsia="宋体" w:cs="宋体"/>
          <w:color w:val="auto"/>
          <w:kern w:val="0"/>
          <w:highlight w:val="none"/>
          <w:lang w:val="zh-CN"/>
        </w:rPr>
        <w:t>26.1 收取对象：</w:t>
      </w:r>
      <w:r>
        <w:rPr>
          <w:rFonts w:hint="eastAsia" w:ascii="宋体" w:hAnsi="宋体" w:cs="宋体"/>
          <w:color w:val="auto"/>
          <w:kern w:val="0"/>
          <w:highlight w:val="none"/>
          <w:lang w:val="en-US" w:eastAsia="zh-CN"/>
        </w:rPr>
        <w:t>采购人</w:t>
      </w:r>
      <w:r>
        <w:rPr>
          <w:rFonts w:hint="eastAsia" w:ascii="宋体" w:hAnsi="宋体" w:cs="宋体"/>
          <w:color w:val="auto"/>
          <w:kern w:val="0"/>
          <w:highlight w:val="none"/>
          <w:lang w:val="zh-CN" w:eastAsia="zh-CN"/>
        </w:rPr>
        <w:t>。</w:t>
      </w:r>
    </w:p>
    <w:p w14:paraId="64B68DE4">
      <w:pPr>
        <w:autoSpaceDE w:val="0"/>
        <w:autoSpaceDN w:val="0"/>
        <w:spacing w:line="360" w:lineRule="auto"/>
        <w:ind w:firstLine="480" w:firstLineChars="200"/>
        <w:jc w:val="left"/>
        <w:rPr>
          <w:rFonts w:hint="eastAsia" w:ascii="宋体" w:hAnsi="宋体" w:cs="宋体"/>
          <w:color w:val="auto"/>
          <w:kern w:val="0"/>
          <w:highlight w:val="none"/>
          <w:lang w:val="en-US" w:eastAsia="zh-CN"/>
        </w:rPr>
      </w:pPr>
      <w:r>
        <w:rPr>
          <w:rFonts w:hint="eastAsia" w:ascii="宋体" w:hAnsi="宋体" w:cs="宋体"/>
          <w:color w:val="auto"/>
          <w:kern w:val="0"/>
          <w:lang w:val="en-US" w:eastAsia="zh-CN"/>
        </w:rPr>
        <w:t xml:space="preserve">26.2 </w:t>
      </w:r>
      <w:r>
        <w:rPr>
          <w:rFonts w:hint="eastAsia" w:ascii="宋体" w:hAnsi="宋体" w:cs="宋体"/>
          <w:color w:val="auto"/>
          <w:kern w:val="0"/>
          <w:lang w:val="zh-CN" w:eastAsia="zh-CN"/>
        </w:rPr>
        <w:t>收费金额：</w:t>
      </w:r>
      <w:r>
        <w:rPr>
          <w:rFonts w:hint="eastAsia" w:ascii="宋体" w:hAnsi="宋体" w:cs="宋体"/>
          <w:color w:val="auto"/>
          <w:kern w:val="0"/>
          <w:highlight w:val="none"/>
          <w:lang w:val="en-US" w:eastAsia="zh-CN"/>
        </w:rPr>
        <w:t>包一；小写：20000.00  大写：贰万元整。</w:t>
      </w:r>
    </w:p>
    <w:p w14:paraId="244543C6">
      <w:pPr>
        <w:autoSpaceDE w:val="0"/>
        <w:autoSpaceDN w:val="0"/>
        <w:spacing w:line="360" w:lineRule="auto"/>
        <w:ind w:firstLine="2160" w:firstLineChars="900"/>
        <w:jc w:val="left"/>
        <w:rPr>
          <w:rFonts w:hint="eastAsia" w:ascii="宋体" w:hAnsi="宋体" w:cs="宋体"/>
          <w:color w:val="auto"/>
          <w:kern w:val="0"/>
          <w:highlight w:val="none"/>
          <w:lang w:val="en-US" w:eastAsia="zh-CN"/>
        </w:rPr>
      </w:pPr>
      <w:r>
        <w:rPr>
          <w:rFonts w:hint="eastAsia" w:ascii="宋体" w:hAnsi="宋体" w:cs="宋体"/>
          <w:color w:val="auto"/>
          <w:kern w:val="0"/>
          <w:highlight w:val="none"/>
          <w:lang w:val="en-US" w:eastAsia="zh-CN"/>
        </w:rPr>
        <w:t xml:space="preserve"> 包二；小写：30000.00  大写：叁万元整。</w:t>
      </w:r>
    </w:p>
    <w:p w14:paraId="5EE7DBEB">
      <w:pPr>
        <w:autoSpaceDE w:val="0"/>
        <w:autoSpaceDN w:val="0"/>
        <w:spacing w:line="360" w:lineRule="auto"/>
        <w:ind w:firstLine="2160" w:firstLineChars="900"/>
        <w:jc w:val="left"/>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共计5万元整</w:t>
      </w:r>
    </w:p>
    <w:p w14:paraId="45CDD5FE">
      <w:pPr>
        <w:autoSpaceDE w:val="0"/>
        <w:autoSpaceDN w:val="0"/>
        <w:adjustRightInd w:val="0"/>
        <w:spacing w:line="400" w:lineRule="exact"/>
        <w:ind w:firstLine="480" w:firstLineChars="200"/>
        <w:rPr>
          <w:rFonts w:hint="eastAsia" w:ascii="宋体" w:hAnsi="宋体" w:eastAsia="宋体" w:cs="宋体"/>
          <w:color w:val="000000"/>
          <w:kern w:val="0"/>
        </w:rPr>
      </w:pPr>
      <w:r>
        <w:rPr>
          <w:rFonts w:hint="eastAsia" w:ascii="宋体" w:hAnsi="宋体" w:eastAsia="宋体" w:cs="宋体"/>
          <w:color w:val="000000"/>
          <w:kern w:val="0"/>
        </w:rPr>
        <w:t>26.3、收款账户：</w:t>
      </w:r>
    </w:p>
    <w:p w14:paraId="4A1CB8E4">
      <w:pPr>
        <w:autoSpaceDE w:val="0"/>
        <w:autoSpaceDN w:val="0"/>
        <w:adjustRightInd w:val="0"/>
        <w:spacing w:line="400" w:lineRule="exact"/>
        <w:ind w:firstLine="480" w:firstLineChars="200"/>
        <w:rPr>
          <w:rFonts w:hint="eastAsia" w:ascii="宋体" w:hAnsi="宋体" w:eastAsia="宋体" w:cs="宋体"/>
          <w:color w:val="000000"/>
          <w:kern w:val="0"/>
        </w:rPr>
      </w:pPr>
      <w:r>
        <w:rPr>
          <w:rFonts w:hint="eastAsia" w:ascii="宋体" w:hAnsi="宋体" w:eastAsia="宋体" w:cs="宋体"/>
          <w:color w:val="000000"/>
          <w:kern w:val="0"/>
        </w:rPr>
        <w:t xml:space="preserve">    户  名：青海君昱工程项目管理有限公司</w:t>
      </w:r>
    </w:p>
    <w:p w14:paraId="7B7375E6">
      <w:pPr>
        <w:pStyle w:val="12"/>
        <w:ind w:firstLine="960" w:firstLineChars="400"/>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开户行：青海银行股份有限公司海湖新区支行</w:t>
      </w:r>
    </w:p>
    <w:p w14:paraId="7A2056F1">
      <w:pPr>
        <w:pStyle w:val="12"/>
        <w:ind w:firstLine="960" w:firstLineChars="400"/>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账  号：0701 2010 0018 1513</w:t>
      </w:r>
    </w:p>
    <w:p w14:paraId="54669321">
      <w:pPr>
        <w:autoSpaceDE w:val="0"/>
        <w:autoSpaceDN w:val="0"/>
        <w:spacing w:line="360" w:lineRule="auto"/>
        <w:ind w:firstLine="480" w:firstLineChars="200"/>
        <w:jc w:val="left"/>
        <w:rPr>
          <w:rFonts w:hint="eastAsia" w:ascii="宋体" w:hAnsi="宋体" w:eastAsia="宋体" w:cs="宋体"/>
          <w:color w:val="000000"/>
          <w:kern w:val="0"/>
        </w:rPr>
      </w:pPr>
      <w:r>
        <w:rPr>
          <w:rFonts w:hint="eastAsia" w:ascii="宋体" w:hAnsi="宋体" w:eastAsia="宋体" w:cs="宋体"/>
          <w:color w:val="000000"/>
          <w:kern w:val="0"/>
        </w:rPr>
        <w:t>其他未尽事宜，按照《中华人民共和国政府采购法》、《中华人民共和国政府采购法实施条例》、《中华人民共和国民法典》等法律法规的有关条款执行。</w:t>
      </w:r>
    </w:p>
    <w:p w14:paraId="20D3784A">
      <w:pPr>
        <w:pStyle w:val="23"/>
        <w:spacing w:before="0" w:after="0" w:line="360" w:lineRule="auto"/>
        <w:jc w:val="both"/>
        <w:rPr>
          <w:rFonts w:hint="eastAsia" w:ascii="宋体" w:hAnsi="宋体" w:eastAsia="宋体" w:cs="宋体"/>
          <w:color w:val="000000"/>
          <w:szCs w:val="36"/>
          <w:lang w:val="zh-CN"/>
        </w:rPr>
      </w:pPr>
      <w:r>
        <w:rPr>
          <w:rFonts w:hint="eastAsia" w:ascii="宋体" w:hAnsi="宋体" w:eastAsia="宋体" w:cs="宋体"/>
          <w:color w:val="000000"/>
          <w:szCs w:val="36"/>
          <w:lang w:val="zh-CN"/>
        </w:rPr>
        <w:br w:type="page"/>
      </w:r>
    </w:p>
    <w:p w14:paraId="4B941D6F">
      <w:pPr>
        <w:pStyle w:val="23"/>
        <w:spacing w:before="0" w:after="0" w:line="360" w:lineRule="auto"/>
        <w:rPr>
          <w:rFonts w:hint="eastAsia" w:ascii="宋体" w:hAnsi="宋体" w:eastAsia="宋体" w:cs="宋体"/>
          <w:color w:val="000000"/>
          <w:szCs w:val="36"/>
          <w:lang w:val="zh-CN"/>
        </w:rPr>
      </w:pPr>
    </w:p>
    <w:p w14:paraId="3B243730">
      <w:pPr>
        <w:pStyle w:val="23"/>
        <w:spacing w:before="0" w:after="0" w:line="360" w:lineRule="auto"/>
        <w:rPr>
          <w:rFonts w:hint="eastAsia" w:ascii="宋体" w:hAnsi="宋体" w:eastAsia="宋体" w:cs="宋体"/>
          <w:color w:val="000000"/>
          <w:sz w:val="24"/>
        </w:rPr>
      </w:pPr>
      <w:bookmarkStart w:id="45" w:name="_Toc22595"/>
      <w:r>
        <w:rPr>
          <w:rFonts w:hint="eastAsia" w:ascii="宋体" w:hAnsi="宋体" w:eastAsia="宋体" w:cs="宋体"/>
          <w:color w:val="000000"/>
          <w:szCs w:val="36"/>
          <w:lang w:val="zh-CN"/>
        </w:rPr>
        <w:t xml:space="preserve">第三部分 </w:t>
      </w:r>
      <w:r>
        <w:rPr>
          <w:rFonts w:hint="eastAsia" w:ascii="宋体" w:hAnsi="宋体" w:eastAsia="宋体" w:cs="宋体"/>
          <w:color w:val="000000"/>
          <w:szCs w:val="36"/>
        </w:rPr>
        <w:t xml:space="preserve"> </w:t>
      </w:r>
      <w:r>
        <w:rPr>
          <w:rFonts w:hint="eastAsia" w:ascii="宋体" w:hAnsi="宋体" w:eastAsia="宋体" w:cs="宋体"/>
          <w:color w:val="000000"/>
          <w:szCs w:val="36"/>
          <w:lang w:val="zh-CN"/>
        </w:rPr>
        <w:t>青海省政府采购项目合同书范本</w:t>
      </w:r>
      <w:bookmarkEnd w:id="45"/>
    </w:p>
    <w:p w14:paraId="04F87430">
      <w:pPr>
        <w:autoSpaceDE w:val="0"/>
        <w:autoSpaceDN w:val="0"/>
        <w:adjustRightInd w:val="0"/>
        <w:spacing w:line="360" w:lineRule="auto"/>
        <w:jc w:val="center"/>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lang w:val="zh-CN"/>
        </w:rPr>
        <w:t>（货物类）</w:t>
      </w:r>
    </w:p>
    <w:p w14:paraId="2F1F99A5">
      <w:pPr>
        <w:autoSpaceDE w:val="0"/>
        <w:autoSpaceDN w:val="0"/>
        <w:adjustRightInd w:val="0"/>
        <w:spacing w:line="360" w:lineRule="auto"/>
        <w:rPr>
          <w:rFonts w:hint="eastAsia" w:ascii="宋体" w:hAnsi="宋体" w:eastAsia="宋体" w:cs="宋体"/>
          <w:color w:val="000000"/>
          <w:kern w:val="0"/>
          <w:sz w:val="28"/>
          <w:szCs w:val="28"/>
        </w:rPr>
      </w:pPr>
    </w:p>
    <w:p w14:paraId="7D5AE9D0">
      <w:pPr>
        <w:autoSpaceDE w:val="0"/>
        <w:autoSpaceDN w:val="0"/>
        <w:adjustRightInd w:val="0"/>
        <w:spacing w:line="360" w:lineRule="auto"/>
        <w:rPr>
          <w:rFonts w:hint="eastAsia" w:ascii="宋体" w:hAnsi="宋体" w:eastAsia="宋体" w:cs="宋体"/>
          <w:color w:val="000000"/>
          <w:kern w:val="0"/>
          <w:sz w:val="28"/>
          <w:szCs w:val="28"/>
        </w:rPr>
      </w:pPr>
    </w:p>
    <w:p w14:paraId="678B3579">
      <w:pPr>
        <w:autoSpaceDE w:val="0"/>
        <w:autoSpaceDN w:val="0"/>
        <w:adjustRightInd w:val="0"/>
        <w:spacing w:line="360" w:lineRule="auto"/>
        <w:rPr>
          <w:rFonts w:hint="eastAsia" w:ascii="宋体" w:hAnsi="宋体" w:eastAsia="宋体" w:cs="宋体"/>
          <w:color w:val="000000"/>
          <w:kern w:val="0"/>
          <w:sz w:val="28"/>
          <w:szCs w:val="28"/>
        </w:rPr>
      </w:pPr>
    </w:p>
    <w:p w14:paraId="13F2502D">
      <w:pPr>
        <w:autoSpaceDE w:val="0"/>
        <w:autoSpaceDN w:val="0"/>
        <w:adjustRightInd w:val="0"/>
        <w:spacing w:line="360" w:lineRule="auto"/>
        <w:rPr>
          <w:rFonts w:hint="eastAsia" w:ascii="宋体" w:hAnsi="宋体" w:eastAsia="宋体" w:cs="宋体"/>
          <w:color w:val="000000"/>
          <w:kern w:val="0"/>
          <w:sz w:val="28"/>
          <w:szCs w:val="28"/>
        </w:rPr>
      </w:pPr>
    </w:p>
    <w:p w14:paraId="54A09955">
      <w:pPr>
        <w:autoSpaceDE w:val="0"/>
        <w:autoSpaceDN w:val="0"/>
        <w:adjustRightInd w:val="0"/>
        <w:spacing w:line="360" w:lineRule="auto"/>
        <w:jc w:val="center"/>
        <w:rPr>
          <w:rFonts w:hint="eastAsia" w:ascii="宋体" w:hAnsi="宋体" w:eastAsia="宋体" w:cs="宋体"/>
          <w:b/>
          <w:bCs/>
          <w:color w:val="000000"/>
          <w:kern w:val="0"/>
          <w:sz w:val="48"/>
          <w:szCs w:val="48"/>
        </w:rPr>
      </w:pPr>
      <w:r>
        <w:rPr>
          <w:rFonts w:hint="eastAsia" w:ascii="宋体" w:hAnsi="宋体" w:eastAsia="宋体" w:cs="宋体"/>
          <w:b/>
          <w:bCs/>
          <w:color w:val="000000"/>
          <w:kern w:val="0"/>
          <w:sz w:val="48"/>
          <w:szCs w:val="48"/>
          <w:lang w:val="zh-CN"/>
        </w:rPr>
        <w:t>青海省政府采购项目合同书</w:t>
      </w:r>
    </w:p>
    <w:p w14:paraId="3B9EED10">
      <w:pPr>
        <w:autoSpaceDE w:val="0"/>
        <w:autoSpaceDN w:val="0"/>
        <w:adjustRightInd w:val="0"/>
        <w:spacing w:line="360" w:lineRule="auto"/>
        <w:rPr>
          <w:rFonts w:hint="eastAsia" w:ascii="宋体" w:hAnsi="宋体" w:eastAsia="宋体" w:cs="宋体"/>
          <w:color w:val="000000"/>
          <w:kern w:val="0"/>
          <w:sz w:val="28"/>
          <w:szCs w:val="28"/>
        </w:rPr>
      </w:pPr>
    </w:p>
    <w:p w14:paraId="13648934">
      <w:pPr>
        <w:autoSpaceDE w:val="0"/>
        <w:autoSpaceDN w:val="0"/>
        <w:adjustRightInd w:val="0"/>
        <w:spacing w:line="360" w:lineRule="auto"/>
        <w:rPr>
          <w:rFonts w:hint="eastAsia" w:ascii="宋体" w:hAnsi="宋体" w:eastAsia="宋体" w:cs="宋体"/>
          <w:color w:val="000000"/>
          <w:kern w:val="0"/>
          <w:sz w:val="28"/>
          <w:szCs w:val="28"/>
        </w:rPr>
      </w:pPr>
    </w:p>
    <w:p w14:paraId="25D6CA89">
      <w:pPr>
        <w:autoSpaceDE w:val="0"/>
        <w:autoSpaceDN w:val="0"/>
        <w:adjustRightInd w:val="0"/>
        <w:spacing w:line="360" w:lineRule="auto"/>
        <w:rPr>
          <w:rFonts w:hint="eastAsia" w:ascii="宋体" w:hAnsi="宋体" w:eastAsia="宋体" w:cs="宋体"/>
          <w:color w:val="000000"/>
          <w:kern w:val="0"/>
          <w:sz w:val="28"/>
          <w:szCs w:val="28"/>
        </w:rPr>
      </w:pPr>
    </w:p>
    <w:p w14:paraId="05D415F1">
      <w:pPr>
        <w:autoSpaceDE w:val="0"/>
        <w:autoSpaceDN w:val="0"/>
        <w:adjustRightInd w:val="0"/>
        <w:spacing w:line="360" w:lineRule="auto"/>
        <w:rPr>
          <w:rFonts w:hint="eastAsia" w:ascii="宋体" w:hAnsi="宋体" w:eastAsia="宋体" w:cs="宋体"/>
          <w:color w:val="000000"/>
          <w:kern w:val="0"/>
          <w:sz w:val="28"/>
          <w:szCs w:val="28"/>
        </w:rPr>
      </w:pPr>
    </w:p>
    <w:p w14:paraId="48D253F4">
      <w:pPr>
        <w:autoSpaceDE w:val="0"/>
        <w:autoSpaceDN w:val="0"/>
        <w:adjustRightInd w:val="0"/>
        <w:spacing w:line="360" w:lineRule="auto"/>
        <w:ind w:firstLine="482" w:firstLineChars="160"/>
        <w:rPr>
          <w:rFonts w:hint="eastAsia" w:ascii="宋体" w:hAnsi="宋体" w:eastAsia="宋体" w:cs="宋体"/>
          <w:b/>
          <w:bCs/>
          <w:color w:val="000000"/>
          <w:kern w:val="0"/>
          <w:sz w:val="30"/>
          <w:szCs w:val="30"/>
          <w:lang w:val="zh-CN"/>
        </w:rPr>
      </w:pPr>
      <w:r>
        <w:rPr>
          <w:rFonts w:hint="eastAsia" w:ascii="宋体" w:hAnsi="宋体" w:eastAsia="宋体" w:cs="宋体"/>
          <w:b/>
          <w:bCs/>
          <w:color w:val="000000"/>
          <w:kern w:val="0"/>
          <w:sz w:val="30"/>
          <w:szCs w:val="30"/>
          <w:lang w:val="zh-CN"/>
        </w:rPr>
        <w:t>采购项目编号：</w:t>
      </w:r>
      <w:r>
        <w:rPr>
          <w:rFonts w:hint="eastAsia" w:ascii="宋体" w:hAnsi="宋体" w:eastAsia="宋体" w:cs="宋体"/>
          <w:color w:val="000000"/>
          <w:kern w:val="0"/>
          <w:sz w:val="30"/>
          <w:szCs w:val="30"/>
          <w:u w:val="single"/>
        </w:rPr>
        <w:t xml:space="preserve">                                 </w:t>
      </w:r>
    </w:p>
    <w:p w14:paraId="192DE48D">
      <w:pPr>
        <w:autoSpaceDE w:val="0"/>
        <w:autoSpaceDN w:val="0"/>
        <w:adjustRightInd w:val="0"/>
        <w:spacing w:line="360" w:lineRule="auto"/>
        <w:ind w:firstLine="482" w:firstLineChars="160"/>
        <w:rPr>
          <w:rFonts w:hint="eastAsia" w:ascii="宋体" w:hAnsi="宋体" w:eastAsia="宋体" w:cs="宋体"/>
          <w:b/>
          <w:bCs/>
          <w:color w:val="000000"/>
          <w:kern w:val="0"/>
          <w:sz w:val="30"/>
          <w:szCs w:val="30"/>
        </w:rPr>
      </w:pPr>
      <w:r>
        <w:rPr>
          <w:rFonts w:hint="eastAsia" w:ascii="宋体" w:hAnsi="宋体" w:eastAsia="宋体" w:cs="宋体"/>
          <w:b/>
          <w:bCs/>
          <w:color w:val="000000"/>
          <w:kern w:val="0"/>
          <w:sz w:val="30"/>
          <w:szCs w:val="30"/>
          <w:lang w:val="zh-CN"/>
        </w:rPr>
        <w:t>采购项目名称：</w:t>
      </w:r>
      <w:r>
        <w:rPr>
          <w:rFonts w:hint="eastAsia" w:ascii="宋体" w:hAnsi="宋体" w:eastAsia="宋体" w:cs="宋体"/>
          <w:b/>
          <w:bCs/>
          <w:color w:val="000000"/>
          <w:kern w:val="0"/>
          <w:sz w:val="30"/>
          <w:szCs w:val="30"/>
          <w:u w:val="single"/>
        </w:rPr>
        <w:t xml:space="preserve">                                 </w:t>
      </w:r>
    </w:p>
    <w:p w14:paraId="526D3D3A">
      <w:pPr>
        <w:autoSpaceDE w:val="0"/>
        <w:autoSpaceDN w:val="0"/>
        <w:adjustRightInd w:val="0"/>
        <w:spacing w:line="360" w:lineRule="auto"/>
        <w:ind w:firstLine="482" w:firstLineChars="160"/>
        <w:rPr>
          <w:rFonts w:hint="eastAsia" w:ascii="宋体" w:hAnsi="宋体" w:eastAsia="宋体" w:cs="宋体"/>
        </w:rPr>
      </w:pPr>
      <w:r>
        <w:rPr>
          <w:rFonts w:hint="eastAsia" w:ascii="宋体" w:hAnsi="宋体" w:eastAsia="宋体" w:cs="宋体"/>
          <w:b/>
          <w:bCs/>
          <w:color w:val="000000"/>
          <w:kern w:val="0"/>
          <w:sz w:val="30"/>
          <w:szCs w:val="30"/>
          <w:lang w:val="zh-CN"/>
        </w:rPr>
        <w:t>采购合同编号：</w:t>
      </w:r>
      <w:r>
        <w:rPr>
          <w:rFonts w:hint="eastAsia" w:ascii="宋体" w:hAnsi="宋体" w:eastAsia="宋体" w:cs="宋体"/>
          <w:b/>
          <w:bCs/>
          <w:color w:val="000000"/>
          <w:kern w:val="0"/>
          <w:sz w:val="30"/>
          <w:szCs w:val="30"/>
          <w:u w:val="single"/>
        </w:rPr>
        <w:t>QHJY-</w:t>
      </w:r>
      <w:r>
        <w:rPr>
          <w:rFonts w:hint="eastAsia" w:ascii="宋体" w:hAnsi="宋体" w:eastAsia="宋体" w:cs="宋体"/>
          <w:b/>
          <w:bCs/>
          <w:color w:val="000000"/>
          <w:kern w:val="0"/>
          <w:sz w:val="30"/>
          <w:szCs w:val="30"/>
          <w:u w:val="single"/>
          <w:lang w:eastAsia="zh-CN"/>
        </w:rPr>
        <w:t>2025</w:t>
      </w:r>
      <w:r>
        <w:rPr>
          <w:rFonts w:hint="eastAsia" w:ascii="宋体" w:hAnsi="宋体" w:eastAsia="宋体" w:cs="宋体"/>
          <w:b/>
          <w:bCs/>
          <w:color w:val="000000"/>
          <w:kern w:val="0"/>
          <w:sz w:val="30"/>
          <w:szCs w:val="30"/>
          <w:u w:val="single"/>
        </w:rPr>
        <w:t>-0</w:t>
      </w:r>
      <w:r>
        <w:rPr>
          <w:rFonts w:hint="eastAsia" w:ascii="宋体" w:hAnsi="宋体" w:eastAsia="宋体" w:cs="宋体"/>
          <w:b/>
          <w:bCs/>
          <w:color w:val="000000"/>
          <w:kern w:val="0"/>
          <w:sz w:val="30"/>
          <w:szCs w:val="30"/>
          <w:u w:val="single"/>
          <w:lang w:val="en-US" w:eastAsia="zh-CN"/>
        </w:rPr>
        <w:t>01</w:t>
      </w:r>
      <w:r>
        <w:rPr>
          <w:rFonts w:hint="eastAsia" w:ascii="宋体" w:hAnsi="宋体" w:cs="宋体"/>
          <w:b/>
          <w:bCs/>
          <w:color w:val="000000"/>
          <w:kern w:val="0"/>
          <w:sz w:val="30"/>
          <w:szCs w:val="30"/>
          <w:u w:val="single"/>
          <w:lang w:val="en-US" w:eastAsia="zh-CN"/>
        </w:rPr>
        <w:t>-</w:t>
      </w:r>
      <w:r>
        <w:rPr>
          <w:rFonts w:hint="eastAsia" w:ascii="宋体" w:hAnsi="宋体" w:eastAsia="宋体" w:cs="宋体"/>
          <w:b/>
          <w:bCs/>
          <w:color w:val="000000"/>
          <w:kern w:val="0"/>
          <w:sz w:val="30"/>
          <w:szCs w:val="30"/>
          <w:u w:val="single"/>
          <w:lang w:val="en-US" w:eastAsia="zh-CN"/>
        </w:rPr>
        <w:t>（包号）</w:t>
      </w:r>
      <w:r>
        <w:rPr>
          <w:rFonts w:hint="eastAsia" w:ascii="宋体" w:hAnsi="宋体" w:eastAsia="宋体" w:cs="宋体"/>
          <w:b/>
          <w:bCs/>
          <w:color w:val="000000"/>
          <w:kern w:val="0"/>
          <w:sz w:val="30"/>
          <w:szCs w:val="30"/>
          <w:u w:val="single"/>
        </w:rPr>
        <w:t xml:space="preserve">             </w:t>
      </w:r>
    </w:p>
    <w:p w14:paraId="766527AB">
      <w:pPr>
        <w:autoSpaceDE w:val="0"/>
        <w:autoSpaceDN w:val="0"/>
        <w:adjustRightInd w:val="0"/>
        <w:spacing w:line="360" w:lineRule="auto"/>
        <w:ind w:firstLine="482" w:firstLineChars="160"/>
        <w:rPr>
          <w:rFonts w:hint="eastAsia" w:ascii="宋体" w:hAnsi="宋体" w:eastAsia="宋体" w:cs="宋体"/>
          <w:b/>
          <w:bCs/>
          <w:color w:val="000000"/>
          <w:kern w:val="0"/>
          <w:sz w:val="30"/>
          <w:szCs w:val="30"/>
        </w:rPr>
      </w:pPr>
      <w:r>
        <w:rPr>
          <w:rFonts w:hint="eastAsia" w:ascii="宋体" w:hAnsi="宋体" w:eastAsia="宋体" w:cs="宋体"/>
          <w:b/>
          <w:bCs/>
          <w:color w:val="000000"/>
          <w:kern w:val="0"/>
          <w:sz w:val="30"/>
          <w:szCs w:val="30"/>
          <w:lang w:val="zh-CN"/>
        </w:rPr>
        <w:t>合同金额（人民币）：</w:t>
      </w:r>
      <w:r>
        <w:rPr>
          <w:rFonts w:hint="eastAsia" w:ascii="宋体" w:hAnsi="宋体" w:eastAsia="宋体" w:cs="宋体"/>
          <w:b/>
          <w:bCs/>
          <w:color w:val="000000"/>
          <w:kern w:val="0"/>
          <w:sz w:val="30"/>
          <w:szCs w:val="30"/>
          <w:u w:val="single"/>
        </w:rPr>
        <w:t xml:space="preserve">                           </w:t>
      </w:r>
    </w:p>
    <w:p w14:paraId="0D45EEDD">
      <w:pPr>
        <w:autoSpaceDE w:val="0"/>
        <w:autoSpaceDN w:val="0"/>
        <w:adjustRightInd w:val="0"/>
        <w:spacing w:line="360" w:lineRule="auto"/>
        <w:ind w:firstLine="482" w:firstLineChars="160"/>
        <w:rPr>
          <w:rFonts w:hint="eastAsia" w:ascii="宋体" w:hAnsi="宋体" w:eastAsia="宋体" w:cs="宋体"/>
          <w:b/>
          <w:bCs/>
          <w:color w:val="000000"/>
          <w:kern w:val="0"/>
          <w:sz w:val="30"/>
          <w:szCs w:val="30"/>
        </w:rPr>
      </w:pPr>
      <w:r>
        <w:rPr>
          <w:rFonts w:hint="eastAsia" w:ascii="宋体" w:hAnsi="宋体" w:eastAsia="宋体" w:cs="宋体"/>
          <w:b/>
          <w:bCs/>
          <w:color w:val="000000"/>
          <w:kern w:val="0"/>
          <w:sz w:val="30"/>
          <w:szCs w:val="30"/>
          <w:lang w:val="zh-CN"/>
        </w:rPr>
        <w:t>采购人（甲方）：</w:t>
      </w:r>
      <w:r>
        <w:rPr>
          <w:rFonts w:hint="eastAsia" w:ascii="宋体" w:hAnsi="宋体" w:eastAsia="宋体" w:cs="宋体"/>
          <w:b/>
          <w:bCs/>
          <w:color w:val="000000"/>
          <w:kern w:val="0"/>
          <w:sz w:val="30"/>
          <w:szCs w:val="30"/>
          <w:u w:val="single"/>
        </w:rPr>
        <w:t xml:space="preserve">                       </w:t>
      </w:r>
      <w:r>
        <w:rPr>
          <w:rFonts w:hint="eastAsia" w:ascii="宋体" w:hAnsi="宋体" w:eastAsia="宋体" w:cs="宋体"/>
          <w:b/>
          <w:bCs/>
          <w:color w:val="000000"/>
          <w:kern w:val="0"/>
          <w:sz w:val="30"/>
          <w:szCs w:val="30"/>
          <w:u w:val="single"/>
          <w:lang w:val="zh-CN"/>
        </w:rPr>
        <w:t>（盖章）</w:t>
      </w:r>
    </w:p>
    <w:p w14:paraId="7A94A2BB">
      <w:pPr>
        <w:autoSpaceDE w:val="0"/>
        <w:autoSpaceDN w:val="0"/>
        <w:adjustRightInd w:val="0"/>
        <w:spacing w:line="360" w:lineRule="auto"/>
        <w:ind w:firstLine="482" w:firstLineChars="160"/>
        <w:rPr>
          <w:rFonts w:hint="eastAsia" w:ascii="宋体" w:hAnsi="宋体" w:eastAsia="宋体" w:cs="宋体"/>
          <w:b/>
          <w:bCs/>
          <w:color w:val="000000"/>
          <w:kern w:val="0"/>
          <w:sz w:val="30"/>
          <w:szCs w:val="30"/>
        </w:rPr>
      </w:pPr>
      <w:r>
        <w:rPr>
          <w:rFonts w:hint="eastAsia" w:ascii="宋体" w:hAnsi="宋体" w:eastAsia="宋体" w:cs="宋体"/>
          <w:b/>
          <w:bCs/>
          <w:color w:val="000000"/>
          <w:kern w:val="0"/>
          <w:sz w:val="30"/>
          <w:szCs w:val="30"/>
          <w:lang w:val="zh-CN"/>
        </w:rPr>
        <w:t>中标人（乙方）：</w:t>
      </w:r>
      <w:r>
        <w:rPr>
          <w:rFonts w:hint="eastAsia" w:ascii="宋体" w:hAnsi="宋体" w:eastAsia="宋体" w:cs="宋体"/>
          <w:b/>
          <w:bCs/>
          <w:color w:val="000000"/>
          <w:kern w:val="0"/>
          <w:sz w:val="30"/>
          <w:szCs w:val="30"/>
          <w:u w:val="single"/>
        </w:rPr>
        <w:t xml:space="preserve">                       </w:t>
      </w:r>
      <w:r>
        <w:rPr>
          <w:rFonts w:hint="eastAsia" w:ascii="宋体" w:hAnsi="宋体" w:eastAsia="宋体" w:cs="宋体"/>
          <w:b/>
          <w:bCs/>
          <w:color w:val="000000"/>
          <w:kern w:val="0"/>
          <w:sz w:val="30"/>
          <w:szCs w:val="30"/>
          <w:u w:val="single"/>
          <w:lang w:val="zh-CN"/>
        </w:rPr>
        <w:t>（盖章）</w:t>
      </w:r>
    </w:p>
    <w:p w14:paraId="01155839">
      <w:pPr>
        <w:autoSpaceDE w:val="0"/>
        <w:autoSpaceDN w:val="0"/>
        <w:adjustRightInd w:val="0"/>
        <w:spacing w:line="360" w:lineRule="auto"/>
        <w:ind w:firstLine="482" w:firstLineChars="160"/>
        <w:rPr>
          <w:rFonts w:hint="eastAsia" w:ascii="宋体" w:hAnsi="宋体" w:eastAsia="宋体" w:cs="宋体"/>
          <w:b/>
          <w:bCs/>
          <w:color w:val="000000"/>
          <w:kern w:val="0"/>
          <w:sz w:val="30"/>
          <w:szCs w:val="30"/>
        </w:rPr>
      </w:pPr>
      <w:r>
        <w:rPr>
          <w:rFonts w:hint="eastAsia" w:ascii="宋体" w:hAnsi="宋体" w:eastAsia="宋体" w:cs="宋体"/>
          <w:b/>
          <w:bCs/>
          <w:color w:val="000000"/>
          <w:kern w:val="0"/>
          <w:sz w:val="30"/>
          <w:szCs w:val="30"/>
          <w:lang w:val="zh-CN"/>
        </w:rPr>
        <w:t>采购日期：</w:t>
      </w:r>
      <w:r>
        <w:rPr>
          <w:rFonts w:hint="eastAsia" w:ascii="宋体" w:hAnsi="宋体" w:eastAsia="宋体" w:cs="宋体"/>
          <w:b/>
          <w:bCs/>
          <w:color w:val="000000"/>
          <w:kern w:val="0"/>
          <w:sz w:val="30"/>
          <w:szCs w:val="30"/>
          <w:u w:val="single"/>
        </w:rPr>
        <w:t xml:space="preserve">                                     </w:t>
      </w:r>
    </w:p>
    <w:p w14:paraId="235CBD91">
      <w:pPr>
        <w:autoSpaceDE w:val="0"/>
        <w:autoSpaceDN w:val="0"/>
        <w:adjustRightInd w:val="0"/>
        <w:spacing w:line="360" w:lineRule="auto"/>
        <w:rPr>
          <w:rFonts w:hint="eastAsia" w:ascii="宋体" w:hAnsi="宋体" w:eastAsia="宋体" w:cs="宋体"/>
          <w:color w:val="000000"/>
          <w:kern w:val="0"/>
          <w:sz w:val="28"/>
          <w:szCs w:val="28"/>
        </w:rPr>
      </w:pPr>
    </w:p>
    <w:p w14:paraId="21C1D2E6">
      <w:pPr>
        <w:autoSpaceDE w:val="0"/>
        <w:autoSpaceDN w:val="0"/>
        <w:adjustRightInd w:val="0"/>
        <w:jc w:val="left"/>
        <w:rPr>
          <w:rFonts w:hint="eastAsia" w:ascii="宋体" w:hAnsi="宋体" w:eastAsia="宋体" w:cs="宋体"/>
          <w:b/>
          <w:bCs/>
          <w:color w:val="000000"/>
          <w:kern w:val="0"/>
          <w:sz w:val="28"/>
          <w:szCs w:val="28"/>
        </w:rPr>
      </w:pPr>
      <w:r>
        <w:rPr>
          <w:rFonts w:hint="eastAsia" w:ascii="宋体" w:hAnsi="宋体" w:cs="宋体"/>
          <w:b/>
          <w:bCs/>
          <w:color w:val="000000"/>
          <w:kern w:val="0"/>
          <w:sz w:val="22"/>
          <w:szCs w:val="22"/>
          <w:lang w:val="en-US" w:eastAsia="zh-CN"/>
        </w:rPr>
        <w:t>注：本合同中各条款最终以实际签订为准</w:t>
      </w:r>
      <w:r>
        <w:rPr>
          <w:rFonts w:hint="eastAsia" w:ascii="宋体" w:hAnsi="宋体" w:eastAsia="宋体" w:cs="宋体"/>
          <w:color w:val="000000"/>
          <w:kern w:val="0"/>
          <w:sz w:val="28"/>
          <w:szCs w:val="28"/>
        </w:rPr>
        <w:br w:type="page"/>
      </w:r>
      <w:r>
        <w:rPr>
          <w:rFonts w:hint="eastAsia" w:ascii="宋体" w:hAnsi="宋体" w:eastAsia="宋体" w:cs="宋体"/>
          <w:b/>
          <w:bCs/>
          <w:color w:val="000000"/>
          <w:kern w:val="0"/>
          <w:sz w:val="28"/>
          <w:szCs w:val="28"/>
          <w:lang w:val="zh-CN"/>
        </w:rPr>
        <w:t>采</w:t>
      </w:r>
      <w:r>
        <w:rPr>
          <w:rFonts w:hint="eastAsia" w:ascii="宋体" w:hAnsi="宋体" w:eastAsia="宋体" w:cs="宋体"/>
          <w:b/>
          <w:bCs/>
          <w:color w:val="000000"/>
          <w:kern w:val="0"/>
          <w:sz w:val="28"/>
          <w:szCs w:val="28"/>
        </w:rPr>
        <w:t xml:space="preserve"> </w:t>
      </w:r>
      <w:r>
        <w:rPr>
          <w:rFonts w:hint="eastAsia" w:ascii="宋体" w:hAnsi="宋体" w:eastAsia="宋体" w:cs="宋体"/>
          <w:b/>
          <w:bCs/>
          <w:color w:val="000000"/>
          <w:kern w:val="0"/>
          <w:sz w:val="28"/>
          <w:szCs w:val="28"/>
          <w:lang w:val="zh-CN"/>
        </w:rPr>
        <w:t>购</w:t>
      </w:r>
      <w:r>
        <w:rPr>
          <w:rFonts w:hint="eastAsia" w:ascii="宋体" w:hAnsi="宋体" w:eastAsia="宋体" w:cs="宋体"/>
          <w:b/>
          <w:bCs/>
          <w:color w:val="000000"/>
          <w:kern w:val="0"/>
          <w:sz w:val="28"/>
          <w:szCs w:val="28"/>
        </w:rPr>
        <w:t xml:space="preserve"> </w:t>
      </w:r>
      <w:r>
        <w:rPr>
          <w:rFonts w:hint="eastAsia" w:ascii="宋体" w:hAnsi="宋体" w:eastAsia="宋体" w:cs="宋体"/>
          <w:b/>
          <w:bCs/>
          <w:color w:val="000000"/>
          <w:kern w:val="0"/>
          <w:sz w:val="28"/>
          <w:szCs w:val="28"/>
          <w:lang w:val="zh-CN"/>
        </w:rPr>
        <w:t>人（以下简称甲方）：</w:t>
      </w:r>
    </w:p>
    <w:p w14:paraId="3F2D2B57">
      <w:pPr>
        <w:autoSpaceDE w:val="0"/>
        <w:autoSpaceDN w:val="0"/>
        <w:adjustRightInd w:val="0"/>
        <w:rPr>
          <w:rFonts w:hint="eastAsia" w:ascii="宋体" w:hAnsi="宋体" w:eastAsia="宋体" w:cs="宋体"/>
          <w:color w:val="000000"/>
          <w:kern w:val="0"/>
          <w:sz w:val="28"/>
          <w:szCs w:val="28"/>
        </w:rPr>
      </w:pPr>
      <w:r>
        <w:rPr>
          <w:rFonts w:hint="eastAsia" w:ascii="宋体" w:hAnsi="宋体" w:eastAsia="宋体" w:cs="宋体"/>
          <w:b/>
          <w:bCs/>
          <w:color w:val="000000"/>
          <w:kern w:val="0"/>
          <w:sz w:val="30"/>
          <w:szCs w:val="30"/>
          <w:lang w:val="zh-CN"/>
        </w:rPr>
        <w:t>中</w:t>
      </w:r>
      <w:r>
        <w:rPr>
          <w:rFonts w:hint="eastAsia" w:ascii="宋体" w:hAnsi="宋体" w:eastAsia="宋体" w:cs="宋体"/>
          <w:b/>
          <w:bCs/>
          <w:color w:val="000000"/>
          <w:kern w:val="0"/>
          <w:sz w:val="30"/>
          <w:szCs w:val="30"/>
        </w:rPr>
        <w:t xml:space="preserve"> </w:t>
      </w:r>
      <w:r>
        <w:rPr>
          <w:rFonts w:hint="eastAsia" w:ascii="宋体" w:hAnsi="宋体" w:eastAsia="宋体" w:cs="宋体"/>
          <w:b/>
          <w:bCs/>
          <w:color w:val="000000"/>
          <w:kern w:val="0"/>
          <w:sz w:val="30"/>
          <w:szCs w:val="30"/>
          <w:lang w:val="zh-CN"/>
        </w:rPr>
        <w:t>标</w:t>
      </w:r>
      <w:r>
        <w:rPr>
          <w:rFonts w:hint="eastAsia" w:ascii="宋体" w:hAnsi="宋体" w:eastAsia="宋体" w:cs="宋体"/>
          <w:b/>
          <w:bCs/>
          <w:color w:val="000000"/>
          <w:kern w:val="0"/>
          <w:sz w:val="30"/>
          <w:szCs w:val="30"/>
        </w:rPr>
        <w:t xml:space="preserve"> </w:t>
      </w:r>
      <w:r>
        <w:rPr>
          <w:rFonts w:hint="eastAsia" w:ascii="宋体" w:hAnsi="宋体" w:eastAsia="宋体" w:cs="宋体"/>
          <w:b/>
          <w:bCs/>
          <w:color w:val="000000"/>
          <w:kern w:val="0"/>
          <w:sz w:val="30"/>
          <w:szCs w:val="30"/>
          <w:lang w:val="zh-CN"/>
        </w:rPr>
        <w:t>人</w:t>
      </w:r>
      <w:r>
        <w:rPr>
          <w:rFonts w:hint="eastAsia" w:ascii="宋体" w:hAnsi="宋体" w:eastAsia="宋体" w:cs="宋体"/>
          <w:b/>
          <w:bCs/>
          <w:color w:val="000000"/>
          <w:kern w:val="0"/>
          <w:sz w:val="28"/>
          <w:szCs w:val="28"/>
          <w:lang w:val="zh-CN"/>
        </w:rPr>
        <w:t>（以下简称乙方）：</w:t>
      </w:r>
    </w:p>
    <w:p w14:paraId="7361AFD9">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甲、乙双方根据</w:t>
      </w:r>
      <w:r>
        <w:rPr>
          <w:rFonts w:hint="eastAsia" w:ascii="宋体" w:hAnsi="宋体" w:eastAsia="宋体" w:cs="宋体"/>
          <w:color w:val="000000"/>
          <w:kern w:val="0"/>
        </w:rPr>
        <w:t>20</w:t>
      </w:r>
      <w:r>
        <w:rPr>
          <w:rFonts w:hint="eastAsia" w:ascii="宋体" w:hAnsi="宋体" w:eastAsia="宋体" w:cs="宋体"/>
          <w:color w:val="000000"/>
          <w:kern w:val="0"/>
          <w:lang w:val="zh-CN"/>
        </w:rPr>
        <w:t>XX年XX月XX日（采购项目名称</w:t>
      </w:r>
      <w:r>
        <w:rPr>
          <w:rFonts w:hint="eastAsia" w:ascii="宋体" w:hAnsi="宋体" w:cs="宋体"/>
          <w:color w:val="000000"/>
          <w:kern w:val="0"/>
          <w:lang w:val="zh-CN"/>
        </w:rPr>
        <w:t>（</w:t>
      </w:r>
      <w:r>
        <w:rPr>
          <w:rFonts w:hint="eastAsia" w:ascii="宋体" w:hAnsi="宋体" w:cs="宋体"/>
          <w:color w:val="000000"/>
          <w:kern w:val="0"/>
          <w:lang w:val="en-US" w:eastAsia="zh-CN"/>
        </w:rPr>
        <w:t>包号</w:t>
      </w:r>
      <w:r>
        <w:rPr>
          <w:rFonts w:hint="eastAsia" w:ascii="宋体" w:hAnsi="宋体" w:cs="宋体"/>
          <w:color w:val="000000"/>
          <w:kern w:val="0"/>
          <w:lang w:val="zh-CN"/>
        </w:rPr>
        <w:t>）</w:t>
      </w:r>
      <w:r>
        <w:rPr>
          <w:rFonts w:hint="eastAsia" w:ascii="宋体" w:hAnsi="宋体" w:eastAsia="宋体" w:cs="宋体"/>
          <w:color w:val="000000"/>
          <w:kern w:val="0"/>
          <w:lang w:val="zh-CN"/>
        </w:rPr>
        <w:t>）采购项目（采购项目编号）的招标文件要求和采购代理机构出具的《中标通知书》，并经双方协商一致，签订本合同协议书。</w:t>
      </w:r>
    </w:p>
    <w:p w14:paraId="0DAD6D88">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一、签订本政府采购合同的依据</w:t>
      </w:r>
    </w:p>
    <w:p w14:paraId="213B96E8">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本政府采购合同所附下列文件是构成本政府采购合同不可分割的部分：</w:t>
      </w:r>
    </w:p>
    <w:p w14:paraId="25E11DDB">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1.招标文件；</w:t>
      </w:r>
    </w:p>
    <w:p w14:paraId="47A201BA">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2.招标文件的澄清、变更公告；</w:t>
      </w:r>
    </w:p>
    <w:p w14:paraId="0EB4E8B9">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3.中标人提交的投标文件；</w:t>
      </w:r>
    </w:p>
    <w:p w14:paraId="3C95991C">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rPr>
        <w:t>4</w:t>
      </w:r>
      <w:r>
        <w:rPr>
          <w:rFonts w:hint="eastAsia" w:ascii="宋体" w:hAnsi="宋体" w:eastAsia="宋体" w:cs="宋体"/>
          <w:color w:val="000000"/>
          <w:kern w:val="0"/>
          <w:lang w:val="zh-CN"/>
        </w:rPr>
        <w:t>.中标通知书；</w:t>
      </w:r>
    </w:p>
    <w:p w14:paraId="1ADC4CCC">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rPr>
        <w:t>5</w:t>
      </w:r>
      <w:r>
        <w:rPr>
          <w:rFonts w:hint="eastAsia" w:ascii="宋体" w:hAnsi="宋体" w:eastAsia="宋体" w:cs="宋体"/>
          <w:color w:val="000000"/>
          <w:kern w:val="0"/>
          <w:lang w:val="zh-CN"/>
        </w:rPr>
        <w:t>.履约保证金缴费证明</w:t>
      </w:r>
      <w:r>
        <w:rPr>
          <w:rFonts w:hint="eastAsia" w:ascii="宋体" w:hAnsi="宋体" w:cs="宋体"/>
          <w:color w:val="000000"/>
          <w:kern w:val="0"/>
          <w:lang w:val="zh-CN"/>
        </w:rPr>
        <w:t>（</w:t>
      </w:r>
      <w:r>
        <w:rPr>
          <w:rFonts w:hint="eastAsia" w:ascii="宋体" w:hAnsi="宋体" w:cs="宋体"/>
          <w:color w:val="000000"/>
          <w:kern w:val="0"/>
          <w:lang w:val="en-US" w:eastAsia="zh-CN"/>
        </w:rPr>
        <w:t>如有</w:t>
      </w:r>
      <w:r>
        <w:rPr>
          <w:rFonts w:hint="eastAsia" w:ascii="宋体" w:hAnsi="宋体" w:cs="宋体"/>
          <w:color w:val="000000"/>
          <w:kern w:val="0"/>
          <w:lang w:val="zh-CN"/>
        </w:rPr>
        <w:t>）</w:t>
      </w:r>
      <w:r>
        <w:rPr>
          <w:rFonts w:hint="eastAsia" w:ascii="宋体" w:hAnsi="宋体" w:eastAsia="宋体" w:cs="宋体"/>
          <w:color w:val="000000"/>
          <w:kern w:val="0"/>
          <w:lang w:val="zh-CN"/>
        </w:rPr>
        <w:t>。</w:t>
      </w:r>
    </w:p>
    <w:p w14:paraId="191848F9">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二、合同标的及金额                                       单位：元</w:t>
      </w:r>
    </w:p>
    <w:tbl>
      <w:tblPr>
        <w:tblStyle w:val="25"/>
        <w:tblW w:w="0" w:type="auto"/>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14:paraId="229E09DF">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14:paraId="0F3A5AC4">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包号</w:t>
            </w:r>
          </w:p>
        </w:tc>
        <w:tc>
          <w:tcPr>
            <w:tcW w:w="2271" w:type="dxa"/>
            <w:tcBorders>
              <w:top w:val="single" w:color="auto" w:sz="4" w:space="0"/>
              <w:left w:val="single" w:color="auto" w:sz="4" w:space="0"/>
              <w:bottom w:val="single" w:color="auto" w:sz="4" w:space="0"/>
              <w:right w:val="single" w:color="auto" w:sz="4" w:space="0"/>
            </w:tcBorders>
            <w:noWrap w:val="0"/>
            <w:vAlign w:val="center"/>
          </w:tcPr>
          <w:p w14:paraId="22A7A72A">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标的名称</w:t>
            </w:r>
          </w:p>
        </w:tc>
        <w:tc>
          <w:tcPr>
            <w:tcW w:w="1899" w:type="dxa"/>
            <w:tcBorders>
              <w:top w:val="single" w:color="auto" w:sz="4" w:space="0"/>
              <w:left w:val="single" w:color="auto" w:sz="4" w:space="0"/>
              <w:bottom w:val="single" w:color="auto" w:sz="4" w:space="0"/>
              <w:right w:val="single" w:color="auto" w:sz="4" w:space="0"/>
            </w:tcBorders>
            <w:noWrap w:val="0"/>
            <w:vAlign w:val="center"/>
          </w:tcPr>
          <w:p w14:paraId="26638B49">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规格型号</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2446545E">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数量</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622739F5">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单价</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5D35B6CE">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总价</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587D57B9">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备注</w:t>
            </w:r>
          </w:p>
        </w:tc>
      </w:tr>
      <w:tr w14:paraId="5639BBD4">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14:paraId="7BEC278F">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2C8FD697">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2F655E92">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105FD2F3">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41620C6C">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728FFF6B">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015EEE09">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r>
      <w:tr w14:paraId="0F091232">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14:paraId="1D959C83">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7DDB8B86">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09E2A9D9">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074EC5C4">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18886216">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4FD85ED0">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18C13A25">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r>
    </w:tbl>
    <w:p w14:paraId="0E529E1D">
      <w:pPr>
        <w:autoSpaceDE w:val="0"/>
        <w:autoSpaceDN w:val="0"/>
        <w:spacing w:line="360" w:lineRule="auto"/>
        <w:jc w:val="left"/>
        <w:rPr>
          <w:rFonts w:hint="eastAsia" w:ascii="宋体" w:hAnsi="宋体" w:eastAsia="宋体" w:cs="宋体"/>
          <w:color w:val="000000"/>
          <w:kern w:val="0"/>
          <w:u w:val="single"/>
        </w:rPr>
      </w:pPr>
      <w:r>
        <w:rPr>
          <w:rFonts w:hint="eastAsia" w:ascii="宋体" w:hAnsi="宋体" w:eastAsia="宋体" w:cs="宋体"/>
          <w:color w:val="000000"/>
          <w:kern w:val="0"/>
          <w:lang w:val="zh-CN"/>
        </w:rPr>
        <w:t>根据上述政府采购合同文件要求，本政府采购合同的总金额为人民币</w:t>
      </w:r>
      <w:r>
        <w:rPr>
          <w:rFonts w:hint="eastAsia" w:ascii="宋体" w:hAnsi="宋体" w:eastAsia="宋体" w:cs="宋体"/>
          <w:color w:val="000000"/>
          <w:kern w:val="0"/>
          <w:u w:val="single"/>
        </w:rPr>
        <w:t xml:space="preserve">           </w:t>
      </w:r>
    </w:p>
    <w:p w14:paraId="37FC9708">
      <w:pPr>
        <w:autoSpaceDE w:val="0"/>
        <w:autoSpaceDN w:val="0"/>
        <w:spacing w:line="360" w:lineRule="auto"/>
        <w:jc w:val="left"/>
        <w:rPr>
          <w:rFonts w:hint="eastAsia" w:ascii="宋体" w:hAnsi="宋体" w:eastAsia="宋体" w:cs="宋体"/>
          <w:color w:val="000000"/>
          <w:kern w:val="0"/>
          <w:lang w:val="zh-CN"/>
        </w:rPr>
      </w:pPr>
      <w:r>
        <w:rPr>
          <w:rFonts w:hint="eastAsia" w:ascii="宋体" w:hAnsi="宋体" w:eastAsia="宋体" w:cs="宋体"/>
          <w:color w:val="000000"/>
          <w:kern w:val="0"/>
          <w:lang w:val="zh-CN"/>
        </w:rPr>
        <w:t>（大写）</w:t>
      </w:r>
      <w:r>
        <w:rPr>
          <w:rFonts w:hint="eastAsia" w:ascii="宋体" w:hAnsi="宋体" w:eastAsia="宋体" w:cs="宋体"/>
          <w:color w:val="000000"/>
          <w:kern w:val="0"/>
          <w:u w:val="single"/>
          <w:lang w:val="zh-CN"/>
        </w:rPr>
        <w:t xml:space="preserve">                 </w:t>
      </w:r>
      <w:r>
        <w:rPr>
          <w:rFonts w:hint="eastAsia" w:ascii="宋体" w:hAnsi="宋体" w:eastAsia="宋体" w:cs="宋体"/>
          <w:color w:val="000000"/>
          <w:kern w:val="0"/>
          <w:lang w:val="zh-CN"/>
        </w:rPr>
        <w:t>元。</w:t>
      </w:r>
    </w:p>
    <w:p w14:paraId="1BA981AC">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本合同以人民币进行结算，合同总价包括：</w:t>
      </w:r>
      <w:r>
        <w:rPr>
          <w:rFonts w:hint="eastAsia" w:ascii="宋体" w:hAnsi="宋体" w:eastAsia="宋体" w:cs="宋体"/>
          <w:color w:val="auto"/>
          <w:sz w:val="24"/>
          <w:szCs w:val="24"/>
        </w:rPr>
        <w:t>完成本项目</w:t>
      </w:r>
      <w:r>
        <w:rPr>
          <w:rFonts w:hint="eastAsia" w:ascii="宋体" w:hAnsi="宋体" w:cs="宋体"/>
          <w:color w:val="auto"/>
          <w:sz w:val="24"/>
          <w:szCs w:val="24"/>
          <w:lang w:eastAsia="zh-CN"/>
        </w:rPr>
        <w:t>货物</w:t>
      </w:r>
      <w:r>
        <w:rPr>
          <w:rFonts w:hint="eastAsia" w:ascii="宋体" w:hAnsi="宋体" w:eastAsia="宋体" w:cs="宋体"/>
          <w:color w:val="auto"/>
          <w:sz w:val="24"/>
          <w:szCs w:val="24"/>
        </w:rPr>
        <w:t>内容可能发生的各项费用，如</w:t>
      </w:r>
      <w:r>
        <w:rPr>
          <w:rFonts w:hint="eastAsia" w:ascii="宋体" w:hAnsi="宋体" w:cs="宋体"/>
          <w:color w:val="auto"/>
          <w:sz w:val="24"/>
          <w:szCs w:val="24"/>
          <w:lang w:val="en-US" w:eastAsia="zh-CN"/>
        </w:rPr>
        <w:t>货物</w:t>
      </w:r>
      <w:r>
        <w:rPr>
          <w:rFonts w:hint="eastAsia" w:ascii="宋体" w:hAnsi="宋体" w:eastAsia="宋体" w:cs="宋体"/>
          <w:color w:val="auto"/>
          <w:sz w:val="24"/>
          <w:szCs w:val="24"/>
          <w:lang w:val="en-US" w:eastAsia="zh-CN"/>
        </w:rPr>
        <w:t>费、运输费、安装调试费、手续费、保险费、人员工资、税金及不可预见的其他费等全部费用</w:t>
      </w:r>
      <w:r>
        <w:rPr>
          <w:rFonts w:hint="eastAsia" w:ascii="宋体" w:hAnsi="宋体" w:eastAsia="宋体" w:cs="宋体"/>
          <w:color w:val="auto"/>
          <w:sz w:val="24"/>
          <w:szCs w:val="24"/>
        </w:rPr>
        <w:t>。</w:t>
      </w:r>
    </w:p>
    <w:p w14:paraId="41EE4FA5">
      <w:pPr>
        <w:autoSpaceDE w:val="0"/>
        <w:autoSpaceDN w:val="0"/>
        <w:spacing w:line="360" w:lineRule="auto"/>
        <w:rPr>
          <w:rFonts w:hint="eastAsia" w:ascii="宋体" w:hAnsi="宋体" w:eastAsia="宋体" w:cs="宋体"/>
          <w:color w:val="000000"/>
          <w:kern w:val="0"/>
        </w:rPr>
      </w:pPr>
      <w:r>
        <w:rPr>
          <w:rFonts w:hint="eastAsia" w:ascii="宋体" w:hAnsi="宋体" w:eastAsia="宋体" w:cs="宋体"/>
          <w:color w:val="000000"/>
          <w:kern w:val="0"/>
          <w:lang w:val="zh-CN"/>
        </w:rPr>
        <w:t>三、交付时间、地点和要求</w:t>
      </w:r>
    </w:p>
    <w:p w14:paraId="332AE9CF">
      <w:pPr>
        <w:autoSpaceDE w:val="0"/>
        <w:autoSpaceDN w:val="0"/>
        <w:spacing w:line="360" w:lineRule="auto"/>
        <w:ind w:firstLine="360"/>
        <w:jc w:val="left"/>
        <w:rPr>
          <w:rFonts w:hint="eastAsia" w:ascii="宋体" w:hAnsi="宋体" w:eastAsia="宋体" w:cs="宋体"/>
          <w:kern w:val="0"/>
        </w:rPr>
      </w:pPr>
      <w:r>
        <w:rPr>
          <w:rFonts w:hint="eastAsia" w:ascii="宋体" w:hAnsi="宋体" w:eastAsia="宋体" w:cs="宋体"/>
          <w:color w:val="000000"/>
          <w:kern w:val="0"/>
        </w:rPr>
        <w:t>1.</w:t>
      </w:r>
      <w:r>
        <w:rPr>
          <w:rFonts w:hint="eastAsia" w:ascii="宋体" w:hAnsi="宋体" w:eastAsia="宋体" w:cs="宋体"/>
          <w:color w:val="000000"/>
          <w:kern w:val="0"/>
          <w:lang w:val="zh-CN"/>
        </w:rPr>
        <w:t>交货时间：</w:t>
      </w:r>
      <w:r>
        <w:rPr>
          <w:rFonts w:hint="eastAsia" w:ascii="宋体" w:hAnsi="宋体" w:cs="宋体"/>
          <w:bCs/>
          <w:iCs/>
          <w:color w:val="auto"/>
          <w:sz w:val="24"/>
          <w:szCs w:val="24"/>
          <w:highlight w:val="none"/>
          <w:lang w:val="en-US" w:eastAsia="zh-CN"/>
        </w:rPr>
        <w:t>合同签订后3</w:t>
      </w:r>
      <w:r>
        <w:rPr>
          <w:rFonts w:hint="eastAsia" w:ascii="宋体" w:hAnsi="宋体" w:cs="宋体"/>
          <w:bCs/>
          <w:iCs/>
          <w:color w:val="auto"/>
          <w:sz w:val="24"/>
          <w:szCs w:val="24"/>
          <w:highlight w:val="none"/>
          <w:lang w:val="zh-CN"/>
        </w:rPr>
        <w:t>个月内</w:t>
      </w:r>
      <w:r>
        <w:rPr>
          <w:rFonts w:hint="eastAsia" w:ascii="宋体" w:hAnsi="宋体" w:cs="宋体"/>
          <w:bCs/>
          <w:iCs/>
          <w:color w:val="auto"/>
          <w:sz w:val="24"/>
          <w:szCs w:val="24"/>
          <w:highlight w:val="none"/>
          <w:lang w:val="en-US" w:eastAsia="zh-CN"/>
        </w:rPr>
        <w:t>完成交货，5个月内完成建设</w:t>
      </w:r>
      <w:r>
        <w:rPr>
          <w:rFonts w:hint="eastAsia" w:ascii="宋体" w:hAnsi="宋体" w:eastAsia="宋体" w:cs="宋体"/>
          <w:bCs/>
          <w:iCs/>
          <w:color w:val="auto"/>
          <w:sz w:val="24"/>
          <w:szCs w:val="24"/>
          <w:highlight w:val="none"/>
          <w:lang w:val="zh-CN"/>
        </w:rPr>
        <w:t>；</w:t>
      </w:r>
    </w:p>
    <w:p w14:paraId="0EB2D5E5">
      <w:pPr>
        <w:autoSpaceDE w:val="0"/>
        <w:autoSpaceDN w:val="0"/>
        <w:spacing w:line="360" w:lineRule="auto"/>
        <w:ind w:firstLine="360"/>
        <w:jc w:val="left"/>
        <w:rPr>
          <w:rFonts w:hint="eastAsia" w:ascii="宋体" w:hAnsi="宋体" w:eastAsia="宋体" w:cs="宋体"/>
          <w:color w:val="000000"/>
          <w:kern w:val="0"/>
          <w:u w:val="single"/>
        </w:rPr>
      </w:pPr>
      <w:r>
        <w:rPr>
          <w:rFonts w:hint="eastAsia" w:ascii="宋体" w:hAnsi="宋体" w:eastAsia="宋体" w:cs="宋体"/>
          <w:kern w:val="0"/>
        </w:rPr>
        <w:t xml:space="preserve">  </w:t>
      </w:r>
      <w:r>
        <w:rPr>
          <w:rFonts w:hint="eastAsia" w:ascii="宋体" w:hAnsi="宋体" w:eastAsia="宋体" w:cs="宋体"/>
          <w:kern w:val="0"/>
          <w:lang w:val="zh-CN"/>
        </w:rPr>
        <w:t>交货地点</w:t>
      </w:r>
      <w:r>
        <w:rPr>
          <w:rFonts w:hint="eastAsia" w:ascii="宋体" w:hAnsi="宋体" w:cs="宋体"/>
          <w:bCs/>
          <w:iCs/>
          <w:color w:val="auto"/>
          <w:sz w:val="24"/>
          <w:szCs w:val="24"/>
          <w:highlight w:val="none"/>
          <w:lang w:val="zh-CN"/>
        </w:rPr>
        <w:t>：甲方指定地点；</w:t>
      </w:r>
    </w:p>
    <w:p w14:paraId="4AB9E7A7">
      <w:pPr>
        <w:pStyle w:val="24"/>
        <w:keepNext w:val="0"/>
        <w:keepLines w:val="0"/>
        <w:pageBreakBefore w:val="0"/>
        <w:widowControl w:val="0"/>
        <w:kinsoku/>
        <w:wordWrap/>
        <w:overflowPunct/>
        <w:topLinePunct w:val="0"/>
        <w:autoSpaceDE/>
        <w:autoSpaceDN/>
        <w:bidi w:val="0"/>
        <w:adjustRightInd/>
        <w:snapToGrid/>
        <w:spacing w:after="0" w:line="360" w:lineRule="auto"/>
        <w:ind w:left="0" w:leftChars="0" w:firstLine="576" w:firstLineChars="240"/>
        <w:textAlignment w:val="auto"/>
        <w:rPr>
          <w:rFonts w:hint="eastAsia" w:ascii="宋体" w:hAnsi="宋体" w:eastAsia="宋体" w:cs="宋体"/>
          <w:spacing w:val="0"/>
          <w:kern w:val="0"/>
          <w:sz w:val="24"/>
          <w:szCs w:val="24"/>
          <w:highlight w:val="yellow"/>
          <w:lang w:val="en-US" w:eastAsia="zh-CN" w:bidi="ar-SA"/>
        </w:rPr>
      </w:pPr>
      <w:r>
        <w:rPr>
          <w:rFonts w:hint="eastAsia" w:ascii="宋体" w:hAnsi="宋体" w:eastAsia="宋体" w:cs="宋体"/>
          <w:spacing w:val="0"/>
          <w:kern w:val="0"/>
          <w:sz w:val="24"/>
          <w:szCs w:val="24"/>
          <w:lang w:val="en-US" w:eastAsia="zh-CN" w:bidi="ar-SA"/>
        </w:rPr>
        <w:t>质保期</w:t>
      </w:r>
      <w:r>
        <w:rPr>
          <w:rFonts w:hint="eastAsia" w:ascii="宋体" w:hAnsi="宋体" w:eastAsia="宋体" w:cs="宋体"/>
          <w:spacing w:val="0"/>
          <w:kern w:val="0"/>
          <w:sz w:val="24"/>
          <w:szCs w:val="24"/>
          <w:lang w:val="zh-CN" w:eastAsia="zh-CN" w:bidi="ar-SA"/>
        </w:rPr>
        <w:t>：</w:t>
      </w:r>
      <w:r>
        <w:rPr>
          <w:rFonts w:hint="eastAsia" w:ascii="宋体" w:hAnsi="宋体" w:eastAsia="宋体" w:cs="宋体"/>
          <w:bCs/>
          <w:iCs/>
          <w:color w:val="auto"/>
          <w:spacing w:val="0"/>
          <w:kern w:val="2"/>
          <w:sz w:val="24"/>
          <w:szCs w:val="24"/>
          <w:highlight w:val="none"/>
          <w:lang w:val="en-US" w:eastAsia="zh-CN" w:bidi="ar-SA"/>
        </w:rPr>
        <w:t>提供三年免费质保和运维服务</w:t>
      </w:r>
      <w:r>
        <w:rPr>
          <w:rFonts w:hint="eastAsia" w:ascii="宋体" w:hAnsi="宋体" w:eastAsia="宋体" w:cs="宋体"/>
          <w:bCs/>
          <w:iCs/>
          <w:color w:val="auto"/>
          <w:spacing w:val="0"/>
          <w:kern w:val="2"/>
          <w:sz w:val="24"/>
          <w:szCs w:val="24"/>
          <w:highlight w:val="none"/>
          <w:lang w:val="zh-CN" w:eastAsia="zh-CN" w:bidi="ar-SA"/>
        </w:rPr>
        <w:t>；</w:t>
      </w:r>
    </w:p>
    <w:p w14:paraId="48697192">
      <w:pPr>
        <w:autoSpaceDE w:val="0"/>
        <w:autoSpaceDN w:val="0"/>
        <w:spacing w:line="360" w:lineRule="auto"/>
        <w:ind w:firstLine="360"/>
        <w:rPr>
          <w:rFonts w:hint="eastAsia" w:ascii="宋体" w:hAnsi="宋体" w:eastAsia="宋体" w:cs="宋体"/>
          <w:color w:val="000000"/>
          <w:kern w:val="0"/>
        </w:rPr>
      </w:pPr>
      <w:r>
        <w:rPr>
          <w:rFonts w:hint="eastAsia" w:ascii="宋体" w:hAnsi="宋体" w:eastAsia="宋体" w:cs="宋体"/>
          <w:color w:val="000000"/>
          <w:kern w:val="0"/>
        </w:rPr>
        <w:t>2.</w:t>
      </w:r>
      <w:r>
        <w:rPr>
          <w:rFonts w:hint="eastAsia" w:ascii="宋体" w:hAnsi="宋体" w:eastAsia="宋体" w:cs="宋体"/>
          <w:color w:val="000000"/>
          <w:kern w:val="0"/>
          <w:lang w:val="zh-CN"/>
        </w:rPr>
        <w:t>乙方提供不符合招投标文件和本合同规定的产品，甲方有权拒绝接受。</w:t>
      </w:r>
    </w:p>
    <w:p w14:paraId="2BA9FBE1">
      <w:pPr>
        <w:autoSpaceDE w:val="0"/>
        <w:autoSpaceDN w:val="0"/>
        <w:spacing w:line="360" w:lineRule="auto"/>
        <w:ind w:firstLine="360"/>
        <w:rPr>
          <w:rFonts w:hint="eastAsia" w:ascii="宋体" w:hAnsi="宋体" w:eastAsia="宋体" w:cs="宋体"/>
          <w:color w:val="000000"/>
          <w:kern w:val="0"/>
        </w:rPr>
      </w:pPr>
      <w:r>
        <w:rPr>
          <w:rFonts w:hint="eastAsia" w:ascii="宋体" w:hAnsi="宋体" w:eastAsia="宋体" w:cs="宋体"/>
          <w:color w:val="000000"/>
          <w:kern w:val="0"/>
        </w:rPr>
        <w:t>3.</w:t>
      </w:r>
      <w:r>
        <w:rPr>
          <w:rFonts w:hint="eastAsia" w:ascii="宋体" w:hAnsi="宋体" w:eastAsia="宋体" w:cs="宋体"/>
          <w:color w:val="000000"/>
          <w:kern w:val="0"/>
          <w:lang w:val="zh-CN"/>
        </w:rPr>
        <w:t>乙方应将提供产品的装箱清单、用户手册、原厂保修卡、随机资料、工具和备品、备件等交付给甲方，如有缺失应及时补齐，否则视为逾期交货。</w:t>
      </w:r>
    </w:p>
    <w:p w14:paraId="4305D617">
      <w:pPr>
        <w:autoSpaceDE w:val="0"/>
        <w:autoSpaceDN w:val="0"/>
        <w:spacing w:line="360" w:lineRule="auto"/>
        <w:ind w:firstLine="360"/>
        <w:rPr>
          <w:rFonts w:hint="eastAsia" w:ascii="宋体" w:hAnsi="宋体" w:eastAsia="宋体" w:cs="宋体"/>
          <w:color w:val="000000"/>
          <w:kern w:val="0"/>
        </w:rPr>
      </w:pPr>
      <w:r>
        <w:rPr>
          <w:rFonts w:hint="eastAsia" w:ascii="宋体" w:hAnsi="宋体" w:eastAsia="宋体" w:cs="宋体"/>
          <w:color w:val="000000"/>
          <w:kern w:val="0"/>
        </w:rPr>
        <w:t>4.</w:t>
      </w:r>
      <w:r>
        <w:rPr>
          <w:rFonts w:hint="eastAsia" w:ascii="宋体" w:hAnsi="宋体" w:eastAsia="宋体" w:cs="宋体"/>
          <w:color w:val="000000"/>
          <w:kern w:val="0"/>
          <w:lang w:val="zh-CN"/>
        </w:rPr>
        <w:t>甲方应当在到货（安装、调试完）后</w:t>
      </w:r>
      <w:r>
        <w:rPr>
          <w:rFonts w:hint="eastAsia" w:ascii="宋体" w:hAnsi="宋体" w:eastAsia="宋体" w:cs="宋体"/>
          <w:color w:val="000000"/>
          <w:kern w:val="0"/>
          <w:u w:val="single"/>
        </w:rPr>
        <w:t xml:space="preserve">    </w:t>
      </w:r>
      <w:r>
        <w:rPr>
          <w:rFonts w:hint="eastAsia" w:ascii="宋体" w:hAnsi="宋体" w:eastAsia="宋体" w:cs="宋体"/>
          <w:color w:val="000000"/>
          <w:kern w:val="0"/>
          <w:lang w:val="zh-CN"/>
        </w:rPr>
        <w:t>个工作日内进行验收，逾期不验收的，乙方可视为验收合格。验收合格后，由甲乙双方签署产品验收单并加盖采购人公章，甲乙双方各执一份。</w:t>
      </w:r>
    </w:p>
    <w:p w14:paraId="3BF9F511">
      <w:pPr>
        <w:autoSpaceDE w:val="0"/>
        <w:autoSpaceDN w:val="0"/>
        <w:spacing w:line="360" w:lineRule="auto"/>
        <w:ind w:firstLine="360"/>
        <w:rPr>
          <w:rFonts w:hint="eastAsia" w:ascii="宋体" w:hAnsi="宋体" w:eastAsia="宋体" w:cs="宋体"/>
          <w:color w:val="000000"/>
          <w:kern w:val="0"/>
        </w:rPr>
      </w:pPr>
      <w:r>
        <w:rPr>
          <w:rFonts w:hint="eastAsia" w:ascii="宋体" w:hAnsi="宋体" w:eastAsia="宋体" w:cs="宋体"/>
          <w:color w:val="000000"/>
          <w:kern w:val="0"/>
        </w:rPr>
        <w:t>5.</w:t>
      </w:r>
      <w:r>
        <w:rPr>
          <w:rFonts w:hint="eastAsia" w:ascii="宋体" w:hAnsi="宋体" w:eastAsia="宋体" w:cs="宋体"/>
          <w:color w:val="000000"/>
          <w:kern w:val="0"/>
          <w:lang w:val="zh-CN"/>
        </w:rPr>
        <w:t>甲方应提供该项目验收报告交同级财政监管部门，由财政部门按规定程序抽验后办理资金拨付。</w:t>
      </w:r>
    </w:p>
    <w:p w14:paraId="5B943389">
      <w:pPr>
        <w:autoSpaceDE w:val="0"/>
        <w:autoSpaceDN w:val="0"/>
        <w:spacing w:line="360" w:lineRule="auto"/>
        <w:ind w:firstLine="360"/>
        <w:rPr>
          <w:rFonts w:hint="eastAsia" w:ascii="宋体" w:hAnsi="宋体" w:eastAsia="宋体" w:cs="宋体"/>
          <w:color w:val="000000"/>
          <w:kern w:val="0"/>
        </w:rPr>
      </w:pPr>
      <w:r>
        <w:rPr>
          <w:rFonts w:hint="eastAsia" w:ascii="宋体" w:hAnsi="宋体" w:eastAsia="宋体" w:cs="宋体"/>
          <w:color w:val="000000"/>
          <w:kern w:val="0"/>
        </w:rPr>
        <w:t>6.</w:t>
      </w:r>
      <w:r>
        <w:rPr>
          <w:rFonts w:hint="eastAsia" w:ascii="宋体" w:hAnsi="宋体" w:eastAsia="宋体" w:cs="宋体"/>
          <w:color w:val="000000"/>
          <w:kern w:val="0"/>
          <w:lang w:val="zh-CN"/>
        </w:rPr>
        <w:t>甲方在验收过程中发现乙方有违约问题，可按招、投标文件的规定要求乙方及时予以解决。</w:t>
      </w:r>
    </w:p>
    <w:p w14:paraId="53CA3954">
      <w:pPr>
        <w:autoSpaceDE w:val="0"/>
        <w:autoSpaceDN w:val="0"/>
        <w:spacing w:line="360" w:lineRule="auto"/>
        <w:ind w:firstLine="360"/>
        <w:rPr>
          <w:rFonts w:hint="eastAsia" w:ascii="宋体" w:hAnsi="宋体" w:eastAsia="宋体" w:cs="宋体"/>
          <w:color w:val="000000"/>
          <w:kern w:val="0"/>
          <w:lang w:val="zh-CN"/>
        </w:rPr>
      </w:pPr>
      <w:r>
        <w:rPr>
          <w:rFonts w:hint="eastAsia" w:ascii="宋体" w:hAnsi="宋体" w:eastAsia="宋体" w:cs="宋体"/>
          <w:color w:val="000000"/>
          <w:kern w:val="0"/>
          <w:lang w:val="zh-CN"/>
        </w:rPr>
        <w:t>7.乙方向甲方提供产品相关完税销售发票。</w:t>
      </w:r>
    </w:p>
    <w:p w14:paraId="1261C5C4">
      <w:pPr>
        <w:autoSpaceDE w:val="0"/>
        <w:autoSpaceDN w:val="0"/>
        <w:spacing w:line="360" w:lineRule="auto"/>
        <w:rPr>
          <w:rFonts w:hint="eastAsia" w:ascii="宋体" w:hAnsi="宋体" w:eastAsia="宋体" w:cs="宋体"/>
          <w:color w:val="000000"/>
          <w:kern w:val="0"/>
          <w:lang w:val="zh-CN"/>
        </w:rPr>
      </w:pPr>
      <w:bookmarkStart w:id="46" w:name="_Toc410977576"/>
      <w:bookmarkStart w:id="47" w:name="_Toc15447"/>
      <w:r>
        <w:rPr>
          <w:rFonts w:hint="eastAsia" w:ascii="宋体" w:hAnsi="宋体" w:eastAsia="宋体" w:cs="宋体"/>
          <w:color w:val="000000"/>
          <w:kern w:val="0"/>
        </w:rPr>
        <w:t>四、</w:t>
      </w:r>
      <w:r>
        <w:rPr>
          <w:rFonts w:hint="eastAsia" w:ascii="宋体" w:hAnsi="宋体" w:eastAsia="宋体" w:cs="宋体"/>
          <w:color w:val="000000"/>
          <w:kern w:val="0"/>
          <w:lang w:val="zh-CN"/>
        </w:rPr>
        <w:t>甲方的权利和义务</w:t>
      </w:r>
      <w:bookmarkEnd w:id="46"/>
      <w:bookmarkEnd w:id="47"/>
    </w:p>
    <w:p w14:paraId="4813FB7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000000"/>
          <w:kern w:val="0"/>
        </w:rPr>
      </w:pPr>
      <w:bookmarkStart w:id="48" w:name="_Toc4161"/>
      <w:bookmarkStart w:id="49" w:name="_Toc410977580"/>
      <w:r>
        <w:rPr>
          <w:rFonts w:hint="eastAsia" w:ascii="宋体" w:hAnsi="宋体" w:eastAsia="宋体" w:cs="宋体"/>
          <w:color w:val="000000"/>
          <w:kern w:val="0"/>
        </w:rPr>
        <w:t>1、乙方所提供的产品型号、技术规格、技术参数等质量必须与招、投标文件和承诺相一致，提供的节能和环保产品必须与投标文件和澄清承诺书中的产品一致。</w:t>
      </w:r>
    </w:p>
    <w:p w14:paraId="16F6706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000000"/>
          <w:kern w:val="0"/>
        </w:rPr>
      </w:pPr>
      <w:r>
        <w:rPr>
          <w:rFonts w:hint="eastAsia" w:ascii="宋体" w:hAnsi="宋体" w:eastAsia="宋体" w:cs="宋体"/>
          <w:color w:val="000000"/>
          <w:kern w:val="0"/>
        </w:rPr>
        <w:t>2、乙方所提供的产品必须是全新、未使用的原装产品，且在正常安装、使用和保养条件下，其使用寿命期内各项指标均达到质量要求。</w:t>
      </w:r>
    </w:p>
    <w:p w14:paraId="2FE1F45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000000"/>
          <w:kern w:val="0"/>
        </w:rPr>
      </w:pPr>
      <w:r>
        <w:rPr>
          <w:rFonts w:hint="eastAsia" w:ascii="宋体" w:hAnsi="宋体" w:eastAsia="宋体" w:cs="宋体"/>
          <w:color w:val="000000"/>
          <w:kern w:val="0"/>
        </w:rPr>
        <w:t>3、乙方保证其销售软件是自行开发的，开发成果及过程不侵犯第三人的知识产权，如第三方以该产品侵犯知识产权为由提供诉讼，所造成一切后果由开发方承担，并赔偿由此给委托方造成的一切经济损失。</w:t>
      </w:r>
    </w:p>
    <w:p w14:paraId="7059EC5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000000"/>
          <w:kern w:val="0"/>
        </w:rPr>
      </w:pPr>
      <w:r>
        <w:rPr>
          <w:rFonts w:hint="eastAsia" w:ascii="宋体" w:hAnsi="宋体" w:eastAsia="宋体" w:cs="宋体"/>
          <w:color w:val="000000"/>
          <w:kern w:val="0"/>
        </w:rPr>
        <w:t>4、质量保证期内如发生质量问题，乙方应在接到甲方诉求一周内（以传真日期为准）给予应答。属于乙方责任的，乙方负责修复、更换或退货，并承担由此发生的一切费用。属于甲方使用不当造成的问题，乙方应积极配合解决，修复或更换的时间及费用由双方协商确定。若乙方在收到甲方诉求十天内无应答，则视为乙方承认质量问题，甲方有权进行自行处理，乙方将承担由此产生的一切费用。</w:t>
      </w:r>
    </w:p>
    <w:bookmarkEnd w:id="48"/>
    <w:bookmarkEnd w:id="49"/>
    <w:p w14:paraId="6D4B44C3">
      <w:pPr>
        <w:autoSpaceDE w:val="0"/>
        <w:autoSpaceDN w:val="0"/>
        <w:spacing w:line="360" w:lineRule="auto"/>
        <w:rPr>
          <w:rFonts w:hint="eastAsia" w:ascii="宋体" w:hAnsi="宋体" w:eastAsia="宋体" w:cs="宋体"/>
          <w:color w:val="auto"/>
          <w:kern w:val="0"/>
          <w:lang w:val="zh-CN"/>
        </w:rPr>
      </w:pPr>
      <w:r>
        <w:rPr>
          <w:rFonts w:hint="eastAsia" w:ascii="宋体" w:hAnsi="宋体" w:eastAsia="宋体" w:cs="宋体"/>
          <w:color w:val="auto"/>
          <w:kern w:val="0"/>
          <w:lang w:val="en-US" w:eastAsia="zh-CN"/>
        </w:rPr>
        <w:t>五</w:t>
      </w:r>
      <w:r>
        <w:rPr>
          <w:rFonts w:hint="eastAsia" w:ascii="宋体" w:hAnsi="宋体" w:eastAsia="宋体" w:cs="宋体"/>
          <w:color w:val="auto"/>
          <w:kern w:val="0"/>
          <w:lang w:val="zh-CN"/>
        </w:rPr>
        <w:t>、付款方式</w:t>
      </w:r>
    </w:p>
    <w:p w14:paraId="7A862982">
      <w:pPr>
        <w:autoSpaceDE w:val="0"/>
        <w:autoSpaceDN w:val="0"/>
        <w:spacing w:line="360" w:lineRule="auto"/>
        <w:ind w:firstLine="480" w:firstLineChars="200"/>
        <w:rPr>
          <w:rFonts w:hint="eastAsia" w:ascii="宋体" w:hAnsi="宋体" w:eastAsia="宋体" w:cs="宋体"/>
          <w:b w:val="0"/>
          <w:bCs w:val="0"/>
          <w:color w:val="auto"/>
          <w:kern w:val="0"/>
          <w:lang w:val="en-US" w:eastAsia="zh-CN"/>
        </w:rPr>
      </w:pPr>
      <w:r>
        <w:rPr>
          <w:rFonts w:hint="eastAsia" w:ascii="宋体" w:hAnsi="宋体" w:eastAsia="宋体" w:cs="宋体"/>
          <w:b w:val="0"/>
          <w:bCs w:val="0"/>
          <w:color w:val="auto"/>
          <w:kern w:val="0"/>
          <w:lang w:val="en-US" w:eastAsia="zh-CN"/>
        </w:rPr>
        <w:t>包一：合同签订后预付</w:t>
      </w:r>
      <w:r>
        <w:rPr>
          <w:rFonts w:hint="eastAsia" w:ascii="宋体" w:hAnsi="宋体" w:cs="宋体"/>
          <w:b w:val="0"/>
          <w:bCs w:val="0"/>
          <w:color w:val="auto"/>
          <w:kern w:val="0"/>
          <w:lang w:val="en-US" w:eastAsia="zh-CN"/>
        </w:rPr>
        <w:t>合同总价款的30%</w:t>
      </w:r>
      <w:r>
        <w:rPr>
          <w:rFonts w:hint="eastAsia" w:ascii="宋体" w:hAnsi="宋体" w:eastAsia="宋体" w:cs="宋体"/>
          <w:b w:val="0"/>
          <w:bCs w:val="0"/>
          <w:color w:val="auto"/>
          <w:kern w:val="0"/>
          <w:lang w:val="en-US" w:eastAsia="zh-CN"/>
        </w:rPr>
        <w:t>，</w:t>
      </w:r>
      <w:r>
        <w:rPr>
          <w:rFonts w:hint="eastAsia" w:ascii="宋体" w:hAnsi="宋体" w:cs="宋体"/>
          <w:b w:val="0"/>
          <w:bCs w:val="0"/>
          <w:color w:val="auto"/>
          <w:kern w:val="0"/>
          <w:lang w:val="en-US" w:eastAsia="zh-CN"/>
        </w:rPr>
        <w:t>验收合格后付合同总价款的67%，剩余合同总价款的3%作为质量保金待质保期满且无发生质量问题后由中标单位提出书面申请甲方以转账的方式予以支付</w:t>
      </w:r>
      <w:r>
        <w:rPr>
          <w:rFonts w:hint="eastAsia" w:ascii="宋体" w:hAnsi="宋体" w:eastAsia="宋体" w:cs="宋体"/>
          <w:b w:val="0"/>
          <w:bCs w:val="0"/>
          <w:color w:val="auto"/>
          <w:kern w:val="0"/>
          <w:lang w:val="en-US" w:eastAsia="zh-CN"/>
        </w:rPr>
        <w:t>。</w:t>
      </w:r>
    </w:p>
    <w:p w14:paraId="641656FD">
      <w:pPr>
        <w:autoSpaceDE w:val="0"/>
        <w:autoSpaceDN w:val="0"/>
        <w:spacing w:line="360" w:lineRule="auto"/>
        <w:ind w:firstLine="480" w:firstLineChars="200"/>
        <w:rPr>
          <w:rFonts w:hint="eastAsia" w:ascii="宋体" w:hAnsi="宋体" w:eastAsia="宋体" w:cs="宋体"/>
          <w:b w:val="0"/>
          <w:bCs w:val="0"/>
          <w:color w:val="auto"/>
          <w:kern w:val="0"/>
          <w:lang w:val="en-US" w:eastAsia="zh-CN"/>
        </w:rPr>
      </w:pPr>
      <w:r>
        <w:rPr>
          <w:rFonts w:hint="eastAsia" w:ascii="宋体" w:hAnsi="宋体" w:eastAsia="宋体" w:cs="宋体"/>
          <w:b w:val="0"/>
          <w:bCs w:val="0"/>
          <w:color w:val="auto"/>
          <w:kern w:val="0"/>
          <w:lang w:val="en-US" w:eastAsia="zh-CN"/>
        </w:rPr>
        <w:t>包二：合同签订后预付</w:t>
      </w:r>
      <w:r>
        <w:rPr>
          <w:rFonts w:hint="eastAsia" w:ascii="宋体" w:hAnsi="宋体" w:cs="宋体"/>
          <w:b w:val="0"/>
          <w:bCs w:val="0"/>
          <w:color w:val="auto"/>
          <w:kern w:val="0"/>
          <w:lang w:val="en-US" w:eastAsia="zh-CN"/>
        </w:rPr>
        <w:t>合同总价款的30%</w:t>
      </w:r>
      <w:r>
        <w:rPr>
          <w:rFonts w:hint="eastAsia" w:ascii="宋体" w:hAnsi="宋体" w:eastAsia="宋体" w:cs="宋体"/>
          <w:b w:val="0"/>
          <w:bCs w:val="0"/>
          <w:color w:val="auto"/>
          <w:kern w:val="0"/>
          <w:lang w:val="en-US" w:eastAsia="zh-CN"/>
        </w:rPr>
        <w:t>，</w:t>
      </w:r>
      <w:r>
        <w:rPr>
          <w:rFonts w:hint="eastAsia" w:ascii="宋体" w:hAnsi="宋体" w:cs="宋体"/>
          <w:b w:val="0"/>
          <w:bCs w:val="0"/>
          <w:color w:val="auto"/>
          <w:kern w:val="0"/>
          <w:lang w:val="en-US" w:eastAsia="zh-CN"/>
        </w:rPr>
        <w:t>验收合格后付合同总价款的67%，剩余合同总价款的3%作为质量保金待质保期满且无发生质量问题后由中标单位提出书面申请甲方以转账的方式予以支付</w:t>
      </w:r>
      <w:r>
        <w:rPr>
          <w:rFonts w:hint="eastAsia" w:ascii="宋体" w:hAnsi="宋体" w:eastAsia="宋体" w:cs="宋体"/>
          <w:b w:val="0"/>
          <w:bCs w:val="0"/>
          <w:color w:val="auto"/>
          <w:kern w:val="0"/>
          <w:lang w:val="en-US" w:eastAsia="zh-CN"/>
        </w:rPr>
        <w:t>。</w:t>
      </w:r>
    </w:p>
    <w:p w14:paraId="1EC37C03">
      <w:pPr>
        <w:autoSpaceDE w:val="0"/>
        <w:autoSpaceDN w:val="0"/>
        <w:spacing w:line="360" w:lineRule="auto"/>
        <w:ind w:firstLine="480" w:firstLineChars="200"/>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zh-CN"/>
        </w:rPr>
        <w:t>2、付款条件说明：</w:t>
      </w:r>
      <w:r>
        <w:rPr>
          <w:rFonts w:hint="eastAsia" w:ascii="宋体" w:hAnsi="宋体" w:eastAsia="宋体" w:cs="宋体"/>
          <w:color w:val="000000"/>
          <w:kern w:val="0"/>
          <w:highlight w:val="none"/>
          <w:lang w:val="en-US" w:eastAsia="zh-CN"/>
        </w:rPr>
        <w:t>本项目合同付款分二个阶段（待项目合同签订后；项目实施验收合格后）</w:t>
      </w:r>
    </w:p>
    <w:p w14:paraId="6F9F5FC2">
      <w:pPr>
        <w:autoSpaceDE w:val="0"/>
        <w:autoSpaceDN w:val="0"/>
        <w:spacing w:line="360" w:lineRule="auto"/>
        <w:rPr>
          <w:rFonts w:hint="eastAsia" w:ascii="宋体" w:hAnsi="宋体" w:eastAsia="宋体" w:cs="宋体"/>
          <w:color w:val="000000"/>
          <w:kern w:val="0"/>
        </w:rPr>
      </w:pPr>
      <w:r>
        <w:rPr>
          <w:rFonts w:hint="eastAsia" w:ascii="宋体" w:hAnsi="宋体" w:eastAsia="宋体" w:cs="宋体"/>
          <w:color w:val="000000"/>
          <w:kern w:val="0"/>
          <w:lang w:val="en-US" w:eastAsia="zh-CN"/>
        </w:rPr>
        <w:t>六</w:t>
      </w:r>
      <w:r>
        <w:rPr>
          <w:rFonts w:hint="eastAsia" w:ascii="宋体" w:hAnsi="宋体" w:eastAsia="宋体" w:cs="宋体"/>
          <w:color w:val="000000"/>
          <w:kern w:val="0"/>
          <w:lang w:val="zh-CN"/>
        </w:rPr>
        <w:t>、合同的变更、终止与转让</w:t>
      </w:r>
    </w:p>
    <w:p w14:paraId="0415A3F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000000"/>
          <w:kern w:val="0"/>
        </w:rPr>
      </w:pPr>
      <w:r>
        <w:rPr>
          <w:rFonts w:hint="eastAsia" w:ascii="宋体" w:hAnsi="宋体" w:eastAsia="宋体" w:cs="宋体"/>
          <w:color w:val="000000"/>
          <w:kern w:val="0"/>
        </w:rPr>
        <w:t>1.除《中华人民共和国政府采购法》规定的其他情形外，本合同一经签订，甲乙双方不得擅自变更、中止或终止。</w:t>
      </w:r>
    </w:p>
    <w:p w14:paraId="0F67945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000000"/>
          <w:kern w:val="0"/>
        </w:rPr>
      </w:pPr>
      <w:r>
        <w:rPr>
          <w:rFonts w:hint="eastAsia" w:ascii="宋体" w:hAnsi="宋体" w:eastAsia="宋体" w:cs="宋体"/>
          <w:color w:val="000000"/>
          <w:kern w:val="0"/>
        </w:rPr>
        <w:t>2.乙方不得擅自转让其应履行的合同义务。</w:t>
      </w:r>
    </w:p>
    <w:p w14:paraId="01E435DE">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en-US" w:eastAsia="zh-CN"/>
        </w:rPr>
        <w:t>七</w:t>
      </w:r>
      <w:r>
        <w:rPr>
          <w:rFonts w:hint="eastAsia" w:ascii="宋体" w:hAnsi="宋体" w:eastAsia="宋体" w:cs="宋体"/>
          <w:color w:val="000000"/>
          <w:kern w:val="0"/>
          <w:lang w:val="zh-CN"/>
        </w:rPr>
        <w:t>、违约责任</w:t>
      </w:r>
    </w:p>
    <w:p w14:paraId="2C729CA0">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1.乙方所提供的产品规格、技术标准、等不合格的，应及时更换；更换不及时的，按逾期交货处罚；因质量问题甲方不同意接收的，质保金全额扣除，并由乙方赔偿由此引起的甲方的一切经济损失。</w:t>
      </w:r>
    </w:p>
    <w:p w14:paraId="6AFF3C0F">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2.乙方提供的货物如侵犯了第三方权益而引发纠纷或诉讼的，均由乙方负责交涉并承担全部责任。</w:t>
      </w:r>
    </w:p>
    <w:p w14:paraId="3BAE5692">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3.因包装、运输引起的货物损坏，按质量不合格处罚。</w:t>
      </w:r>
    </w:p>
    <w:p w14:paraId="0A2C42FA">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4.乙方逾期交货或未按甲方要求完工的，每天应向对方偿付未交货物的货款3‰的违约金，但违约金累计不得超过违约货款的5%，超过20天对方有权解除合同，违约方承担因此给对方造成的经济损失。</w:t>
      </w:r>
    </w:p>
    <w:p w14:paraId="2F87E180">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5.乙方未按本合同和响应文件中规定的服务承诺提供售后服务的，乙方应按本合同合计金额的5%向甲方支付违约金。</w:t>
      </w:r>
    </w:p>
    <w:p w14:paraId="1E5BC74B">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6.乙方提供的货物在免费质保期内，因设计、工艺或材料的缺陷和其它质量原因造成的问题，由乙方负责，费用从合同款中扣除，不足另补。</w:t>
      </w:r>
    </w:p>
    <w:p w14:paraId="560CEBB6">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7.其它违约行为按违约货款额5%收取违约金并赔偿经济损失。</w:t>
      </w:r>
    </w:p>
    <w:p w14:paraId="530FD001">
      <w:pPr>
        <w:autoSpaceDE w:val="0"/>
        <w:autoSpaceDN w:val="0"/>
        <w:spacing w:line="360" w:lineRule="auto"/>
        <w:rPr>
          <w:rFonts w:hint="eastAsia" w:ascii="宋体" w:hAnsi="宋体" w:eastAsia="宋体" w:cs="宋体"/>
          <w:color w:val="000000"/>
          <w:kern w:val="0"/>
        </w:rPr>
      </w:pPr>
      <w:r>
        <w:rPr>
          <w:rFonts w:hint="eastAsia" w:ascii="宋体" w:hAnsi="宋体" w:eastAsia="宋体" w:cs="宋体"/>
          <w:color w:val="000000"/>
          <w:kern w:val="0"/>
          <w:lang w:val="en-US" w:eastAsia="zh-CN"/>
        </w:rPr>
        <w:t>八</w:t>
      </w:r>
      <w:r>
        <w:rPr>
          <w:rFonts w:hint="eastAsia" w:ascii="宋体" w:hAnsi="宋体" w:eastAsia="宋体" w:cs="宋体"/>
          <w:color w:val="000000"/>
          <w:kern w:val="0"/>
          <w:lang w:val="zh-CN"/>
        </w:rPr>
        <w:t>、不可抗力</w:t>
      </w:r>
    </w:p>
    <w:p w14:paraId="3E6E69F1">
      <w:pPr>
        <w:autoSpaceDE w:val="0"/>
        <w:autoSpaceDN w:val="0"/>
        <w:spacing w:line="360" w:lineRule="auto"/>
        <w:ind w:firstLine="360"/>
        <w:rPr>
          <w:rFonts w:hint="eastAsia" w:ascii="宋体" w:hAnsi="宋体" w:eastAsia="宋体" w:cs="宋体"/>
          <w:color w:val="000000"/>
          <w:kern w:val="0"/>
        </w:rPr>
      </w:pPr>
      <w:r>
        <w:rPr>
          <w:rFonts w:hint="eastAsia" w:ascii="宋体" w:hAnsi="宋体" w:eastAsia="宋体" w:cs="宋体"/>
          <w:color w:val="000000"/>
          <w:kern w:val="0"/>
          <w:lang w:val="zh-CN"/>
        </w:rPr>
        <w:t>不可抗力使合同的某些内容有变更必要的，双方应通过协商在</w:t>
      </w:r>
      <w:r>
        <w:rPr>
          <w:rFonts w:hint="eastAsia" w:ascii="宋体" w:hAnsi="宋体" w:eastAsia="宋体" w:cs="宋体"/>
          <w:color w:val="000000"/>
          <w:kern w:val="0"/>
          <w:u w:val="single"/>
        </w:rPr>
        <w:t xml:space="preserve">   </w:t>
      </w:r>
      <w:r>
        <w:rPr>
          <w:rFonts w:hint="eastAsia" w:ascii="宋体" w:hAnsi="宋体" w:eastAsia="宋体" w:cs="宋体"/>
          <w:color w:val="000000"/>
          <w:kern w:val="0"/>
          <w:lang w:val="zh-CN"/>
        </w:rPr>
        <w:t>天内达成进一步履行合同的协议，因不可抗力致使合同不能履行的，合同终止。</w:t>
      </w:r>
    </w:p>
    <w:p w14:paraId="3A5F0DBA">
      <w:pPr>
        <w:autoSpaceDE w:val="0"/>
        <w:autoSpaceDN w:val="0"/>
        <w:spacing w:line="360" w:lineRule="auto"/>
        <w:rPr>
          <w:rFonts w:hint="eastAsia" w:ascii="宋体" w:hAnsi="宋体" w:eastAsia="宋体" w:cs="宋体"/>
          <w:color w:val="000000"/>
          <w:kern w:val="0"/>
        </w:rPr>
      </w:pPr>
      <w:r>
        <w:rPr>
          <w:rFonts w:hint="eastAsia" w:ascii="宋体" w:hAnsi="宋体" w:eastAsia="宋体" w:cs="宋体"/>
          <w:color w:val="000000"/>
          <w:kern w:val="0"/>
          <w:lang w:val="en-US" w:eastAsia="zh-CN"/>
        </w:rPr>
        <w:t>九</w:t>
      </w:r>
      <w:r>
        <w:rPr>
          <w:rFonts w:hint="eastAsia" w:ascii="宋体" w:hAnsi="宋体" w:eastAsia="宋体" w:cs="宋体"/>
          <w:color w:val="000000"/>
          <w:kern w:val="0"/>
          <w:lang w:val="zh-CN"/>
        </w:rPr>
        <w:t>、知识产权：详见合同通用条款</w:t>
      </w:r>
    </w:p>
    <w:p w14:paraId="48142606">
      <w:pPr>
        <w:autoSpaceDE w:val="0"/>
        <w:autoSpaceDN w:val="0"/>
        <w:spacing w:line="360" w:lineRule="auto"/>
        <w:rPr>
          <w:rFonts w:hint="eastAsia" w:ascii="宋体" w:hAnsi="宋体" w:eastAsia="宋体" w:cs="宋体"/>
          <w:color w:val="000000"/>
          <w:kern w:val="0"/>
        </w:rPr>
      </w:pPr>
      <w:r>
        <w:rPr>
          <w:rFonts w:hint="eastAsia" w:ascii="宋体" w:hAnsi="宋体" w:eastAsia="宋体" w:cs="宋体"/>
          <w:color w:val="000000"/>
          <w:kern w:val="0"/>
        </w:rPr>
        <w:t>十</w:t>
      </w:r>
      <w:r>
        <w:rPr>
          <w:rFonts w:hint="eastAsia" w:ascii="宋体" w:hAnsi="宋体" w:eastAsia="宋体" w:cs="宋体"/>
          <w:color w:val="000000"/>
          <w:kern w:val="0"/>
          <w:lang w:val="zh-CN"/>
        </w:rPr>
        <w:t>、其他约定：</w:t>
      </w:r>
    </w:p>
    <w:p w14:paraId="7BBAB57C">
      <w:pPr>
        <w:autoSpaceDE w:val="0"/>
        <w:autoSpaceDN w:val="0"/>
        <w:spacing w:line="360" w:lineRule="auto"/>
        <w:rPr>
          <w:rFonts w:hint="eastAsia" w:ascii="宋体" w:hAnsi="宋体" w:eastAsia="宋体" w:cs="宋体"/>
          <w:color w:val="000000"/>
          <w:kern w:val="0"/>
        </w:rPr>
      </w:pPr>
      <w:r>
        <w:rPr>
          <w:rFonts w:hint="eastAsia" w:ascii="宋体" w:hAnsi="宋体" w:eastAsia="宋体" w:cs="宋体"/>
          <w:color w:val="000000"/>
          <w:kern w:val="0"/>
          <w:lang w:val="zh-CN"/>
        </w:rPr>
        <w:t>十</w:t>
      </w:r>
      <w:r>
        <w:rPr>
          <w:rFonts w:hint="eastAsia" w:ascii="宋体" w:hAnsi="宋体" w:eastAsia="宋体" w:cs="宋体"/>
          <w:color w:val="000000"/>
          <w:kern w:val="0"/>
          <w:lang w:val="en-US" w:eastAsia="zh-CN"/>
        </w:rPr>
        <w:t>一</w:t>
      </w:r>
      <w:r>
        <w:rPr>
          <w:rFonts w:hint="eastAsia" w:ascii="宋体" w:hAnsi="宋体" w:eastAsia="宋体" w:cs="宋体"/>
          <w:color w:val="000000"/>
          <w:kern w:val="0"/>
          <w:lang w:val="zh-CN"/>
        </w:rPr>
        <w:t>、合同争议解决</w:t>
      </w:r>
    </w:p>
    <w:p w14:paraId="390BABB4">
      <w:pPr>
        <w:autoSpaceDE w:val="0"/>
        <w:autoSpaceDN w:val="0"/>
        <w:spacing w:line="360" w:lineRule="auto"/>
        <w:ind w:firstLine="360"/>
        <w:rPr>
          <w:rFonts w:hint="eastAsia" w:ascii="宋体" w:hAnsi="宋体" w:eastAsia="宋体" w:cs="宋体"/>
          <w:color w:val="000000"/>
          <w:kern w:val="0"/>
        </w:rPr>
      </w:pPr>
      <w:r>
        <w:rPr>
          <w:rFonts w:hint="eastAsia" w:ascii="宋体" w:hAnsi="宋体" w:eastAsia="宋体" w:cs="宋体"/>
          <w:color w:val="000000"/>
          <w:kern w:val="0"/>
        </w:rPr>
        <w:t>1.</w:t>
      </w:r>
      <w:r>
        <w:rPr>
          <w:rFonts w:hint="eastAsia" w:ascii="宋体" w:hAnsi="宋体" w:eastAsia="宋体" w:cs="宋体"/>
          <w:color w:val="000000"/>
          <w:kern w:val="0"/>
          <w:lang w:val="zh-CN"/>
        </w:rPr>
        <w:t>因产品质量问题发生争议的，应邀请国家认可的质量检测机构进行鉴定。产品符合标准的，鉴定费由甲方承担；产品不符合标准的，鉴定费由乙方承担。</w:t>
      </w:r>
    </w:p>
    <w:p w14:paraId="21364F3F">
      <w:pPr>
        <w:autoSpaceDE w:val="0"/>
        <w:autoSpaceDN w:val="0"/>
        <w:spacing w:line="360" w:lineRule="auto"/>
        <w:ind w:firstLine="360"/>
        <w:rPr>
          <w:rFonts w:hint="eastAsia" w:ascii="宋体" w:hAnsi="宋体" w:eastAsia="宋体" w:cs="宋体"/>
          <w:kern w:val="0"/>
        </w:rPr>
      </w:pPr>
      <w:r>
        <w:rPr>
          <w:rFonts w:hint="eastAsia" w:ascii="宋体" w:hAnsi="宋体" w:eastAsia="宋体" w:cs="宋体"/>
          <w:color w:val="000000"/>
          <w:kern w:val="0"/>
        </w:rPr>
        <w:t>2.</w:t>
      </w:r>
      <w:r>
        <w:rPr>
          <w:rFonts w:hint="eastAsia" w:ascii="宋体" w:hAnsi="宋体" w:eastAsia="宋体" w:cs="宋体"/>
          <w:color w:val="000000"/>
          <w:kern w:val="0"/>
          <w:lang w:val="zh-CN"/>
        </w:rPr>
        <w:t>因履行本合同引起的或与本合同有关的争议，甲乙双方应首先通过友好协商解决，如果协商不能解</w:t>
      </w:r>
      <w:r>
        <w:rPr>
          <w:rFonts w:hint="eastAsia" w:ascii="宋体" w:hAnsi="宋体" w:eastAsia="宋体" w:cs="宋体"/>
          <w:kern w:val="0"/>
          <w:lang w:val="zh-CN"/>
        </w:rPr>
        <w:t>决，可向</w:t>
      </w:r>
      <w:r>
        <w:rPr>
          <w:rFonts w:hint="eastAsia" w:ascii="宋体" w:hAnsi="宋体" w:eastAsia="宋体" w:cs="宋体"/>
          <w:kern w:val="0"/>
          <w:u w:val="single"/>
          <w:lang w:val="zh-CN"/>
        </w:rPr>
        <w:t>甲方</w:t>
      </w:r>
      <w:r>
        <w:rPr>
          <w:rFonts w:hint="eastAsia" w:ascii="宋体" w:hAnsi="宋体" w:eastAsia="宋体" w:cs="宋体"/>
          <w:kern w:val="0"/>
          <w:lang w:val="zh-CN"/>
        </w:rPr>
        <w:t>所在地人民法院提起诉讼。</w:t>
      </w:r>
    </w:p>
    <w:p w14:paraId="0EC4C440">
      <w:pPr>
        <w:autoSpaceDE w:val="0"/>
        <w:autoSpaceDN w:val="0"/>
        <w:spacing w:line="360" w:lineRule="auto"/>
        <w:ind w:firstLine="360"/>
        <w:rPr>
          <w:rFonts w:hint="eastAsia" w:ascii="宋体" w:hAnsi="宋体" w:eastAsia="宋体" w:cs="宋体"/>
          <w:color w:val="000000"/>
          <w:kern w:val="0"/>
        </w:rPr>
      </w:pPr>
      <w:r>
        <w:rPr>
          <w:rFonts w:hint="eastAsia" w:ascii="宋体" w:hAnsi="宋体" w:eastAsia="宋体" w:cs="宋体"/>
          <w:color w:val="000000"/>
          <w:kern w:val="0"/>
        </w:rPr>
        <w:t>3.</w:t>
      </w:r>
      <w:r>
        <w:rPr>
          <w:rFonts w:hint="eastAsia" w:ascii="宋体" w:hAnsi="宋体" w:eastAsia="宋体" w:cs="宋体"/>
          <w:color w:val="000000"/>
          <w:kern w:val="0"/>
          <w:lang w:val="zh-CN"/>
        </w:rPr>
        <w:t>诉讼期间，本合同继续履行。</w:t>
      </w:r>
    </w:p>
    <w:p w14:paraId="4B08DECD">
      <w:pPr>
        <w:autoSpaceDE w:val="0"/>
        <w:autoSpaceDN w:val="0"/>
        <w:spacing w:line="360" w:lineRule="auto"/>
        <w:rPr>
          <w:rFonts w:hint="eastAsia" w:ascii="宋体" w:hAnsi="宋体" w:eastAsia="宋体" w:cs="宋体"/>
          <w:color w:val="000000"/>
          <w:kern w:val="0"/>
        </w:rPr>
      </w:pPr>
      <w:r>
        <w:rPr>
          <w:rFonts w:hint="eastAsia" w:ascii="宋体" w:hAnsi="宋体" w:eastAsia="宋体" w:cs="宋体"/>
          <w:color w:val="000000"/>
          <w:kern w:val="0"/>
          <w:lang w:val="zh-CN"/>
        </w:rPr>
        <w:t>十</w:t>
      </w:r>
      <w:r>
        <w:rPr>
          <w:rFonts w:hint="eastAsia" w:ascii="宋体" w:hAnsi="宋体" w:eastAsia="宋体" w:cs="宋体"/>
          <w:color w:val="000000"/>
          <w:kern w:val="0"/>
          <w:lang w:val="en-US" w:eastAsia="zh-CN"/>
        </w:rPr>
        <w:t>二</w:t>
      </w:r>
      <w:r>
        <w:rPr>
          <w:rFonts w:hint="eastAsia" w:ascii="宋体" w:hAnsi="宋体" w:eastAsia="宋体" w:cs="宋体"/>
          <w:color w:val="000000"/>
          <w:kern w:val="0"/>
          <w:lang w:val="zh-CN"/>
        </w:rPr>
        <w:t>、合同生效及其它</w:t>
      </w:r>
      <w:r>
        <w:rPr>
          <w:rFonts w:hint="eastAsia" w:ascii="宋体" w:hAnsi="宋体" w:eastAsia="宋体" w:cs="宋体"/>
          <w:color w:val="000000"/>
          <w:kern w:val="0"/>
        </w:rPr>
        <w:t>：</w:t>
      </w:r>
    </w:p>
    <w:p w14:paraId="29C02E49">
      <w:pPr>
        <w:autoSpaceDE w:val="0"/>
        <w:autoSpaceDN w:val="0"/>
        <w:spacing w:line="360" w:lineRule="auto"/>
        <w:ind w:firstLine="360"/>
        <w:rPr>
          <w:rFonts w:hint="eastAsia" w:ascii="宋体" w:hAnsi="宋体" w:eastAsia="宋体" w:cs="宋体"/>
          <w:color w:val="000000"/>
          <w:kern w:val="0"/>
        </w:rPr>
      </w:pPr>
      <w:r>
        <w:rPr>
          <w:rFonts w:hint="eastAsia" w:ascii="宋体" w:hAnsi="宋体" w:eastAsia="宋体" w:cs="宋体"/>
          <w:color w:val="000000"/>
          <w:kern w:val="0"/>
        </w:rPr>
        <w:t>1.</w:t>
      </w:r>
      <w:r>
        <w:rPr>
          <w:rFonts w:hint="eastAsia" w:ascii="宋体" w:hAnsi="宋体" w:eastAsia="宋体" w:cs="宋体"/>
          <w:color w:val="000000"/>
          <w:kern w:val="0"/>
          <w:lang w:val="zh-CN"/>
        </w:rPr>
        <w:t>本合同一式</w:t>
      </w:r>
      <w:r>
        <w:rPr>
          <w:rFonts w:hint="eastAsia" w:ascii="宋体" w:hAnsi="宋体" w:eastAsia="宋体" w:cs="宋体"/>
          <w:color w:val="000000"/>
          <w:kern w:val="0"/>
          <w:u w:val="dashDotHeavy"/>
          <w:lang w:val="zh-CN"/>
        </w:rPr>
        <w:t>八</w:t>
      </w:r>
      <w:r>
        <w:rPr>
          <w:rFonts w:hint="eastAsia" w:ascii="宋体" w:hAnsi="宋体" w:eastAsia="宋体" w:cs="宋体"/>
          <w:color w:val="000000"/>
          <w:kern w:val="0"/>
          <w:lang w:val="zh-CN"/>
        </w:rPr>
        <w:t>份，经双方签字，并加盖公章即为生效。</w:t>
      </w:r>
    </w:p>
    <w:p w14:paraId="360E0C1F">
      <w:pPr>
        <w:autoSpaceDE w:val="0"/>
        <w:autoSpaceDN w:val="0"/>
        <w:spacing w:line="360" w:lineRule="auto"/>
        <w:ind w:firstLine="360"/>
        <w:rPr>
          <w:rFonts w:hint="eastAsia" w:ascii="宋体" w:hAnsi="宋体" w:eastAsia="宋体" w:cs="宋体"/>
          <w:color w:val="000000"/>
          <w:kern w:val="0"/>
        </w:rPr>
      </w:pPr>
      <w:r>
        <w:rPr>
          <w:rFonts w:hint="eastAsia" w:ascii="宋体" w:hAnsi="宋体" w:eastAsia="宋体" w:cs="宋体"/>
          <w:color w:val="000000"/>
          <w:kern w:val="0"/>
        </w:rPr>
        <w:t>2.</w:t>
      </w:r>
      <w:r>
        <w:rPr>
          <w:rFonts w:hint="eastAsia" w:ascii="宋体" w:hAnsi="宋体" w:eastAsia="宋体" w:cs="宋体"/>
          <w:color w:val="000000"/>
          <w:kern w:val="0"/>
          <w:lang w:val="zh-CN"/>
        </w:rPr>
        <w:t>本合同未尽事宜</w:t>
      </w:r>
      <w:r>
        <w:rPr>
          <w:rFonts w:hint="eastAsia" w:ascii="宋体" w:hAnsi="宋体" w:eastAsia="宋体" w:cs="宋体"/>
          <w:kern w:val="0"/>
          <w:lang w:val="zh-CN"/>
        </w:rPr>
        <w:t>，按</w:t>
      </w:r>
      <w:r>
        <w:rPr>
          <w:rFonts w:hint="eastAsia" w:ascii="宋体" w:hAnsi="宋体" w:eastAsia="宋体" w:cs="宋体"/>
          <w:kern w:val="0"/>
        </w:rPr>
        <w:t>民法典</w:t>
      </w:r>
      <w:r>
        <w:rPr>
          <w:rFonts w:hint="eastAsia" w:ascii="宋体" w:hAnsi="宋体" w:eastAsia="宋体" w:cs="宋体"/>
          <w:kern w:val="0"/>
          <w:lang w:val="zh-CN"/>
        </w:rPr>
        <w:t>有关规定</w:t>
      </w:r>
      <w:r>
        <w:rPr>
          <w:rFonts w:hint="eastAsia" w:ascii="宋体" w:hAnsi="宋体" w:eastAsia="宋体" w:cs="宋体"/>
          <w:color w:val="000000"/>
          <w:kern w:val="0"/>
          <w:lang w:val="zh-CN"/>
        </w:rPr>
        <w:t>处理。</w:t>
      </w:r>
    </w:p>
    <w:p w14:paraId="6F58867D">
      <w:pPr>
        <w:autoSpaceDE w:val="0"/>
        <w:autoSpaceDN w:val="0"/>
        <w:spacing w:line="360" w:lineRule="auto"/>
        <w:ind w:firstLine="360"/>
        <w:rPr>
          <w:rFonts w:hint="eastAsia" w:ascii="宋体" w:hAnsi="宋体" w:eastAsia="宋体" w:cs="宋体"/>
          <w:color w:val="000000"/>
          <w:kern w:val="0"/>
          <w:lang w:val="zh-CN"/>
        </w:rPr>
      </w:pPr>
      <w:r>
        <w:rPr>
          <w:rFonts w:hint="eastAsia" w:ascii="宋体" w:hAnsi="宋体" w:eastAsia="宋体" w:cs="宋体"/>
          <w:color w:val="000000"/>
          <w:kern w:val="0"/>
        </w:rPr>
        <w:t>3.</w:t>
      </w:r>
      <w:r>
        <w:rPr>
          <w:rFonts w:hint="eastAsia" w:ascii="宋体" w:hAnsi="宋体" w:eastAsia="宋体" w:cs="宋体"/>
          <w:color w:val="000000"/>
          <w:kern w:val="0"/>
          <w:lang w:val="zh-CN"/>
        </w:rPr>
        <w:t>本合同的组成包含《合同通用条款》。</w:t>
      </w:r>
    </w:p>
    <w:p w14:paraId="0C610392">
      <w:pPr>
        <w:autoSpaceDE w:val="0"/>
        <w:autoSpaceDN w:val="0"/>
        <w:spacing w:line="360" w:lineRule="auto"/>
        <w:ind w:firstLine="360"/>
        <w:rPr>
          <w:rFonts w:hint="eastAsia" w:ascii="宋体" w:hAnsi="宋体" w:eastAsia="宋体" w:cs="宋体"/>
          <w:color w:val="000000"/>
          <w:kern w:val="0"/>
          <w:lang w:val="zh-CN"/>
        </w:rPr>
      </w:pPr>
      <w:r>
        <w:rPr>
          <w:rFonts w:hint="eastAsia" w:ascii="宋体" w:hAnsi="宋体" w:eastAsia="宋体" w:cs="宋体"/>
          <w:color w:val="000000"/>
          <w:kern w:val="0"/>
          <w:lang w:val="en-US" w:eastAsia="zh-CN"/>
        </w:rPr>
        <w:t>4.</w:t>
      </w:r>
      <w:r>
        <w:rPr>
          <w:rFonts w:hint="eastAsia" w:ascii="宋体" w:hAnsi="宋体" w:eastAsia="宋体" w:cs="宋体"/>
          <w:color w:val="000000"/>
          <w:kern w:val="0"/>
          <w:lang w:val="zh-CN"/>
        </w:rPr>
        <w:t>合同条款可根据采购人及中标单位签订合同时的实际情况进行修改调整。</w:t>
      </w:r>
    </w:p>
    <w:p w14:paraId="44CBB020">
      <w:pPr>
        <w:autoSpaceDE w:val="0"/>
        <w:autoSpaceDN w:val="0"/>
        <w:spacing w:line="360" w:lineRule="auto"/>
        <w:rPr>
          <w:rFonts w:hint="eastAsia" w:ascii="宋体" w:hAnsi="宋体" w:eastAsia="宋体" w:cs="宋体"/>
          <w:color w:val="000000"/>
          <w:kern w:val="0"/>
        </w:rPr>
      </w:pPr>
      <w:r>
        <w:rPr>
          <w:rFonts w:hint="eastAsia" w:ascii="宋体" w:hAnsi="宋体" w:eastAsia="宋体" w:cs="宋体"/>
          <w:color w:val="000000"/>
          <w:kern w:val="0"/>
          <w:lang w:val="zh-CN"/>
        </w:rPr>
        <w:t>甲方（盖章）：</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乙方（盖章）：</w:t>
      </w:r>
    </w:p>
    <w:p w14:paraId="02A9B782">
      <w:pPr>
        <w:autoSpaceDE w:val="0"/>
        <w:autoSpaceDN w:val="0"/>
        <w:spacing w:line="360" w:lineRule="auto"/>
        <w:rPr>
          <w:rFonts w:hint="eastAsia" w:ascii="宋体" w:hAnsi="宋体" w:eastAsia="宋体" w:cs="宋体"/>
          <w:color w:val="000000"/>
          <w:kern w:val="0"/>
        </w:rPr>
      </w:pPr>
      <w:r>
        <w:rPr>
          <w:rFonts w:hint="eastAsia" w:ascii="宋体" w:hAnsi="宋体" w:eastAsia="宋体" w:cs="宋体"/>
          <w:color w:val="000000"/>
          <w:kern w:val="0"/>
          <w:lang w:val="zh-CN"/>
        </w:rPr>
        <w:t>法定代表人或委托代理人</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法定代表人或委托代理人</w:t>
      </w:r>
      <w:r>
        <w:rPr>
          <w:rFonts w:hint="eastAsia" w:ascii="宋体" w:hAnsi="宋体" w:eastAsia="宋体" w:cs="宋体"/>
          <w:color w:val="000000"/>
          <w:kern w:val="0"/>
        </w:rPr>
        <w:t>：</w:t>
      </w:r>
    </w:p>
    <w:p w14:paraId="2F7C006C">
      <w:pPr>
        <w:autoSpaceDE w:val="0"/>
        <w:autoSpaceDN w:val="0"/>
        <w:spacing w:line="360" w:lineRule="auto"/>
        <w:rPr>
          <w:rFonts w:hint="eastAsia" w:ascii="宋体" w:hAnsi="宋体" w:eastAsia="宋体" w:cs="宋体"/>
          <w:color w:val="000000"/>
          <w:kern w:val="0"/>
        </w:rPr>
      </w:pPr>
      <w:r>
        <w:rPr>
          <w:rFonts w:hint="eastAsia" w:ascii="宋体" w:hAnsi="宋体" w:eastAsia="宋体" w:cs="宋体"/>
          <w:color w:val="000000"/>
          <w:kern w:val="0"/>
        </w:rPr>
        <w:t xml:space="preserve">                                       </w:t>
      </w:r>
      <w:r>
        <w:rPr>
          <w:rFonts w:hint="eastAsia" w:ascii="宋体" w:hAnsi="宋体" w:eastAsia="宋体" w:cs="宋体"/>
          <w:color w:val="000000"/>
          <w:kern w:val="0"/>
          <w:lang w:val="zh-CN"/>
        </w:rPr>
        <w:t>开户银行：</w:t>
      </w:r>
    </w:p>
    <w:p w14:paraId="3B84CE58">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rPr>
        <w:t xml:space="preserve">                                       </w:t>
      </w:r>
      <w:r>
        <w:rPr>
          <w:rFonts w:hint="eastAsia" w:ascii="宋体" w:hAnsi="宋体" w:eastAsia="宋体" w:cs="宋体"/>
          <w:color w:val="000000"/>
          <w:kern w:val="0"/>
          <w:lang w:val="zh-CN"/>
        </w:rPr>
        <w:t>账号：</w:t>
      </w:r>
    </w:p>
    <w:p w14:paraId="0834ACA9">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地址：</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地址：</w:t>
      </w:r>
    </w:p>
    <w:p w14:paraId="1BB00BB8">
      <w:pPr>
        <w:autoSpaceDE w:val="0"/>
        <w:autoSpaceDN w:val="0"/>
        <w:spacing w:line="360" w:lineRule="auto"/>
        <w:rPr>
          <w:rFonts w:hint="eastAsia" w:ascii="宋体" w:hAnsi="宋体" w:eastAsia="宋体" w:cs="宋体"/>
          <w:color w:val="000000"/>
          <w:kern w:val="0"/>
        </w:rPr>
      </w:pPr>
      <w:r>
        <w:rPr>
          <w:rFonts w:hint="eastAsia" w:ascii="宋体" w:hAnsi="宋体" w:eastAsia="宋体" w:cs="宋体"/>
          <w:color w:val="000000"/>
          <w:kern w:val="0"/>
          <w:lang w:val="zh-CN"/>
        </w:rPr>
        <w:t>联系电话：</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联系电话：</w:t>
      </w:r>
    </w:p>
    <w:p w14:paraId="1682A2A9">
      <w:pPr>
        <w:autoSpaceDE w:val="0"/>
        <w:autoSpaceDN w:val="0"/>
        <w:spacing w:line="360" w:lineRule="auto"/>
        <w:ind w:firstLine="1320" w:firstLineChars="550"/>
        <w:rPr>
          <w:rFonts w:hint="eastAsia" w:ascii="宋体" w:hAnsi="宋体" w:eastAsia="宋体" w:cs="宋体"/>
          <w:color w:val="000000"/>
          <w:kern w:val="0"/>
        </w:rPr>
      </w:pPr>
      <w:r>
        <w:rPr>
          <w:rFonts w:hint="eastAsia" w:ascii="宋体" w:hAnsi="宋体" w:eastAsia="宋体" w:cs="宋体"/>
          <w:color w:val="000000"/>
          <w:kern w:val="0"/>
          <w:lang w:val="zh-CN"/>
        </w:rPr>
        <w:t>签约时间：</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年</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月</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日</w:t>
      </w:r>
    </w:p>
    <w:p w14:paraId="0C9FD9F5">
      <w:pPr>
        <w:autoSpaceDE w:val="0"/>
        <w:autoSpaceDN w:val="0"/>
        <w:spacing w:line="360" w:lineRule="auto"/>
        <w:rPr>
          <w:rFonts w:hint="eastAsia" w:ascii="宋体" w:hAnsi="宋体" w:eastAsia="宋体" w:cs="宋体"/>
          <w:color w:val="000000"/>
          <w:kern w:val="0"/>
          <w:lang w:val="zh-CN"/>
        </w:rPr>
      </w:pPr>
    </w:p>
    <w:p w14:paraId="3AF30391">
      <w:pPr>
        <w:autoSpaceDE w:val="0"/>
        <w:autoSpaceDN w:val="0"/>
        <w:spacing w:line="360" w:lineRule="auto"/>
        <w:rPr>
          <w:rFonts w:hint="eastAsia" w:ascii="宋体" w:hAnsi="宋体" w:eastAsia="宋体" w:cs="宋体"/>
          <w:color w:val="000000"/>
          <w:kern w:val="0"/>
          <w:lang w:val="zh-CN"/>
        </w:rPr>
      </w:pPr>
    </w:p>
    <w:p w14:paraId="64EB1404">
      <w:pPr>
        <w:autoSpaceDE w:val="0"/>
        <w:autoSpaceDN w:val="0"/>
        <w:spacing w:line="360" w:lineRule="auto"/>
        <w:rPr>
          <w:rFonts w:hint="eastAsia" w:ascii="宋体" w:hAnsi="宋体" w:eastAsia="宋体" w:cs="宋体"/>
          <w:color w:val="000000"/>
          <w:kern w:val="0"/>
        </w:rPr>
      </w:pPr>
      <w:r>
        <w:rPr>
          <w:rFonts w:hint="eastAsia" w:ascii="宋体" w:hAnsi="宋体" w:cs="宋体"/>
          <w:color w:val="000000"/>
          <w:kern w:val="0"/>
          <w:lang w:val="en-US" w:eastAsia="zh-CN"/>
        </w:rPr>
        <w:t>合同备案时递交单位：</w:t>
      </w:r>
      <w:r>
        <w:rPr>
          <w:rFonts w:hint="eastAsia" w:ascii="宋体" w:hAnsi="宋体" w:eastAsia="宋体" w:cs="宋体"/>
          <w:color w:val="000000"/>
          <w:kern w:val="0"/>
          <w:lang w:val="zh-CN"/>
        </w:rPr>
        <w:t>青海君昱工程项目管理有限公司</w:t>
      </w:r>
    </w:p>
    <w:p w14:paraId="740160CA">
      <w:pPr>
        <w:autoSpaceDE w:val="0"/>
        <w:autoSpaceDN w:val="0"/>
        <w:spacing w:line="360" w:lineRule="auto"/>
        <w:rPr>
          <w:rFonts w:hint="eastAsia" w:ascii="宋体" w:hAnsi="宋体" w:eastAsia="宋体" w:cs="宋体"/>
          <w:color w:val="000000"/>
          <w:kern w:val="0"/>
        </w:rPr>
      </w:pPr>
      <w:r>
        <w:rPr>
          <w:rFonts w:hint="eastAsia" w:ascii="宋体" w:hAnsi="宋体" w:eastAsia="宋体" w:cs="宋体"/>
          <w:color w:val="000000"/>
          <w:kern w:val="0"/>
          <w:lang w:val="zh-CN"/>
        </w:rPr>
        <w:t>负责人或经办人：</w:t>
      </w:r>
    </w:p>
    <w:p w14:paraId="0FEA884B">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cs="宋体"/>
          <w:color w:val="000000"/>
          <w:kern w:val="0"/>
          <w:lang w:val="en-US" w:eastAsia="zh-CN"/>
        </w:rPr>
        <w:t>备案时间</w:t>
      </w:r>
      <w:r>
        <w:rPr>
          <w:rFonts w:hint="eastAsia" w:ascii="宋体" w:hAnsi="宋体" w:eastAsia="宋体" w:cs="宋体"/>
          <w:color w:val="000000"/>
          <w:kern w:val="0"/>
          <w:lang w:val="zh-CN"/>
        </w:rPr>
        <w:t>：</w:t>
      </w:r>
      <w:r>
        <w:rPr>
          <w:rFonts w:hint="eastAsia" w:ascii="宋体" w:hAnsi="宋体" w:eastAsia="宋体" w:cs="宋体"/>
          <w:color w:val="000000"/>
          <w:kern w:val="0"/>
          <w:lang w:eastAsia="zh-CN"/>
        </w:rPr>
        <w:t>2025</w:t>
      </w:r>
      <w:r>
        <w:rPr>
          <w:rFonts w:hint="eastAsia" w:ascii="宋体" w:hAnsi="宋体" w:eastAsia="宋体" w:cs="宋体"/>
          <w:color w:val="000000"/>
          <w:kern w:val="0"/>
          <w:lang w:val="zh-CN"/>
        </w:rPr>
        <w:t>年</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月</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日</w:t>
      </w:r>
    </w:p>
    <w:p w14:paraId="3D5B51C7">
      <w:pPr>
        <w:autoSpaceDE w:val="0"/>
        <w:autoSpaceDN w:val="0"/>
        <w:spacing w:line="360" w:lineRule="auto"/>
        <w:jc w:val="center"/>
        <w:rPr>
          <w:rFonts w:hint="eastAsia" w:ascii="宋体" w:hAnsi="宋体" w:eastAsia="宋体" w:cs="宋体"/>
          <w:color w:val="000000"/>
          <w:kern w:val="0"/>
          <w:sz w:val="28"/>
          <w:szCs w:val="28"/>
        </w:rPr>
      </w:pPr>
      <w:r>
        <w:rPr>
          <w:rFonts w:hint="eastAsia" w:ascii="宋体" w:hAnsi="宋体" w:eastAsia="宋体" w:cs="宋体"/>
          <w:b/>
          <w:bCs/>
          <w:color w:val="000000"/>
          <w:kern w:val="0"/>
          <w:sz w:val="28"/>
          <w:szCs w:val="28"/>
          <w:lang w:val="zh-CN"/>
        </w:rPr>
        <w:br w:type="page"/>
      </w:r>
      <w:r>
        <w:rPr>
          <w:rFonts w:hint="eastAsia" w:ascii="宋体" w:hAnsi="宋体" w:eastAsia="宋体" w:cs="宋体"/>
          <w:b/>
          <w:bCs/>
          <w:color w:val="000000"/>
          <w:kern w:val="0"/>
          <w:sz w:val="28"/>
          <w:szCs w:val="28"/>
          <w:lang w:val="zh-CN"/>
        </w:rPr>
        <w:t>合同通用条款</w:t>
      </w:r>
    </w:p>
    <w:p w14:paraId="1DF7B9C6">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lang w:val="zh-CN"/>
        </w:rPr>
        <w:t>根据《中华人民共和国民法典》、《中华人民共和国政府采购法》的规定，合同双方经协商达成一致，自愿订立本合同，遵循公平原则明确双方的权利、义务，确保双方诚实守信地履行合同。</w:t>
      </w:r>
    </w:p>
    <w:p w14:paraId="1F4D9765">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1.</w:t>
      </w:r>
      <w:r>
        <w:rPr>
          <w:rFonts w:hint="eastAsia" w:ascii="宋体" w:hAnsi="宋体" w:eastAsia="宋体" w:cs="宋体"/>
          <w:b/>
          <w:bCs/>
          <w:color w:val="000000"/>
          <w:kern w:val="0"/>
          <w:lang w:val="zh-CN"/>
        </w:rPr>
        <w:t>定义</w:t>
      </w:r>
    </w:p>
    <w:p w14:paraId="4714C830">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lang w:val="zh-CN"/>
        </w:rPr>
        <w:t>本合同中的下列术语应解释为：</w:t>
      </w:r>
    </w:p>
    <w:p w14:paraId="1123AB2C">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1.1 </w:t>
      </w:r>
      <w:r>
        <w:rPr>
          <w:rFonts w:hint="eastAsia" w:ascii="宋体" w:hAnsi="宋体" w:eastAsia="宋体" w:cs="宋体"/>
          <w:color w:val="000000"/>
          <w:kern w:val="0"/>
          <w:lang w:val="zh-CN"/>
        </w:rPr>
        <w:t>“合同”指甲乙双方签署的、载明的甲乙双方权利义务的协议，包括所有的附件、附录和上述文件所提到的构成合同的所有文件。</w:t>
      </w:r>
    </w:p>
    <w:p w14:paraId="0359D60F">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1.2 </w:t>
      </w:r>
      <w:r>
        <w:rPr>
          <w:rFonts w:hint="eastAsia" w:ascii="宋体" w:hAnsi="宋体" w:eastAsia="宋体" w:cs="宋体"/>
          <w:color w:val="000000"/>
          <w:kern w:val="0"/>
          <w:lang w:val="zh-CN"/>
        </w:rPr>
        <w:t>“合同金额”指根据合同规定，乙方在正确地完全履行合同义务后甲方应付给乙方的价款。</w:t>
      </w:r>
    </w:p>
    <w:p w14:paraId="4D78AA3D">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1.3 </w:t>
      </w:r>
      <w:r>
        <w:rPr>
          <w:rFonts w:hint="eastAsia" w:ascii="宋体" w:hAnsi="宋体" w:eastAsia="宋体" w:cs="宋体"/>
          <w:color w:val="000000"/>
          <w:kern w:val="0"/>
          <w:lang w:val="zh-CN"/>
        </w:rPr>
        <w:t>“合同条款”指本合同条款。</w:t>
      </w:r>
    </w:p>
    <w:p w14:paraId="7F6B4B26">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1.4 </w:t>
      </w:r>
      <w:r>
        <w:rPr>
          <w:rFonts w:hint="eastAsia" w:ascii="宋体" w:hAnsi="宋体" w:eastAsia="宋体" w:cs="宋体"/>
          <w:color w:val="000000"/>
          <w:kern w:val="0"/>
          <w:lang w:val="zh-CN"/>
        </w:rPr>
        <w:t>“货物”指乙方根据合同约定须向甲方提供的一切产品、设备、机械、仪表、备件等，包括辅助工具、使用手册等相关资料。</w:t>
      </w:r>
    </w:p>
    <w:p w14:paraId="3B067153">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1.5 </w:t>
      </w:r>
      <w:r>
        <w:rPr>
          <w:rFonts w:hint="eastAsia" w:ascii="宋体" w:hAnsi="宋体" w:eastAsia="宋体" w:cs="宋体"/>
          <w:color w:val="000000"/>
          <w:kern w:val="0"/>
          <w:lang w:val="zh-CN"/>
        </w:rPr>
        <w:t>“服务”指根据本合同规定乙方承担与供货有关的辅助服务，如运输、保险及安装、调试、提供技术援助、培训和合同中规定乙方应承担的其它义务。</w:t>
      </w:r>
    </w:p>
    <w:p w14:paraId="2E885D3B">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1.6 </w:t>
      </w:r>
      <w:r>
        <w:rPr>
          <w:rFonts w:hint="eastAsia" w:ascii="宋体" w:hAnsi="宋体" w:eastAsia="宋体" w:cs="宋体"/>
          <w:color w:val="000000"/>
          <w:kern w:val="0"/>
          <w:lang w:val="zh-CN"/>
        </w:rPr>
        <w:t>“甲方”指购买货物和服务的单位。</w:t>
      </w:r>
    </w:p>
    <w:p w14:paraId="171EE166">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1.7 </w:t>
      </w:r>
      <w:r>
        <w:rPr>
          <w:rFonts w:hint="eastAsia" w:ascii="宋体" w:hAnsi="宋体" w:eastAsia="宋体" w:cs="宋体"/>
          <w:color w:val="000000"/>
          <w:kern w:val="0"/>
          <w:lang w:val="zh-CN"/>
        </w:rPr>
        <w:t>“乙方”指提供本合同条款下货物和服务的公司或其他实体。</w:t>
      </w:r>
    </w:p>
    <w:p w14:paraId="08D37739">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1.8 </w:t>
      </w:r>
      <w:r>
        <w:rPr>
          <w:rFonts w:hint="eastAsia" w:ascii="宋体" w:hAnsi="宋体" w:eastAsia="宋体" w:cs="宋体"/>
          <w:color w:val="000000"/>
          <w:kern w:val="0"/>
          <w:lang w:val="zh-CN"/>
        </w:rPr>
        <w:t>“现场”指合同规定货物将要运至和安装的地点。</w:t>
      </w:r>
    </w:p>
    <w:p w14:paraId="7C1A84B8">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1.9 </w:t>
      </w:r>
      <w:r>
        <w:rPr>
          <w:rFonts w:hint="eastAsia" w:ascii="宋体" w:hAnsi="宋体" w:eastAsia="宋体" w:cs="宋体"/>
          <w:color w:val="000000"/>
          <w:kern w:val="0"/>
          <w:lang w:val="zh-CN"/>
        </w:rPr>
        <w:t>“验收”指合同双方依据强制性的国家技术质量规范和合同约定，确认合同条款下的货物符合合同规定的活动。</w:t>
      </w:r>
    </w:p>
    <w:p w14:paraId="2468B026">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1.10 </w:t>
      </w:r>
      <w:r>
        <w:rPr>
          <w:rFonts w:hint="eastAsia" w:ascii="宋体" w:hAnsi="宋体" w:eastAsia="宋体" w:cs="宋体"/>
          <w:color w:val="000000"/>
          <w:kern w:val="0"/>
          <w:lang w:val="zh-CN"/>
        </w:rPr>
        <w:t>原厂商：产品制造商或其在中国境内设立的办事或技术服务机构。除另有说明外，本合同文件所述的制造商、产品制造商、制造厂家、产品制造厂家均为原厂商。</w:t>
      </w:r>
    </w:p>
    <w:p w14:paraId="45F0254D">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1.11 </w:t>
      </w:r>
      <w:r>
        <w:rPr>
          <w:rFonts w:hint="eastAsia" w:ascii="宋体" w:hAnsi="宋体" w:eastAsia="宋体" w:cs="宋体"/>
          <w:color w:val="000000"/>
          <w:kern w:val="0"/>
          <w:lang w:val="zh-CN"/>
        </w:rPr>
        <w:t>原产地：指产品的生产地，或提供服务的来源地。</w:t>
      </w:r>
    </w:p>
    <w:p w14:paraId="6A5D3F4A">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1.12 </w:t>
      </w:r>
      <w:r>
        <w:rPr>
          <w:rFonts w:hint="eastAsia" w:ascii="宋体" w:hAnsi="宋体" w:eastAsia="宋体" w:cs="宋体"/>
          <w:color w:val="000000"/>
          <w:kern w:val="0"/>
          <w:lang w:val="zh-CN"/>
        </w:rPr>
        <w:t>“工作日”指国家法定工作日，“天”指日历天数。</w:t>
      </w:r>
    </w:p>
    <w:p w14:paraId="4B4BFCB4">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2.</w:t>
      </w:r>
      <w:r>
        <w:rPr>
          <w:rFonts w:hint="eastAsia" w:ascii="宋体" w:hAnsi="宋体" w:eastAsia="宋体" w:cs="宋体"/>
          <w:b/>
          <w:bCs/>
          <w:color w:val="000000"/>
          <w:kern w:val="0"/>
          <w:lang w:val="zh-CN"/>
        </w:rPr>
        <w:t>技术规格要求</w:t>
      </w:r>
    </w:p>
    <w:p w14:paraId="7D145052">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2.1 </w:t>
      </w:r>
      <w:r>
        <w:rPr>
          <w:rFonts w:hint="eastAsia" w:ascii="宋体" w:hAnsi="宋体" w:eastAsia="宋体" w:cs="宋体"/>
          <w:color w:val="000000"/>
          <w:kern w:val="0"/>
          <w:lang w:val="zh-CN"/>
        </w:rPr>
        <w:t>本合同条款下提交货物的技术规格要求应等于或优于招投标文件技术规格要求。若技术规格要求中无相应规定，则应符合相应的国家有关部门最新颁布的相应正式标准。</w:t>
      </w:r>
    </w:p>
    <w:p w14:paraId="14611890">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2.2 </w:t>
      </w:r>
      <w:r>
        <w:rPr>
          <w:rFonts w:hint="eastAsia" w:ascii="宋体" w:hAnsi="宋体" w:eastAsia="宋体" w:cs="宋体"/>
          <w:color w:val="000000"/>
          <w:kern w:val="0"/>
          <w:lang w:val="zh-CN"/>
        </w:rPr>
        <w:t>乙方应向甲方提供货物及服务有关的标准的中文文本。</w:t>
      </w:r>
    </w:p>
    <w:p w14:paraId="46F3D101">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2.3 </w:t>
      </w:r>
      <w:r>
        <w:rPr>
          <w:rFonts w:hint="eastAsia" w:ascii="宋体" w:hAnsi="宋体" w:eastAsia="宋体" w:cs="宋体"/>
          <w:color w:val="000000"/>
          <w:kern w:val="0"/>
          <w:lang w:val="zh-CN"/>
        </w:rPr>
        <w:t>除非技术规范中另有规定，计量单位均采用中华人民共和国法定计量单位。</w:t>
      </w:r>
    </w:p>
    <w:p w14:paraId="39BA898F">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3.</w:t>
      </w:r>
      <w:r>
        <w:rPr>
          <w:rFonts w:hint="eastAsia" w:ascii="宋体" w:hAnsi="宋体" w:eastAsia="宋体" w:cs="宋体"/>
          <w:b/>
          <w:bCs/>
          <w:color w:val="000000"/>
          <w:kern w:val="0"/>
          <w:lang w:val="zh-CN"/>
        </w:rPr>
        <w:t>合同范围</w:t>
      </w:r>
    </w:p>
    <w:p w14:paraId="36A7BE49">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3.1 </w:t>
      </w:r>
      <w:r>
        <w:rPr>
          <w:rFonts w:hint="eastAsia" w:ascii="宋体" w:hAnsi="宋体" w:eastAsia="宋体" w:cs="宋体"/>
          <w:color w:val="000000"/>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3F3F99C5">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3.2 </w:t>
      </w:r>
      <w:r>
        <w:rPr>
          <w:rFonts w:hint="eastAsia" w:ascii="宋体" w:hAnsi="宋体" w:eastAsia="宋体" w:cs="宋体"/>
          <w:color w:val="000000"/>
          <w:kern w:val="0"/>
          <w:lang w:val="zh-CN"/>
        </w:rPr>
        <w:t>乙方应负责培训甲方的技术人员。</w:t>
      </w:r>
    </w:p>
    <w:p w14:paraId="19485B05">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3.3 </w:t>
      </w:r>
      <w:r>
        <w:rPr>
          <w:rFonts w:hint="eastAsia" w:ascii="宋体" w:hAnsi="宋体" w:eastAsia="宋体" w:cs="宋体"/>
          <w:color w:val="000000"/>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4A152981">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4.</w:t>
      </w:r>
      <w:r>
        <w:rPr>
          <w:rFonts w:hint="eastAsia" w:ascii="宋体" w:hAnsi="宋体" w:eastAsia="宋体" w:cs="宋体"/>
          <w:b/>
          <w:bCs/>
          <w:color w:val="000000"/>
          <w:kern w:val="0"/>
          <w:lang w:val="zh-CN"/>
        </w:rPr>
        <w:t>合同文件和资料</w:t>
      </w:r>
    </w:p>
    <w:p w14:paraId="276284D9">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4.1 </w:t>
      </w:r>
      <w:r>
        <w:rPr>
          <w:rFonts w:hint="eastAsia" w:ascii="宋体" w:hAnsi="宋体" w:eastAsia="宋体" w:cs="宋体"/>
          <w:color w:val="000000"/>
          <w:kern w:val="0"/>
          <w:lang w:val="zh-CN"/>
        </w:rPr>
        <w:t>乙方在提供仪器设备时应同时提供中文版相关的技术资料，如目录索引、图纸、操作手册、使用指南、维修指南、服务手册等。</w:t>
      </w:r>
    </w:p>
    <w:p w14:paraId="56FA4CA5">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4.2 </w:t>
      </w:r>
      <w:r>
        <w:rPr>
          <w:rFonts w:hint="eastAsia" w:ascii="宋体" w:hAnsi="宋体" w:eastAsia="宋体" w:cs="宋体"/>
          <w:color w:val="000000"/>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327F7F13">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5.</w:t>
      </w:r>
      <w:r>
        <w:rPr>
          <w:rFonts w:hint="eastAsia" w:ascii="宋体" w:hAnsi="宋体" w:eastAsia="宋体" w:cs="宋体"/>
          <w:b/>
          <w:bCs/>
          <w:color w:val="000000"/>
          <w:kern w:val="0"/>
          <w:lang w:val="zh-CN"/>
        </w:rPr>
        <w:t>知识产权</w:t>
      </w:r>
    </w:p>
    <w:p w14:paraId="5D786A59">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5.1 </w:t>
      </w:r>
      <w:r>
        <w:rPr>
          <w:rFonts w:hint="eastAsia" w:ascii="宋体" w:hAnsi="宋体" w:eastAsia="宋体" w:cs="宋体"/>
          <w:color w:val="000000"/>
          <w:kern w:val="0"/>
          <w:lang w:val="zh-CN"/>
        </w:rPr>
        <w:t>乙方应保证甲方在使用该货物或其任何一部分时不受第三方提出的侵犯专利权、著作权、商标权和工业设计权等的起诉。</w:t>
      </w:r>
    </w:p>
    <w:p w14:paraId="6DE58132">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5.2 </w:t>
      </w:r>
      <w:r>
        <w:rPr>
          <w:rFonts w:hint="eastAsia" w:ascii="宋体" w:hAnsi="宋体" w:eastAsia="宋体" w:cs="宋体"/>
          <w:color w:val="000000"/>
          <w:kern w:val="0"/>
          <w:lang w:val="zh-CN"/>
        </w:rPr>
        <w:t>任何第三方提出侵权指控，乙方须与第三方交涉并承担由此产生的一切责任、费用和经济赔偿。</w:t>
      </w:r>
    </w:p>
    <w:p w14:paraId="26D2EACD">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5.3 </w:t>
      </w:r>
      <w:r>
        <w:rPr>
          <w:rFonts w:hint="eastAsia" w:ascii="宋体" w:hAnsi="宋体" w:eastAsia="宋体" w:cs="宋体"/>
          <w:color w:val="000000"/>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14:paraId="4564D82C">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5.4 </w:t>
      </w:r>
      <w:r>
        <w:rPr>
          <w:rFonts w:hint="eastAsia" w:ascii="宋体" w:hAnsi="宋体" w:eastAsia="宋体" w:cs="宋体"/>
          <w:color w:val="000000"/>
          <w:kern w:val="0"/>
          <w:lang w:val="zh-CN"/>
        </w:rPr>
        <w:t>在本合同生效时已经存在并为各方合法拥有或使用的所有技术、资料和信息的知识产权，仍应属于其各自的原权利人所有或享有，另有约定的除外。</w:t>
      </w:r>
    </w:p>
    <w:p w14:paraId="6CF2A6A9">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5.5 </w:t>
      </w:r>
      <w:r>
        <w:rPr>
          <w:rFonts w:hint="eastAsia" w:ascii="宋体" w:hAnsi="宋体" w:eastAsia="宋体" w:cs="宋体"/>
          <w:color w:val="000000"/>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3D0593F3">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6.</w:t>
      </w:r>
      <w:r>
        <w:rPr>
          <w:rFonts w:hint="eastAsia" w:ascii="宋体" w:hAnsi="宋体" w:eastAsia="宋体" w:cs="宋体"/>
          <w:b/>
          <w:bCs/>
          <w:color w:val="000000"/>
          <w:kern w:val="0"/>
          <w:lang w:val="zh-CN"/>
        </w:rPr>
        <w:t>保密</w:t>
      </w:r>
    </w:p>
    <w:p w14:paraId="721DB5A6">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6.1 </w:t>
      </w:r>
      <w:r>
        <w:rPr>
          <w:rFonts w:hint="eastAsia" w:ascii="宋体" w:hAnsi="宋体" w:eastAsia="宋体" w:cs="宋体"/>
          <w:color w:val="000000"/>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2245E4B7">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6.2 </w:t>
      </w:r>
      <w:r>
        <w:rPr>
          <w:rFonts w:hint="eastAsia" w:ascii="宋体" w:hAnsi="宋体" w:eastAsia="宋体" w:cs="宋体"/>
          <w:color w:val="000000"/>
          <w:kern w:val="0"/>
          <w:lang w:val="zh-CN"/>
        </w:rPr>
        <w:t>保密信息指任何一方因履行本合同所知悉的任何以口头、书面、图表或电子形式存在的对方信息，具体包括：</w:t>
      </w:r>
    </w:p>
    <w:p w14:paraId="1F3D55C2">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6.2.1 </w:t>
      </w:r>
      <w:r>
        <w:rPr>
          <w:rFonts w:hint="eastAsia" w:ascii="宋体" w:hAnsi="宋体" w:eastAsia="宋体" w:cs="宋体"/>
          <w:color w:val="000000"/>
          <w:kern w:val="0"/>
          <w:lang w:val="zh-CN"/>
        </w:rPr>
        <w:t>任何涉及对方过去、现在或将来的商业计划、规章制度、操作规程、处理手段、财务信息；</w:t>
      </w:r>
    </w:p>
    <w:p w14:paraId="28218589">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6.2.2 </w:t>
      </w:r>
      <w:r>
        <w:rPr>
          <w:rFonts w:hint="eastAsia" w:ascii="宋体" w:hAnsi="宋体" w:eastAsia="宋体" w:cs="宋体"/>
          <w:color w:val="000000"/>
          <w:kern w:val="0"/>
          <w:lang w:val="zh-CN"/>
        </w:rPr>
        <w:t>任何对方的技术措施、技术方案、软件应用及开发，硬件设备的品种、质量、数量、品牌等；</w:t>
      </w:r>
    </w:p>
    <w:p w14:paraId="326AC55F">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6.2.3 </w:t>
      </w:r>
      <w:r>
        <w:rPr>
          <w:rFonts w:hint="eastAsia" w:ascii="宋体" w:hAnsi="宋体" w:eastAsia="宋体" w:cs="宋体"/>
          <w:color w:val="000000"/>
          <w:kern w:val="0"/>
          <w:lang w:val="zh-CN"/>
        </w:rPr>
        <w:t>任何对方的技术秘密或专有知识、文件</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、报告、数据、客户软件、流程图、数据库、发明、知识、贸易秘密。</w:t>
      </w:r>
    </w:p>
    <w:p w14:paraId="1B48EF78">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6.3 </w:t>
      </w:r>
      <w:r>
        <w:rPr>
          <w:rFonts w:hint="eastAsia" w:ascii="宋体" w:hAnsi="宋体" w:eastAsia="宋体" w:cs="宋体"/>
          <w:color w:val="000000"/>
          <w:kern w:val="0"/>
          <w:lang w:val="zh-CN"/>
        </w:rPr>
        <w:t>乙方应根据甲方的要求签署相应的保密协议，保密协议与本条款存在不一致的，以保密协议为准。</w:t>
      </w:r>
    </w:p>
    <w:p w14:paraId="36C151AB">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 xml:space="preserve">7. </w:t>
      </w:r>
      <w:r>
        <w:rPr>
          <w:rFonts w:hint="eastAsia" w:ascii="宋体" w:hAnsi="宋体" w:eastAsia="宋体" w:cs="宋体"/>
          <w:b/>
          <w:bCs/>
          <w:color w:val="000000"/>
          <w:kern w:val="0"/>
          <w:lang w:val="zh-CN"/>
        </w:rPr>
        <w:t>质量保证</w:t>
      </w:r>
    </w:p>
    <w:p w14:paraId="2BFBF473">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7.1 </w:t>
      </w:r>
      <w:r>
        <w:rPr>
          <w:rFonts w:hint="eastAsia" w:ascii="宋体" w:hAnsi="宋体" w:eastAsia="宋体" w:cs="宋体"/>
          <w:color w:val="000000"/>
          <w:kern w:val="0"/>
          <w:lang w:val="zh-CN"/>
        </w:rPr>
        <w:t>货物质量保证</w:t>
      </w:r>
    </w:p>
    <w:p w14:paraId="6BD5EE5E">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7.1.1 </w:t>
      </w:r>
      <w:r>
        <w:rPr>
          <w:rFonts w:hint="eastAsia" w:ascii="宋体" w:hAnsi="宋体" w:eastAsia="宋体" w:cs="宋体"/>
          <w:color w:val="000000"/>
          <w:kern w:val="0"/>
          <w:lang w:val="zh-CN"/>
        </w:rPr>
        <w:t>乙方必须保证货物是全新、未使用过的，并完全符合强制性的国家技术质量规范和合同规定的质量、规格、性能和技术规范等的要求。</w:t>
      </w:r>
    </w:p>
    <w:p w14:paraId="010A6764">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7.1.2 </w:t>
      </w:r>
      <w:r>
        <w:rPr>
          <w:rFonts w:hint="eastAsia" w:ascii="宋体" w:hAnsi="宋体" w:eastAsia="宋体" w:cs="宋体"/>
          <w:color w:val="000000"/>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076FD55D">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7.1.3 </w:t>
      </w:r>
      <w:r>
        <w:rPr>
          <w:rFonts w:hint="eastAsia" w:ascii="宋体" w:hAnsi="宋体" w:eastAsia="宋体" w:cs="宋体"/>
          <w:color w:val="000000"/>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4153C7BA">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7.1.4 </w:t>
      </w:r>
      <w:r>
        <w:rPr>
          <w:rFonts w:hint="eastAsia" w:ascii="宋体" w:hAnsi="宋体" w:eastAsia="宋体" w:cs="宋体"/>
          <w:color w:val="000000"/>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56F53DC0">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7.1.5 </w:t>
      </w:r>
      <w:r>
        <w:rPr>
          <w:rFonts w:hint="eastAsia" w:ascii="宋体" w:hAnsi="宋体" w:eastAsia="宋体" w:cs="宋体"/>
          <w:color w:val="000000"/>
          <w:kern w:val="0"/>
          <w:lang w:val="zh-CN"/>
        </w:rPr>
        <w:t>合同条款下货物的质量保证期自货物通过最终验收起算，合同另行规定除外。</w:t>
      </w:r>
    </w:p>
    <w:p w14:paraId="6BB00B81">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7.2 </w:t>
      </w:r>
      <w:r>
        <w:rPr>
          <w:rFonts w:hint="eastAsia" w:ascii="宋体" w:hAnsi="宋体" w:eastAsia="宋体" w:cs="宋体"/>
          <w:color w:val="000000"/>
          <w:kern w:val="0"/>
          <w:lang w:val="zh-CN"/>
        </w:rPr>
        <w:t>辅助服务质量保证</w:t>
      </w:r>
    </w:p>
    <w:p w14:paraId="1F8CEF92">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7.2.1 </w:t>
      </w:r>
      <w:r>
        <w:rPr>
          <w:rFonts w:hint="eastAsia" w:ascii="宋体" w:hAnsi="宋体" w:eastAsia="宋体" w:cs="宋体"/>
          <w:color w:val="000000"/>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7D70941B">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7.2.2 </w:t>
      </w:r>
      <w:r>
        <w:rPr>
          <w:rFonts w:hint="eastAsia" w:ascii="宋体" w:hAnsi="宋体" w:eastAsia="宋体" w:cs="宋体"/>
          <w:color w:val="000000"/>
          <w:kern w:val="0"/>
          <w:lang w:val="zh-CN"/>
        </w:rPr>
        <w:t>乙方应保证合同条款下所提供的服务包括培训、安装指导、单机调试、系统联调和试验等，按合同规定方式进行，并保证不存在因乙方工作人员的过失、错误或疏忽而产生的缺陷。</w:t>
      </w:r>
    </w:p>
    <w:p w14:paraId="72DBE892">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8.</w:t>
      </w:r>
      <w:r>
        <w:rPr>
          <w:rFonts w:hint="eastAsia" w:ascii="宋体" w:hAnsi="宋体" w:eastAsia="宋体" w:cs="宋体"/>
          <w:b/>
          <w:bCs/>
          <w:color w:val="000000"/>
          <w:kern w:val="0"/>
          <w:lang w:val="zh-CN"/>
        </w:rPr>
        <w:t>包装要求</w:t>
      </w:r>
    </w:p>
    <w:p w14:paraId="20339A5A">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8.1 </w:t>
      </w:r>
      <w:r>
        <w:rPr>
          <w:rFonts w:hint="eastAsia" w:ascii="宋体" w:hAnsi="宋体" w:eastAsia="宋体" w:cs="宋体"/>
          <w:color w:val="000000"/>
          <w:kern w:val="0"/>
          <w:lang w:val="zh-CN"/>
        </w:rPr>
        <w:t>除合同另有约定外</w:t>
      </w:r>
      <w:r>
        <w:rPr>
          <w:rFonts w:hint="eastAsia" w:ascii="宋体" w:hAnsi="宋体" w:eastAsia="宋体" w:cs="宋体"/>
          <w:color w:val="000000"/>
          <w:kern w:val="0"/>
        </w:rPr>
        <w:t>,</w:t>
      </w:r>
      <w:r>
        <w:rPr>
          <w:rFonts w:hint="eastAsia" w:ascii="宋体" w:hAnsi="宋体" w:eastAsia="宋体" w:cs="宋体"/>
          <w:color w:val="000000"/>
          <w:kern w:val="0"/>
          <w:lang w:val="zh-CN"/>
        </w:rPr>
        <w:t>乙方提供的全部货物</w:t>
      </w:r>
      <w:r>
        <w:rPr>
          <w:rFonts w:hint="eastAsia" w:ascii="宋体" w:hAnsi="宋体" w:eastAsia="宋体" w:cs="宋体"/>
          <w:color w:val="000000"/>
          <w:kern w:val="0"/>
        </w:rPr>
        <w:t>,</w:t>
      </w:r>
      <w:r>
        <w:rPr>
          <w:rFonts w:hint="eastAsia" w:ascii="宋体" w:hAnsi="宋体" w:eastAsia="宋体" w:cs="宋体"/>
          <w:color w:val="000000"/>
          <w:kern w:val="0"/>
          <w:lang w:val="zh-CN"/>
        </w:rPr>
        <w:t>均应采用本行业通用的方式进行包装，且该包装应符合国家有关包装的法律、法规的规定。</w:t>
      </w:r>
    </w:p>
    <w:p w14:paraId="011FB166">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8.2 </w:t>
      </w:r>
      <w:r>
        <w:rPr>
          <w:rFonts w:hint="eastAsia" w:ascii="宋体" w:hAnsi="宋体" w:eastAsia="宋体" w:cs="宋体"/>
          <w:color w:val="000000"/>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14:paraId="6DD0AA9E">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8.3 </w:t>
      </w:r>
      <w:r>
        <w:rPr>
          <w:rFonts w:hint="eastAsia" w:ascii="宋体" w:hAnsi="宋体" w:eastAsia="宋体" w:cs="宋体"/>
          <w:color w:val="000000"/>
          <w:kern w:val="0"/>
          <w:lang w:val="zh-CN"/>
        </w:rPr>
        <w:t>乙方所提供的货物包装均为出厂时原包装。</w:t>
      </w:r>
    </w:p>
    <w:p w14:paraId="4316087A">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8.4 </w:t>
      </w:r>
      <w:r>
        <w:rPr>
          <w:rFonts w:hint="eastAsia" w:ascii="宋体" w:hAnsi="宋体" w:eastAsia="宋体" w:cs="宋体"/>
          <w:color w:val="000000"/>
          <w:kern w:val="0"/>
          <w:lang w:val="zh-CN"/>
        </w:rPr>
        <w:t>乙方所提供货物必须附有质量合格证，装箱清单，主机、附件、各种零部件和消耗品，有清楚的与装箱单相对应的名称和编号。</w:t>
      </w:r>
    </w:p>
    <w:p w14:paraId="3FB97B03">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8.5 </w:t>
      </w:r>
      <w:r>
        <w:rPr>
          <w:rFonts w:hint="eastAsia" w:ascii="宋体" w:hAnsi="宋体" w:eastAsia="宋体" w:cs="宋体"/>
          <w:color w:val="000000"/>
          <w:kern w:val="0"/>
          <w:lang w:val="zh-CN"/>
        </w:rPr>
        <w:t>货物运输中的运输费用和保险费用均由乙方承担。运输过程中的一切损失、损坏均由乙方负责。</w:t>
      </w:r>
    </w:p>
    <w:p w14:paraId="47FE7AFA">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9.</w:t>
      </w:r>
      <w:r>
        <w:rPr>
          <w:rFonts w:hint="eastAsia" w:ascii="宋体" w:hAnsi="宋体" w:eastAsia="宋体" w:cs="宋体"/>
          <w:b/>
          <w:bCs/>
          <w:color w:val="000000"/>
          <w:kern w:val="0"/>
          <w:lang w:val="zh-CN"/>
        </w:rPr>
        <w:t>价格</w:t>
      </w:r>
    </w:p>
    <w:p w14:paraId="10BB442B">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9.1 </w:t>
      </w:r>
      <w:r>
        <w:rPr>
          <w:rFonts w:hint="eastAsia" w:ascii="宋体" w:hAnsi="宋体" w:eastAsia="宋体" w:cs="宋体"/>
          <w:color w:val="000000"/>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160D14DB">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9.2 </w:t>
      </w:r>
      <w:r>
        <w:rPr>
          <w:rFonts w:hint="eastAsia" w:ascii="宋体" w:hAnsi="宋体" w:eastAsia="宋体" w:cs="宋体"/>
          <w:color w:val="000000"/>
          <w:kern w:val="0"/>
          <w:lang w:val="zh-CN"/>
        </w:rPr>
        <w:t>本合同价格为固定价格，包括了乙方履行合同全过程产生的所有成本和费用以及乙方应承担的一切税费。</w:t>
      </w:r>
    </w:p>
    <w:p w14:paraId="6C1969F8">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9.3 </w:t>
      </w:r>
      <w:r>
        <w:rPr>
          <w:rFonts w:hint="eastAsia" w:ascii="宋体" w:hAnsi="宋体" w:eastAsia="宋体" w:cs="宋体"/>
          <w:color w:val="000000"/>
          <w:kern w:val="0"/>
          <w:lang w:val="zh-CN"/>
        </w:rPr>
        <w:t>检验费用</w:t>
      </w:r>
    </w:p>
    <w:p w14:paraId="09565C32">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9.3.1 </w:t>
      </w:r>
      <w:r>
        <w:rPr>
          <w:rFonts w:hint="eastAsia" w:ascii="宋体" w:hAnsi="宋体" w:eastAsia="宋体" w:cs="宋体"/>
          <w:color w:val="000000"/>
          <w:kern w:val="0"/>
          <w:lang w:val="zh-CN"/>
        </w:rPr>
        <w:t>乙方必须负担本条款下属于乙方负责的检验、测试、调试、试运行和验收的所有费用，并负责乙方派往买方组织的检验、测试和验收人员的所有费用。</w:t>
      </w:r>
    </w:p>
    <w:p w14:paraId="56304983">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9.3.2 </w:t>
      </w:r>
      <w:r>
        <w:rPr>
          <w:rFonts w:hint="eastAsia" w:ascii="宋体" w:hAnsi="宋体" w:eastAsia="宋体" w:cs="宋体"/>
          <w:color w:val="000000"/>
          <w:kern w:val="0"/>
          <w:lang w:val="zh-CN"/>
        </w:rPr>
        <w:t>甲方按合同计划参加在乙方工厂所在地检验、测试和验收的费用全部由乙方负责并已包含在合同总价中。</w:t>
      </w:r>
    </w:p>
    <w:p w14:paraId="1ADBA65A">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9.3.3 </w:t>
      </w:r>
      <w:r>
        <w:rPr>
          <w:rFonts w:hint="eastAsia" w:ascii="宋体" w:hAnsi="宋体" w:eastAsia="宋体" w:cs="宋体"/>
          <w:color w:val="000000"/>
          <w:kern w:val="0"/>
          <w:lang w:val="zh-CN"/>
        </w:rPr>
        <w:t>甲方检验人员已到卖方所在地，测试无法依照合同进行，</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而引起甲方人员延长逗留时间，所有由此产生的包括甲方人员在内的直接费用及成本由乙方承担。</w:t>
      </w:r>
    </w:p>
    <w:p w14:paraId="38701DC8">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10.</w:t>
      </w:r>
      <w:r>
        <w:rPr>
          <w:rFonts w:hint="eastAsia" w:ascii="宋体" w:hAnsi="宋体" w:eastAsia="宋体" w:cs="宋体"/>
          <w:b/>
          <w:bCs/>
          <w:color w:val="000000"/>
          <w:kern w:val="0"/>
          <w:lang w:val="zh-CN"/>
        </w:rPr>
        <w:t>交货方式及交货日期</w:t>
      </w:r>
    </w:p>
    <w:p w14:paraId="3EEA6F0E">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交货方式：现场交货，乙方负责办理运输和保险，将货物运抵现场。</w:t>
      </w:r>
    </w:p>
    <w:p w14:paraId="212ED9F9">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交货期应根据产品的特点实事求是填写，进口产品90个工作日内，国产产品60个工作日内。特殊产品交货期需说明。</w:t>
      </w:r>
    </w:p>
    <w:p w14:paraId="3CF00DBF">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交货日期：所有货物运抵现场并经双方开箱验收合格之日。</w:t>
      </w:r>
    </w:p>
    <w:p w14:paraId="1EFE0BA6">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b/>
          <w:bCs/>
          <w:color w:val="000000"/>
          <w:kern w:val="0"/>
          <w:lang w:val="zh-CN"/>
        </w:rPr>
        <w:t>11.检验和验收</w:t>
      </w:r>
    </w:p>
    <w:p w14:paraId="2DE78D6D">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11.1 </w:t>
      </w:r>
      <w:r>
        <w:rPr>
          <w:rFonts w:hint="eastAsia" w:ascii="宋体" w:hAnsi="宋体" w:eastAsia="宋体" w:cs="宋体"/>
          <w:color w:val="000000"/>
          <w:kern w:val="0"/>
          <w:lang w:val="zh-CN"/>
        </w:rPr>
        <w:t>开箱验收</w:t>
      </w:r>
    </w:p>
    <w:p w14:paraId="15EDB70F">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11.1.1 </w:t>
      </w:r>
      <w:r>
        <w:rPr>
          <w:rFonts w:hint="eastAsia" w:ascii="宋体" w:hAnsi="宋体" w:eastAsia="宋体" w:cs="宋体"/>
          <w:color w:val="000000"/>
          <w:kern w:val="0"/>
          <w:lang w:val="zh-CN"/>
        </w:rPr>
        <w:t>货物运抵现场后，双方应及时开箱验收，并制作验收记录，以确认与本合同约定的数量、型号等是否一致。</w:t>
      </w:r>
    </w:p>
    <w:p w14:paraId="142A121F">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11.1.2 </w:t>
      </w:r>
      <w:r>
        <w:rPr>
          <w:rFonts w:hint="eastAsia" w:ascii="宋体" w:hAnsi="宋体" w:eastAsia="宋体" w:cs="宋体"/>
          <w:color w:val="000000"/>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1A4C0DBB">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11.1.3 </w:t>
      </w:r>
      <w:r>
        <w:rPr>
          <w:rFonts w:hint="eastAsia" w:ascii="宋体" w:hAnsi="宋体" w:eastAsia="宋体" w:cs="宋体"/>
          <w:color w:val="000000"/>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14:paraId="5A60880F">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11.2 </w:t>
      </w:r>
      <w:r>
        <w:rPr>
          <w:rFonts w:hint="eastAsia" w:ascii="宋体" w:hAnsi="宋体" w:eastAsia="宋体" w:cs="宋体"/>
          <w:color w:val="000000"/>
          <w:kern w:val="0"/>
          <w:lang w:val="zh-CN"/>
        </w:rPr>
        <w:t>检验验收</w:t>
      </w:r>
    </w:p>
    <w:p w14:paraId="2E2FE24C">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11.2.1 </w:t>
      </w:r>
      <w:r>
        <w:rPr>
          <w:rFonts w:hint="eastAsia" w:ascii="宋体" w:hAnsi="宋体" w:eastAsia="宋体" w:cs="宋体"/>
          <w:color w:val="000000"/>
          <w:kern w:val="0"/>
          <w:lang w:val="zh-CN"/>
        </w:rPr>
        <w:t>交货完成后，乙方应及时组装、调试、试运行，按照合同专用条款规定的试运行完成后，双方及时组织对货物检验验收。合同双方均须派人参加合同要求双方参加的试验、检验。</w:t>
      </w:r>
    </w:p>
    <w:p w14:paraId="568FF02C">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11.2.2 </w:t>
      </w:r>
      <w:r>
        <w:rPr>
          <w:rFonts w:hint="eastAsia" w:ascii="宋体" w:hAnsi="宋体" w:eastAsia="宋体" w:cs="宋体"/>
          <w:color w:val="000000"/>
          <w:kern w:val="0"/>
          <w:lang w:val="zh-CN"/>
        </w:rPr>
        <w:t>在具体实施合同规定的检验验收之前，乙方需提前提交相应的测试计划（包括测试程序、测试内容和检验标准、试验时间安排等）供甲方确认。</w:t>
      </w:r>
    </w:p>
    <w:p w14:paraId="0FC25922">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11.2.3 </w:t>
      </w:r>
      <w:r>
        <w:rPr>
          <w:rFonts w:hint="eastAsia" w:ascii="宋体" w:hAnsi="宋体" w:eastAsia="宋体" w:cs="宋体"/>
          <w:color w:val="000000"/>
          <w:kern w:val="0"/>
          <w:lang w:val="zh-CN"/>
        </w:rPr>
        <w:t>除需甲方确认的试验验收外，乙方还应对所有检验验收测试的结果、步骤、原始数据等作妥善记录。如甲方要求，乙方应提供这些记录给买方。</w:t>
      </w:r>
    </w:p>
    <w:p w14:paraId="3CF9EB03">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11.2.4 </w:t>
      </w:r>
      <w:r>
        <w:rPr>
          <w:rFonts w:hint="eastAsia" w:ascii="宋体" w:hAnsi="宋体" w:eastAsia="宋体" w:cs="宋体"/>
          <w:color w:val="000000"/>
          <w:kern w:val="0"/>
          <w:lang w:val="zh-CN"/>
        </w:rPr>
        <w:t>检验测试出现全部或部分未达到本合同所约定的技术指标，甲方有权选择下列任一处理方式：</w:t>
      </w:r>
    </w:p>
    <w:p w14:paraId="64ABC41B">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a.</w:t>
      </w:r>
      <w:r>
        <w:rPr>
          <w:rFonts w:hint="eastAsia" w:ascii="宋体" w:hAnsi="宋体" w:eastAsia="宋体" w:cs="宋体"/>
          <w:color w:val="000000"/>
          <w:kern w:val="0"/>
          <w:lang w:val="zh-CN"/>
        </w:rPr>
        <w:t>重新测试直至合格为止；</w:t>
      </w:r>
    </w:p>
    <w:p w14:paraId="7993E641">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b.</w:t>
      </w:r>
      <w:r>
        <w:rPr>
          <w:rFonts w:hint="eastAsia" w:ascii="宋体" w:hAnsi="宋体" w:eastAsia="宋体" w:cs="宋体"/>
          <w:color w:val="000000"/>
          <w:kern w:val="0"/>
          <w:lang w:val="zh-CN"/>
        </w:rPr>
        <w:t>要求乙方对货物进行免费更换，然后重新测试直至合格为止；</w:t>
      </w:r>
    </w:p>
    <w:p w14:paraId="40F5989F">
      <w:pPr>
        <w:autoSpaceDE w:val="0"/>
        <w:autoSpaceDN w:val="0"/>
        <w:spacing w:line="360" w:lineRule="auto"/>
        <w:rPr>
          <w:rFonts w:hint="eastAsia" w:ascii="宋体" w:hAnsi="宋体" w:eastAsia="宋体" w:cs="宋体"/>
          <w:color w:val="000000"/>
          <w:kern w:val="0"/>
        </w:rPr>
      </w:pPr>
      <w:r>
        <w:rPr>
          <w:rFonts w:hint="eastAsia" w:ascii="宋体" w:hAnsi="宋体" w:eastAsia="宋体" w:cs="宋体"/>
          <w:color w:val="000000"/>
          <w:kern w:val="0"/>
          <w:lang w:val="zh-CN"/>
        </w:rPr>
        <w:t>无论选择何种方式，甲方因此而发生的因卖方原因引起的所有费用均由乙方负担。</w:t>
      </w:r>
    </w:p>
    <w:p w14:paraId="45EB5309">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11.3 </w:t>
      </w:r>
      <w:r>
        <w:rPr>
          <w:rFonts w:hint="eastAsia" w:ascii="宋体" w:hAnsi="宋体" w:eastAsia="宋体" w:cs="宋体"/>
          <w:color w:val="000000"/>
          <w:kern w:val="0"/>
          <w:lang w:val="zh-CN"/>
        </w:rPr>
        <w:t>使用过程检验</w:t>
      </w:r>
    </w:p>
    <w:p w14:paraId="663DE274">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11.3.1 </w:t>
      </w:r>
      <w:r>
        <w:rPr>
          <w:rFonts w:hint="eastAsia" w:ascii="宋体" w:hAnsi="宋体" w:eastAsia="宋体" w:cs="宋体"/>
          <w:color w:val="000000"/>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0789B7F6">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11.3.2 </w:t>
      </w:r>
      <w:r>
        <w:rPr>
          <w:rFonts w:hint="eastAsia" w:ascii="宋体" w:hAnsi="宋体" w:eastAsia="宋体" w:cs="宋体"/>
          <w:color w:val="000000"/>
          <w:kern w:val="0"/>
          <w:lang w:val="zh-CN"/>
        </w:rPr>
        <w:t>如果合同双方对乙方提供的上述试验结果报告的解释有分歧，双方须于出现分歧后</w:t>
      </w:r>
      <w:r>
        <w:rPr>
          <w:rFonts w:hint="eastAsia" w:ascii="宋体" w:hAnsi="宋体" w:eastAsia="宋体" w:cs="宋体"/>
          <w:color w:val="000000"/>
          <w:kern w:val="0"/>
        </w:rPr>
        <w:t>10</w:t>
      </w:r>
      <w:r>
        <w:rPr>
          <w:rFonts w:hint="eastAsia" w:ascii="宋体" w:hAnsi="宋体" w:eastAsia="宋体" w:cs="宋体"/>
          <w:color w:val="000000"/>
          <w:kern w:val="0"/>
          <w:lang w:val="zh-CN"/>
        </w:rPr>
        <w:t>天内给对方声明，以陈述己方的观点。声明须附有关证据。分歧应通过协商解决。</w:t>
      </w:r>
    </w:p>
    <w:p w14:paraId="295FE60F">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12.</w:t>
      </w:r>
      <w:r>
        <w:rPr>
          <w:rFonts w:hint="eastAsia" w:ascii="宋体" w:hAnsi="宋体" w:eastAsia="宋体" w:cs="宋体"/>
          <w:b/>
          <w:bCs/>
          <w:color w:val="000000"/>
          <w:kern w:val="0"/>
          <w:lang w:val="zh-CN"/>
        </w:rPr>
        <w:t>付款方法和条件</w:t>
      </w:r>
    </w:p>
    <w:p w14:paraId="029D993B">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lang w:val="zh-CN"/>
        </w:rPr>
        <w:t>本合同条款下的付款方法和条件在“青海省政府采购项目合同书”中具体规定。</w:t>
      </w:r>
    </w:p>
    <w:p w14:paraId="73ED722A">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13.</w:t>
      </w:r>
      <w:r>
        <w:rPr>
          <w:rFonts w:hint="eastAsia" w:ascii="宋体" w:hAnsi="宋体" w:eastAsia="宋体" w:cs="宋体"/>
          <w:b/>
          <w:bCs/>
          <w:color w:val="000000"/>
          <w:kern w:val="0"/>
          <w:lang w:val="zh-CN"/>
        </w:rPr>
        <w:t>履约保证金</w:t>
      </w:r>
    </w:p>
    <w:p w14:paraId="1A900B08">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13.1 </w:t>
      </w:r>
      <w:r>
        <w:rPr>
          <w:rFonts w:hint="eastAsia" w:ascii="宋体" w:hAnsi="宋体" w:eastAsia="宋体" w:cs="宋体"/>
          <w:color w:val="000000"/>
          <w:kern w:val="0"/>
          <w:lang w:val="zh-CN"/>
        </w:rPr>
        <w:t>乙方应在合同签订前，按招标文件第</w:t>
      </w:r>
      <w:r>
        <w:rPr>
          <w:rFonts w:hint="eastAsia" w:ascii="宋体" w:hAnsi="宋体" w:eastAsia="宋体" w:cs="宋体"/>
          <w:color w:val="000000"/>
          <w:kern w:val="0"/>
        </w:rPr>
        <w:t>二</w:t>
      </w:r>
      <w:r>
        <w:rPr>
          <w:rFonts w:hint="eastAsia" w:ascii="宋体" w:hAnsi="宋体" w:eastAsia="宋体" w:cs="宋体"/>
          <w:color w:val="000000"/>
          <w:kern w:val="0"/>
          <w:lang w:val="zh-CN"/>
        </w:rPr>
        <w:t>部分“九 授予合同”中第23.2项的约定提交履约保证金。</w:t>
      </w:r>
    </w:p>
    <w:p w14:paraId="1093DED3">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13.2 </w:t>
      </w:r>
      <w:r>
        <w:rPr>
          <w:rFonts w:hint="eastAsia" w:ascii="宋体" w:hAnsi="宋体" w:eastAsia="宋体" w:cs="宋体"/>
          <w:color w:val="000000"/>
          <w:kern w:val="0"/>
          <w:lang w:val="zh-CN"/>
        </w:rPr>
        <w:t>履约保证金用于补偿甲方因乙方不能履行其合同义务而蒙受的损失。</w:t>
      </w:r>
    </w:p>
    <w:p w14:paraId="63545761">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13.3 </w:t>
      </w:r>
      <w:r>
        <w:rPr>
          <w:rFonts w:hint="eastAsia" w:ascii="宋体" w:hAnsi="宋体" w:eastAsia="宋体" w:cs="宋体"/>
          <w:color w:val="000000"/>
          <w:kern w:val="0"/>
          <w:lang w:val="zh-CN"/>
        </w:rPr>
        <w:t>履约保证金应使用本合同货币，按下述方式之一提交（招标文件中另有约定的除外）：</w:t>
      </w:r>
    </w:p>
    <w:p w14:paraId="0707BDAE">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13.3.1 </w:t>
      </w:r>
      <w:r>
        <w:rPr>
          <w:rFonts w:hint="eastAsia" w:ascii="宋体" w:hAnsi="宋体" w:eastAsia="宋体" w:cs="宋体"/>
          <w:color w:val="000000"/>
          <w:kern w:val="0"/>
          <w:lang w:val="zh-CN"/>
        </w:rPr>
        <w:t>甲方可接受的在中华人民共和国注册和营业的银行出具的履约保函；</w:t>
      </w:r>
    </w:p>
    <w:p w14:paraId="27B005D1">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13.3.2 </w:t>
      </w:r>
      <w:r>
        <w:rPr>
          <w:rFonts w:hint="eastAsia" w:ascii="宋体" w:hAnsi="宋体" w:eastAsia="宋体" w:cs="宋体"/>
          <w:color w:val="000000"/>
          <w:kern w:val="0"/>
          <w:lang w:val="zh-CN"/>
        </w:rPr>
        <w:t>支票或汇票。</w:t>
      </w:r>
    </w:p>
    <w:p w14:paraId="2BD16C81">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13.4 </w:t>
      </w:r>
      <w:r>
        <w:rPr>
          <w:rFonts w:hint="eastAsia" w:ascii="宋体" w:hAnsi="宋体" w:eastAsia="宋体" w:cs="宋体"/>
          <w:color w:val="000000"/>
          <w:kern w:val="0"/>
          <w:lang w:val="zh-CN"/>
        </w:rPr>
        <w:t>乙方未能按合同规定履行其义务，甲方有权从履约保证金中取得补偿。货物验收合格后，甲方将履约保证金退还乙方或转为质量保证金。</w:t>
      </w:r>
    </w:p>
    <w:p w14:paraId="4230D44C">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14.</w:t>
      </w:r>
      <w:r>
        <w:rPr>
          <w:rFonts w:hint="eastAsia" w:ascii="宋体" w:hAnsi="宋体" w:eastAsia="宋体" w:cs="宋体"/>
          <w:b/>
          <w:bCs/>
          <w:color w:val="000000"/>
          <w:kern w:val="0"/>
          <w:lang w:val="zh-CN"/>
        </w:rPr>
        <w:t>索赔</w:t>
      </w:r>
    </w:p>
    <w:p w14:paraId="3FCB1F2B">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14.1 </w:t>
      </w:r>
      <w:r>
        <w:rPr>
          <w:rFonts w:hint="eastAsia" w:ascii="宋体" w:hAnsi="宋体" w:eastAsia="宋体" w:cs="宋体"/>
          <w:color w:val="000000"/>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544B86A6">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14.2 </w:t>
      </w:r>
      <w:r>
        <w:rPr>
          <w:rFonts w:hint="eastAsia" w:ascii="宋体" w:hAnsi="宋体" w:eastAsia="宋体" w:cs="宋体"/>
          <w:color w:val="000000"/>
          <w:kern w:val="0"/>
          <w:lang w:val="zh-CN"/>
        </w:rPr>
        <w:t>在履约保证期和检验期内，乙方对甲方提出的索赔负有责任，乙方应按照甲方同意的下列一种或多种方式解决索赔事宜：</w:t>
      </w:r>
    </w:p>
    <w:p w14:paraId="0FE9C883">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14.2.1 </w:t>
      </w:r>
      <w:r>
        <w:rPr>
          <w:rFonts w:hint="eastAsia" w:ascii="宋体" w:hAnsi="宋体" w:eastAsia="宋体" w:cs="宋体"/>
          <w:color w:val="000000"/>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32289620">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14.2.2 </w:t>
      </w:r>
      <w:r>
        <w:rPr>
          <w:rFonts w:hint="eastAsia" w:ascii="宋体" w:hAnsi="宋体" w:eastAsia="宋体" w:cs="宋体"/>
          <w:color w:val="000000"/>
          <w:kern w:val="0"/>
          <w:lang w:val="zh-CN"/>
        </w:rPr>
        <w:t>根据货物低劣程度、损坏程度以及甲方所遭受损失的数额，经甲乙双方商定降低货物的价格，或由有资质的中介机构评估，以降低后的价格或评估价格为准。</w:t>
      </w:r>
    </w:p>
    <w:p w14:paraId="4DCB722B">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14.2.3 </w:t>
      </w:r>
      <w:r>
        <w:rPr>
          <w:rFonts w:hint="eastAsia" w:ascii="宋体" w:hAnsi="宋体" w:eastAsia="宋体" w:cs="宋体"/>
          <w:color w:val="000000"/>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79D03F45">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14.3 </w:t>
      </w:r>
      <w:r>
        <w:rPr>
          <w:rFonts w:hint="eastAsia" w:ascii="宋体" w:hAnsi="宋体" w:eastAsia="宋体" w:cs="宋体"/>
          <w:color w:val="000000"/>
          <w:kern w:val="0"/>
          <w:lang w:val="zh-CN"/>
        </w:rPr>
        <w:t>乙方收到甲方发出的索赔通知之日起</w:t>
      </w:r>
      <w:r>
        <w:rPr>
          <w:rFonts w:hint="eastAsia" w:ascii="宋体" w:hAnsi="宋体" w:eastAsia="宋体" w:cs="宋体"/>
          <w:color w:val="000000"/>
          <w:kern w:val="0"/>
        </w:rPr>
        <w:t>5</w:t>
      </w:r>
      <w:r>
        <w:rPr>
          <w:rFonts w:hint="eastAsia" w:ascii="宋体" w:hAnsi="宋体" w:eastAsia="宋体" w:cs="宋体"/>
          <w:color w:val="000000"/>
          <w:kern w:val="0"/>
          <w:lang w:val="zh-CN"/>
        </w:rPr>
        <w:t>个工作日内未作答复的，甲方可从合同款或履约保证金中扣回索赔金额，如金额不足以补偿索赔金额，乙方应补足差额部分。</w:t>
      </w:r>
    </w:p>
    <w:p w14:paraId="1C40E44F">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15.</w:t>
      </w:r>
      <w:r>
        <w:rPr>
          <w:rFonts w:hint="eastAsia" w:ascii="宋体" w:hAnsi="宋体" w:eastAsia="宋体" w:cs="宋体"/>
          <w:b/>
          <w:bCs/>
          <w:color w:val="000000"/>
          <w:kern w:val="0"/>
          <w:lang w:val="zh-CN"/>
        </w:rPr>
        <w:t>迟延交货</w:t>
      </w:r>
    </w:p>
    <w:p w14:paraId="0843C73D">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15.1 </w:t>
      </w:r>
      <w:r>
        <w:rPr>
          <w:rFonts w:hint="eastAsia" w:ascii="宋体" w:hAnsi="宋体" w:eastAsia="宋体" w:cs="宋体"/>
          <w:color w:val="000000"/>
          <w:kern w:val="0"/>
          <w:lang w:val="zh-CN"/>
        </w:rPr>
        <w:t>乙方应按照合同约定的时间交货和提供服务。</w:t>
      </w:r>
    </w:p>
    <w:p w14:paraId="457CAA45">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15.2 </w:t>
      </w:r>
      <w:r>
        <w:rPr>
          <w:rFonts w:hint="eastAsia" w:ascii="宋体" w:hAnsi="宋体" w:eastAsia="宋体" w:cs="宋体"/>
          <w:color w:val="000000"/>
          <w:kern w:val="0"/>
          <w:lang w:val="zh-CN"/>
        </w:rPr>
        <w:t>除不可抗力因素外，乙方迟延交货，甲方有权提出违约损失赔偿或解除合同。</w:t>
      </w:r>
    </w:p>
    <w:p w14:paraId="274362FF">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15.3 </w:t>
      </w:r>
      <w:r>
        <w:rPr>
          <w:rFonts w:hint="eastAsia" w:ascii="宋体" w:hAnsi="宋体" w:eastAsia="宋体" w:cs="宋体"/>
          <w:color w:val="000000"/>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54B8128E">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16.</w:t>
      </w:r>
      <w:r>
        <w:rPr>
          <w:rFonts w:hint="eastAsia" w:ascii="宋体" w:hAnsi="宋体" w:eastAsia="宋体" w:cs="宋体"/>
          <w:b/>
          <w:bCs/>
          <w:color w:val="000000"/>
          <w:kern w:val="0"/>
          <w:lang w:val="zh-CN"/>
        </w:rPr>
        <w:t>违约赔偿</w:t>
      </w:r>
    </w:p>
    <w:p w14:paraId="1845C8B3">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lang w:val="zh-CN"/>
        </w:rPr>
        <w:t>除不可抗力因素外，乙方没有按照合同规定的时间交货和提供服务，甲方可要求乙方支付违约金。违约金每日按合同总价款的千分之五计收。</w:t>
      </w:r>
    </w:p>
    <w:p w14:paraId="7D9B4AF4">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17.</w:t>
      </w:r>
      <w:r>
        <w:rPr>
          <w:rFonts w:hint="eastAsia" w:ascii="宋体" w:hAnsi="宋体" w:eastAsia="宋体" w:cs="宋体"/>
          <w:b/>
          <w:bCs/>
          <w:color w:val="000000"/>
          <w:kern w:val="0"/>
          <w:lang w:val="zh-CN"/>
        </w:rPr>
        <w:t>不可抗力</w:t>
      </w:r>
    </w:p>
    <w:p w14:paraId="6FC2EC16">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17.1 </w:t>
      </w:r>
      <w:r>
        <w:rPr>
          <w:rFonts w:hint="eastAsia" w:ascii="宋体" w:hAnsi="宋体" w:eastAsia="宋体" w:cs="宋体"/>
          <w:color w:val="000000"/>
          <w:kern w:val="0"/>
          <w:lang w:val="zh-CN"/>
        </w:rPr>
        <w:t>双方中任何一方遭遇法律规定的不可抗力，致使合同履行受阻时，履行合同的期限应予延长，延长的期限应相当于不可抗力所影响的时间。</w:t>
      </w:r>
    </w:p>
    <w:p w14:paraId="76E940B6">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17.2 </w:t>
      </w:r>
      <w:r>
        <w:rPr>
          <w:rFonts w:hint="eastAsia" w:ascii="宋体" w:hAnsi="宋体" w:eastAsia="宋体" w:cs="宋体"/>
          <w:color w:val="000000"/>
          <w:kern w:val="0"/>
          <w:lang w:val="zh-CN"/>
        </w:rPr>
        <w:t>受事故影响的一方应在不可抗力的事故发生后以书面形式通知另一方。</w:t>
      </w:r>
    </w:p>
    <w:p w14:paraId="1D86B537">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17.3 </w:t>
      </w:r>
      <w:r>
        <w:rPr>
          <w:rFonts w:hint="eastAsia" w:ascii="宋体" w:hAnsi="宋体" w:eastAsia="宋体" w:cs="宋体"/>
          <w:color w:val="000000"/>
          <w:kern w:val="0"/>
          <w:lang w:val="zh-CN"/>
        </w:rPr>
        <w:t>不可抗力使合同的某些内容有变更必要的，双方应通过协商达成进一步履行合同的协议，因不可抗力致使合同不能履行的，合同终止。</w:t>
      </w:r>
    </w:p>
    <w:p w14:paraId="109C333E">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18.</w:t>
      </w:r>
      <w:r>
        <w:rPr>
          <w:rFonts w:hint="eastAsia" w:ascii="宋体" w:hAnsi="宋体" w:eastAsia="宋体" w:cs="宋体"/>
          <w:b/>
          <w:bCs/>
          <w:color w:val="000000"/>
          <w:kern w:val="0"/>
          <w:lang w:val="zh-CN"/>
        </w:rPr>
        <w:t>税费</w:t>
      </w:r>
    </w:p>
    <w:p w14:paraId="115558CA">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lang w:val="zh-CN"/>
        </w:rPr>
        <w:t>与本合同有关的一切税费均由乙方承担。</w:t>
      </w:r>
    </w:p>
    <w:p w14:paraId="1AF95827">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19.</w:t>
      </w:r>
      <w:r>
        <w:rPr>
          <w:rFonts w:hint="eastAsia" w:ascii="宋体" w:hAnsi="宋体" w:eastAsia="宋体" w:cs="宋体"/>
          <w:b/>
          <w:bCs/>
          <w:color w:val="000000"/>
          <w:kern w:val="0"/>
          <w:lang w:val="zh-CN"/>
        </w:rPr>
        <w:t>合同争议的解决</w:t>
      </w:r>
    </w:p>
    <w:p w14:paraId="683ADD08">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19.1 </w:t>
      </w:r>
      <w:r>
        <w:rPr>
          <w:rFonts w:hint="eastAsia" w:ascii="宋体" w:hAnsi="宋体" w:eastAsia="宋体" w:cs="宋体"/>
          <w:color w:val="000000"/>
          <w:kern w:val="0"/>
          <w:lang w:val="zh-CN"/>
        </w:rPr>
        <w:t>甲方和乙方由于本合同的履行而发生任何争议时，双方可先通过协商解决。</w:t>
      </w:r>
    </w:p>
    <w:p w14:paraId="1CA2AC7C">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19.2 </w:t>
      </w:r>
      <w:r>
        <w:rPr>
          <w:rFonts w:hint="eastAsia" w:ascii="宋体" w:hAnsi="宋体" w:eastAsia="宋体" w:cs="宋体"/>
          <w:color w:val="000000"/>
          <w:kern w:val="0"/>
          <w:lang w:val="zh-CN"/>
        </w:rPr>
        <w:t>任何一方不愿通过协商或通过协商仍不能解决争议，则双方中任何一方均应向甲方所在地人民法院起诉。</w:t>
      </w:r>
    </w:p>
    <w:p w14:paraId="246105DD">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20.</w:t>
      </w:r>
      <w:r>
        <w:rPr>
          <w:rFonts w:hint="eastAsia" w:ascii="宋体" w:hAnsi="宋体" w:eastAsia="宋体" w:cs="宋体"/>
          <w:b/>
          <w:bCs/>
          <w:color w:val="000000"/>
          <w:kern w:val="0"/>
          <w:lang w:val="zh-CN"/>
        </w:rPr>
        <w:t>违约解除合同</w:t>
      </w:r>
    </w:p>
    <w:p w14:paraId="4E133B7B">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20.1 </w:t>
      </w:r>
      <w:r>
        <w:rPr>
          <w:rFonts w:hint="eastAsia" w:ascii="宋体" w:hAnsi="宋体" w:eastAsia="宋体" w:cs="宋体"/>
          <w:color w:val="000000"/>
          <w:kern w:val="0"/>
          <w:lang w:val="zh-CN"/>
        </w:rPr>
        <w:t>出现下列情形之一的，视为乙方违约。甲方可向乙方发出书面通知，部分或全部终止合同，同时保留向乙方索赔的权利。</w:t>
      </w:r>
    </w:p>
    <w:p w14:paraId="0DFAC3C6">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20.1.1 </w:t>
      </w:r>
      <w:r>
        <w:rPr>
          <w:rFonts w:hint="eastAsia" w:ascii="宋体" w:hAnsi="宋体" w:eastAsia="宋体" w:cs="宋体"/>
          <w:color w:val="000000"/>
          <w:kern w:val="0"/>
          <w:lang w:val="zh-CN"/>
        </w:rPr>
        <w:t>乙方未能在合同规定的限期或甲方同意延长的限期内，提供全部或部分货物的；</w:t>
      </w:r>
    </w:p>
    <w:p w14:paraId="5CDA0D87">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20.1.2 </w:t>
      </w:r>
      <w:r>
        <w:rPr>
          <w:rFonts w:hint="eastAsia" w:ascii="宋体" w:hAnsi="宋体" w:eastAsia="宋体" w:cs="宋体"/>
          <w:color w:val="000000"/>
          <w:kern w:val="0"/>
          <w:lang w:val="zh-CN"/>
        </w:rPr>
        <w:t>乙方未能履行合同规定的其它主要义务的；</w:t>
      </w:r>
    </w:p>
    <w:p w14:paraId="002946E5">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20.1.3 </w:t>
      </w:r>
      <w:r>
        <w:rPr>
          <w:rFonts w:hint="eastAsia" w:ascii="宋体" w:hAnsi="宋体" w:eastAsia="宋体" w:cs="宋体"/>
          <w:color w:val="000000"/>
          <w:kern w:val="0"/>
          <w:lang w:val="zh-CN"/>
        </w:rPr>
        <w:t>乙方在本合同履行过程中有欺诈行为的。</w:t>
      </w:r>
    </w:p>
    <w:p w14:paraId="19A490ED">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20.2 </w:t>
      </w:r>
      <w:r>
        <w:rPr>
          <w:rFonts w:hint="eastAsia" w:ascii="宋体" w:hAnsi="宋体" w:eastAsia="宋体" w:cs="宋体"/>
          <w:color w:val="000000"/>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703F43B9">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21.</w:t>
      </w:r>
      <w:r>
        <w:rPr>
          <w:rFonts w:hint="eastAsia" w:ascii="宋体" w:hAnsi="宋体" w:eastAsia="宋体" w:cs="宋体"/>
          <w:b/>
          <w:bCs/>
          <w:color w:val="000000"/>
          <w:kern w:val="0"/>
          <w:lang w:val="zh-CN"/>
        </w:rPr>
        <w:t>破产终止合同</w:t>
      </w:r>
    </w:p>
    <w:p w14:paraId="0BD8E37C">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14:paraId="5241C592">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22.</w:t>
      </w:r>
      <w:r>
        <w:rPr>
          <w:rFonts w:hint="eastAsia" w:ascii="宋体" w:hAnsi="宋体" w:eastAsia="宋体" w:cs="宋体"/>
          <w:b/>
          <w:bCs/>
          <w:color w:val="000000"/>
          <w:kern w:val="0"/>
          <w:lang w:val="zh-CN"/>
        </w:rPr>
        <w:t>转让和分包</w:t>
      </w:r>
    </w:p>
    <w:p w14:paraId="13E5A609">
      <w:pPr>
        <w:autoSpaceDE w:val="0"/>
        <w:autoSpaceDN w:val="0"/>
        <w:spacing w:line="360" w:lineRule="auto"/>
        <w:ind w:firstLine="360"/>
        <w:rPr>
          <w:rFonts w:hint="eastAsia" w:ascii="宋体" w:hAnsi="宋体" w:eastAsia="宋体" w:cs="宋体"/>
          <w:color w:val="000000"/>
          <w:kern w:val="0"/>
        </w:rPr>
      </w:pPr>
      <w:r>
        <w:rPr>
          <w:rFonts w:hint="eastAsia" w:ascii="宋体" w:hAnsi="宋体" w:eastAsia="宋体" w:cs="宋体"/>
          <w:color w:val="000000"/>
          <w:kern w:val="0"/>
        </w:rPr>
        <w:t xml:space="preserve">22.1 </w:t>
      </w:r>
      <w:r>
        <w:rPr>
          <w:rFonts w:hint="eastAsia" w:ascii="宋体" w:hAnsi="宋体" w:eastAsia="宋体" w:cs="宋体"/>
          <w:color w:val="000000"/>
          <w:kern w:val="0"/>
          <w:lang w:val="zh-CN"/>
        </w:rPr>
        <w:t>政府采购合同不能转让。</w:t>
      </w:r>
    </w:p>
    <w:p w14:paraId="3DC52DF4">
      <w:pPr>
        <w:autoSpaceDE w:val="0"/>
        <w:autoSpaceDN w:val="0"/>
        <w:spacing w:line="360" w:lineRule="auto"/>
        <w:ind w:firstLine="360"/>
        <w:rPr>
          <w:rFonts w:hint="eastAsia" w:ascii="宋体" w:hAnsi="宋体" w:eastAsia="宋体" w:cs="宋体"/>
          <w:color w:val="000000"/>
          <w:kern w:val="0"/>
        </w:rPr>
      </w:pPr>
      <w:r>
        <w:rPr>
          <w:rFonts w:hint="eastAsia" w:ascii="宋体" w:hAnsi="宋体" w:eastAsia="宋体" w:cs="宋体"/>
          <w:color w:val="000000"/>
          <w:kern w:val="0"/>
        </w:rPr>
        <w:t xml:space="preserve">22.2 </w:t>
      </w:r>
      <w:r>
        <w:rPr>
          <w:rFonts w:hint="eastAsia" w:ascii="宋体" w:hAnsi="宋体" w:eastAsia="宋体" w:cs="宋体"/>
          <w:color w:val="000000"/>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6BB6146A">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23.</w:t>
      </w:r>
      <w:r>
        <w:rPr>
          <w:rFonts w:hint="eastAsia" w:ascii="宋体" w:hAnsi="宋体" w:eastAsia="宋体" w:cs="宋体"/>
          <w:b/>
          <w:bCs/>
          <w:color w:val="000000"/>
          <w:kern w:val="0"/>
          <w:lang w:val="zh-CN"/>
        </w:rPr>
        <w:t>合同修改</w:t>
      </w:r>
    </w:p>
    <w:p w14:paraId="0AEC56CE">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政府采购合同的双方当事人不得擅自变更、中止或者终止合同</w:t>
      </w:r>
    </w:p>
    <w:p w14:paraId="7C5ACFEF">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24.</w:t>
      </w:r>
      <w:r>
        <w:rPr>
          <w:rFonts w:hint="eastAsia" w:ascii="宋体" w:hAnsi="宋体" w:eastAsia="宋体" w:cs="宋体"/>
          <w:b/>
          <w:bCs/>
          <w:color w:val="000000"/>
          <w:kern w:val="0"/>
          <w:lang w:val="zh-CN"/>
        </w:rPr>
        <w:t>通知</w:t>
      </w:r>
    </w:p>
    <w:p w14:paraId="483643B1">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lang w:val="zh-CN"/>
        </w:rPr>
        <w:t>本合同任何一方给另一方的通知，都应以书面形式发送，而另一方也应以书面形式确认并发送到对方明确的地址。</w:t>
      </w:r>
    </w:p>
    <w:p w14:paraId="1EC8EE1C">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25.</w:t>
      </w:r>
      <w:r>
        <w:rPr>
          <w:rFonts w:hint="eastAsia" w:ascii="宋体" w:hAnsi="宋体" w:eastAsia="宋体" w:cs="宋体"/>
          <w:b/>
          <w:bCs/>
          <w:color w:val="000000"/>
          <w:kern w:val="0"/>
          <w:lang w:val="zh-CN"/>
        </w:rPr>
        <w:t>计量单位</w:t>
      </w:r>
    </w:p>
    <w:p w14:paraId="3FB1B4DD">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lang w:val="zh-CN"/>
        </w:rPr>
        <w:t>除技术规范中另有规定外</w:t>
      </w:r>
      <w:r>
        <w:rPr>
          <w:rFonts w:hint="eastAsia" w:ascii="宋体" w:hAnsi="宋体" w:eastAsia="宋体" w:cs="宋体"/>
          <w:color w:val="000000"/>
          <w:kern w:val="0"/>
        </w:rPr>
        <w:t>,</w:t>
      </w:r>
      <w:r>
        <w:rPr>
          <w:rFonts w:hint="eastAsia" w:ascii="宋体" w:hAnsi="宋体" w:eastAsia="宋体" w:cs="宋体"/>
          <w:color w:val="000000"/>
          <w:kern w:val="0"/>
          <w:lang w:val="zh-CN"/>
        </w:rPr>
        <w:t>计量单位均使用国家法定计量单位。</w:t>
      </w:r>
    </w:p>
    <w:p w14:paraId="5C065DCF">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26.</w:t>
      </w:r>
      <w:r>
        <w:rPr>
          <w:rFonts w:hint="eastAsia" w:ascii="宋体" w:hAnsi="宋体" w:eastAsia="宋体" w:cs="宋体"/>
          <w:b/>
          <w:bCs/>
          <w:color w:val="000000"/>
          <w:kern w:val="0"/>
          <w:lang w:val="zh-CN"/>
        </w:rPr>
        <w:t>适用法律</w:t>
      </w:r>
    </w:p>
    <w:p w14:paraId="1D4CC9AB">
      <w:pPr>
        <w:autoSpaceDE w:val="0"/>
        <w:autoSpaceDN w:val="0"/>
        <w:spacing w:line="360" w:lineRule="auto"/>
        <w:ind w:firstLine="480"/>
        <w:rPr>
          <w:rFonts w:hint="eastAsia" w:ascii="宋体" w:hAnsi="宋体" w:eastAsia="宋体" w:cs="宋体"/>
          <w:color w:val="000000"/>
          <w:lang w:val="zh-CN"/>
        </w:rPr>
      </w:pPr>
      <w:r>
        <w:rPr>
          <w:rFonts w:hint="eastAsia" w:ascii="宋体" w:hAnsi="宋体" w:eastAsia="宋体" w:cs="宋体"/>
          <w:color w:val="000000"/>
          <w:kern w:val="0"/>
          <w:lang w:val="zh-CN"/>
        </w:rPr>
        <w:t>本合同按照中华人民共和国的相关法律进行解释。</w:t>
      </w:r>
      <w:r>
        <w:rPr>
          <w:rFonts w:hint="eastAsia" w:ascii="宋体" w:hAnsi="宋体" w:eastAsia="宋体" w:cs="宋体"/>
          <w:color w:val="000000"/>
          <w:szCs w:val="36"/>
          <w:lang w:val="zh-CN"/>
        </w:rPr>
        <w:br w:type="page"/>
      </w:r>
      <w:r>
        <w:rPr>
          <w:rFonts w:hint="eastAsia" w:ascii="宋体" w:hAnsi="宋体" w:eastAsia="宋体" w:cs="宋体"/>
          <w:b/>
          <w:bCs/>
          <w:color w:val="000000"/>
          <w:sz w:val="36"/>
          <w:szCs w:val="36"/>
          <w:lang w:val="zh-CN"/>
        </w:rPr>
        <w:t>第四部分  投标文件格式</w:t>
      </w:r>
    </w:p>
    <w:p w14:paraId="7FD6961C">
      <w:pPr>
        <w:pStyle w:val="23"/>
        <w:spacing w:before="0" w:after="0" w:line="360" w:lineRule="auto"/>
        <w:jc w:val="left"/>
        <w:outlineLvl w:val="1"/>
        <w:rPr>
          <w:rFonts w:hint="eastAsia" w:ascii="宋体" w:hAnsi="宋体" w:eastAsia="宋体" w:cs="宋体"/>
          <w:color w:val="000000"/>
          <w:sz w:val="30"/>
          <w:szCs w:val="30"/>
          <w:lang w:val="zh-CN"/>
        </w:rPr>
      </w:pPr>
      <w:bookmarkStart w:id="50" w:name="_Toc11851"/>
    </w:p>
    <w:p w14:paraId="1B6E4868">
      <w:pPr>
        <w:pStyle w:val="23"/>
        <w:spacing w:before="0" w:after="0" w:line="360" w:lineRule="auto"/>
        <w:jc w:val="left"/>
        <w:outlineLvl w:val="1"/>
        <w:rPr>
          <w:rFonts w:hint="eastAsia" w:ascii="宋体" w:hAnsi="宋体" w:eastAsia="宋体" w:cs="宋体"/>
          <w:color w:val="000000"/>
        </w:rPr>
      </w:pPr>
      <w:bookmarkStart w:id="51" w:name="_Toc9716"/>
      <w:r>
        <w:rPr>
          <w:rFonts w:hint="eastAsia" w:ascii="宋体" w:hAnsi="宋体" w:eastAsia="宋体" w:cs="宋体"/>
          <w:color w:val="000000"/>
          <w:sz w:val="30"/>
          <w:szCs w:val="30"/>
          <w:lang w:val="zh-CN"/>
        </w:rPr>
        <w:t>封面</w:t>
      </w:r>
      <w:bookmarkEnd w:id="50"/>
      <w:r>
        <w:rPr>
          <w:rFonts w:hint="eastAsia" w:ascii="宋体" w:hAnsi="宋体" w:eastAsia="宋体" w:cs="宋体"/>
          <w:color w:val="000000"/>
          <w:sz w:val="30"/>
          <w:szCs w:val="30"/>
          <w:lang w:val="zh-CN"/>
        </w:rPr>
        <w:t>（上册）</w:t>
      </w:r>
      <w:bookmarkEnd w:id="51"/>
    </w:p>
    <w:p w14:paraId="008C2C23">
      <w:pPr>
        <w:autoSpaceDE w:val="0"/>
        <w:autoSpaceDN w:val="0"/>
        <w:spacing w:line="360" w:lineRule="auto"/>
        <w:jc w:val="right"/>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rPr>
        <w:t>正本/副本</w:t>
      </w:r>
    </w:p>
    <w:p w14:paraId="7FB1948A">
      <w:pPr>
        <w:autoSpaceDE w:val="0"/>
        <w:autoSpaceDN w:val="0"/>
        <w:spacing w:line="360" w:lineRule="auto"/>
        <w:jc w:val="center"/>
        <w:rPr>
          <w:rFonts w:hint="eastAsia" w:ascii="宋体" w:hAnsi="宋体" w:eastAsia="宋体" w:cs="宋体"/>
          <w:b/>
          <w:bCs/>
          <w:color w:val="000000"/>
          <w:kern w:val="0"/>
          <w:sz w:val="52"/>
          <w:szCs w:val="52"/>
          <w:lang w:val="zh-CN"/>
        </w:rPr>
      </w:pPr>
      <w:r>
        <w:rPr>
          <w:rFonts w:hint="eastAsia" w:ascii="宋体" w:hAnsi="宋体" w:eastAsia="宋体" w:cs="宋体"/>
          <w:b/>
          <w:bCs/>
          <w:color w:val="000000"/>
          <w:kern w:val="0"/>
          <w:sz w:val="52"/>
          <w:szCs w:val="52"/>
          <w:lang w:val="zh-CN"/>
        </w:rPr>
        <w:t>青海省政府采购项目</w:t>
      </w:r>
    </w:p>
    <w:p w14:paraId="2C569830">
      <w:pPr>
        <w:autoSpaceDE w:val="0"/>
        <w:autoSpaceDN w:val="0"/>
        <w:spacing w:line="360" w:lineRule="auto"/>
        <w:rPr>
          <w:rFonts w:hint="eastAsia" w:ascii="宋体" w:hAnsi="宋体" w:eastAsia="宋体" w:cs="宋体"/>
          <w:color w:val="000000"/>
          <w:kern w:val="0"/>
          <w:sz w:val="36"/>
          <w:szCs w:val="36"/>
        </w:rPr>
      </w:pPr>
    </w:p>
    <w:p w14:paraId="4CE04F45">
      <w:pPr>
        <w:autoSpaceDE w:val="0"/>
        <w:autoSpaceDN w:val="0"/>
        <w:spacing w:line="360" w:lineRule="auto"/>
        <w:jc w:val="center"/>
        <w:rPr>
          <w:rFonts w:hint="eastAsia" w:ascii="宋体" w:hAnsi="宋体" w:eastAsia="宋体" w:cs="宋体"/>
          <w:b/>
          <w:bCs/>
          <w:color w:val="000000"/>
          <w:kern w:val="0"/>
          <w:sz w:val="72"/>
          <w:szCs w:val="72"/>
          <w:lang w:val="zh-CN"/>
        </w:rPr>
      </w:pPr>
      <w:r>
        <w:rPr>
          <w:rFonts w:hint="eastAsia" w:ascii="宋体" w:hAnsi="宋体" w:eastAsia="宋体" w:cs="宋体"/>
          <w:b/>
          <w:bCs/>
          <w:color w:val="000000"/>
          <w:kern w:val="0"/>
          <w:sz w:val="72"/>
          <w:szCs w:val="72"/>
          <w:lang w:val="zh-CN"/>
        </w:rPr>
        <w:t>投</w:t>
      </w:r>
      <w:r>
        <w:rPr>
          <w:rFonts w:hint="eastAsia" w:ascii="宋体" w:hAnsi="宋体" w:eastAsia="宋体" w:cs="宋体"/>
          <w:b/>
          <w:bCs/>
          <w:color w:val="000000"/>
          <w:kern w:val="0"/>
          <w:sz w:val="72"/>
          <w:szCs w:val="72"/>
        </w:rPr>
        <w:t xml:space="preserve"> </w:t>
      </w:r>
      <w:r>
        <w:rPr>
          <w:rFonts w:hint="eastAsia" w:ascii="宋体" w:hAnsi="宋体" w:eastAsia="宋体" w:cs="宋体"/>
          <w:b/>
          <w:bCs/>
          <w:color w:val="000000"/>
          <w:kern w:val="0"/>
          <w:sz w:val="72"/>
          <w:szCs w:val="72"/>
          <w:lang w:val="zh-CN"/>
        </w:rPr>
        <w:t>标</w:t>
      </w:r>
      <w:r>
        <w:rPr>
          <w:rFonts w:hint="eastAsia" w:ascii="宋体" w:hAnsi="宋体" w:eastAsia="宋体" w:cs="宋体"/>
          <w:b/>
          <w:bCs/>
          <w:color w:val="000000"/>
          <w:kern w:val="0"/>
          <w:sz w:val="72"/>
          <w:szCs w:val="72"/>
        </w:rPr>
        <w:t xml:space="preserve"> </w:t>
      </w:r>
      <w:r>
        <w:rPr>
          <w:rFonts w:hint="eastAsia" w:ascii="宋体" w:hAnsi="宋体" w:eastAsia="宋体" w:cs="宋体"/>
          <w:b/>
          <w:bCs/>
          <w:color w:val="000000"/>
          <w:kern w:val="0"/>
          <w:sz w:val="72"/>
          <w:szCs w:val="72"/>
          <w:lang w:val="zh-CN"/>
        </w:rPr>
        <w:t>文</w:t>
      </w:r>
      <w:r>
        <w:rPr>
          <w:rFonts w:hint="eastAsia" w:ascii="宋体" w:hAnsi="宋体" w:eastAsia="宋体" w:cs="宋体"/>
          <w:b/>
          <w:bCs/>
          <w:color w:val="000000"/>
          <w:kern w:val="0"/>
          <w:sz w:val="72"/>
          <w:szCs w:val="72"/>
        </w:rPr>
        <w:t xml:space="preserve"> </w:t>
      </w:r>
      <w:r>
        <w:rPr>
          <w:rFonts w:hint="eastAsia" w:ascii="宋体" w:hAnsi="宋体" w:eastAsia="宋体" w:cs="宋体"/>
          <w:b/>
          <w:bCs/>
          <w:color w:val="000000"/>
          <w:kern w:val="0"/>
          <w:sz w:val="72"/>
          <w:szCs w:val="72"/>
          <w:lang w:val="zh-CN"/>
        </w:rPr>
        <w:t>件</w:t>
      </w:r>
    </w:p>
    <w:p w14:paraId="3C77C4CA">
      <w:pPr>
        <w:autoSpaceDE w:val="0"/>
        <w:autoSpaceDN w:val="0"/>
        <w:spacing w:line="360" w:lineRule="auto"/>
        <w:jc w:val="center"/>
        <w:rPr>
          <w:rFonts w:hint="eastAsia" w:ascii="宋体" w:hAnsi="宋体" w:eastAsia="宋体" w:cs="宋体"/>
          <w:b/>
          <w:bCs/>
          <w:color w:val="000000"/>
          <w:kern w:val="0"/>
          <w:sz w:val="36"/>
          <w:szCs w:val="36"/>
          <w:lang w:val="zh-CN"/>
        </w:rPr>
      </w:pPr>
      <w:r>
        <w:rPr>
          <w:rFonts w:hint="eastAsia" w:ascii="宋体" w:hAnsi="宋体" w:eastAsia="宋体" w:cs="宋体"/>
          <w:b/>
          <w:bCs/>
          <w:color w:val="000000"/>
          <w:sz w:val="36"/>
          <w:szCs w:val="36"/>
          <w:lang w:val="zh-CN"/>
        </w:rPr>
        <w:t>（上册）</w:t>
      </w:r>
    </w:p>
    <w:p w14:paraId="2EE8F057">
      <w:pPr>
        <w:autoSpaceDE w:val="0"/>
        <w:autoSpaceDN w:val="0"/>
        <w:spacing w:line="360" w:lineRule="auto"/>
        <w:jc w:val="center"/>
        <w:rPr>
          <w:rFonts w:hint="eastAsia" w:ascii="宋体" w:hAnsi="宋体" w:eastAsia="宋体" w:cs="宋体"/>
          <w:color w:val="000000"/>
          <w:sz w:val="36"/>
          <w:szCs w:val="36"/>
          <w:lang w:val="zh-CN"/>
        </w:rPr>
      </w:pPr>
      <w:r>
        <w:rPr>
          <w:rFonts w:hint="eastAsia" w:ascii="宋体" w:hAnsi="宋体" w:eastAsia="宋体" w:cs="宋体"/>
          <w:b/>
          <w:bCs/>
          <w:color w:val="000000"/>
          <w:sz w:val="36"/>
          <w:szCs w:val="36"/>
          <w:lang w:val="zh-CN"/>
        </w:rPr>
        <w:t>（资格审查文件）</w:t>
      </w:r>
    </w:p>
    <w:p w14:paraId="2465A252">
      <w:pPr>
        <w:autoSpaceDE w:val="0"/>
        <w:autoSpaceDN w:val="0"/>
        <w:spacing w:line="360" w:lineRule="auto"/>
        <w:rPr>
          <w:rFonts w:hint="eastAsia" w:ascii="宋体" w:hAnsi="宋体" w:eastAsia="宋体" w:cs="宋体"/>
          <w:color w:val="000000"/>
          <w:kern w:val="0"/>
          <w:sz w:val="36"/>
          <w:szCs w:val="36"/>
        </w:rPr>
      </w:pPr>
    </w:p>
    <w:p w14:paraId="31429E4E">
      <w:pPr>
        <w:autoSpaceDE w:val="0"/>
        <w:autoSpaceDN w:val="0"/>
        <w:spacing w:line="360" w:lineRule="auto"/>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lang w:val="zh-CN"/>
        </w:rPr>
        <w:t>采购项目编号：</w:t>
      </w:r>
    </w:p>
    <w:p w14:paraId="4515C571">
      <w:pPr>
        <w:autoSpaceDE w:val="0"/>
        <w:autoSpaceDN w:val="0"/>
        <w:spacing w:line="360" w:lineRule="auto"/>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lang w:val="zh-CN"/>
        </w:rPr>
        <w:t>采购项目名称</w:t>
      </w:r>
      <w:r>
        <w:rPr>
          <w:rFonts w:hint="eastAsia" w:ascii="宋体" w:hAnsi="宋体" w:eastAsia="宋体" w:cs="宋体"/>
          <w:b/>
          <w:bCs/>
          <w:color w:val="000000"/>
          <w:kern w:val="0"/>
          <w:sz w:val="36"/>
          <w:szCs w:val="36"/>
        </w:rPr>
        <w:t>：</w:t>
      </w:r>
    </w:p>
    <w:p w14:paraId="368A2281">
      <w:pPr>
        <w:autoSpaceDE w:val="0"/>
        <w:autoSpaceDN w:val="0"/>
        <w:spacing w:line="360" w:lineRule="auto"/>
        <w:rPr>
          <w:rFonts w:hint="eastAsia" w:ascii="宋体" w:hAnsi="宋体" w:eastAsia="宋体" w:cs="宋体"/>
          <w:b/>
          <w:bCs/>
          <w:color w:val="000000"/>
          <w:kern w:val="0"/>
          <w:sz w:val="36"/>
          <w:szCs w:val="36"/>
          <w:lang w:val="en-US" w:eastAsia="zh-CN"/>
        </w:rPr>
      </w:pPr>
      <w:r>
        <w:rPr>
          <w:rFonts w:hint="eastAsia" w:ascii="宋体" w:hAnsi="宋体" w:cs="宋体"/>
          <w:b/>
          <w:bCs/>
          <w:color w:val="000000"/>
          <w:kern w:val="0"/>
          <w:sz w:val="36"/>
          <w:szCs w:val="36"/>
          <w:lang w:val="en-US" w:eastAsia="zh-CN"/>
        </w:rPr>
        <w:t>包号：</w:t>
      </w:r>
    </w:p>
    <w:p w14:paraId="43D8CFDC">
      <w:pPr>
        <w:autoSpaceDE w:val="0"/>
        <w:autoSpaceDN w:val="0"/>
        <w:spacing w:line="360" w:lineRule="auto"/>
        <w:rPr>
          <w:rFonts w:hint="eastAsia" w:ascii="宋体" w:hAnsi="宋体" w:eastAsia="宋体" w:cs="宋体"/>
          <w:b/>
          <w:bCs/>
          <w:color w:val="000000"/>
          <w:kern w:val="0"/>
          <w:sz w:val="36"/>
          <w:szCs w:val="36"/>
        </w:rPr>
      </w:pPr>
    </w:p>
    <w:p w14:paraId="3F706E73">
      <w:pPr>
        <w:autoSpaceDE w:val="0"/>
        <w:autoSpaceDN w:val="0"/>
        <w:spacing w:line="360" w:lineRule="auto"/>
        <w:rPr>
          <w:rFonts w:hint="eastAsia" w:ascii="宋体" w:hAnsi="宋体" w:eastAsia="宋体" w:cs="宋体"/>
          <w:b/>
          <w:bCs/>
          <w:color w:val="000000"/>
          <w:kern w:val="0"/>
          <w:sz w:val="36"/>
          <w:szCs w:val="36"/>
        </w:rPr>
      </w:pPr>
    </w:p>
    <w:p w14:paraId="10D2F515">
      <w:pPr>
        <w:autoSpaceDE w:val="0"/>
        <w:autoSpaceDN w:val="0"/>
        <w:spacing w:line="360" w:lineRule="auto"/>
        <w:ind w:firstLine="722"/>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36"/>
          <w:szCs w:val="36"/>
          <w:lang w:val="zh-CN"/>
        </w:rPr>
        <w:t>投标人：</w:t>
      </w:r>
      <w:r>
        <w:rPr>
          <w:rFonts w:hint="eastAsia" w:ascii="宋体" w:hAnsi="宋体" w:eastAsia="宋体" w:cs="宋体"/>
          <w:b/>
          <w:bCs/>
          <w:color w:val="000000"/>
          <w:kern w:val="0"/>
          <w:sz w:val="36"/>
          <w:szCs w:val="36"/>
          <w:u w:val="single"/>
        </w:rPr>
        <w:t xml:space="preserve">                          </w:t>
      </w:r>
      <w:r>
        <w:rPr>
          <w:rFonts w:hint="eastAsia" w:ascii="宋体" w:hAnsi="宋体" w:eastAsia="宋体" w:cs="宋体"/>
          <w:b/>
          <w:bCs/>
          <w:color w:val="000000"/>
          <w:kern w:val="0"/>
          <w:sz w:val="36"/>
          <w:szCs w:val="36"/>
        </w:rPr>
        <w:t>（</w:t>
      </w:r>
      <w:r>
        <w:rPr>
          <w:rFonts w:hint="eastAsia" w:ascii="宋体" w:hAnsi="宋体" w:eastAsia="宋体" w:cs="宋体"/>
          <w:b/>
          <w:bCs/>
          <w:color w:val="000000"/>
          <w:kern w:val="0"/>
          <w:sz w:val="36"/>
          <w:szCs w:val="36"/>
          <w:lang w:val="zh-CN"/>
        </w:rPr>
        <w:t>公章）</w:t>
      </w:r>
    </w:p>
    <w:p w14:paraId="73589217">
      <w:pPr>
        <w:autoSpaceDE w:val="0"/>
        <w:autoSpaceDN w:val="0"/>
        <w:spacing w:line="360" w:lineRule="auto"/>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法定代表人或委托代理人：</w:t>
      </w:r>
      <w:r>
        <w:rPr>
          <w:rFonts w:hint="eastAsia" w:ascii="宋体" w:hAnsi="宋体" w:eastAsia="宋体" w:cs="宋体"/>
          <w:b/>
          <w:bCs/>
          <w:color w:val="000000"/>
          <w:kern w:val="0"/>
          <w:sz w:val="36"/>
          <w:szCs w:val="36"/>
          <w:u w:val="single"/>
        </w:rPr>
        <w:t xml:space="preserve">     </w:t>
      </w:r>
      <w:r>
        <w:rPr>
          <w:rFonts w:hint="eastAsia" w:ascii="宋体" w:hAnsi="宋体" w:eastAsia="宋体" w:cs="宋体"/>
          <w:b/>
          <w:bCs/>
          <w:color w:val="000000"/>
          <w:kern w:val="0"/>
          <w:sz w:val="36"/>
          <w:szCs w:val="36"/>
          <w:lang w:val="zh-CN"/>
        </w:rPr>
        <w:t>（签字或盖章）</w:t>
      </w:r>
    </w:p>
    <w:p w14:paraId="069DBD7D">
      <w:pPr>
        <w:autoSpaceDE w:val="0"/>
        <w:autoSpaceDN w:val="0"/>
        <w:spacing w:line="360" w:lineRule="auto"/>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年</w:t>
      </w: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月</w:t>
      </w: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日</w:t>
      </w:r>
    </w:p>
    <w:p w14:paraId="6048F1D6">
      <w:pPr>
        <w:pStyle w:val="23"/>
        <w:spacing w:before="0" w:after="0" w:line="360" w:lineRule="auto"/>
        <w:outlineLvl w:val="1"/>
        <w:rPr>
          <w:rFonts w:hint="eastAsia" w:ascii="宋体" w:hAnsi="宋体" w:eastAsia="宋体" w:cs="宋体"/>
          <w:b w:val="0"/>
          <w:bCs w:val="0"/>
          <w:color w:val="000000"/>
          <w:kern w:val="0"/>
          <w:lang w:val="zh-CN"/>
        </w:rPr>
      </w:pPr>
      <w:r>
        <w:rPr>
          <w:rFonts w:hint="eastAsia" w:ascii="宋体" w:hAnsi="宋体" w:eastAsia="宋体" w:cs="宋体"/>
          <w:b w:val="0"/>
          <w:bCs w:val="0"/>
          <w:color w:val="000000"/>
          <w:kern w:val="0"/>
          <w:lang w:val="zh-CN"/>
        </w:rPr>
        <w:br w:type="page"/>
      </w:r>
      <w:bookmarkStart w:id="52" w:name="_Toc29902"/>
      <w:bookmarkStart w:id="53" w:name="_Toc8514"/>
    </w:p>
    <w:p w14:paraId="2B063FDE">
      <w:pPr>
        <w:pStyle w:val="23"/>
        <w:spacing w:before="0" w:after="0" w:line="360" w:lineRule="auto"/>
        <w:outlineLvl w:val="1"/>
        <w:rPr>
          <w:rFonts w:hint="eastAsia" w:ascii="宋体" w:hAnsi="宋体" w:eastAsia="宋体" w:cs="宋体"/>
          <w:color w:val="000000"/>
          <w:lang w:val="zh-CN"/>
        </w:rPr>
      </w:pPr>
      <w:bookmarkStart w:id="54" w:name="_Toc13609"/>
      <w:r>
        <w:rPr>
          <w:rFonts w:hint="eastAsia" w:ascii="宋体" w:hAnsi="宋体" w:eastAsia="宋体" w:cs="宋体"/>
          <w:color w:val="000000"/>
          <w:sz w:val="30"/>
          <w:szCs w:val="30"/>
          <w:lang w:val="zh-CN"/>
        </w:rPr>
        <w:t>目录（上册）</w:t>
      </w:r>
      <w:bookmarkEnd w:id="54"/>
    </w:p>
    <w:p w14:paraId="48168547">
      <w:pPr>
        <w:numPr>
          <w:ilvl w:val="0"/>
          <w:numId w:val="0"/>
        </w:num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sz w:val="24"/>
          <w:szCs w:val="24"/>
          <w:lang w:val="zh-CN" w:eastAsia="zh-CN" w:bidi="ar-SA"/>
        </w:rPr>
        <w:t>（1）</w:t>
      </w:r>
      <w:r>
        <w:rPr>
          <w:rFonts w:hint="eastAsia" w:ascii="宋体" w:hAnsi="宋体" w:eastAsia="宋体" w:cs="宋体"/>
          <w:color w:val="000000"/>
          <w:kern w:val="0"/>
          <w:lang w:val="zh-CN"/>
        </w:rPr>
        <w:t>投标函…………………………………………………………………………所在页码</w:t>
      </w:r>
    </w:p>
    <w:p w14:paraId="35C88164">
      <w:pPr>
        <w:numPr>
          <w:ilvl w:val="0"/>
          <w:numId w:val="0"/>
        </w:num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sz w:val="24"/>
          <w:szCs w:val="24"/>
          <w:lang w:val="zh-CN" w:eastAsia="zh-CN" w:bidi="ar-SA"/>
        </w:rPr>
        <w:t>（2）</w:t>
      </w:r>
      <w:r>
        <w:rPr>
          <w:rFonts w:hint="eastAsia" w:ascii="宋体" w:hAnsi="宋体" w:eastAsia="宋体" w:cs="宋体"/>
          <w:color w:val="000000"/>
          <w:kern w:val="0"/>
          <w:lang w:val="zh-CN"/>
        </w:rPr>
        <w:t>法定代表人证明书……………………………………………………………所在页码</w:t>
      </w:r>
    </w:p>
    <w:p w14:paraId="45F9025E">
      <w:pPr>
        <w:numPr>
          <w:ilvl w:val="0"/>
          <w:numId w:val="0"/>
        </w:num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sz w:val="24"/>
          <w:szCs w:val="24"/>
          <w:lang w:val="zh-CN" w:eastAsia="zh-CN" w:bidi="ar-SA"/>
        </w:rPr>
        <w:t>（3）</w:t>
      </w:r>
      <w:r>
        <w:rPr>
          <w:rFonts w:hint="eastAsia" w:ascii="宋体" w:hAnsi="宋体" w:eastAsia="宋体" w:cs="宋体"/>
          <w:color w:val="000000"/>
          <w:kern w:val="0"/>
          <w:lang w:val="zh-CN"/>
        </w:rPr>
        <w:t>法定代表人授权书……………………………………………………………所在页码</w:t>
      </w:r>
    </w:p>
    <w:p w14:paraId="2BAE54EE">
      <w:pPr>
        <w:numPr>
          <w:ilvl w:val="0"/>
          <w:numId w:val="0"/>
        </w:num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sz w:val="24"/>
          <w:szCs w:val="24"/>
          <w:lang w:val="zh-CN" w:eastAsia="zh-CN" w:bidi="ar-SA"/>
        </w:rPr>
        <w:t>（4）</w:t>
      </w:r>
      <w:r>
        <w:rPr>
          <w:rFonts w:hint="eastAsia" w:ascii="宋体" w:hAnsi="宋体" w:eastAsia="宋体" w:cs="宋体"/>
          <w:color w:val="000000"/>
          <w:kern w:val="0"/>
          <w:lang w:val="zh-CN"/>
        </w:rPr>
        <w:t>投标人承诺函…………………………………………………………………所在页码</w:t>
      </w:r>
    </w:p>
    <w:p w14:paraId="20AB502D">
      <w:pPr>
        <w:numPr>
          <w:ilvl w:val="0"/>
          <w:numId w:val="0"/>
        </w:num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sz w:val="24"/>
          <w:szCs w:val="24"/>
          <w:lang w:val="zh-CN" w:eastAsia="zh-CN" w:bidi="ar-SA"/>
        </w:rPr>
        <w:t>（5）</w:t>
      </w:r>
      <w:r>
        <w:rPr>
          <w:rFonts w:hint="eastAsia" w:ascii="宋体" w:hAnsi="宋体" w:eastAsia="宋体" w:cs="宋体"/>
          <w:color w:val="000000"/>
          <w:kern w:val="0"/>
          <w:lang w:val="zh-CN"/>
        </w:rPr>
        <w:t>投标人诚信承诺书……………………………………………………………所在页码</w:t>
      </w:r>
    </w:p>
    <w:p w14:paraId="0143915E">
      <w:pPr>
        <w:numPr>
          <w:ilvl w:val="0"/>
          <w:numId w:val="0"/>
        </w:num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sz w:val="24"/>
          <w:szCs w:val="24"/>
          <w:lang w:val="zh-CN" w:eastAsia="zh-CN" w:bidi="ar-SA"/>
        </w:rPr>
        <w:t>（6）</w:t>
      </w:r>
      <w:r>
        <w:rPr>
          <w:rFonts w:hint="eastAsia" w:ascii="宋体" w:hAnsi="宋体" w:eastAsia="宋体" w:cs="宋体"/>
          <w:color w:val="000000"/>
          <w:kern w:val="0"/>
          <w:lang w:val="zh-CN"/>
        </w:rPr>
        <w:t>资格证明材料…………………………………………………………………所在页码</w:t>
      </w:r>
    </w:p>
    <w:p w14:paraId="7C91EBEC">
      <w:pPr>
        <w:numPr>
          <w:ilvl w:val="0"/>
          <w:numId w:val="0"/>
        </w:num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sz w:val="24"/>
          <w:szCs w:val="24"/>
          <w:lang w:val="zh-CN" w:eastAsia="zh-CN" w:bidi="ar-SA"/>
        </w:rPr>
        <w:t>（7）</w:t>
      </w:r>
      <w:r>
        <w:rPr>
          <w:rFonts w:hint="eastAsia" w:ascii="宋体" w:hAnsi="宋体" w:eastAsia="宋体" w:cs="宋体"/>
          <w:color w:val="000000"/>
          <w:kern w:val="0"/>
          <w:lang w:val="zh-CN"/>
        </w:rPr>
        <w:t>财务状况报告，依法缴纳税收和社会保障资金的相关材料………………所在页码</w:t>
      </w:r>
    </w:p>
    <w:p w14:paraId="652FC1AE">
      <w:pPr>
        <w:numPr>
          <w:ilvl w:val="0"/>
          <w:numId w:val="0"/>
        </w:num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sz w:val="24"/>
          <w:szCs w:val="24"/>
          <w:lang w:val="zh-CN" w:eastAsia="zh-CN" w:bidi="ar-SA"/>
        </w:rPr>
        <w:t>（8）</w:t>
      </w:r>
      <w:r>
        <w:rPr>
          <w:rFonts w:hint="eastAsia" w:ascii="宋体" w:hAnsi="宋体" w:eastAsia="宋体" w:cs="宋体"/>
          <w:color w:val="000000"/>
          <w:kern w:val="0"/>
          <w:lang w:val="zh-CN"/>
        </w:rPr>
        <w:t>具备履行合同所必需的设备和专业技术能力的证明材料…………………所在页码</w:t>
      </w:r>
    </w:p>
    <w:p w14:paraId="52C866E5">
      <w:pPr>
        <w:numPr>
          <w:ilvl w:val="0"/>
          <w:numId w:val="0"/>
        </w:num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sz w:val="24"/>
          <w:szCs w:val="24"/>
          <w:lang w:val="zh-CN" w:eastAsia="zh-CN" w:bidi="ar-SA"/>
        </w:rPr>
        <w:t>（9）</w:t>
      </w:r>
      <w:r>
        <w:rPr>
          <w:rFonts w:hint="eastAsia" w:ascii="宋体" w:hAnsi="宋体" w:eastAsia="宋体" w:cs="宋体"/>
          <w:color w:val="000000"/>
          <w:kern w:val="0"/>
          <w:lang w:val="zh-CN"/>
        </w:rPr>
        <w:t>无重大违法记录声明…………………………………………………………所在页码</w:t>
      </w:r>
    </w:p>
    <w:p w14:paraId="53C40FF7">
      <w:pPr>
        <w:numPr>
          <w:ilvl w:val="0"/>
          <w:numId w:val="0"/>
        </w:num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sz w:val="24"/>
          <w:szCs w:val="24"/>
          <w:lang w:val="zh-CN" w:eastAsia="zh-CN" w:bidi="ar-SA"/>
        </w:rPr>
        <w:t>（10）</w:t>
      </w:r>
      <w:r>
        <w:rPr>
          <w:rFonts w:hint="eastAsia" w:ascii="宋体" w:hAnsi="宋体" w:eastAsia="宋体" w:cs="宋体"/>
          <w:color w:val="000000"/>
          <w:kern w:val="0"/>
          <w:lang w:val="zh-CN"/>
        </w:rPr>
        <w:t>投标保证金证明……………………………………………………………</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所在页码</w:t>
      </w:r>
    </w:p>
    <w:bookmarkEnd w:id="52"/>
    <w:bookmarkEnd w:id="53"/>
    <w:p w14:paraId="531F3A15">
      <w:pPr>
        <w:pStyle w:val="23"/>
        <w:spacing w:before="0" w:after="0" w:line="360" w:lineRule="auto"/>
        <w:jc w:val="left"/>
        <w:outlineLvl w:val="1"/>
        <w:rPr>
          <w:rFonts w:hint="eastAsia" w:ascii="宋体" w:hAnsi="宋体" w:eastAsia="宋体" w:cs="宋体"/>
          <w:color w:val="000000"/>
          <w:lang w:val="zh-CN"/>
        </w:rPr>
      </w:pPr>
      <w:bookmarkStart w:id="55" w:name="_Toc19582"/>
      <w:r>
        <w:rPr>
          <w:rFonts w:hint="eastAsia" w:ascii="宋体" w:hAnsi="宋体" w:eastAsia="宋体" w:cs="宋体"/>
          <w:color w:val="000000"/>
          <w:sz w:val="30"/>
          <w:szCs w:val="30"/>
          <w:lang w:val="zh-CN"/>
        </w:rPr>
        <w:br w:type="page"/>
      </w:r>
      <w:bookmarkStart w:id="56" w:name="_Toc30755"/>
      <w:r>
        <w:rPr>
          <w:rFonts w:hint="eastAsia" w:ascii="宋体" w:hAnsi="宋体" w:eastAsia="宋体" w:cs="宋体"/>
          <w:color w:val="000000"/>
          <w:sz w:val="30"/>
          <w:szCs w:val="30"/>
        </w:rPr>
        <w:t>（1）</w:t>
      </w:r>
      <w:r>
        <w:rPr>
          <w:rFonts w:hint="eastAsia" w:ascii="宋体" w:hAnsi="宋体" w:eastAsia="宋体" w:cs="宋体"/>
          <w:color w:val="000000"/>
          <w:sz w:val="30"/>
          <w:szCs w:val="30"/>
          <w:lang w:val="zh-CN"/>
        </w:rPr>
        <w:t>投标函</w:t>
      </w:r>
      <w:bookmarkEnd w:id="55"/>
      <w:bookmarkEnd w:id="56"/>
    </w:p>
    <w:p w14:paraId="48BE4858">
      <w:pPr>
        <w:autoSpaceDE w:val="0"/>
        <w:autoSpaceDN w:val="0"/>
        <w:spacing w:line="360" w:lineRule="auto"/>
        <w:rPr>
          <w:rFonts w:hint="eastAsia" w:ascii="宋体" w:hAnsi="宋体" w:eastAsia="宋体" w:cs="宋体"/>
          <w:b/>
          <w:bCs/>
          <w:color w:val="000000"/>
          <w:kern w:val="0"/>
          <w:sz w:val="28"/>
          <w:szCs w:val="28"/>
          <w:lang w:val="zh-CN"/>
        </w:rPr>
      </w:pPr>
    </w:p>
    <w:p w14:paraId="1C7FF0D9">
      <w:pPr>
        <w:autoSpaceDE w:val="0"/>
        <w:autoSpaceDN w:val="0"/>
        <w:spacing w:line="360" w:lineRule="auto"/>
        <w:jc w:val="center"/>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28"/>
          <w:szCs w:val="28"/>
          <w:lang w:val="zh-CN"/>
        </w:rPr>
        <w:t>投标函</w:t>
      </w:r>
    </w:p>
    <w:p w14:paraId="16771A0D">
      <w:pPr>
        <w:autoSpaceDE w:val="0"/>
        <w:autoSpaceDN w:val="0"/>
        <w:spacing w:line="360" w:lineRule="auto"/>
        <w:rPr>
          <w:rFonts w:hint="eastAsia" w:ascii="宋体" w:hAnsi="宋体" w:eastAsia="宋体" w:cs="宋体"/>
          <w:b/>
          <w:bCs/>
          <w:color w:val="000000"/>
          <w:kern w:val="0"/>
          <w:sz w:val="28"/>
          <w:szCs w:val="28"/>
          <w:lang w:val="zh-CN"/>
        </w:rPr>
      </w:pPr>
    </w:p>
    <w:p w14:paraId="3A82887C">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b/>
          <w:bCs/>
          <w:color w:val="000000"/>
          <w:kern w:val="0"/>
          <w:lang w:val="zh-CN"/>
        </w:rPr>
        <w:t>致：青海君昱工程项目管理有限公司</w:t>
      </w:r>
    </w:p>
    <w:p w14:paraId="035B4810">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我们收到</w:t>
      </w:r>
      <w:r>
        <w:rPr>
          <w:rFonts w:hint="eastAsia" w:ascii="宋体" w:hAnsi="宋体" w:eastAsia="宋体" w:cs="宋体"/>
          <w:color w:val="000000"/>
          <w:kern w:val="0"/>
          <w:u w:val="single"/>
          <w:lang w:val="zh-CN"/>
        </w:rPr>
        <w:t>采购项目</w:t>
      </w:r>
      <w:r>
        <w:rPr>
          <w:rFonts w:hint="eastAsia" w:ascii="宋体" w:hAnsi="宋体" w:cs="宋体"/>
          <w:color w:val="000000"/>
          <w:kern w:val="0"/>
          <w:u w:val="single"/>
          <w:lang w:val="en-US" w:eastAsia="zh-CN"/>
        </w:rPr>
        <w:t>包</w:t>
      </w:r>
      <w:r>
        <w:rPr>
          <w:rFonts w:hint="eastAsia" w:ascii="宋体" w:hAnsi="宋体" w:eastAsia="宋体" w:cs="宋体"/>
          <w:color w:val="000000"/>
          <w:kern w:val="0"/>
          <w:u w:val="single"/>
          <w:lang w:val="zh-CN"/>
        </w:rPr>
        <w:t>名称（采购项目编号）</w:t>
      </w:r>
      <w:r>
        <w:rPr>
          <w:rFonts w:hint="eastAsia" w:ascii="宋体" w:hAnsi="宋体" w:eastAsia="宋体" w:cs="宋体"/>
          <w:color w:val="000000"/>
          <w:kern w:val="0"/>
          <w:lang w:val="zh-CN"/>
        </w:rPr>
        <w:t>招标文件，经研究，法定代表人（姓名、职务）正式授权（委托代理人姓名、职务）代表投标人（投标人名称、地址）提交投标文件。</w:t>
      </w:r>
    </w:p>
    <w:p w14:paraId="2B9A2842">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据此函，签字代表宣布同意如下：</w:t>
      </w:r>
    </w:p>
    <w:p w14:paraId="11009BDF">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1.我方已详阅招标文件的全部内容，包括澄清、修改条款等有关附件，承诺对其完全理解并接受。</w:t>
      </w:r>
    </w:p>
    <w:p w14:paraId="2BF0E1AB">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2.投标有效期：</w:t>
      </w:r>
      <w:r>
        <w:rPr>
          <w:rFonts w:hint="eastAsia" w:ascii="宋体" w:hAnsi="宋体" w:eastAsia="宋体" w:cs="宋体"/>
          <w:color w:val="000000"/>
          <w:shd w:val="clear" w:color="auto" w:fill="FFFFFF"/>
        </w:rPr>
        <w:t>从提交投标文件的截止之日起</w:t>
      </w:r>
      <w:r>
        <w:rPr>
          <w:rFonts w:hint="eastAsia" w:ascii="宋体" w:hAnsi="宋体" w:eastAsia="宋体" w:cs="宋体"/>
          <w:color w:val="000000"/>
          <w:kern w:val="0"/>
          <w:u w:val="single"/>
          <w:lang w:val="zh-CN"/>
        </w:rPr>
        <w:t xml:space="preserve">    </w:t>
      </w:r>
      <w:r>
        <w:rPr>
          <w:rFonts w:hint="eastAsia" w:ascii="宋体" w:hAnsi="宋体" w:eastAsia="宋体" w:cs="宋体"/>
          <w:color w:val="000000"/>
          <w:kern w:val="0"/>
          <w:lang w:val="zh-CN"/>
        </w:rPr>
        <w:t>日历日内有效。如果我方在投标有效期内撤回投标或中标后不签约的，投标保证金将被贵方没收。</w:t>
      </w:r>
    </w:p>
    <w:p w14:paraId="2A8BD079">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3.我方同意按照贵方要求提供与投标有关的一切数据或资料，理解并接受贵方制定的评标办法。</w:t>
      </w:r>
    </w:p>
    <w:p w14:paraId="5FF3024A">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4.与本投标有关的一切正式往来通讯请寄：</w:t>
      </w:r>
    </w:p>
    <w:p w14:paraId="5340D26A">
      <w:pPr>
        <w:autoSpaceDE w:val="0"/>
        <w:autoSpaceDN w:val="0"/>
        <w:spacing w:line="360" w:lineRule="auto"/>
        <w:rPr>
          <w:rFonts w:hint="eastAsia" w:ascii="宋体" w:hAnsi="宋体" w:eastAsia="宋体" w:cs="宋体"/>
          <w:color w:val="000000"/>
          <w:kern w:val="0"/>
          <w:lang w:val="zh-CN"/>
        </w:rPr>
      </w:pPr>
    </w:p>
    <w:p w14:paraId="7747169A">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地址：_______________          邮编：______________</w:t>
      </w:r>
    </w:p>
    <w:p w14:paraId="176C128C">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电话：_______________          传真：______________</w:t>
      </w:r>
    </w:p>
    <w:p w14:paraId="307C0B9F">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法定代表人姓名： ___________   职务：____________</w:t>
      </w:r>
    </w:p>
    <w:p w14:paraId="450E4310">
      <w:pPr>
        <w:autoSpaceDE w:val="0"/>
        <w:autoSpaceDN w:val="0"/>
        <w:spacing w:line="360" w:lineRule="auto"/>
        <w:rPr>
          <w:rFonts w:hint="eastAsia" w:ascii="宋体" w:hAnsi="宋体" w:eastAsia="宋体" w:cs="宋体"/>
          <w:color w:val="000000"/>
          <w:kern w:val="0"/>
          <w:lang w:val="zh-CN"/>
        </w:rPr>
      </w:pPr>
    </w:p>
    <w:p w14:paraId="0BE7BD4E">
      <w:pPr>
        <w:autoSpaceDE w:val="0"/>
        <w:autoSpaceDN w:val="0"/>
        <w:spacing w:line="360" w:lineRule="auto"/>
        <w:rPr>
          <w:rFonts w:hint="eastAsia" w:ascii="宋体" w:hAnsi="宋体" w:eastAsia="宋体" w:cs="宋体"/>
          <w:color w:val="000000"/>
          <w:kern w:val="0"/>
          <w:lang w:val="zh-CN"/>
        </w:rPr>
      </w:pPr>
    </w:p>
    <w:p w14:paraId="3F605A79">
      <w:pPr>
        <w:autoSpaceDE w:val="0"/>
        <w:autoSpaceDN w:val="0"/>
        <w:spacing w:line="360" w:lineRule="auto"/>
        <w:ind w:firstLine="1928" w:firstLineChars="800"/>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投标人：</w:t>
      </w:r>
      <w:r>
        <w:rPr>
          <w:rFonts w:hint="eastAsia" w:ascii="宋体" w:hAnsi="宋体" w:eastAsia="宋体" w:cs="宋体"/>
          <w:b/>
          <w:bCs/>
          <w:color w:val="000000"/>
          <w:kern w:val="0"/>
          <w:u w:val="single"/>
          <w:lang w:val="zh-CN"/>
        </w:rPr>
        <w:t xml:space="preserve">           </w:t>
      </w:r>
      <w:r>
        <w:rPr>
          <w:rFonts w:hint="eastAsia" w:ascii="宋体" w:hAnsi="宋体" w:eastAsia="宋体" w:cs="宋体"/>
          <w:b/>
          <w:bCs/>
          <w:color w:val="000000"/>
          <w:kern w:val="0"/>
          <w:u w:val="single"/>
        </w:rPr>
        <w:t xml:space="preserve">           </w:t>
      </w:r>
      <w:r>
        <w:rPr>
          <w:rFonts w:hint="eastAsia" w:ascii="宋体" w:hAnsi="宋体" w:eastAsia="宋体" w:cs="宋体"/>
          <w:b/>
          <w:bCs/>
          <w:color w:val="000000"/>
          <w:kern w:val="0"/>
          <w:u w:val="single"/>
          <w:lang w:val="zh-CN"/>
        </w:rPr>
        <w:t xml:space="preserve">  </w:t>
      </w:r>
      <w:r>
        <w:rPr>
          <w:rFonts w:hint="eastAsia" w:ascii="宋体" w:hAnsi="宋体" w:eastAsia="宋体" w:cs="宋体"/>
          <w:b/>
          <w:bCs/>
          <w:color w:val="000000"/>
          <w:kern w:val="0"/>
          <w:lang w:val="zh-CN"/>
        </w:rPr>
        <w:t>（公章）</w:t>
      </w:r>
    </w:p>
    <w:p w14:paraId="7F8993C6">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法定代表人或委托代理人：</w:t>
      </w:r>
      <w:r>
        <w:rPr>
          <w:rFonts w:hint="eastAsia" w:ascii="宋体" w:hAnsi="宋体" w:eastAsia="宋体" w:cs="宋体"/>
          <w:b/>
          <w:bCs/>
          <w:color w:val="000000"/>
          <w:kern w:val="0"/>
          <w:u w:val="single"/>
          <w:lang w:val="zh-CN"/>
        </w:rPr>
        <w:t xml:space="preserve">        </w:t>
      </w:r>
      <w:r>
        <w:rPr>
          <w:rFonts w:hint="eastAsia" w:ascii="宋体" w:hAnsi="宋体" w:eastAsia="宋体" w:cs="宋体"/>
          <w:b/>
          <w:bCs/>
          <w:color w:val="000000"/>
          <w:kern w:val="0"/>
          <w:lang w:val="zh-CN"/>
        </w:rPr>
        <w:t>（签字或盖章）</w:t>
      </w:r>
    </w:p>
    <w:p w14:paraId="274A491B">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年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月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日</w:t>
      </w:r>
    </w:p>
    <w:p w14:paraId="298885AA">
      <w:pPr>
        <w:pStyle w:val="23"/>
        <w:spacing w:before="0" w:after="0" w:line="360" w:lineRule="auto"/>
        <w:jc w:val="left"/>
        <w:outlineLvl w:val="1"/>
        <w:rPr>
          <w:rFonts w:hint="eastAsia" w:ascii="宋体" w:hAnsi="宋体" w:eastAsia="宋体" w:cs="宋体"/>
          <w:color w:val="000000"/>
        </w:rPr>
      </w:pPr>
      <w:r>
        <w:rPr>
          <w:rFonts w:hint="eastAsia" w:ascii="宋体" w:hAnsi="宋体" w:eastAsia="宋体" w:cs="宋体"/>
          <w:b w:val="0"/>
          <w:bCs w:val="0"/>
          <w:color w:val="000000"/>
          <w:kern w:val="0"/>
          <w:sz w:val="24"/>
          <w:lang w:val="zh-CN"/>
        </w:rPr>
        <w:br w:type="page"/>
      </w:r>
      <w:bookmarkStart w:id="57" w:name="_Toc4378"/>
      <w:bookmarkStart w:id="58" w:name="_Toc29944"/>
      <w:r>
        <w:rPr>
          <w:rFonts w:hint="eastAsia" w:ascii="宋体" w:hAnsi="宋体" w:eastAsia="宋体" w:cs="宋体"/>
          <w:color w:val="000000"/>
          <w:kern w:val="0"/>
          <w:sz w:val="30"/>
          <w:szCs w:val="30"/>
          <w:lang w:val="zh-CN"/>
        </w:rPr>
        <w:t>（</w:t>
      </w:r>
      <w:r>
        <w:rPr>
          <w:rFonts w:hint="eastAsia" w:ascii="宋体" w:hAnsi="宋体" w:eastAsia="宋体" w:cs="宋体"/>
          <w:color w:val="000000"/>
          <w:kern w:val="0"/>
          <w:sz w:val="30"/>
          <w:szCs w:val="30"/>
        </w:rPr>
        <w:t>2</w:t>
      </w:r>
      <w:r>
        <w:rPr>
          <w:rFonts w:hint="eastAsia" w:ascii="宋体" w:hAnsi="宋体" w:eastAsia="宋体" w:cs="宋体"/>
          <w:color w:val="000000"/>
          <w:kern w:val="0"/>
          <w:sz w:val="30"/>
          <w:szCs w:val="30"/>
          <w:lang w:val="zh-CN"/>
        </w:rPr>
        <w:t>）</w:t>
      </w:r>
      <w:r>
        <w:rPr>
          <w:rFonts w:hint="eastAsia" w:ascii="宋体" w:hAnsi="宋体" w:eastAsia="宋体" w:cs="宋体"/>
          <w:color w:val="000000"/>
          <w:sz w:val="30"/>
          <w:szCs w:val="30"/>
        </w:rPr>
        <w:t>法定代表人证明书</w:t>
      </w:r>
      <w:bookmarkEnd w:id="57"/>
    </w:p>
    <w:p w14:paraId="4C2E9090">
      <w:pPr>
        <w:autoSpaceDE w:val="0"/>
        <w:autoSpaceDN w:val="0"/>
        <w:spacing w:line="360" w:lineRule="auto"/>
        <w:rPr>
          <w:rFonts w:hint="eastAsia" w:ascii="宋体" w:hAnsi="宋体" w:eastAsia="宋体" w:cs="宋体"/>
          <w:color w:val="000000"/>
          <w:kern w:val="0"/>
          <w:sz w:val="28"/>
          <w:szCs w:val="28"/>
          <w:lang w:val="zh-CN"/>
        </w:rPr>
      </w:pPr>
    </w:p>
    <w:p w14:paraId="54340883">
      <w:pPr>
        <w:autoSpaceDE w:val="0"/>
        <w:autoSpaceDN w:val="0"/>
        <w:spacing w:line="360" w:lineRule="auto"/>
        <w:jc w:val="center"/>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28"/>
          <w:szCs w:val="28"/>
          <w:lang w:val="zh-CN"/>
        </w:rPr>
        <w:t>法定代表人证明书</w:t>
      </w:r>
    </w:p>
    <w:p w14:paraId="0D6A40B7">
      <w:pPr>
        <w:autoSpaceDE w:val="0"/>
        <w:autoSpaceDN w:val="0"/>
        <w:spacing w:line="360" w:lineRule="auto"/>
        <w:rPr>
          <w:rFonts w:hint="eastAsia" w:ascii="宋体" w:hAnsi="宋体" w:eastAsia="宋体" w:cs="宋体"/>
          <w:b/>
          <w:bCs/>
          <w:color w:val="000000"/>
          <w:kern w:val="0"/>
          <w:sz w:val="28"/>
          <w:szCs w:val="28"/>
          <w:lang w:val="zh-CN"/>
        </w:rPr>
      </w:pPr>
    </w:p>
    <w:p w14:paraId="16D1FE89">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b/>
          <w:bCs/>
          <w:color w:val="000000"/>
          <w:kern w:val="0"/>
          <w:lang w:val="zh-CN"/>
        </w:rPr>
        <w:t>致：青海君昱工程项目管理有限公司</w:t>
      </w:r>
    </w:p>
    <w:p w14:paraId="007624F2">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 xml:space="preserve">    </w:t>
      </w:r>
      <w:r>
        <w:rPr>
          <w:rFonts w:hint="eastAsia" w:ascii="宋体" w:hAnsi="宋体" w:eastAsia="宋体" w:cs="宋体"/>
          <w:color w:val="000000"/>
          <w:kern w:val="0"/>
          <w:u w:val="single"/>
          <w:lang w:val="zh-CN"/>
        </w:rPr>
        <w:t>（法定代表人姓名）</w:t>
      </w:r>
      <w:r>
        <w:rPr>
          <w:rFonts w:hint="eastAsia" w:ascii="宋体" w:hAnsi="宋体" w:eastAsia="宋体" w:cs="宋体"/>
          <w:color w:val="000000"/>
          <w:kern w:val="0"/>
          <w:lang w:val="zh-CN"/>
        </w:rPr>
        <w:t>现任我单位</w:t>
      </w:r>
      <w:r>
        <w:rPr>
          <w:rFonts w:hint="eastAsia" w:ascii="宋体" w:hAnsi="宋体" w:eastAsia="宋体" w:cs="宋体"/>
          <w:color w:val="000000"/>
          <w:kern w:val="0"/>
          <w:u w:val="single"/>
          <w:lang w:val="zh-CN"/>
        </w:rPr>
        <w:t xml:space="preserve">      </w:t>
      </w:r>
      <w:r>
        <w:rPr>
          <w:rFonts w:hint="eastAsia" w:ascii="宋体" w:hAnsi="宋体" w:eastAsia="宋体" w:cs="宋体"/>
          <w:color w:val="000000"/>
          <w:kern w:val="0"/>
          <w:lang w:val="zh-CN"/>
        </w:rPr>
        <w:t>职务，为法定代表人，特此证明。</w:t>
      </w:r>
    </w:p>
    <w:p w14:paraId="75EF9397">
      <w:pPr>
        <w:autoSpaceDE w:val="0"/>
        <w:autoSpaceDN w:val="0"/>
        <w:spacing w:line="360" w:lineRule="auto"/>
        <w:rPr>
          <w:rFonts w:hint="eastAsia" w:ascii="宋体" w:hAnsi="宋体" w:eastAsia="宋体" w:cs="宋体"/>
          <w:color w:val="000000"/>
          <w:kern w:val="0"/>
          <w:lang w:val="zh-CN"/>
        </w:rPr>
      </w:pPr>
    </w:p>
    <w:p w14:paraId="28E65F8D">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法定代表人基本情况：</w:t>
      </w:r>
    </w:p>
    <w:p w14:paraId="11426E50">
      <w:pPr>
        <w:autoSpaceDE w:val="0"/>
        <w:autoSpaceDN w:val="0"/>
        <w:spacing w:line="360" w:lineRule="auto"/>
        <w:rPr>
          <w:rFonts w:hint="eastAsia" w:ascii="宋体" w:hAnsi="宋体" w:eastAsia="宋体" w:cs="宋体"/>
          <w:color w:val="000000"/>
          <w:kern w:val="0"/>
          <w:u w:val="single"/>
          <w:lang w:val="zh-CN"/>
        </w:rPr>
      </w:pPr>
      <w:r>
        <w:rPr>
          <w:rFonts w:hint="eastAsia" w:ascii="宋体" w:hAnsi="宋体" w:eastAsia="宋体" w:cs="宋体"/>
          <w:color w:val="000000"/>
          <w:kern w:val="0"/>
          <w:lang w:val="zh-CN"/>
        </w:rPr>
        <w:t>性别：</w:t>
      </w:r>
      <w:r>
        <w:rPr>
          <w:rFonts w:hint="eastAsia" w:ascii="宋体" w:hAnsi="宋体" w:eastAsia="宋体" w:cs="宋体"/>
          <w:color w:val="000000"/>
          <w:kern w:val="0"/>
          <w:u w:val="single"/>
          <w:lang w:val="zh-CN"/>
        </w:rPr>
        <w:t xml:space="preserve">           </w:t>
      </w:r>
      <w:r>
        <w:rPr>
          <w:rFonts w:hint="eastAsia" w:ascii="宋体" w:hAnsi="宋体" w:eastAsia="宋体" w:cs="宋体"/>
          <w:color w:val="000000"/>
          <w:kern w:val="0"/>
          <w:lang w:val="zh-CN"/>
        </w:rPr>
        <w:t>年龄：</w:t>
      </w:r>
      <w:r>
        <w:rPr>
          <w:rFonts w:hint="eastAsia" w:ascii="宋体" w:hAnsi="宋体" w:eastAsia="宋体" w:cs="宋体"/>
          <w:color w:val="000000"/>
          <w:kern w:val="0"/>
          <w:u w:val="single"/>
          <w:lang w:val="zh-CN"/>
        </w:rPr>
        <w:t xml:space="preserve">           </w:t>
      </w:r>
      <w:r>
        <w:rPr>
          <w:rFonts w:hint="eastAsia" w:ascii="宋体" w:hAnsi="宋体" w:eastAsia="宋体" w:cs="宋体"/>
          <w:color w:val="000000"/>
          <w:kern w:val="0"/>
          <w:lang w:val="zh-CN"/>
        </w:rPr>
        <w:t xml:space="preserve"> 民族：</w:t>
      </w:r>
      <w:r>
        <w:rPr>
          <w:rFonts w:hint="eastAsia" w:ascii="宋体" w:hAnsi="宋体" w:eastAsia="宋体" w:cs="宋体"/>
          <w:color w:val="000000"/>
          <w:kern w:val="0"/>
          <w:u w:val="single"/>
          <w:lang w:val="zh-CN"/>
        </w:rPr>
        <w:t xml:space="preserve">         </w:t>
      </w:r>
    </w:p>
    <w:p w14:paraId="54554027">
      <w:pPr>
        <w:autoSpaceDE w:val="0"/>
        <w:autoSpaceDN w:val="0"/>
        <w:spacing w:line="360" w:lineRule="auto"/>
        <w:rPr>
          <w:rFonts w:hint="eastAsia" w:ascii="宋体" w:hAnsi="宋体" w:eastAsia="宋体" w:cs="宋体"/>
          <w:color w:val="000000"/>
          <w:kern w:val="0"/>
          <w:u w:val="single"/>
          <w:lang w:val="zh-CN"/>
        </w:rPr>
      </w:pPr>
      <w:r>
        <w:rPr>
          <w:rFonts w:hint="eastAsia" w:ascii="宋体" w:hAnsi="宋体" w:eastAsia="宋体" w:cs="宋体"/>
          <w:color w:val="000000"/>
          <w:kern w:val="0"/>
          <w:lang w:val="zh-CN"/>
        </w:rPr>
        <w:t>地址：</w:t>
      </w:r>
      <w:r>
        <w:rPr>
          <w:rFonts w:hint="eastAsia" w:ascii="宋体" w:hAnsi="宋体" w:eastAsia="宋体" w:cs="宋体"/>
          <w:color w:val="000000"/>
          <w:kern w:val="0"/>
          <w:u w:val="single"/>
          <w:lang w:val="zh-CN"/>
        </w:rPr>
        <w:t xml:space="preserve">                                            </w:t>
      </w:r>
    </w:p>
    <w:p w14:paraId="31862485">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身份证号码：</w:t>
      </w:r>
      <w:r>
        <w:rPr>
          <w:rFonts w:hint="eastAsia" w:ascii="宋体" w:hAnsi="宋体" w:eastAsia="宋体" w:cs="宋体"/>
          <w:color w:val="000000"/>
          <w:kern w:val="0"/>
          <w:u w:val="single"/>
          <w:lang w:val="zh-CN"/>
        </w:rPr>
        <w:t xml:space="preserve">                                      </w:t>
      </w:r>
    </w:p>
    <w:p w14:paraId="24B5920B">
      <w:pPr>
        <w:autoSpaceDE w:val="0"/>
        <w:autoSpaceDN w:val="0"/>
        <w:spacing w:line="360" w:lineRule="auto"/>
        <w:rPr>
          <w:rFonts w:hint="eastAsia" w:ascii="宋体" w:hAnsi="宋体" w:eastAsia="宋体" w:cs="宋体"/>
          <w:color w:val="000000"/>
          <w:kern w:val="0"/>
          <w:lang w:val="zh-CN"/>
        </w:rPr>
      </w:pPr>
    </w:p>
    <w:p w14:paraId="6399FEB2">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附法定代表人第二代身份证双面扫描（或复印）件</w:t>
      </w:r>
    </w:p>
    <w:p w14:paraId="78E91817">
      <w:pPr>
        <w:autoSpaceDE w:val="0"/>
        <w:autoSpaceDN w:val="0"/>
        <w:spacing w:line="360" w:lineRule="auto"/>
        <w:rPr>
          <w:rFonts w:hint="eastAsia" w:ascii="宋体" w:hAnsi="宋体" w:eastAsia="宋体" w:cs="宋体"/>
          <w:color w:val="000000"/>
          <w:kern w:val="0"/>
          <w:lang w:val="zh-CN"/>
        </w:rPr>
      </w:pPr>
    </w:p>
    <w:p w14:paraId="11EC8F24">
      <w:pPr>
        <w:autoSpaceDE w:val="0"/>
        <w:autoSpaceDN w:val="0"/>
        <w:spacing w:line="360" w:lineRule="auto"/>
        <w:rPr>
          <w:rFonts w:hint="eastAsia" w:ascii="宋体" w:hAnsi="宋体" w:eastAsia="宋体" w:cs="宋体"/>
          <w:color w:val="000000"/>
          <w:kern w:val="0"/>
          <w:lang w:val="zh-CN"/>
        </w:rPr>
      </w:pPr>
    </w:p>
    <w:p w14:paraId="0FFC71A1">
      <w:pPr>
        <w:autoSpaceDE w:val="0"/>
        <w:autoSpaceDN w:val="0"/>
        <w:spacing w:line="360" w:lineRule="auto"/>
        <w:ind w:firstLine="1928" w:firstLineChars="800"/>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投标人：</w:t>
      </w:r>
      <w:r>
        <w:rPr>
          <w:rFonts w:hint="eastAsia" w:ascii="宋体" w:hAnsi="宋体" w:eastAsia="宋体" w:cs="宋体"/>
          <w:b/>
          <w:bCs/>
          <w:color w:val="000000"/>
          <w:kern w:val="0"/>
          <w:u w:val="single"/>
          <w:lang w:val="zh-CN"/>
        </w:rPr>
        <w:t xml:space="preserve">           </w:t>
      </w:r>
      <w:r>
        <w:rPr>
          <w:rFonts w:hint="eastAsia" w:ascii="宋体" w:hAnsi="宋体" w:eastAsia="宋体" w:cs="宋体"/>
          <w:b/>
          <w:bCs/>
          <w:color w:val="000000"/>
          <w:kern w:val="0"/>
          <w:u w:val="single"/>
        </w:rPr>
        <w:t xml:space="preserve">           </w:t>
      </w:r>
      <w:r>
        <w:rPr>
          <w:rFonts w:hint="eastAsia" w:ascii="宋体" w:hAnsi="宋体" w:eastAsia="宋体" w:cs="宋体"/>
          <w:b/>
          <w:bCs/>
          <w:color w:val="000000"/>
          <w:kern w:val="0"/>
          <w:u w:val="single"/>
          <w:lang w:val="zh-CN"/>
        </w:rPr>
        <w:t xml:space="preserve">  </w:t>
      </w:r>
      <w:r>
        <w:rPr>
          <w:rFonts w:hint="eastAsia" w:ascii="宋体" w:hAnsi="宋体" w:eastAsia="宋体" w:cs="宋体"/>
          <w:b/>
          <w:bCs/>
          <w:color w:val="000000"/>
          <w:kern w:val="0"/>
          <w:lang w:val="zh-CN"/>
        </w:rPr>
        <w:t>（公章）</w:t>
      </w:r>
    </w:p>
    <w:p w14:paraId="5FDD3578">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法定代表人或委托代理人：</w:t>
      </w:r>
      <w:r>
        <w:rPr>
          <w:rFonts w:hint="eastAsia" w:ascii="宋体" w:hAnsi="宋体" w:eastAsia="宋体" w:cs="宋体"/>
          <w:b/>
          <w:bCs/>
          <w:color w:val="000000"/>
          <w:kern w:val="0"/>
          <w:u w:val="single"/>
          <w:lang w:val="zh-CN"/>
        </w:rPr>
        <w:t xml:space="preserve">        </w:t>
      </w:r>
      <w:r>
        <w:rPr>
          <w:rFonts w:hint="eastAsia" w:ascii="宋体" w:hAnsi="宋体" w:eastAsia="宋体" w:cs="宋体"/>
          <w:b/>
          <w:bCs/>
          <w:color w:val="000000"/>
          <w:kern w:val="0"/>
          <w:lang w:val="zh-CN"/>
        </w:rPr>
        <w:t>（签字或盖章）</w:t>
      </w:r>
    </w:p>
    <w:p w14:paraId="15BCC996">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年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月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日</w:t>
      </w:r>
    </w:p>
    <w:p w14:paraId="2D95C548">
      <w:pPr>
        <w:pStyle w:val="23"/>
        <w:spacing w:before="0" w:after="0" w:line="360" w:lineRule="auto"/>
        <w:jc w:val="left"/>
        <w:outlineLvl w:val="1"/>
        <w:rPr>
          <w:rFonts w:hint="eastAsia" w:ascii="宋体" w:hAnsi="宋体" w:eastAsia="宋体" w:cs="宋体"/>
          <w:color w:val="000000"/>
          <w:lang w:val="zh-CN"/>
        </w:rPr>
      </w:pPr>
      <w:r>
        <w:rPr>
          <w:rFonts w:hint="eastAsia" w:ascii="宋体" w:hAnsi="宋体" w:eastAsia="宋体" w:cs="宋体"/>
          <w:color w:val="000000"/>
          <w:lang w:val="zh-CN"/>
        </w:rPr>
        <w:br w:type="page"/>
      </w:r>
      <w:bookmarkEnd w:id="58"/>
      <w:bookmarkStart w:id="59" w:name="_Toc17783"/>
      <w:bookmarkStart w:id="60" w:name="_Toc17284"/>
      <w:r>
        <w:rPr>
          <w:rFonts w:hint="eastAsia" w:ascii="宋体" w:hAnsi="宋体" w:eastAsia="宋体" w:cs="宋体"/>
          <w:color w:val="000000"/>
          <w:sz w:val="30"/>
          <w:szCs w:val="30"/>
        </w:rPr>
        <w:t>（3）</w:t>
      </w:r>
      <w:r>
        <w:rPr>
          <w:rFonts w:hint="eastAsia" w:ascii="宋体" w:hAnsi="宋体" w:eastAsia="宋体" w:cs="宋体"/>
          <w:color w:val="000000"/>
          <w:sz w:val="30"/>
          <w:szCs w:val="30"/>
          <w:lang w:val="zh-CN"/>
        </w:rPr>
        <w:t>法定代表人授权书</w:t>
      </w:r>
      <w:bookmarkEnd w:id="59"/>
    </w:p>
    <w:p w14:paraId="0C8B228E">
      <w:pPr>
        <w:spacing w:line="360" w:lineRule="auto"/>
        <w:rPr>
          <w:rFonts w:hint="eastAsia" w:ascii="宋体" w:hAnsi="宋体" w:eastAsia="宋体" w:cs="宋体"/>
          <w:color w:val="000000"/>
          <w:sz w:val="28"/>
          <w:szCs w:val="28"/>
          <w:lang w:val="zh-CN"/>
        </w:rPr>
      </w:pPr>
    </w:p>
    <w:p w14:paraId="03D5E5FF">
      <w:pPr>
        <w:autoSpaceDE w:val="0"/>
        <w:autoSpaceDN w:val="0"/>
        <w:spacing w:line="360" w:lineRule="auto"/>
        <w:jc w:val="center"/>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28"/>
          <w:szCs w:val="28"/>
          <w:lang w:val="zh-CN"/>
        </w:rPr>
        <w:t>法定代表人授权书</w:t>
      </w:r>
    </w:p>
    <w:p w14:paraId="1BD8B318">
      <w:pPr>
        <w:autoSpaceDE w:val="0"/>
        <w:autoSpaceDN w:val="0"/>
        <w:spacing w:line="360" w:lineRule="auto"/>
        <w:rPr>
          <w:rFonts w:hint="eastAsia" w:ascii="宋体" w:hAnsi="宋体" w:eastAsia="宋体" w:cs="宋体"/>
          <w:b/>
          <w:bCs/>
          <w:color w:val="000000"/>
          <w:kern w:val="0"/>
          <w:sz w:val="28"/>
          <w:szCs w:val="28"/>
          <w:lang w:val="zh-CN"/>
        </w:rPr>
      </w:pPr>
    </w:p>
    <w:p w14:paraId="5BF7363B">
      <w:pPr>
        <w:autoSpaceDE w:val="0"/>
        <w:autoSpaceDN w:val="0"/>
        <w:spacing w:line="360" w:lineRule="auto"/>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致：青海君昱工程项目管理有限公司</w:t>
      </w:r>
    </w:p>
    <w:p w14:paraId="32122B6B">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 xml:space="preserve">    </w:t>
      </w:r>
      <w:r>
        <w:rPr>
          <w:rFonts w:hint="eastAsia" w:ascii="宋体" w:hAnsi="宋体" w:eastAsia="宋体" w:cs="宋体"/>
          <w:color w:val="000000"/>
          <w:kern w:val="0"/>
          <w:u w:val="single"/>
          <w:lang w:val="zh-CN"/>
        </w:rPr>
        <w:t>（投标人名称）</w:t>
      </w:r>
      <w:r>
        <w:rPr>
          <w:rFonts w:hint="eastAsia" w:ascii="宋体" w:hAnsi="宋体" w:eastAsia="宋体" w:cs="宋体"/>
          <w:color w:val="000000"/>
          <w:kern w:val="0"/>
          <w:lang w:val="zh-CN"/>
        </w:rPr>
        <w:t>系中华人民共和国合法企业，法定地址</w:t>
      </w:r>
      <w:r>
        <w:rPr>
          <w:rFonts w:hint="eastAsia" w:ascii="宋体" w:hAnsi="宋体" w:eastAsia="宋体" w:cs="宋体"/>
          <w:color w:val="000000"/>
          <w:kern w:val="0"/>
          <w:u w:val="single"/>
          <w:lang w:val="zh-CN"/>
        </w:rPr>
        <w:t xml:space="preserve">              </w:t>
      </w:r>
      <w:r>
        <w:rPr>
          <w:rFonts w:hint="eastAsia" w:ascii="宋体" w:hAnsi="宋体" w:eastAsia="宋体" w:cs="宋体"/>
          <w:color w:val="000000"/>
          <w:kern w:val="0"/>
          <w:lang w:val="zh-CN"/>
        </w:rPr>
        <w:t>。</w:t>
      </w:r>
    </w:p>
    <w:p w14:paraId="5ABC0450">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rPr>
        <w:t xml:space="preserve">    </w:t>
      </w:r>
      <w:r>
        <w:rPr>
          <w:rFonts w:hint="eastAsia" w:ascii="宋体" w:hAnsi="宋体" w:eastAsia="宋体" w:cs="宋体"/>
          <w:color w:val="000000"/>
          <w:kern w:val="0"/>
          <w:u w:val="single"/>
          <w:lang w:val="zh-CN"/>
        </w:rPr>
        <w:t>（法定代表人姓名）</w:t>
      </w:r>
      <w:r>
        <w:rPr>
          <w:rFonts w:hint="eastAsia" w:ascii="宋体" w:hAnsi="宋体" w:eastAsia="宋体" w:cs="宋体"/>
          <w:color w:val="000000"/>
          <w:kern w:val="0"/>
          <w:lang w:val="zh-CN"/>
        </w:rPr>
        <w:t>特授权</w:t>
      </w:r>
      <w:r>
        <w:rPr>
          <w:rFonts w:hint="eastAsia" w:ascii="宋体" w:hAnsi="宋体" w:eastAsia="宋体" w:cs="宋体"/>
          <w:color w:val="000000"/>
          <w:kern w:val="0"/>
          <w:u w:val="single"/>
          <w:lang w:val="zh-CN"/>
        </w:rPr>
        <w:t>（委托代理人姓名）</w:t>
      </w:r>
      <w:r>
        <w:rPr>
          <w:rFonts w:hint="eastAsia" w:ascii="宋体" w:hAnsi="宋体" w:eastAsia="宋体" w:cs="宋体"/>
          <w:color w:val="000000"/>
          <w:kern w:val="0"/>
          <w:lang w:val="zh-CN"/>
        </w:rPr>
        <w:t>代表我单位全权办理</w:t>
      </w:r>
      <w:r>
        <w:rPr>
          <w:rFonts w:hint="eastAsia" w:ascii="宋体" w:hAnsi="宋体" w:eastAsia="宋体" w:cs="宋体"/>
          <w:color w:val="000000"/>
          <w:kern w:val="0"/>
          <w:u w:val="single"/>
          <w:lang w:val="zh-CN"/>
        </w:rPr>
        <w:t>平安黄南(平安尖扎智慧城市)建设项目(一期)货物采购项目</w:t>
      </w:r>
      <w:r>
        <w:rPr>
          <w:rFonts w:hint="eastAsia" w:ascii="宋体" w:hAnsi="宋体" w:cs="宋体"/>
          <w:color w:val="000000"/>
          <w:kern w:val="0"/>
          <w:u w:val="single"/>
          <w:lang w:val="zh-CN"/>
        </w:rPr>
        <w:t>（</w:t>
      </w:r>
      <w:r>
        <w:rPr>
          <w:rFonts w:hint="eastAsia" w:ascii="宋体" w:hAnsi="宋体" w:cs="宋体"/>
          <w:color w:val="000000"/>
          <w:kern w:val="0"/>
          <w:u w:val="single"/>
          <w:lang w:val="en-US" w:eastAsia="zh-CN"/>
        </w:rPr>
        <w:t>包号</w:t>
      </w:r>
      <w:r>
        <w:rPr>
          <w:rFonts w:hint="eastAsia" w:ascii="宋体" w:hAnsi="宋体" w:cs="宋体"/>
          <w:color w:val="000000"/>
          <w:kern w:val="0"/>
          <w:u w:val="single"/>
          <w:lang w:val="zh-CN"/>
        </w:rPr>
        <w:t>）</w:t>
      </w:r>
      <w:r>
        <w:rPr>
          <w:rFonts w:hint="eastAsia" w:ascii="宋体" w:hAnsi="宋体" w:eastAsia="宋体" w:cs="宋体"/>
          <w:color w:val="000000"/>
          <w:kern w:val="0"/>
          <w:lang w:val="zh-CN"/>
        </w:rPr>
        <w:t>的投标、答疑等具体工作，并签署全部有关的文件、资料。</w:t>
      </w:r>
    </w:p>
    <w:p w14:paraId="1E372461">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我单位对被授权人的签名负全部责任。</w:t>
      </w:r>
    </w:p>
    <w:p w14:paraId="6501F84A">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被授权人联系电话：</w:t>
      </w:r>
    </w:p>
    <w:p w14:paraId="32CD76A7">
      <w:pPr>
        <w:autoSpaceDE w:val="0"/>
        <w:autoSpaceDN w:val="0"/>
        <w:spacing w:line="360" w:lineRule="auto"/>
        <w:rPr>
          <w:rFonts w:hint="eastAsia" w:ascii="宋体" w:hAnsi="宋体" w:eastAsia="宋体" w:cs="宋体"/>
          <w:color w:val="000000"/>
          <w:kern w:val="0"/>
          <w:u w:val="single"/>
          <w:lang w:val="zh-CN"/>
        </w:rPr>
      </w:pPr>
      <w:r>
        <w:rPr>
          <w:rFonts w:hint="eastAsia" w:ascii="宋体" w:hAnsi="宋体" w:eastAsia="宋体" w:cs="宋体"/>
          <w:color w:val="000000"/>
          <w:kern w:val="0"/>
          <w:lang w:val="zh-CN"/>
        </w:rPr>
        <w:t>被授权人（委托代理人）签字：</w:t>
      </w:r>
      <w:r>
        <w:rPr>
          <w:rFonts w:hint="eastAsia" w:ascii="宋体" w:hAnsi="宋体" w:eastAsia="宋体" w:cs="宋体"/>
          <w:color w:val="000000"/>
          <w:kern w:val="0"/>
          <w:u w:val="single"/>
          <w:lang w:val="zh-CN"/>
        </w:rPr>
        <w:t xml:space="preserve">       </w:t>
      </w:r>
      <w:r>
        <w:rPr>
          <w:rFonts w:hint="eastAsia" w:ascii="宋体" w:hAnsi="宋体" w:eastAsia="宋体" w:cs="宋体"/>
          <w:color w:val="000000"/>
          <w:kern w:val="0"/>
          <w:lang w:val="zh-CN"/>
        </w:rPr>
        <w:t xml:space="preserve">  </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授权人（法定代表人）签字：</w:t>
      </w:r>
      <w:r>
        <w:rPr>
          <w:rFonts w:hint="eastAsia" w:ascii="宋体" w:hAnsi="宋体" w:eastAsia="宋体" w:cs="宋体"/>
          <w:color w:val="000000"/>
          <w:kern w:val="0"/>
          <w:u w:val="single"/>
          <w:lang w:val="zh-CN"/>
        </w:rPr>
        <w:t xml:space="preserve">       </w:t>
      </w:r>
    </w:p>
    <w:p w14:paraId="55D7C2EB">
      <w:pPr>
        <w:autoSpaceDE w:val="0"/>
        <w:autoSpaceDN w:val="0"/>
        <w:spacing w:line="360" w:lineRule="auto"/>
        <w:rPr>
          <w:rFonts w:hint="eastAsia" w:ascii="宋体" w:hAnsi="宋体" w:eastAsia="宋体" w:cs="宋体"/>
          <w:color w:val="000000"/>
          <w:kern w:val="0"/>
          <w:u w:val="single"/>
          <w:lang w:val="zh-CN"/>
        </w:rPr>
      </w:pPr>
      <w:r>
        <w:rPr>
          <w:rFonts w:hint="eastAsia" w:ascii="宋体" w:hAnsi="宋体" w:eastAsia="宋体" w:cs="宋体"/>
          <w:color w:val="000000"/>
          <w:kern w:val="0"/>
          <w:lang w:val="zh-CN"/>
        </w:rPr>
        <w:t>职务：</w:t>
      </w:r>
      <w:r>
        <w:rPr>
          <w:rFonts w:hint="eastAsia" w:ascii="宋体" w:hAnsi="宋体" w:eastAsia="宋体" w:cs="宋体"/>
          <w:color w:val="000000"/>
          <w:kern w:val="0"/>
          <w:u w:val="single"/>
          <w:lang w:val="zh-CN"/>
        </w:rPr>
        <w:t xml:space="preserve">                             </w:t>
      </w:r>
      <w:r>
        <w:rPr>
          <w:rFonts w:hint="eastAsia" w:ascii="宋体" w:hAnsi="宋体" w:eastAsia="宋体" w:cs="宋体"/>
          <w:color w:val="000000"/>
          <w:kern w:val="0"/>
          <w:lang w:val="zh-CN"/>
        </w:rPr>
        <w:t xml:space="preserve">  </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职务：</w:t>
      </w:r>
      <w:r>
        <w:rPr>
          <w:rFonts w:hint="eastAsia" w:ascii="宋体" w:hAnsi="宋体" w:eastAsia="宋体" w:cs="宋体"/>
          <w:color w:val="000000"/>
          <w:kern w:val="0"/>
          <w:u w:val="single"/>
          <w:lang w:val="zh-CN"/>
        </w:rPr>
        <w:t xml:space="preserve">                           </w:t>
      </w:r>
    </w:p>
    <w:p w14:paraId="0DF10992">
      <w:pPr>
        <w:autoSpaceDE w:val="0"/>
        <w:autoSpaceDN w:val="0"/>
        <w:spacing w:line="360" w:lineRule="auto"/>
        <w:rPr>
          <w:rFonts w:hint="eastAsia" w:ascii="宋体" w:hAnsi="宋体" w:eastAsia="宋体" w:cs="宋体"/>
          <w:color w:val="000000"/>
          <w:kern w:val="0"/>
          <w:lang w:val="zh-CN"/>
        </w:rPr>
      </w:pPr>
    </w:p>
    <w:p w14:paraId="1860D265">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附被授权人第二代身份证双面扫描（或复印）件</w:t>
      </w:r>
    </w:p>
    <w:p w14:paraId="5235F99C">
      <w:pPr>
        <w:autoSpaceDE w:val="0"/>
        <w:autoSpaceDN w:val="0"/>
        <w:spacing w:line="360" w:lineRule="auto"/>
        <w:rPr>
          <w:rFonts w:hint="eastAsia" w:ascii="宋体" w:hAnsi="宋体" w:eastAsia="宋体" w:cs="宋体"/>
          <w:color w:val="000000"/>
          <w:kern w:val="0"/>
          <w:lang w:val="zh-CN"/>
        </w:rPr>
      </w:pPr>
    </w:p>
    <w:p w14:paraId="0C48108D">
      <w:pPr>
        <w:autoSpaceDE w:val="0"/>
        <w:autoSpaceDN w:val="0"/>
        <w:spacing w:line="360" w:lineRule="auto"/>
        <w:rPr>
          <w:rFonts w:hint="eastAsia" w:ascii="宋体" w:hAnsi="宋体" w:eastAsia="宋体" w:cs="宋体"/>
          <w:color w:val="000000"/>
          <w:kern w:val="0"/>
          <w:lang w:val="zh-CN"/>
        </w:rPr>
      </w:pPr>
    </w:p>
    <w:p w14:paraId="6D1D5A8F">
      <w:pPr>
        <w:autoSpaceDE w:val="0"/>
        <w:autoSpaceDN w:val="0"/>
        <w:spacing w:line="360" w:lineRule="auto"/>
        <w:ind w:firstLine="1928" w:firstLineChars="800"/>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投标人：</w:t>
      </w:r>
      <w:r>
        <w:rPr>
          <w:rFonts w:hint="eastAsia" w:ascii="宋体" w:hAnsi="宋体" w:eastAsia="宋体" w:cs="宋体"/>
          <w:b/>
          <w:bCs/>
          <w:color w:val="000000"/>
          <w:kern w:val="0"/>
          <w:u w:val="single"/>
          <w:lang w:val="zh-CN"/>
        </w:rPr>
        <w:t xml:space="preserve">           </w:t>
      </w:r>
      <w:r>
        <w:rPr>
          <w:rFonts w:hint="eastAsia" w:ascii="宋体" w:hAnsi="宋体" w:eastAsia="宋体" w:cs="宋体"/>
          <w:b/>
          <w:bCs/>
          <w:color w:val="000000"/>
          <w:kern w:val="0"/>
          <w:u w:val="single"/>
        </w:rPr>
        <w:t xml:space="preserve">           </w:t>
      </w:r>
      <w:r>
        <w:rPr>
          <w:rFonts w:hint="eastAsia" w:ascii="宋体" w:hAnsi="宋体" w:eastAsia="宋体" w:cs="宋体"/>
          <w:b/>
          <w:bCs/>
          <w:color w:val="000000"/>
          <w:kern w:val="0"/>
          <w:u w:val="single"/>
          <w:lang w:val="zh-CN"/>
        </w:rPr>
        <w:t xml:space="preserve">  </w:t>
      </w:r>
      <w:r>
        <w:rPr>
          <w:rFonts w:hint="eastAsia" w:ascii="宋体" w:hAnsi="宋体" w:eastAsia="宋体" w:cs="宋体"/>
          <w:b/>
          <w:bCs/>
          <w:color w:val="000000"/>
          <w:kern w:val="0"/>
          <w:lang w:val="zh-CN"/>
        </w:rPr>
        <w:t>（公章）</w:t>
      </w:r>
    </w:p>
    <w:p w14:paraId="27015DF5">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法定代表人或委托代理人：</w:t>
      </w:r>
      <w:r>
        <w:rPr>
          <w:rFonts w:hint="eastAsia" w:ascii="宋体" w:hAnsi="宋体" w:eastAsia="宋体" w:cs="宋体"/>
          <w:b/>
          <w:bCs/>
          <w:color w:val="000000"/>
          <w:kern w:val="0"/>
          <w:u w:val="single"/>
          <w:lang w:val="zh-CN"/>
        </w:rPr>
        <w:t xml:space="preserve">        </w:t>
      </w:r>
      <w:r>
        <w:rPr>
          <w:rFonts w:hint="eastAsia" w:ascii="宋体" w:hAnsi="宋体" w:eastAsia="宋体" w:cs="宋体"/>
          <w:b/>
          <w:bCs/>
          <w:color w:val="000000"/>
          <w:kern w:val="0"/>
          <w:lang w:val="zh-CN"/>
        </w:rPr>
        <w:t>（签字或盖章）</w:t>
      </w:r>
    </w:p>
    <w:p w14:paraId="41C8AC59">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年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月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日</w:t>
      </w:r>
    </w:p>
    <w:p w14:paraId="151C8859">
      <w:pPr>
        <w:autoSpaceDE w:val="0"/>
        <w:autoSpaceDN w:val="0"/>
        <w:spacing w:line="360" w:lineRule="auto"/>
        <w:rPr>
          <w:rFonts w:hint="eastAsia" w:ascii="宋体" w:hAnsi="宋体" w:eastAsia="宋体" w:cs="宋体"/>
          <w:color w:val="000000"/>
          <w:kern w:val="0"/>
          <w:lang w:val="zh-CN"/>
        </w:rPr>
      </w:pPr>
    </w:p>
    <w:p w14:paraId="1261EC6B">
      <w:pPr>
        <w:pStyle w:val="23"/>
        <w:spacing w:before="0" w:after="0" w:line="360" w:lineRule="auto"/>
        <w:jc w:val="left"/>
        <w:outlineLvl w:val="1"/>
        <w:rPr>
          <w:rFonts w:hint="eastAsia" w:ascii="宋体" w:hAnsi="宋体" w:eastAsia="宋体" w:cs="宋体"/>
          <w:color w:val="000000"/>
          <w:lang w:val="zh-CN"/>
        </w:rPr>
      </w:pPr>
      <w:r>
        <w:rPr>
          <w:rFonts w:hint="eastAsia" w:ascii="宋体" w:hAnsi="宋体" w:eastAsia="宋体" w:cs="宋体"/>
          <w:color w:val="000000"/>
          <w:lang w:val="zh-CN"/>
        </w:rPr>
        <w:br w:type="page"/>
      </w:r>
      <w:bookmarkStart w:id="61" w:name="_Toc31687"/>
      <w:r>
        <w:rPr>
          <w:rFonts w:hint="eastAsia" w:ascii="宋体" w:hAnsi="宋体" w:eastAsia="宋体" w:cs="宋体"/>
          <w:color w:val="000000"/>
          <w:sz w:val="30"/>
          <w:szCs w:val="30"/>
        </w:rPr>
        <w:t>（4）</w:t>
      </w:r>
      <w:r>
        <w:rPr>
          <w:rFonts w:hint="eastAsia" w:ascii="宋体" w:hAnsi="宋体" w:eastAsia="宋体" w:cs="宋体"/>
          <w:color w:val="000000"/>
          <w:sz w:val="30"/>
          <w:szCs w:val="30"/>
          <w:lang w:val="zh-CN"/>
        </w:rPr>
        <w:t>投标人承诺函</w:t>
      </w:r>
      <w:bookmarkEnd w:id="61"/>
    </w:p>
    <w:p w14:paraId="7A685C1D">
      <w:pPr>
        <w:autoSpaceDE w:val="0"/>
        <w:autoSpaceDN w:val="0"/>
        <w:spacing w:line="360" w:lineRule="auto"/>
        <w:rPr>
          <w:rFonts w:hint="eastAsia" w:ascii="宋体" w:hAnsi="宋体" w:eastAsia="宋体" w:cs="宋体"/>
          <w:color w:val="000000"/>
          <w:kern w:val="0"/>
          <w:sz w:val="28"/>
          <w:szCs w:val="28"/>
          <w:lang w:val="zh-CN"/>
        </w:rPr>
      </w:pPr>
    </w:p>
    <w:p w14:paraId="5D2F603A">
      <w:pPr>
        <w:autoSpaceDE w:val="0"/>
        <w:autoSpaceDN w:val="0"/>
        <w:spacing w:line="360" w:lineRule="auto"/>
        <w:jc w:val="center"/>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28"/>
          <w:szCs w:val="28"/>
          <w:lang w:val="zh-CN"/>
        </w:rPr>
        <w:t>投标人承诺函</w:t>
      </w:r>
    </w:p>
    <w:p w14:paraId="32D9E672">
      <w:pPr>
        <w:autoSpaceDE w:val="0"/>
        <w:autoSpaceDN w:val="0"/>
        <w:spacing w:line="360" w:lineRule="auto"/>
        <w:rPr>
          <w:rFonts w:hint="eastAsia" w:ascii="宋体" w:hAnsi="宋体" w:eastAsia="宋体" w:cs="宋体"/>
          <w:b/>
          <w:bCs/>
          <w:color w:val="000000"/>
          <w:kern w:val="0"/>
          <w:sz w:val="28"/>
          <w:szCs w:val="28"/>
          <w:lang w:val="zh-CN"/>
        </w:rPr>
      </w:pPr>
    </w:p>
    <w:p w14:paraId="7F5B3966">
      <w:pPr>
        <w:autoSpaceDE w:val="0"/>
        <w:autoSpaceDN w:val="0"/>
        <w:spacing w:line="360" w:lineRule="auto"/>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致：青海君昱工程项目管理有限公司</w:t>
      </w:r>
    </w:p>
    <w:p w14:paraId="1C0D569B">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关于贵方2025年</w:t>
      </w:r>
      <w:r>
        <w:rPr>
          <w:rFonts w:hint="eastAsia" w:ascii="宋体" w:hAnsi="宋体" w:eastAsia="宋体" w:cs="宋体"/>
          <w:color w:val="000000"/>
          <w:kern w:val="0"/>
          <w:u w:val="single"/>
          <w:lang w:val="zh-CN"/>
        </w:rPr>
        <w:t xml:space="preserve">   </w:t>
      </w:r>
      <w:r>
        <w:rPr>
          <w:rFonts w:hint="eastAsia" w:ascii="宋体" w:hAnsi="宋体" w:eastAsia="宋体" w:cs="宋体"/>
          <w:color w:val="000000"/>
          <w:kern w:val="0"/>
          <w:lang w:val="zh-CN"/>
        </w:rPr>
        <w:t>月</w:t>
      </w:r>
      <w:r>
        <w:rPr>
          <w:rFonts w:hint="eastAsia" w:ascii="宋体" w:hAnsi="宋体" w:eastAsia="宋体" w:cs="宋体"/>
          <w:color w:val="000000"/>
          <w:kern w:val="0"/>
          <w:u w:val="single"/>
          <w:lang w:val="zh-CN"/>
        </w:rPr>
        <w:t xml:space="preserve">   </w:t>
      </w:r>
      <w:r>
        <w:rPr>
          <w:rFonts w:hint="eastAsia" w:ascii="宋体" w:hAnsi="宋体" w:eastAsia="宋体" w:cs="宋体"/>
          <w:color w:val="000000"/>
          <w:kern w:val="0"/>
          <w:lang w:val="zh-CN"/>
        </w:rPr>
        <w:t>日</w:t>
      </w:r>
      <w:r>
        <w:rPr>
          <w:rFonts w:hint="eastAsia" w:ascii="宋体" w:hAnsi="宋体" w:eastAsia="宋体" w:cs="宋体"/>
          <w:color w:val="000000"/>
          <w:kern w:val="0"/>
          <w:u w:val="single"/>
          <w:lang w:val="zh-CN"/>
        </w:rPr>
        <w:t xml:space="preserve">          (项目名称</w:t>
      </w:r>
      <w:r>
        <w:rPr>
          <w:rFonts w:hint="eastAsia" w:ascii="宋体" w:hAnsi="宋体" w:cs="宋体"/>
          <w:color w:val="000000"/>
          <w:kern w:val="0"/>
          <w:u w:val="single"/>
          <w:lang w:val="zh-CN"/>
        </w:rPr>
        <w:t>（</w:t>
      </w:r>
      <w:r>
        <w:rPr>
          <w:rFonts w:hint="eastAsia" w:ascii="宋体" w:hAnsi="宋体" w:cs="宋体"/>
          <w:color w:val="000000"/>
          <w:kern w:val="0"/>
          <w:u w:val="single"/>
          <w:lang w:val="en-US" w:eastAsia="zh-CN"/>
        </w:rPr>
        <w:t>包号</w:t>
      </w:r>
      <w:r>
        <w:rPr>
          <w:rFonts w:hint="eastAsia" w:ascii="宋体" w:hAnsi="宋体" w:cs="宋体"/>
          <w:color w:val="000000"/>
          <w:kern w:val="0"/>
          <w:u w:val="single"/>
          <w:lang w:val="zh-CN"/>
        </w:rPr>
        <w:t>）</w:t>
      </w:r>
      <w:r>
        <w:rPr>
          <w:rFonts w:hint="eastAsia" w:ascii="宋体" w:hAnsi="宋体" w:eastAsia="宋体" w:cs="宋体"/>
          <w:color w:val="000000"/>
          <w:kern w:val="0"/>
          <w:u w:val="single"/>
          <w:lang w:val="zh-CN"/>
        </w:rPr>
        <w:t>)</w:t>
      </w:r>
      <w:r>
        <w:rPr>
          <w:rFonts w:hint="eastAsia" w:ascii="宋体" w:hAnsi="宋体" w:eastAsia="宋体" w:cs="宋体"/>
          <w:color w:val="000000"/>
          <w:kern w:val="0"/>
          <w:lang w:val="zh-CN"/>
        </w:rPr>
        <w:t>采购项目，本签字人愿意参加投标，提供采购一览表中要求的所有产品，并证实提交的所有资料是准确的和真实的。同时，我代表（投标人名称），在此作如下承诺：</w:t>
      </w:r>
    </w:p>
    <w:p w14:paraId="1F8774B4">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 xml:space="preserve">   </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1.完全理解和接受招标文件的一切规定和要求；</w:t>
      </w:r>
    </w:p>
    <w:p w14:paraId="7267BB34">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14:paraId="5769E083">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3、我方保证甲方在使用该产品或其任何一部分时，不受第三方提出的侵犯专利权、著作权、商标权和工业设计权等知识产权的起诉，若有违犯，愿承担相应的一切责任。</w:t>
      </w:r>
    </w:p>
    <w:p w14:paraId="3B455254">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4、我方承诺，除招标文件中规定的进口产品外，所投的产品均为国产产品，且均符合国家强制性标准。若有不实，愿承担相应的责任。</w:t>
      </w:r>
    </w:p>
    <w:p w14:paraId="10233F13">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5、在整个招标过程中我方若有违规行为，贵方可按招标文件之规定给予处罚，我方完全接受。</w:t>
      </w:r>
    </w:p>
    <w:p w14:paraId="005BDAAC">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6、若中标，本承诺将成为合同不可分割的一部分，与合同具有同等的法律效力。</w:t>
      </w:r>
    </w:p>
    <w:p w14:paraId="122FFE02">
      <w:pPr>
        <w:autoSpaceDE w:val="0"/>
        <w:autoSpaceDN w:val="0"/>
        <w:spacing w:line="360" w:lineRule="auto"/>
        <w:rPr>
          <w:rFonts w:hint="eastAsia" w:ascii="宋体" w:hAnsi="宋体" w:eastAsia="宋体" w:cs="宋体"/>
          <w:color w:val="000000"/>
          <w:kern w:val="0"/>
          <w:lang w:val="zh-CN"/>
        </w:rPr>
      </w:pPr>
    </w:p>
    <w:p w14:paraId="78B286B5">
      <w:pPr>
        <w:autoSpaceDE w:val="0"/>
        <w:autoSpaceDN w:val="0"/>
        <w:spacing w:line="360" w:lineRule="auto"/>
        <w:rPr>
          <w:rFonts w:hint="eastAsia" w:ascii="宋体" w:hAnsi="宋体" w:eastAsia="宋体" w:cs="宋体"/>
          <w:color w:val="000000"/>
          <w:kern w:val="0"/>
          <w:lang w:val="zh-CN"/>
        </w:rPr>
      </w:pPr>
    </w:p>
    <w:p w14:paraId="36EB2194">
      <w:pPr>
        <w:autoSpaceDE w:val="0"/>
        <w:autoSpaceDN w:val="0"/>
        <w:spacing w:line="360" w:lineRule="auto"/>
        <w:ind w:firstLine="1928" w:firstLineChars="800"/>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投标人：</w:t>
      </w:r>
      <w:r>
        <w:rPr>
          <w:rFonts w:hint="eastAsia" w:ascii="宋体" w:hAnsi="宋体" w:eastAsia="宋体" w:cs="宋体"/>
          <w:b/>
          <w:bCs/>
          <w:color w:val="000000"/>
          <w:kern w:val="0"/>
          <w:u w:val="single"/>
          <w:lang w:val="zh-CN"/>
        </w:rPr>
        <w:t xml:space="preserve">           </w:t>
      </w:r>
      <w:r>
        <w:rPr>
          <w:rFonts w:hint="eastAsia" w:ascii="宋体" w:hAnsi="宋体" w:eastAsia="宋体" w:cs="宋体"/>
          <w:b/>
          <w:bCs/>
          <w:color w:val="000000"/>
          <w:kern w:val="0"/>
          <w:u w:val="single"/>
        </w:rPr>
        <w:t xml:space="preserve">           </w:t>
      </w:r>
      <w:r>
        <w:rPr>
          <w:rFonts w:hint="eastAsia" w:ascii="宋体" w:hAnsi="宋体" w:eastAsia="宋体" w:cs="宋体"/>
          <w:b/>
          <w:bCs/>
          <w:color w:val="000000"/>
          <w:kern w:val="0"/>
          <w:u w:val="single"/>
          <w:lang w:val="zh-CN"/>
        </w:rPr>
        <w:t xml:space="preserve">  </w:t>
      </w:r>
      <w:r>
        <w:rPr>
          <w:rFonts w:hint="eastAsia" w:ascii="宋体" w:hAnsi="宋体" w:eastAsia="宋体" w:cs="宋体"/>
          <w:b/>
          <w:bCs/>
          <w:color w:val="000000"/>
          <w:kern w:val="0"/>
          <w:lang w:val="zh-CN"/>
        </w:rPr>
        <w:t>（公章）</w:t>
      </w:r>
    </w:p>
    <w:p w14:paraId="585B44AB">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法定代表人或委托代理人：</w:t>
      </w:r>
      <w:r>
        <w:rPr>
          <w:rFonts w:hint="eastAsia" w:ascii="宋体" w:hAnsi="宋体" w:eastAsia="宋体" w:cs="宋体"/>
          <w:b/>
          <w:bCs/>
          <w:color w:val="000000"/>
          <w:kern w:val="0"/>
          <w:u w:val="single"/>
          <w:lang w:val="zh-CN"/>
        </w:rPr>
        <w:t xml:space="preserve">        </w:t>
      </w:r>
      <w:r>
        <w:rPr>
          <w:rFonts w:hint="eastAsia" w:ascii="宋体" w:hAnsi="宋体" w:eastAsia="宋体" w:cs="宋体"/>
          <w:b/>
          <w:bCs/>
          <w:color w:val="000000"/>
          <w:kern w:val="0"/>
          <w:lang w:val="zh-CN"/>
        </w:rPr>
        <w:t>（签字或盖章）</w:t>
      </w:r>
    </w:p>
    <w:p w14:paraId="3B4B12A2">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年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月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日</w:t>
      </w:r>
    </w:p>
    <w:p w14:paraId="180DC4A0">
      <w:pPr>
        <w:pStyle w:val="23"/>
        <w:spacing w:before="0" w:after="0" w:line="360" w:lineRule="auto"/>
        <w:jc w:val="left"/>
        <w:outlineLvl w:val="1"/>
        <w:rPr>
          <w:rFonts w:hint="eastAsia" w:ascii="宋体" w:hAnsi="宋体" w:eastAsia="宋体" w:cs="宋体"/>
          <w:color w:val="000000"/>
          <w:lang w:val="zh-CN"/>
        </w:rPr>
      </w:pPr>
      <w:r>
        <w:rPr>
          <w:rFonts w:hint="eastAsia" w:ascii="宋体" w:hAnsi="宋体" w:eastAsia="宋体" w:cs="宋体"/>
          <w:color w:val="000000"/>
          <w:lang w:val="zh-CN"/>
        </w:rPr>
        <w:br w:type="page"/>
      </w:r>
      <w:bookmarkStart w:id="62" w:name="_Toc11023"/>
      <w:r>
        <w:rPr>
          <w:rFonts w:hint="eastAsia" w:ascii="宋体" w:hAnsi="宋体" w:eastAsia="宋体" w:cs="宋体"/>
          <w:color w:val="000000"/>
          <w:sz w:val="30"/>
          <w:szCs w:val="30"/>
        </w:rPr>
        <w:t>（5）</w:t>
      </w:r>
      <w:r>
        <w:rPr>
          <w:rFonts w:hint="eastAsia" w:ascii="宋体" w:hAnsi="宋体" w:eastAsia="宋体" w:cs="宋体"/>
          <w:color w:val="000000"/>
          <w:sz w:val="30"/>
          <w:szCs w:val="30"/>
          <w:lang w:val="zh-CN"/>
        </w:rPr>
        <w:t>投标人诚信承诺书</w:t>
      </w:r>
      <w:bookmarkEnd w:id="62"/>
    </w:p>
    <w:p w14:paraId="1141A682">
      <w:pPr>
        <w:spacing w:line="360" w:lineRule="auto"/>
        <w:rPr>
          <w:rFonts w:hint="eastAsia" w:ascii="宋体" w:hAnsi="宋体" w:eastAsia="宋体" w:cs="宋体"/>
          <w:color w:val="000000"/>
          <w:sz w:val="28"/>
          <w:szCs w:val="28"/>
          <w:lang w:val="zh-CN"/>
        </w:rPr>
      </w:pPr>
    </w:p>
    <w:p w14:paraId="012E027D">
      <w:pPr>
        <w:autoSpaceDE w:val="0"/>
        <w:autoSpaceDN w:val="0"/>
        <w:spacing w:line="360" w:lineRule="auto"/>
        <w:jc w:val="center"/>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28"/>
          <w:szCs w:val="28"/>
          <w:lang w:val="zh-CN"/>
        </w:rPr>
        <w:t>投标人诚信承诺书</w:t>
      </w:r>
    </w:p>
    <w:p w14:paraId="29C71CB9">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b/>
          <w:bCs/>
          <w:color w:val="000000"/>
          <w:kern w:val="0"/>
          <w:lang w:val="zh-CN"/>
        </w:rPr>
        <w:t>致：青海君昱工程项目管理有限公司</w:t>
      </w:r>
    </w:p>
    <w:p w14:paraId="528F1FCD">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为了诚实、客观、有序地参与青海省政府采购活动，愿就以下内容作出承诺：</w:t>
      </w:r>
    </w:p>
    <w:p w14:paraId="113BC353">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一、自觉遵守各项法律、法规、规章、制度以及社会公德，维护廉洁环境，与同场竞争的其他投标人平等参加政府采购活动。</w:t>
      </w:r>
    </w:p>
    <w:p w14:paraId="05910ECB">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二、参加采购代理机构组织的政府采购活动时，严格按照招标文件的规定和要求提供所需的相关材料，并对所提供的各类资料的真实性负责，不虚假应标，不虚列业绩。</w:t>
      </w:r>
    </w:p>
    <w:p w14:paraId="6A0FA141">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三、尊重参与政府采购活动各相关方的合法行为，接受政府采购活动依法形成的意见、结果。</w:t>
      </w:r>
    </w:p>
    <w:p w14:paraId="1BCABD03">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四、依法参加政府采购活动，不围标、串标，维护市场秩序，不提供“三无”产品、以次充好。</w:t>
      </w:r>
    </w:p>
    <w:p w14:paraId="4A70DA4E">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五、积极推动政府采购活动健康开展，对采购活动有疑问、异议时，按法律规定的程序实名反映情况，不恶意中伤、无事生非，以和谐、平等的心态参加政府采购活动。</w:t>
      </w:r>
    </w:p>
    <w:p w14:paraId="6E127AD1">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六、认真履行中标人应承担的责任和义务，全面执行采购合同规定的各项内容，保质保量地按时提供采购物品。</w:t>
      </w:r>
    </w:p>
    <w:p w14:paraId="1D9C0CBE">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若本企业（单位）发生有悖于上述承诺的行为，愿意接受《中华人民共和国政府采购法》和《政府采购法实施条例》中对投标人的相关处理。</w:t>
      </w:r>
    </w:p>
    <w:p w14:paraId="728D9EF7">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本承诺是采购项目投标文件的组成部分。</w:t>
      </w:r>
    </w:p>
    <w:p w14:paraId="431D615D">
      <w:pPr>
        <w:autoSpaceDE w:val="0"/>
        <w:autoSpaceDN w:val="0"/>
        <w:spacing w:line="360" w:lineRule="auto"/>
        <w:rPr>
          <w:rFonts w:hint="eastAsia" w:ascii="宋体" w:hAnsi="宋体" w:eastAsia="宋体" w:cs="宋体"/>
          <w:color w:val="000000"/>
          <w:kern w:val="0"/>
          <w:lang w:val="zh-CN"/>
        </w:rPr>
      </w:pPr>
    </w:p>
    <w:p w14:paraId="15D3ABDC">
      <w:pPr>
        <w:autoSpaceDE w:val="0"/>
        <w:autoSpaceDN w:val="0"/>
        <w:spacing w:line="360" w:lineRule="auto"/>
        <w:ind w:firstLine="1928" w:firstLineChars="800"/>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投标人：</w:t>
      </w:r>
      <w:r>
        <w:rPr>
          <w:rFonts w:hint="eastAsia" w:ascii="宋体" w:hAnsi="宋体" w:eastAsia="宋体" w:cs="宋体"/>
          <w:b/>
          <w:bCs/>
          <w:color w:val="000000"/>
          <w:kern w:val="0"/>
          <w:u w:val="single"/>
          <w:lang w:val="zh-CN"/>
        </w:rPr>
        <w:t xml:space="preserve">           </w:t>
      </w:r>
      <w:r>
        <w:rPr>
          <w:rFonts w:hint="eastAsia" w:ascii="宋体" w:hAnsi="宋体" w:eastAsia="宋体" w:cs="宋体"/>
          <w:b/>
          <w:bCs/>
          <w:color w:val="000000"/>
          <w:kern w:val="0"/>
          <w:u w:val="single"/>
        </w:rPr>
        <w:t xml:space="preserve">           </w:t>
      </w:r>
      <w:r>
        <w:rPr>
          <w:rFonts w:hint="eastAsia" w:ascii="宋体" w:hAnsi="宋体" w:eastAsia="宋体" w:cs="宋体"/>
          <w:b/>
          <w:bCs/>
          <w:color w:val="000000"/>
          <w:kern w:val="0"/>
          <w:u w:val="single"/>
          <w:lang w:val="zh-CN"/>
        </w:rPr>
        <w:t xml:space="preserve">  </w:t>
      </w:r>
      <w:r>
        <w:rPr>
          <w:rFonts w:hint="eastAsia" w:ascii="宋体" w:hAnsi="宋体" w:eastAsia="宋体" w:cs="宋体"/>
          <w:b/>
          <w:bCs/>
          <w:color w:val="000000"/>
          <w:kern w:val="0"/>
          <w:lang w:val="zh-CN"/>
        </w:rPr>
        <w:t>（公章）</w:t>
      </w:r>
    </w:p>
    <w:p w14:paraId="68B18E4D">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法定代表人或委托代理人：</w:t>
      </w:r>
      <w:r>
        <w:rPr>
          <w:rFonts w:hint="eastAsia" w:ascii="宋体" w:hAnsi="宋体" w:eastAsia="宋体" w:cs="宋体"/>
          <w:b/>
          <w:bCs/>
          <w:color w:val="000000"/>
          <w:kern w:val="0"/>
          <w:u w:val="single"/>
          <w:lang w:val="zh-CN"/>
        </w:rPr>
        <w:t xml:space="preserve">        </w:t>
      </w:r>
      <w:r>
        <w:rPr>
          <w:rFonts w:hint="eastAsia" w:ascii="宋体" w:hAnsi="宋体" w:eastAsia="宋体" w:cs="宋体"/>
          <w:b/>
          <w:bCs/>
          <w:color w:val="000000"/>
          <w:kern w:val="0"/>
          <w:lang w:val="zh-CN"/>
        </w:rPr>
        <w:t>（签字或盖章）</w:t>
      </w:r>
    </w:p>
    <w:p w14:paraId="442F1AD8">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年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月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日</w:t>
      </w:r>
    </w:p>
    <w:p w14:paraId="615ECC27">
      <w:pPr>
        <w:pStyle w:val="23"/>
        <w:spacing w:before="0" w:after="0" w:line="360" w:lineRule="auto"/>
        <w:jc w:val="left"/>
        <w:outlineLvl w:val="1"/>
        <w:rPr>
          <w:rFonts w:hint="eastAsia" w:ascii="宋体" w:hAnsi="宋体" w:eastAsia="宋体" w:cs="宋体"/>
          <w:color w:val="000000"/>
          <w:lang w:val="zh-CN"/>
        </w:rPr>
      </w:pPr>
      <w:r>
        <w:rPr>
          <w:rFonts w:hint="eastAsia" w:ascii="宋体" w:hAnsi="宋体" w:eastAsia="宋体" w:cs="宋体"/>
          <w:color w:val="000000"/>
          <w:kern w:val="0"/>
          <w:sz w:val="24"/>
          <w:lang w:val="zh-CN"/>
        </w:rPr>
        <w:br w:type="page"/>
      </w:r>
      <w:bookmarkEnd w:id="60"/>
      <w:bookmarkStart w:id="63" w:name="_Toc320"/>
      <w:bookmarkStart w:id="64" w:name="_Toc8344"/>
      <w:r>
        <w:rPr>
          <w:rFonts w:hint="eastAsia" w:ascii="宋体" w:hAnsi="宋体" w:eastAsia="宋体" w:cs="宋体"/>
          <w:color w:val="000000"/>
          <w:sz w:val="30"/>
          <w:szCs w:val="30"/>
        </w:rPr>
        <w:t>（6）</w:t>
      </w:r>
      <w:r>
        <w:rPr>
          <w:rFonts w:hint="eastAsia" w:ascii="宋体" w:hAnsi="宋体" w:eastAsia="宋体" w:cs="宋体"/>
          <w:color w:val="000000"/>
          <w:sz w:val="30"/>
          <w:szCs w:val="30"/>
          <w:lang w:val="zh-CN"/>
        </w:rPr>
        <w:t>资格证明材料</w:t>
      </w:r>
      <w:bookmarkEnd w:id="63"/>
    </w:p>
    <w:p w14:paraId="63A1E533">
      <w:pPr>
        <w:spacing w:line="360" w:lineRule="auto"/>
        <w:rPr>
          <w:rFonts w:hint="eastAsia" w:ascii="宋体" w:hAnsi="宋体" w:eastAsia="宋体" w:cs="宋体"/>
          <w:color w:val="000000"/>
          <w:sz w:val="28"/>
          <w:szCs w:val="28"/>
          <w:lang w:val="zh-CN"/>
        </w:rPr>
      </w:pPr>
    </w:p>
    <w:p w14:paraId="177801B2">
      <w:pPr>
        <w:autoSpaceDE w:val="0"/>
        <w:autoSpaceDN w:val="0"/>
        <w:spacing w:line="360" w:lineRule="auto"/>
        <w:jc w:val="center"/>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28"/>
          <w:szCs w:val="28"/>
          <w:lang w:val="zh-CN"/>
        </w:rPr>
        <w:t>资格证明材料</w:t>
      </w:r>
    </w:p>
    <w:p w14:paraId="67131D6A">
      <w:pPr>
        <w:autoSpaceDE w:val="0"/>
        <w:autoSpaceDN w:val="0"/>
        <w:spacing w:line="360" w:lineRule="auto"/>
        <w:rPr>
          <w:rFonts w:hint="eastAsia" w:ascii="宋体" w:hAnsi="宋体" w:eastAsia="宋体" w:cs="宋体"/>
          <w:color w:val="000000"/>
          <w:kern w:val="0"/>
          <w:sz w:val="28"/>
          <w:szCs w:val="28"/>
          <w:lang w:val="zh-CN"/>
        </w:rPr>
      </w:pPr>
    </w:p>
    <w:p w14:paraId="3B927068">
      <w:pPr>
        <w:spacing w:line="360" w:lineRule="auto"/>
        <w:ind w:firstLine="480" w:firstLineChars="200"/>
        <w:rPr>
          <w:rFonts w:hint="eastAsia" w:ascii="宋体" w:hAnsi="宋体" w:eastAsia="宋体" w:cs="宋体"/>
          <w:color w:val="000000"/>
        </w:rPr>
      </w:pPr>
      <w:r>
        <w:rPr>
          <w:rFonts w:hint="eastAsia" w:ascii="宋体" w:hAnsi="宋体" w:eastAsia="宋体" w:cs="宋体"/>
          <w:color w:val="000000"/>
        </w:rPr>
        <w:t>资格证明材料包括：</w:t>
      </w:r>
    </w:p>
    <w:p w14:paraId="04BEBC69">
      <w:pPr>
        <w:spacing w:line="360" w:lineRule="auto"/>
        <w:rPr>
          <w:rFonts w:hint="eastAsia" w:ascii="宋体" w:hAnsi="宋体" w:eastAsia="宋体" w:cs="宋体"/>
          <w:color w:val="000000"/>
        </w:rPr>
      </w:pPr>
      <w:r>
        <w:rPr>
          <w:rFonts w:hint="eastAsia" w:ascii="宋体" w:hAnsi="宋体" w:eastAsia="宋体" w:cs="宋体"/>
          <w:color w:val="000000"/>
        </w:rPr>
        <w:t xml:space="preserve">     （1）提供有效的营业执照及其他资格证明文件（扫描或复印件）；</w:t>
      </w:r>
    </w:p>
    <w:p w14:paraId="6E5E088C">
      <w:pPr>
        <w:spacing w:line="360" w:lineRule="auto"/>
        <w:ind w:firstLine="480" w:firstLineChars="200"/>
        <w:rPr>
          <w:rFonts w:hint="eastAsia" w:ascii="宋体" w:hAnsi="宋体" w:eastAsia="宋体" w:cs="宋体"/>
          <w:color w:val="000000"/>
        </w:rPr>
      </w:pPr>
      <w:r>
        <w:rPr>
          <w:rFonts w:hint="eastAsia" w:ascii="宋体" w:hAnsi="宋体" w:eastAsia="宋体" w:cs="宋体"/>
          <w:color w:val="000000"/>
        </w:rPr>
        <w:t>（2）招标文件规定的有关资格证书、许可证书、认证等；</w:t>
      </w:r>
    </w:p>
    <w:p w14:paraId="6FE479B7">
      <w:pPr>
        <w:spacing w:line="360" w:lineRule="auto"/>
        <w:ind w:firstLine="480" w:firstLineChars="200"/>
        <w:rPr>
          <w:rFonts w:hint="eastAsia" w:ascii="宋体" w:hAnsi="宋体" w:eastAsia="宋体" w:cs="宋体"/>
          <w:color w:val="000000"/>
        </w:rPr>
      </w:pPr>
      <w:r>
        <w:rPr>
          <w:rFonts w:hint="eastAsia" w:ascii="宋体" w:hAnsi="宋体" w:eastAsia="宋体" w:cs="宋体"/>
          <w:color w:val="000000"/>
        </w:rPr>
        <w:t>（3）投标人认为有必要提供的其他资格证明文件。</w:t>
      </w:r>
    </w:p>
    <w:p w14:paraId="0CA5E95F">
      <w:pPr>
        <w:pStyle w:val="23"/>
        <w:spacing w:before="0" w:after="0" w:line="360" w:lineRule="auto"/>
        <w:jc w:val="left"/>
        <w:outlineLvl w:val="1"/>
        <w:rPr>
          <w:rFonts w:hint="eastAsia" w:ascii="宋体" w:hAnsi="宋体" w:eastAsia="宋体" w:cs="宋体"/>
          <w:color w:val="000000"/>
        </w:rPr>
      </w:pPr>
      <w:r>
        <w:rPr>
          <w:rFonts w:hint="eastAsia" w:ascii="宋体" w:hAnsi="宋体" w:eastAsia="宋体" w:cs="宋体"/>
          <w:color w:val="000000"/>
          <w:kern w:val="0"/>
          <w:sz w:val="24"/>
          <w:lang w:val="zh-CN"/>
        </w:rPr>
        <w:br w:type="page"/>
      </w:r>
      <w:bookmarkStart w:id="65" w:name="_Toc635"/>
      <w:r>
        <w:rPr>
          <w:rFonts w:hint="eastAsia" w:ascii="宋体" w:hAnsi="宋体" w:eastAsia="宋体" w:cs="宋体"/>
          <w:color w:val="000000"/>
          <w:sz w:val="30"/>
          <w:szCs w:val="30"/>
        </w:rPr>
        <w:t>（7）</w:t>
      </w:r>
      <w:r>
        <w:rPr>
          <w:rFonts w:hint="eastAsia" w:ascii="宋体" w:hAnsi="宋体" w:eastAsia="宋体" w:cs="宋体"/>
          <w:color w:val="000000"/>
          <w:sz w:val="30"/>
          <w:szCs w:val="30"/>
          <w:lang w:val="zh-CN"/>
        </w:rPr>
        <w:t>财务状况报告，依法缴纳税收和社会保障资金的相关材料</w:t>
      </w:r>
      <w:bookmarkEnd w:id="65"/>
    </w:p>
    <w:p w14:paraId="02FCF8F9">
      <w:pPr>
        <w:autoSpaceDE w:val="0"/>
        <w:autoSpaceDN w:val="0"/>
        <w:spacing w:line="360" w:lineRule="auto"/>
        <w:rPr>
          <w:rFonts w:hint="eastAsia" w:ascii="宋体" w:hAnsi="宋体" w:eastAsia="宋体" w:cs="宋体"/>
          <w:color w:val="000000"/>
          <w:kern w:val="0"/>
          <w:sz w:val="28"/>
          <w:szCs w:val="28"/>
          <w:lang w:val="zh-CN"/>
        </w:rPr>
      </w:pPr>
    </w:p>
    <w:p w14:paraId="46038562">
      <w:pPr>
        <w:autoSpaceDE w:val="0"/>
        <w:autoSpaceDN w:val="0"/>
        <w:spacing w:line="360" w:lineRule="auto"/>
        <w:jc w:val="center"/>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28"/>
          <w:szCs w:val="28"/>
          <w:lang w:val="zh-CN"/>
        </w:rPr>
        <w:t>财务状况报告，依法缴纳税收和社会保障资金的相关材料</w:t>
      </w:r>
    </w:p>
    <w:p w14:paraId="7AE866CD">
      <w:pPr>
        <w:autoSpaceDE w:val="0"/>
        <w:autoSpaceDN w:val="0"/>
        <w:spacing w:line="360" w:lineRule="auto"/>
        <w:rPr>
          <w:rFonts w:hint="eastAsia" w:ascii="宋体" w:hAnsi="宋体" w:eastAsia="宋体" w:cs="宋体"/>
          <w:color w:val="000000"/>
          <w:kern w:val="0"/>
          <w:sz w:val="28"/>
          <w:szCs w:val="28"/>
          <w:lang w:val="zh-CN"/>
        </w:rPr>
      </w:pPr>
    </w:p>
    <w:p w14:paraId="50A91D43">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1、投标人是法人的，提供基本开户银行近三个月内出具的资信证明（同时提供基本存款账户开户许可证）或</w:t>
      </w:r>
      <w:r>
        <w:rPr>
          <w:rFonts w:hint="eastAsia" w:ascii="宋体" w:hAnsi="宋体" w:eastAsia="宋体" w:cs="宋体"/>
          <w:color w:val="000000"/>
          <w:kern w:val="0"/>
        </w:rPr>
        <w:t>202</w:t>
      </w:r>
      <w:r>
        <w:rPr>
          <w:rFonts w:hint="eastAsia" w:ascii="宋体" w:hAnsi="宋体" w:cs="宋体"/>
          <w:color w:val="000000"/>
          <w:kern w:val="0"/>
          <w:lang w:val="en-US" w:eastAsia="zh-CN"/>
        </w:rPr>
        <w:t>3</w:t>
      </w:r>
      <w:r>
        <w:rPr>
          <w:rFonts w:hint="eastAsia" w:ascii="宋体" w:hAnsi="宋体" w:eastAsia="宋体" w:cs="宋体"/>
          <w:color w:val="000000"/>
          <w:kern w:val="0"/>
        </w:rPr>
        <w:t>年</w:t>
      </w:r>
      <w:r>
        <w:rPr>
          <w:rFonts w:hint="eastAsia" w:ascii="宋体" w:hAnsi="宋体" w:eastAsia="宋体" w:cs="宋体"/>
          <w:color w:val="000000"/>
          <w:kern w:val="0"/>
          <w:lang w:val="zh-CN"/>
        </w:rPr>
        <w:t>度</w:t>
      </w:r>
      <w:r>
        <w:rPr>
          <w:rFonts w:hint="eastAsia" w:ascii="宋体" w:hAnsi="宋体" w:eastAsia="宋体" w:cs="宋体"/>
        </w:rPr>
        <w:t>经第三方审计的财务状况报告</w:t>
      </w:r>
      <w:r>
        <w:rPr>
          <w:rFonts w:hint="eastAsia" w:ascii="宋体" w:hAnsi="宋体" w:eastAsia="宋体" w:cs="宋体"/>
          <w:color w:val="000000"/>
          <w:kern w:val="0"/>
          <w:lang w:val="zh-CN"/>
        </w:rPr>
        <w:t>（扫描或复印件应全面、完整、清晰），包括资产负债表、现金流量表、利润表和财务（会计）报表附注</w:t>
      </w:r>
      <w:r>
        <w:rPr>
          <w:rFonts w:hint="eastAsia" w:ascii="宋体" w:hAnsi="宋体" w:eastAsia="宋体" w:cs="宋体"/>
          <w:color w:val="000000"/>
          <w:kern w:val="0"/>
        </w:rPr>
        <w:t>，</w:t>
      </w:r>
      <w:r>
        <w:rPr>
          <w:rFonts w:hint="eastAsia" w:ascii="宋体" w:hAnsi="宋体" w:eastAsia="宋体" w:cs="宋体"/>
          <w:color w:val="000000"/>
          <w:kern w:val="0"/>
          <w:lang w:val="zh-CN"/>
        </w:rPr>
        <w:t>并提供第三方机构的营业执照、执业证书。</w:t>
      </w:r>
      <w:r>
        <w:rPr>
          <w:rFonts w:hint="eastAsia" w:ascii="宋体" w:hAnsi="宋体" w:eastAsia="宋体" w:cs="宋体"/>
        </w:rPr>
        <w:t>投标人是其他组织和自然人，没有经审计的财务报告，可以提供基本开户银行出具的资信证明（同时提供基本存款账户开户许可证）。</w:t>
      </w:r>
    </w:p>
    <w:p w14:paraId="16A4CE75">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2、近</w:t>
      </w:r>
      <w:r>
        <w:rPr>
          <w:rFonts w:hint="eastAsia" w:ascii="宋体" w:hAnsi="宋体" w:cs="宋体"/>
          <w:color w:val="000000"/>
          <w:kern w:val="0"/>
          <w:lang w:val="en-US" w:eastAsia="zh-CN"/>
        </w:rPr>
        <w:t>一</w:t>
      </w:r>
      <w:r>
        <w:rPr>
          <w:rFonts w:hint="eastAsia" w:ascii="宋体" w:hAnsi="宋体" w:eastAsia="宋体" w:cs="宋体"/>
          <w:color w:val="000000"/>
          <w:kern w:val="0"/>
          <w:lang w:val="zh-CN"/>
        </w:rPr>
        <w:t>年内任意</w:t>
      </w:r>
      <w:r>
        <w:rPr>
          <w:rFonts w:hint="eastAsia" w:ascii="宋体" w:hAnsi="宋体" w:cs="宋体"/>
          <w:color w:val="000000"/>
          <w:kern w:val="0"/>
          <w:lang w:val="en-US" w:eastAsia="zh-CN"/>
        </w:rPr>
        <w:t>一</w:t>
      </w:r>
      <w:r>
        <w:rPr>
          <w:rFonts w:hint="eastAsia" w:ascii="宋体" w:hAnsi="宋体" w:eastAsia="宋体" w:cs="宋体"/>
          <w:color w:val="000000"/>
          <w:kern w:val="0"/>
          <w:lang w:val="zh-CN"/>
        </w:rPr>
        <w:t>个月的依法缴纳税收和社会保障资金记录的证明材料；依法免税或不需要缴纳社会保障资金的投标人须提供相应文件证明其依法免税或不需要缴纳社会保障资金。</w:t>
      </w:r>
    </w:p>
    <w:p w14:paraId="470B391E">
      <w:pPr>
        <w:pStyle w:val="23"/>
        <w:spacing w:before="0" w:after="0" w:line="360" w:lineRule="auto"/>
        <w:jc w:val="left"/>
        <w:outlineLvl w:val="1"/>
        <w:rPr>
          <w:rFonts w:hint="eastAsia" w:ascii="宋体" w:hAnsi="宋体" w:eastAsia="宋体" w:cs="宋体"/>
          <w:color w:val="000000"/>
        </w:rPr>
      </w:pPr>
      <w:r>
        <w:rPr>
          <w:rFonts w:hint="eastAsia" w:ascii="宋体" w:hAnsi="宋体" w:eastAsia="宋体" w:cs="宋体"/>
          <w:color w:val="000000"/>
          <w:kern w:val="0"/>
          <w:sz w:val="24"/>
          <w:lang w:val="zh-CN"/>
        </w:rPr>
        <w:br w:type="page"/>
      </w:r>
      <w:bookmarkEnd w:id="64"/>
      <w:bookmarkStart w:id="66" w:name="_Toc9104"/>
      <w:bookmarkStart w:id="67" w:name="_Toc21530"/>
      <w:r>
        <w:rPr>
          <w:rFonts w:hint="eastAsia" w:ascii="宋体" w:hAnsi="宋体" w:eastAsia="宋体" w:cs="宋体"/>
          <w:color w:val="000000"/>
          <w:sz w:val="30"/>
          <w:szCs w:val="30"/>
        </w:rPr>
        <w:t>（8）</w:t>
      </w:r>
      <w:r>
        <w:rPr>
          <w:rFonts w:hint="eastAsia" w:ascii="宋体" w:hAnsi="宋体" w:eastAsia="宋体" w:cs="宋体"/>
          <w:color w:val="000000"/>
          <w:sz w:val="30"/>
          <w:szCs w:val="30"/>
          <w:lang w:val="zh-CN"/>
        </w:rPr>
        <w:t>具备履行合同所必需的设备和专业技术能力的证明材料</w:t>
      </w:r>
      <w:bookmarkEnd w:id="66"/>
    </w:p>
    <w:p w14:paraId="098D45E9">
      <w:pPr>
        <w:autoSpaceDE w:val="0"/>
        <w:autoSpaceDN w:val="0"/>
        <w:spacing w:line="360" w:lineRule="auto"/>
        <w:rPr>
          <w:rFonts w:hint="eastAsia" w:ascii="宋体" w:hAnsi="宋体" w:eastAsia="宋体" w:cs="宋体"/>
          <w:color w:val="000000"/>
          <w:kern w:val="0"/>
          <w:sz w:val="28"/>
          <w:szCs w:val="28"/>
          <w:lang w:val="zh-CN"/>
        </w:rPr>
      </w:pPr>
    </w:p>
    <w:p w14:paraId="0CE96053">
      <w:pPr>
        <w:autoSpaceDE w:val="0"/>
        <w:autoSpaceDN w:val="0"/>
        <w:spacing w:line="360" w:lineRule="auto"/>
        <w:jc w:val="center"/>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28"/>
          <w:szCs w:val="28"/>
          <w:lang w:val="zh-CN"/>
        </w:rPr>
        <w:t>具备履行合同所必需的设备和专业技术能力的证明材料</w:t>
      </w:r>
    </w:p>
    <w:p w14:paraId="36FEBD57">
      <w:pPr>
        <w:autoSpaceDE w:val="0"/>
        <w:autoSpaceDN w:val="0"/>
        <w:spacing w:line="360" w:lineRule="auto"/>
        <w:ind w:firstLine="480"/>
        <w:rPr>
          <w:rFonts w:hint="eastAsia" w:ascii="宋体" w:hAnsi="宋体" w:eastAsia="宋体" w:cs="宋体"/>
          <w:color w:val="000000"/>
          <w:kern w:val="0"/>
          <w:lang w:val="zh-CN"/>
        </w:rPr>
      </w:pPr>
    </w:p>
    <w:p w14:paraId="0246AC06">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为保证本项目合同的顺利履行，投标人必须具备履行合同的设备和专业技术能力，须提供必须具备履行合同的设备和专业技术能力的承诺函（格式自拟），并提供相关设备的购置发票或相关人员的职称证书、用工合同等证明材料</w:t>
      </w:r>
    </w:p>
    <w:p w14:paraId="14161F73">
      <w:pPr>
        <w:pStyle w:val="23"/>
        <w:spacing w:before="0" w:after="0" w:line="360" w:lineRule="auto"/>
        <w:jc w:val="left"/>
        <w:outlineLvl w:val="1"/>
        <w:rPr>
          <w:rFonts w:hint="eastAsia" w:ascii="宋体" w:hAnsi="宋体" w:eastAsia="宋体" w:cs="宋体"/>
          <w:color w:val="000000"/>
        </w:rPr>
      </w:pPr>
      <w:r>
        <w:rPr>
          <w:rFonts w:hint="eastAsia" w:ascii="宋体" w:hAnsi="宋体" w:eastAsia="宋体" w:cs="宋体"/>
          <w:color w:val="000000"/>
          <w:kern w:val="0"/>
          <w:sz w:val="24"/>
          <w:lang w:val="zh-CN"/>
        </w:rPr>
        <w:br w:type="page"/>
      </w:r>
      <w:bookmarkStart w:id="68" w:name="_Toc371"/>
      <w:r>
        <w:rPr>
          <w:rFonts w:hint="eastAsia" w:ascii="宋体" w:hAnsi="宋体" w:eastAsia="宋体" w:cs="宋体"/>
          <w:color w:val="000000"/>
          <w:sz w:val="30"/>
          <w:szCs w:val="30"/>
        </w:rPr>
        <w:t>（9）</w:t>
      </w:r>
      <w:r>
        <w:rPr>
          <w:rFonts w:hint="eastAsia" w:ascii="宋体" w:hAnsi="宋体" w:eastAsia="宋体" w:cs="宋体"/>
          <w:color w:val="000000"/>
          <w:sz w:val="30"/>
          <w:szCs w:val="30"/>
          <w:lang w:val="zh-CN"/>
        </w:rPr>
        <w:t>无重大违法记录声明</w:t>
      </w:r>
      <w:bookmarkEnd w:id="68"/>
    </w:p>
    <w:p w14:paraId="5F7C6A4A">
      <w:pPr>
        <w:autoSpaceDE w:val="0"/>
        <w:autoSpaceDN w:val="0"/>
        <w:spacing w:line="360" w:lineRule="auto"/>
        <w:rPr>
          <w:rFonts w:hint="eastAsia" w:ascii="宋体" w:hAnsi="宋体" w:eastAsia="宋体" w:cs="宋体"/>
          <w:color w:val="000000"/>
          <w:kern w:val="0"/>
          <w:sz w:val="28"/>
          <w:szCs w:val="28"/>
          <w:lang w:val="zh-CN"/>
        </w:rPr>
      </w:pPr>
    </w:p>
    <w:p w14:paraId="2B66F917">
      <w:pPr>
        <w:autoSpaceDE w:val="0"/>
        <w:autoSpaceDN w:val="0"/>
        <w:spacing w:line="360" w:lineRule="auto"/>
        <w:jc w:val="center"/>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28"/>
          <w:szCs w:val="28"/>
          <w:lang w:val="zh-CN"/>
        </w:rPr>
        <w:t>无重大违法记录声明</w:t>
      </w:r>
    </w:p>
    <w:p w14:paraId="68EF6831">
      <w:pPr>
        <w:spacing w:line="360" w:lineRule="auto"/>
        <w:rPr>
          <w:rFonts w:hint="eastAsia" w:ascii="宋体" w:hAnsi="宋体" w:eastAsia="宋体" w:cs="宋体"/>
          <w:b/>
          <w:bCs/>
          <w:color w:val="000000"/>
          <w:sz w:val="28"/>
          <w:szCs w:val="28"/>
        </w:rPr>
      </w:pPr>
    </w:p>
    <w:p w14:paraId="5BA305CC">
      <w:pPr>
        <w:spacing w:line="360" w:lineRule="auto"/>
        <w:rPr>
          <w:rFonts w:hint="eastAsia" w:ascii="宋体" w:hAnsi="宋体" w:eastAsia="宋体" w:cs="宋体"/>
          <w:b/>
          <w:bCs/>
          <w:color w:val="000000"/>
        </w:rPr>
      </w:pPr>
      <w:r>
        <w:rPr>
          <w:rFonts w:hint="eastAsia" w:ascii="宋体" w:hAnsi="宋体" w:eastAsia="宋体" w:cs="宋体"/>
          <w:b/>
          <w:bCs/>
          <w:color w:val="000000"/>
        </w:rPr>
        <w:t>致：</w:t>
      </w:r>
      <w:r>
        <w:rPr>
          <w:rFonts w:hint="eastAsia" w:ascii="宋体" w:hAnsi="宋体" w:eastAsia="宋体" w:cs="宋体"/>
          <w:b/>
          <w:bCs/>
          <w:color w:val="000000"/>
          <w:kern w:val="0"/>
          <w:lang w:val="zh-CN"/>
        </w:rPr>
        <w:t>青海君昱工程项目管理有限公司</w:t>
      </w:r>
    </w:p>
    <w:p w14:paraId="09AA2911">
      <w:pPr>
        <w:spacing w:line="360" w:lineRule="auto"/>
        <w:ind w:firstLine="480" w:firstLineChars="200"/>
        <w:rPr>
          <w:rFonts w:hint="eastAsia" w:ascii="宋体" w:hAnsi="宋体" w:eastAsia="宋体" w:cs="宋体"/>
          <w:color w:val="000000"/>
          <w:shd w:val="clear" w:color="auto" w:fill="FFFFFF"/>
        </w:rPr>
      </w:pPr>
      <w:r>
        <w:rPr>
          <w:rFonts w:hint="eastAsia" w:ascii="宋体" w:hAnsi="宋体" w:eastAsia="宋体" w:cs="宋体"/>
          <w:color w:val="000000"/>
        </w:rPr>
        <w:t>我单位参加本次政府采购项目活动前三年内，在经营活动中无重大违法活动记录，符合《政府采购法》规定的供应商资格条</w:t>
      </w:r>
      <w:r>
        <w:rPr>
          <w:rFonts w:hint="eastAsia" w:ascii="宋体" w:hAnsi="宋体" w:eastAsia="宋体" w:cs="宋体"/>
          <w:color w:val="000000"/>
          <w:shd w:val="clear" w:color="auto" w:fill="FFFFFF"/>
        </w:rPr>
        <w:t>件。我方对此声明负全部法律责任。</w:t>
      </w:r>
    </w:p>
    <w:p w14:paraId="1D4A909E">
      <w:pPr>
        <w:spacing w:line="360" w:lineRule="auto"/>
        <w:ind w:firstLine="480" w:firstLineChars="200"/>
        <w:rPr>
          <w:rFonts w:hint="eastAsia" w:ascii="宋体" w:hAnsi="宋体" w:eastAsia="宋体" w:cs="宋体"/>
          <w:color w:val="000000"/>
        </w:rPr>
      </w:pPr>
      <w:r>
        <w:rPr>
          <w:rFonts w:hint="eastAsia" w:ascii="宋体" w:hAnsi="宋体" w:eastAsia="宋体" w:cs="宋体"/>
          <w:color w:val="000000"/>
        </w:rPr>
        <w:t>特此声明。</w:t>
      </w:r>
    </w:p>
    <w:p w14:paraId="6E7CB5F5">
      <w:pPr>
        <w:autoSpaceDE w:val="0"/>
        <w:autoSpaceDN w:val="0"/>
        <w:spacing w:line="360" w:lineRule="auto"/>
        <w:jc w:val="left"/>
        <w:rPr>
          <w:rFonts w:hint="eastAsia" w:ascii="宋体" w:hAnsi="宋体" w:eastAsia="宋体" w:cs="宋体"/>
          <w:color w:val="000000"/>
          <w:kern w:val="0"/>
          <w:lang w:val="zh-CN"/>
        </w:rPr>
      </w:pPr>
    </w:p>
    <w:p w14:paraId="2A8A2C75">
      <w:pPr>
        <w:autoSpaceDE w:val="0"/>
        <w:autoSpaceDN w:val="0"/>
        <w:spacing w:line="360" w:lineRule="auto"/>
        <w:jc w:val="left"/>
        <w:rPr>
          <w:rFonts w:hint="eastAsia" w:ascii="宋体" w:hAnsi="宋体" w:eastAsia="宋体" w:cs="宋体"/>
          <w:color w:val="000000"/>
          <w:kern w:val="0"/>
          <w:lang w:val="zh-CN"/>
        </w:rPr>
      </w:pPr>
    </w:p>
    <w:p w14:paraId="1396FD23">
      <w:pPr>
        <w:autoSpaceDE w:val="0"/>
        <w:autoSpaceDN w:val="0"/>
        <w:spacing w:line="360" w:lineRule="auto"/>
        <w:jc w:val="left"/>
        <w:rPr>
          <w:rFonts w:hint="eastAsia" w:ascii="宋体" w:hAnsi="宋体" w:eastAsia="宋体" w:cs="宋体"/>
          <w:color w:val="000000"/>
          <w:kern w:val="0"/>
          <w:lang w:val="zh-CN"/>
        </w:rPr>
      </w:pPr>
    </w:p>
    <w:p w14:paraId="4CB23124">
      <w:pPr>
        <w:autoSpaceDE w:val="0"/>
        <w:autoSpaceDN w:val="0"/>
        <w:spacing w:line="360" w:lineRule="auto"/>
        <w:jc w:val="left"/>
        <w:rPr>
          <w:rFonts w:hint="eastAsia" w:ascii="宋体" w:hAnsi="宋体" w:eastAsia="宋体" w:cs="宋体"/>
          <w:color w:val="000000"/>
          <w:kern w:val="0"/>
          <w:lang w:val="zh-CN"/>
        </w:rPr>
      </w:pPr>
    </w:p>
    <w:p w14:paraId="51877995">
      <w:pPr>
        <w:autoSpaceDE w:val="0"/>
        <w:autoSpaceDN w:val="0"/>
        <w:spacing w:line="360" w:lineRule="auto"/>
        <w:jc w:val="left"/>
        <w:rPr>
          <w:rFonts w:hint="eastAsia" w:ascii="宋体" w:hAnsi="宋体" w:eastAsia="宋体" w:cs="宋体"/>
          <w:color w:val="000000"/>
          <w:kern w:val="0"/>
          <w:lang w:val="zh-CN"/>
        </w:rPr>
      </w:pPr>
    </w:p>
    <w:p w14:paraId="28927A91">
      <w:pPr>
        <w:autoSpaceDE w:val="0"/>
        <w:autoSpaceDN w:val="0"/>
        <w:spacing w:line="360" w:lineRule="auto"/>
        <w:ind w:firstLine="1928" w:firstLineChars="800"/>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投标人：</w:t>
      </w:r>
      <w:r>
        <w:rPr>
          <w:rFonts w:hint="eastAsia" w:ascii="宋体" w:hAnsi="宋体" w:eastAsia="宋体" w:cs="宋体"/>
          <w:b/>
          <w:bCs/>
          <w:color w:val="000000"/>
          <w:kern w:val="0"/>
          <w:u w:val="single"/>
          <w:lang w:val="zh-CN"/>
        </w:rPr>
        <w:t xml:space="preserve">           </w:t>
      </w:r>
      <w:r>
        <w:rPr>
          <w:rFonts w:hint="eastAsia" w:ascii="宋体" w:hAnsi="宋体" w:eastAsia="宋体" w:cs="宋体"/>
          <w:b/>
          <w:bCs/>
          <w:color w:val="000000"/>
          <w:kern w:val="0"/>
          <w:u w:val="single"/>
        </w:rPr>
        <w:t xml:space="preserve">           </w:t>
      </w:r>
      <w:r>
        <w:rPr>
          <w:rFonts w:hint="eastAsia" w:ascii="宋体" w:hAnsi="宋体" w:eastAsia="宋体" w:cs="宋体"/>
          <w:b/>
          <w:bCs/>
          <w:color w:val="000000"/>
          <w:kern w:val="0"/>
          <w:u w:val="single"/>
          <w:lang w:val="zh-CN"/>
        </w:rPr>
        <w:t xml:space="preserve">  </w:t>
      </w:r>
      <w:r>
        <w:rPr>
          <w:rFonts w:hint="eastAsia" w:ascii="宋体" w:hAnsi="宋体" w:eastAsia="宋体" w:cs="宋体"/>
          <w:b/>
          <w:bCs/>
          <w:color w:val="000000"/>
          <w:kern w:val="0"/>
          <w:lang w:val="zh-CN"/>
        </w:rPr>
        <w:t>（公章）</w:t>
      </w:r>
    </w:p>
    <w:p w14:paraId="0E9C8140">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法定代表人或委托代理人：</w:t>
      </w:r>
      <w:r>
        <w:rPr>
          <w:rFonts w:hint="eastAsia" w:ascii="宋体" w:hAnsi="宋体" w:eastAsia="宋体" w:cs="宋体"/>
          <w:b/>
          <w:bCs/>
          <w:color w:val="000000"/>
          <w:kern w:val="0"/>
          <w:u w:val="single"/>
          <w:lang w:val="zh-CN"/>
        </w:rPr>
        <w:t xml:space="preserve">        </w:t>
      </w:r>
      <w:r>
        <w:rPr>
          <w:rFonts w:hint="eastAsia" w:ascii="宋体" w:hAnsi="宋体" w:eastAsia="宋体" w:cs="宋体"/>
          <w:b/>
          <w:bCs/>
          <w:color w:val="000000"/>
          <w:kern w:val="0"/>
          <w:lang w:val="zh-CN"/>
        </w:rPr>
        <w:t>（签字或盖章）</w:t>
      </w:r>
    </w:p>
    <w:p w14:paraId="00A5AFD9">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年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月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日</w:t>
      </w:r>
    </w:p>
    <w:p w14:paraId="45405063">
      <w:pPr>
        <w:pStyle w:val="23"/>
        <w:spacing w:before="0" w:after="0" w:line="360" w:lineRule="auto"/>
        <w:jc w:val="left"/>
        <w:outlineLvl w:val="1"/>
        <w:rPr>
          <w:rFonts w:hint="eastAsia" w:ascii="宋体" w:hAnsi="宋体" w:eastAsia="宋体" w:cs="宋体"/>
          <w:color w:val="000000"/>
          <w:lang w:val="zh-CN"/>
        </w:rPr>
      </w:pPr>
      <w:r>
        <w:rPr>
          <w:rFonts w:hint="eastAsia" w:ascii="宋体" w:hAnsi="宋体" w:eastAsia="宋体" w:cs="宋体"/>
          <w:color w:val="000000"/>
          <w:lang w:val="zh-CN"/>
        </w:rPr>
        <w:br w:type="page"/>
      </w:r>
      <w:bookmarkStart w:id="69" w:name="_Toc22040"/>
      <w:bookmarkStart w:id="70" w:name="_Toc29764"/>
      <w:r>
        <w:rPr>
          <w:rFonts w:hint="eastAsia" w:ascii="宋体" w:hAnsi="宋体" w:eastAsia="宋体" w:cs="宋体"/>
          <w:color w:val="000000"/>
          <w:sz w:val="30"/>
          <w:szCs w:val="30"/>
        </w:rPr>
        <w:t>（10）</w:t>
      </w:r>
      <w:r>
        <w:rPr>
          <w:rFonts w:hint="eastAsia" w:ascii="宋体" w:hAnsi="宋体" w:eastAsia="宋体" w:cs="宋体"/>
          <w:color w:val="000000"/>
          <w:sz w:val="30"/>
          <w:szCs w:val="30"/>
          <w:lang w:val="zh-CN"/>
        </w:rPr>
        <w:t>投标保证金证明</w:t>
      </w:r>
      <w:bookmarkEnd w:id="69"/>
      <w:bookmarkEnd w:id="70"/>
    </w:p>
    <w:p w14:paraId="3091E011">
      <w:pPr>
        <w:spacing w:line="360" w:lineRule="auto"/>
        <w:rPr>
          <w:rFonts w:hint="eastAsia" w:ascii="宋体" w:hAnsi="宋体" w:eastAsia="宋体" w:cs="宋体"/>
          <w:color w:val="000000"/>
          <w:sz w:val="28"/>
          <w:szCs w:val="28"/>
          <w:lang w:val="zh-CN"/>
        </w:rPr>
      </w:pPr>
    </w:p>
    <w:p w14:paraId="7AF80638">
      <w:pPr>
        <w:autoSpaceDE w:val="0"/>
        <w:autoSpaceDN w:val="0"/>
        <w:spacing w:line="360" w:lineRule="auto"/>
        <w:jc w:val="center"/>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28"/>
          <w:szCs w:val="28"/>
          <w:lang w:val="zh-CN"/>
        </w:rPr>
        <w:t>投标保证金证明</w:t>
      </w:r>
    </w:p>
    <w:p w14:paraId="5150A160">
      <w:pPr>
        <w:autoSpaceDE w:val="0"/>
        <w:autoSpaceDN w:val="0"/>
        <w:spacing w:line="360" w:lineRule="auto"/>
        <w:rPr>
          <w:rFonts w:hint="eastAsia" w:ascii="宋体" w:hAnsi="宋体" w:eastAsia="宋体" w:cs="宋体"/>
          <w:b/>
          <w:bCs/>
          <w:color w:val="000000"/>
          <w:kern w:val="0"/>
          <w:sz w:val="28"/>
          <w:szCs w:val="28"/>
          <w:lang w:val="zh-CN"/>
        </w:rPr>
      </w:pPr>
    </w:p>
    <w:p w14:paraId="44B78A38">
      <w:pPr>
        <w:autoSpaceDE w:val="0"/>
        <w:autoSpaceDN w:val="0"/>
        <w:spacing w:line="360" w:lineRule="auto"/>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致：青海君昱工程项目管理有限公司</w:t>
      </w:r>
    </w:p>
    <w:p w14:paraId="68328BFE">
      <w:pPr>
        <w:autoSpaceDE w:val="0"/>
        <w:autoSpaceDN w:val="0"/>
        <w:spacing w:line="360" w:lineRule="auto"/>
        <w:ind w:firstLine="360"/>
        <w:rPr>
          <w:rFonts w:hint="eastAsia" w:ascii="宋体" w:hAnsi="宋体" w:eastAsia="宋体" w:cs="宋体"/>
          <w:color w:val="000000"/>
          <w:kern w:val="0"/>
          <w:lang w:val="zh-CN"/>
        </w:rPr>
      </w:pPr>
      <w:r>
        <w:rPr>
          <w:rFonts w:hint="eastAsia" w:ascii="宋体" w:hAnsi="宋体" w:eastAsia="宋体" w:cs="宋体"/>
          <w:color w:val="000000"/>
          <w:kern w:val="0"/>
          <w:lang w:val="zh-CN"/>
        </w:rPr>
        <w:t>我方为（采购项目名称</w:t>
      </w:r>
      <w:r>
        <w:rPr>
          <w:rFonts w:hint="eastAsia" w:ascii="宋体" w:hAnsi="宋体" w:cs="宋体"/>
          <w:color w:val="000000"/>
          <w:kern w:val="0"/>
          <w:lang w:val="zh-CN"/>
        </w:rPr>
        <w:t>（</w:t>
      </w:r>
      <w:r>
        <w:rPr>
          <w:rFonts w:hint="eastAsia" w:ascii="宋体" w:hAnsi="宋体" w:cs="宋体"/>
          <w:color w:val="000000"/>
          <w:kern w:val="0"/>
          <w:lang w:val="en-US" w:eastAsia="zh-CN"/>
        </w:rPr>
        <w:t>包号</w:t>
      </w:r>
      <w:r>
        <w:rPr>
          <w:rFonts w:hint="eastAsia" w:ascii="宋体" w:hAnsi="宋体" w:cs="宋体"/>
          <w:color w:val="000000"/>
          <w:kern w:val="0"/>
          <w:lang w:val="zh-CN"/>
        </w:rPr>
        <w:t>）</w:t>
      </w:r>
      <w:r>
        <w:rPr>
          <w:rFonts w:hint="eastAsia" w:ascii="宋体" w:hAnsi="宋体" w:eastAsia="宋体" w:cs="宋体"/>
          <w:color w:val="000000"/>
          <w:kern w:val="0"/>
          <w:lang w:val="zh-CN"/>
        </w:rPr>
        <w:t>）项目（采购项目编号为：</w:t>
      </w:r>
      <w:r>
        <w:rPr>
          <w:rFonts w:hint="eastAsia" w:ascii="宋体" w:hAnsi="宋体" w:eastAsia="宋体" w:cs="宋体"/>
          <w:color w:val="000000"/>
          <w:kern w:val="0"/>
          <w:u w:val="single"/>
          <w:lang w:val="zh-CN"/>
        </w:rPr>
        <w:t xml:space="preserve">        </w:t>
      </w:r>
      <w:r>
        <w:rPr>
          <w:rFonts w:hint="eastAsia" w:ascii="宋体" w:hAnsi="宋体" w:eastAsia="宋体" w:cs="宋体"/>
          <w:color w:val="000000"/>
          <w:kern w:val="0"/>
          <w:lang w:val="zh-CN"/>
        </w:rPr>
        <w:t>）递交保证金人民币       （大写：人民币</w:t>
      </w:r>
      <w:r>
        <w:rPr>
          <w:rFonts w:hint="eastAsia" w:ascii="宋体" w:hAnsi="宋体" w:eastAsia="宋体" w:cs="宋体"/>
          <w:color w:val="000000"/>
          <w:kern w:val="0"/>
          <w:u w:val="single"/>
          <w:lang w:val="zh-CN"/>
        </w:rPr>
        <w:t xml:space="preserve">        </w:t>
      </w:r>
      <w:r>
        <w:rPr>
          <w:rFonts w:hint="eastAsia" w:ascii="宋体" w:hAnsi="宋体" w:eastAsia="宋体" w:cs="宋体"/>
          <w:color w:val="000000"/>
          <w:kern w:val="0"/>
          <w:lang w:val="zh-CN"/>
        </w:rPr>
        <w:t>元）已于</w:t>
      </w:r>
      <w:r>
        <w:rPr>
          <w:rFonts w:hint="eastAsia" w:ascii="宋体" w:hAnsi="宋体" w:eastAsia="宋体" w:cs="宋体"/>
          <w:color w:val="000000"/>
          <w:kern w:val="0"/>
          <w:u w:val="single"/>
          <w:lang w:val="zh-CN"/>
        </w:rPr>
        <w:t xml:space="preserve">     </w:t>
      </w:r>
      <w:r>
        <w:rPr>
          <w:rFonts w:hint="eastAsia" w:ascii="宋体" w:hAnsi="宋体" w:eastAsia="宋体" w:cs="宋体"/>
          <w:color w:val="000000"/>
          <w:kern w:val="0"/>
          <w:lang w:val="zh-CN"/>
        </w:rPr>
        <w:t>年</w:t>
      </w:r>
      <w:r>
        <w:rPr>
          <w:rFonts w:hint="eastAsia" w:ascii="宋体" w:hAnsi="宋体" w:eastAsia="宋体" w:cs="宋体"/>
          <w:color w:val="000000"/>
          <w:kern w:val="0"/>
          <w:u w:val="single"/>
          <w:lang w:val="zh-CN"/>
        </w:rPr>
        <w:t xml:space="preserve">    </w:t>
      </w:r>
      <w:r>
        <w:rPr>
          <w:rFonts w:hint="eastAsia" w:ascii="宋体" w:hAnsi="宋体" w:eastAsia="宋体" w:cs="宋体"/>
          <w:color w:val="000000"/>
          <w:kern w:val="0"/>
          <w:lang w:val="zh-CN"/>
        </w:rPr>
        <w:t>月</w:t>
      </w:r>
      <w:r>
        <w:rPr>
          <w:rFonts w:hint="eastAsia" w:ascii="宋体" w:hAnsi="宋体" w:eastAsia="宋体" w:cs="宋体"/>
          <w:color w:val="000000"/>
          <w:kern w:val="0"/>
          <w:u w:val="single"/>
          <w:lang w:val="zh-CN"/>
        </w:rPr>
        <w:t xml:space="preserve">    </w:t>
      </w:r>
      <w:r>
        <w:rPr>
          <w:rFonts w:hint="eastAsia" w:ascii="宋体" w:hAnsi="宋体" w:eastAsia="宋体" w:cs="宋体"/>
          <w:color w:val="000000"/>
          <w:kern w:val="0"/>
          <w:lang w:val="zh-CN"/>
        </w:rPr>
        <w:t>日以基本户转账方式汇入你方账户。</w:t>
      </w:r>
    </w:p>
    <w:p w14:paraId="6D3DE387">
      <w:pPr>
        <w:autoSpaceDE w:val="0"/>
        <w:autoSpaceDN w:val="0"/>
        <w:spacing w:line="360" w:lineRule="auto"/>
        <w:ind w:firstLine="360"/>
        <w:rPr>
          <w:rFonts w:hint="eastAsia" w:ascii="宋体" w:hAnsi="宋体" w:eastAsia="宋体" w:cs="宋体"/>
          <w:color w:val="000000"/>
          <w:kern w:val="0"/>
          <w:lang w:val="zh-CN"/>
        </w:rPr>
      </w:pPr>
      <w:r>
        <w:rPr>
          <w:rFonts w:hint="eastAsia" w:ascii="宋体" w:hAnsi="宋体" w:eastAsia="宋体" w:cs="宋体"/>
          <w:color w:val="000000"/>
          <w:kern w:val="0"/>
          <w:lang w:val="zh-CN"/>
        </w:rPr>
        <w:t>附件：保证金交款证明复印件（加盖公章）</w:t>
      </w:r>
    </w:p>
    <w:p w14:paraId="2304D9B6">
      <w:pPr>
        <w:autoSpaceDE w:val="0"/>
        <w:autoSpaceDN w:val="0"/>
        <w:spacing w:line="360" w:lineRule="auto"/>
        <w:ind w:firstLine="360"/>
        <w:rPr>
          <w:rFonts w:hint="eastAsia" w:ascii="宋体" w:hAnsi="宋体" w:eastAsia="宋体" w:cs="宋体"/>
          <w:color w:val="000000"/>
          <w:kern w:val="0"/>
          <w:lang w:val="zh-CN"/>
        </w:rPr>
      </w:pPr>
      <w:r>
        <w:rPr>
          <w:rFonts w:hint="eastAsia" w:ascii="宋体" w:hAnsi="宋体" w:eastAsia="宋体" w:cs="宋体"/>
          <w:color w:val="000000"/>
          <w:kern w:val="0"/>
          <w:lang w:val="zh-CN"/>
        </w:rPr>
        <w:t>退还保证金时请按以下内容汇入至我方账户（同递交保证金账户）。若因提供内容不全、错误等原因导致该项目保证金未能及时退还或退还过程中发生错误，我方将承担全部责任和损失。</w:t>
      </w:r>
    </w:p>
    <w:p w14:paraId="7D37AFBB">
      <w:pPr>
        <w:autoSpaceDE w:val="0"/>
        <w:autoSpaceDN w:val="0"/>
        <w:spacing w:line="360" w:lineRule="auto"/>
        <w:ind w:firstLine="360"/>
        <w:rPr>
          <w:rFonts w:hint="eastAsia" w:ascii="宋体" w:hAnsi="宋体" w:eastAsia="宋体" w:cs="宋体"/>
          <w:color w:val="000000"/>
          <w:kern w:val="0"/>
          <w:lang w:val="zh-CN"/>
        </w:rPr>
      </w:pPr>
      <w:r>
        <w:rPr>
          <w:rFonts w:hint="eastAsia" w:ascii="宋体" w:hAnsi="宋体" w:eastAsia="宋体" w:cs="宋体"/>
          <w:color w:val="000000"/>
          <w:kern w:val="0"/>
          <w:lang w:val="zh-CN"/>
        </w:rPr>
        <w:t>户    名：</w:t>
      </w:r>
    </w:p>
    <w:p w14:paraId="4FC10251">
      <w:pPr>
        <w:autoSpaceDE w:val="0"/>
        <w:autoSpaceDN w:val="0"/>
        <w:spacing w:line="360" w:lineRule="auto"/>
        <w:ind w:firstLine="360"/>
        <w:rPr>
          <w:rFonts w:hint="eastAsia" w:ascii="宋体" w:hAnsi="宋体" w:eastAsia="宋体" w:cs="宋体"/>
          <w:color w:val="000000"/>
          <w:kern w:val="0"/>
          <w:lang w:val="zh-CN"/>
        </w:rPr>
      </w:pPr>
      <w:r>
        <w:rPr>
          <w:rFonts w:hint="eastAsia" w:ascii="宋体" w:hAnsi="宋体" w:eastAsia="宋体" w:cs="宋体"/>
          <w:color w:val="000000"/>
          <w:kern w:val="0"/>
          <w:lang w:val="zh-CN"/>
        </w:rPr>
        <w:t>开户银行：</w:t>
      </w:r>
    </w:p>
    <w:p w14:paraId="6D25A2E5">
      <w:pPr>
        <w:autoSpaceDE w:val="0"/>
        <w:autoSpaceDN w:val="0"/>
        <w:spacing w:line="360" w:lineRule="auto"/>
        <w:ind w:firstLine="360"/>
        <w:rPr>
          <w:rFonts w:hint="eastAsia" w:ascii="宋体" w:hAnsi="宋体" w:eastAsia="宋体" w:cs="宋体"/>
          <w:color w:val="000000"/>
          <w:kern w:val="0"/>
          <w:lang w:val="zh-CN"/>
        </w:rPr>
      </w:pPr>
      <w:r>
        <w:rPr>
          <w:rFonts w:hint="eastAsia" w:ascii="宋体" w:hAnsi="宋体" w:eastAsia="宋体" w:cs="宋体"/>
          <w:color w:val="000000"/>
          <w:kern w:val="0"/>
          <w:lang w:val="zh-CN"/>
        </w:rPr>
        <w:t>开户帐号：</w:t>
      </w:r>
    </w:p>
    <w:p w14:paraId="7C5A50BC">
      <w:pPr>
        <w:autoSpaceDE w:val="0"/>
        <w:autoSpaceDN w:val="0"/>
        <w:spacing w:line="360" w:lineRule="auto"/>
        <w:ind w:firstLine="360"/>
        <w:rPr>
          <w:rFonts w:hint="eastAsia" w:ascii="宋体" w:hAnsi="宋体" w:eastAsia="宋体" w:cs="宋体"/>
          <w:color w:val="000000"/>
          <w:kern w:val="0"/>
          <w:lang w:val="zh-CN"/>
        </w:rPr>
      </w:pPr>
    </w:p>
    <w:p w14:paraId="55D35987">
      <w:pPr>
        <w:autoSpaceDE w:val="0"/>
        <w:autoSpaceDN w:val="0"/>
        <w:spacing w:line="360" w:lineRule="auto"/>
        <w:ind w:firstLine="360"/>
        <w:rPr>
          <w:rFonts w:hint="eastAsia" w:ascii="宋体" w:hAnsi="宋体" w:eastAsia="宋体" w:cs="宋体"/>
          <w:color w:val="000000"/>
          <w:kern w:val="0"/>
          <w:lang w:val="zh-CN"/>
        </w:rPr>
      </w:pPr>
    </w:p>
    <w:p w14:paraId="2AA72915">
      <w:pPr>
        <w:autoSpaceDE w:val="0"/>
        <w:autoSpaceDN w:val="0"/>
        <w:spacing w:line="360" w:lineRule="auto"/>
        <w:ind w:firstLine="360"/>
        <w:rPr>
          <w:rFonts w:hint="eastAsia" w:ascii="宋体" w:hAnsi="宋体" w:eastAsia="宋体" w:cs="宋体"/>
          <w:color w:val="000000"/>
          <w:kern w:val="0"/>
          <w:lang w:val="zh-CN"/>
        </w:rPr>
      </w:pPr>
    </w:p>
    <w:p w14:paraId="2775F284">
      <w:pPr>
        <w:autoSpaceDE w:val="0"/>
        <w:autoSpaceDN w:val="0"/>
        <w:spacing w:line="360" w:lineRule="auto"/>
        <w:ind w:firstLine="1928" w:firstLineChars="800"/>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投标人：</w:t>
      </w:r>
      <w:r>
        <w:rPr>
          <w:rFonts w:hint="eastAsia" w:ascii="宋体" w:hAnsi="宋体" w:eastAsia="宋体" w:cs="宋体"/>
          <w:b/>
          <w:bCs/>
          <w:color w:val="000000"/>
          <w:kern w:val="0"/>
          <w:u w:val="single"/>
          <w:lang w:val="zh-CN"/>
        </w:rPr>
        <w:t xml:space="preserve">           </w:t>
      </w:r>
      <w:r>
        <w:rPr>
          <w:rFonts w:hint="eastAsia" w:ascii="宋体" w:hAnsi="宋体" w:eastAsia="宋体" w:cs="宋体"/>
          <w:b/>
          <w:bCs/>
          <w:color w:val="000000"/>
          <w:kern w:val="0"/>
          <w:u w:val="single"/>
        </w:rPr>
        <w:t xml:space="preserve">           </w:t>
      </w:r>
      <w:r>
        <w:rPr>
          <w:rFonts w:hint="eastAsia" w:ascii="宋体" w:hAnsi="宋体" w:eastAsia="宋体" w:cs="宋体"/>
          <w:b/>
          <w:bCs/>
          <w:color w:val="000000"/>
          <w:kern w:val="0"/>
          <w:u w:val="single"/>
          <w:lang w:val="zh-CN"/>
        </w:rPr>
        <w:t xml:space="preserve">  </w:t>
      </w:r>
      <w:r>
        <w:rPr>
          <w:rFonts w:hint="eastAsia" w:ascii="宋体" w:hAnsi="宋体" w:eastAsia="宋体" w:cs="宋体"/>
          <w:b/>
          <w:bCs/>
          <w:color w:val="000000"/>
          <w:kern w:val="0"/>
          <w:lang w:val="zh-CN"/>
        </w:rPr>
        <w:t>（公章）</w:t>
      </w:r>
    </w:p>
    <w:p w14:paraId="7F70E3EF">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法定代表人或委托代理人：</w:t>
      </w:r>
      <w:r>
        <w:rPr>
          <w:rFonts w:hint="eastAsia" w:ascii="宋体" w:hAnsi="宋体" w:eastAsia="宋体" w:cs="宋体"/>
          <w:b/>
          <w:bCs/>
          <w:color w:val="000000"/>
          <w:kern w:val="0"/>
          <w:u w:val="single"/>
          <w:lang w:val="zh-CN"/>
        </w:rPr>
        <w:t xml:space="preserve">        </w:t>
      </w:r>
      <w:r>
        <w:rPr>
          <w:rFonts w:hint="eastAsia" w:ascii="宋体" w:hAnsi="宋体" w:eastAsia="宋体" w:cs="宋体"/>
          <w:b/>
          <w:bCs/>
          <w:color w:val="000000"/>
          <w:kern w:val="0"/>
          <w:lang w:val="zh-CN"/>
        </w:rPr>
        <w:t>（签字或盖章）</w:t>
      </w:r>
    </w:p>
    <w:p w14:paraId="6C8F22D3">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年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月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日</w:t>
      </w:r>
    </w:p>
    <w:p w14:paraId="3BD46883">
      <w:pPr>
        <w:autoSpaceDE w:val="0"/>
        <w:autoSpaceDN w:val="0"/>
        <w:spacing w:line="360" w:lineRule="auto"/>
        <w:rPr>
          <w:rFonts w:hint="eastAsia" w:ascii="宋体" w:hAnsi="宋体" w:eastAsia="宋体" w:cs="宋体"/>
          <w:b/>
          <w:bCs/>
          <w:color w:val="000000"/>
          <w:kern w:val="0"/>
          <w:lang w:val="zh-CN"/>
        </w:rPr>
      </w:pPr>
    </w:p>
    <w:bookmarkEnd w:id="67"/>
    <w:p w14:paraId="19F79D32">
      <w:pPr>
        <w:rPr>
          <w:rFonts w:hint="eastAsia" w:ascii="宋体" w:hAnsi="宋体" w:eastAsia="宋体" w:cs="宋体"/>
          <w:kern w:val="0"/>
          <w:lang w:val="zh-CN"/>
        </w:rPr>
      </w:pPr>
      <w:r>
        <w:rPr>
          <w:rFonts w:hint="eastAsia" w:ascii="宋体" w:hAnsi="宋体" w:eastAsia="宋体" w:cs="宋体"/>
          <w:kern w:val="0"/>
          <w:lang w:val="zh-CN"/>
        </w:rPr>
        <w:br w:type="page"/>
      </w:r>
    </w:p>
    <w:p w14:paraId="5276DAC3">
      <w:pPr>
        <w:rPr>
          <w:rFonts w:hint="eastAsia" w:ascii="宋体" w:hAnsi="宋体" w:eastAsia="宋体" w:cs="宋体"/>
          <w:kern w:val="0"/>
          <w:lang w:val="zh-CN"/>
        </w:rPr>
      </w:pPr>
    </w:p>
    <w:p w14:paraId="354D1CF3">
      <w:pPr>
        <w:rPr>
          <w:rFonts w:hint="eastAsia" w:ascii="宋体" w:hAnsi="宋体" w:eastAsia="宋体" w:cs="宋体"/>
          <w:b/>
          <w:sz w:val="36"/>
          <w:szCs w:val="36"/>
        </w:rPr>
      </w:pPr>
      <w:r>
        <w:rPr>
          <w:rFonts w:hint="eastAsia" w:ascii="宋体" w:hAnsi="宋体" w:eastAsia="宋体" w:cs="宋体"/>
          <w:b/>
          <w:sz w:val="36"/>
          <w:szCs w:val="36"/>
          <w:lang w:val="zh-CN"/>
        </w:rPr>
        <w:t>（下册）</w:t>
      </w:r>
    </w:p>
    <w:p w14:paraId="40E7BEBB">
      <w:pPr>
        <w:autoSpaceDE w:val="0"/>
        <w:autoSpaceDN w:val="0"/>
        <w:spacing w:line="360" w:lineRule="auto"/>
        <w:jc w:val="right"/>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rPr>
        <w:t>正本/副本</w:t>
      </w:r>
    </w:p>
    <w:p w14:paraId="56058A30">
      <w:pPr>
        <w:autoSpaceDE w:val="0"/>
        <w:autoSpaceDN w:val="0"/>
        <w:spacing w:line="360" w:lineRule="auto"/>
        <w:jc w:val="center"/>
        <w:rPr>
          <w:rFonts w:hint="eastAsia" w:ascii="宋体" w:hAnsi="宋体" w:eastAsia="宋体" w:cs="宋体"/>
          <w:b/>
          <w:bCs/>
          <w:color w:val="000000"/>
          <w:kern w:val="0"/>
          <w:sz w:val="52"/>
          <w:szCs w:val="52"/>
          <w:lang w:val="zh-CN"/>
        </w:rPr>
      </w:pPr>
      <w:r>
        <w:rPr>
          <w:rFonts w:hint="eastAsia" w:ascii="宋体" w:hAnsi="宋体" w:eastAsia="宋体" w:cs="宋体"/>
          <w:b/>
          <w:bCs/>
          <w:color w:val="000000"/>
          <w:kern w:val="0"/>
          <w:sz w:val="52"/>
          <w:szCs w:val="52"/>
          <w:lang w:val="zh-CN"/>
        </w:rPr>
        <w:t>青海省政府采购项目</w:t>
      </w:r>
    </w:p>
    <w:p w14:paraId="1C98D23F">
      <w:pPr>
        <w:autoSpaceDE w:val="0"/>
        <w:autoSpaceDN w:val="0"/>
        <w:spacing w:line="360" w:lineRule="auto"/>
        <w:rPr>
          <w:rFonts w:hint="eastAsia" w:ascii="宋体" w:hAnsi="宋体" w:eastAsia="宋体" w:cs="宋体"/>
          <w:color w:val="000000"/>
          <w:kern w:val="0"/>
          <w:sz w:val="36"/>
          <w:szCs w:val="36"/>
        </w:rPr>
      </w:pPr>
    </w:p>
    <w:p w14:paraId="00BB41CC">
      <w:pPr>
        <w:autoSpaceDE w:val="0"/>
        <w:autoSpaceDN w:val="0"/>
        <w:spacing w:line="360" w:lineRule="auto"/>
        <w:jc w:val="center"/>
        <w:rPr>
          <w:rFonts w:hint="eastAsia" w:ascii="宋体" w:hAnsi="宋体" w:eastAsia="宋体" w:cs="宋体"/>
          <w:b/>
          <w:bCs/>
          <w:color w:val="000000"/>
          <w:kern w:val="0"/>
          <w:sz w:val="72"/>
          <w:szCs w:val="72"/>
        </w:rPr>
      </w:pPr>
      <w:r>
        <w:rPr>
          <w:rFonts w:hint="eastAsia" w:ascii="宋体" w:hAnsi="宋体" w:eastAsia="宋体" w:cs="宋体"/>
          <w:b/>
          <w:bCs/>
          <w:color w:val="000000"/>
          <w:kern w:val="0"/>
          <w:sz w:val="72"/>
          <w:szCs w:val="72"/>
          <w:lang w:val="zh-CN"/>
        </w:rPr>
        <w:t>投</w:t>
      </w:r>
      <w:r>
        <w:rPr>
          <w:rFonts w:hint="eastAsia" w:ascii="宋体" w:hAnsi="宋体" w:eastAsia="宋体" w:cs="宋体"/>
          <w:b/>
          <w:bCs/>
          <w:color w:val="000000"/>
          <w:kern w:val="0"/>
          <w:sz w:val="72"/>
          <w:szCs w:val="72"/>
        </w:rPr>
        <w:t xml:space="preserve"> </w:t>
      </w:r>
      <w:r>
        <w:rPr>
          <w:rFonts w:hint="eastAsia" w:ascii="宋体" w:hAnsi="宋体" w:eastAsia="宋体" w:cs="宋体"/>
          <w:b/>
          <w:bCs/>
          <w:color w:val="000000"/>
          <w:kern w:val="0"/>
          <w:sz w:val="72"/>
          <w:szCs w:val="72"/>
          <w:lang w:val="zh-CN"/>
        </w:rPr>
        <w:t>标</w:t>
      </w:r>
      <w:r>
        <w:rPr>
          <w:rFonts w:hint="eastAsia" w:ascii="宋体" w:hAnsi="宋体" w:eastAsia="宋体" w:cs="宋体"/>
          <w:b/>
          <w:bCs/>
          <w:color w:val="000000"/>
          <w:kern w:val="0"/>
          <w:sz w:val="72"/>
          <w:szCs w:val="72"/>
        </w:rPr>
        <w:t xml:space="preserve"> </w:t>
      </w:r>
      <w:r>
        <w:rPr>
          <w:rFonts w:hint="eastAsia" w:ascii="宋体" w:hAnsi="宋体" w:eastAsia="宋体" w:cs="宋体"/>
          <w:b/>
          <w:bCs/>
          <w:color w:val="000000"/>
          <w:kern w:val="0"/>
          <w:sz w:val="72"/>
          <w:szCs w:val="72"/>
          <w:lang w:val="zh-CN"/>
        </w:rPr>
        <w:t>文</w:t>
      </w:r>
      <w:r>
        <w:rPr>
          <w:rFonts w:hint="eastAsia" w:ascii="宋体" w:hAnsi="宋体" w:eastAsia="宋体" w:cs="宋体"/>
          <w:b/>
          <w:bCs/>
          <w:color w:val="000000"/>
          <w:kern w:val="0"/>
          <w:sz w:val="72"/>
          <w:szCs w:val="72"/>
        </w:rPr>
        <w:t xml:space="preserve"> </w:t>
      </w:r>
      <w:r>
        <w:rPr>
          <w:rFonts w:hint="eastAsia" w:ascii="宋体" w:hAnsi="宋体" w:eastAsia="宋体" w:cs="宋体"/>
          <w:b/>
          <w:bCs/>
          <w:color w:val="000000"/>
          <w:kern w:val="0"/>
          <w:sz w:val="72"/>
          <w:szCs w:val="72"/>
          <w:lang w:val="zh-CN"/>
        </w:rPr>
        <w:t>件</w:t>
      </w:r>
    </w:p>
    <w:p w14:paraId="581FA791">
      <w:pPr>
        <w:autoSpaceDE w:val="0"/>
        <w:autoSpaceDN w:val="0"/>
        <w:spacing w:line="360" w:lineRule="auto"/>
        <w:jc w:val="center"/>
        <w:rPr>
          <w:rFonts w:hint="eastAsia" w:ascii="宋体" w:hAnsi="宋体" w:eastAsia="宋体" w:cs="宋体"/>
          <w:color w:val="000000"/>
          <w:kern w:val="0"/>
          <w:sz w:val="44"/>
          <w:szCs w:val="44"/>
        </w:rPr>
      </w:pPr>
      <w:r>
        <w:rPr>
          <w:rFonts w:hint="eastAsia" w:ascii="宋体" w:hAnsi="宋体" w:eastAsia="宋体" w:cs="宋体"/>
          <w:b/>
          <w:bCs/>
          <w:color w:val="000000"/>
          <w:sz w:val="44"/>
          <w:szCs w:val="44"/>
          <w:lang w:val="zh-CN"/>
        </w:rPr>
        <w:t>（下册）</w:t>
      </w:r>
    </w:p>
    <w:p w14:paraId="072FFA13">
      <w:pPr>
        <w:autoSpaceDE w:val="0"/>
        <w:autoSpaceDN w:val="0"/>
        <w:spacing w:line="360" w:lineRule="auto"/>
        <w:rPr>
          <w:rFonts w:hint="eastAsia" w:ascii="宋体" w:hAnsi="宋体" w:eastAsia="宋体" w:cs="宋体"/>
          <w:color w:val="000000"/>
          <w:kern w:val="0"/>
          <w:sz w:val="36"/>
          <w:szCs w:val="36"/>
        </w:rPr>
      </w:pPr>
    </w:p>
    <w:p w14:paraId="1960D802">
      <w:pPr>
        <w:autoSpaceDE w:val="0"/>
        <w:autoSpaceDN w:val="0"/>
        <w:spacing w:line="360" w:lineRule="auto"/>
        <w:rPr>
          <w:rFonts w:hint="eastAsia" w:ascii="宋体" w:hAnsi="宋体" w:eastAsia="宋体" w:cs="宋体"/>
          <w:color w:val="000000"/>
          <w:kern w:val="0"/>
          <w:sz w:val="36"/>
          <w:szCs w:val="36"/>
        </w:rPr>
      </w:pPr>
    </w:p>
    <w:p w14:paraId="41E1F921">
      <w:pPr>
        <w:autoSpaceDE w:val="0"/>
        <w:autoSpaceDN w:val="0"/>
        <w:spacing w:line="360" w:lineRule="auto"/>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lang w:val="zh-CN"/>
        </w:rPr>
        <w:t>采购项目编号：</w:t>
      </w:r>
    </w:p>
    <w:p w14:paraId="36F19C46">
      <w:pPr>
        <w:autoSpaceDE w:val="0"/>
        <w:autoSpaceDN w:val="0"/>
        <w:spacing w:line="360" w:lineRule="auto"/>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lang w:val="zh-CN"/>
        </w:rPr>
        <w:t>采购项目名称</w:t>
      </w:r>
      <w:r>
        <w:rPr>
          <w:rFonts w:hint="eastAsia" w:ascii="宋体" w:hAnsi="宋体" w:eastAsia="宋体" w:cs="宋体"/>
          <w:b/>
          <w:bCs/>
          <w:color w:val="000000"/>
          <w:kern w:val="0"/>
          <w:sz w:val="36"/>
          <w:szCs w:val="36"/>
        </w:rPr>
        <w:t>：</w:t>
      </w:r>
    </w:p>
    <w:p w14:paraId="56CB870C">
      <w:pPr>
        <w:autoSpaceDE w:val="0"/>
        <w:autoSpaceDN w:val="0"/>
        <w:spacing w:line="360" w:lineRule="auto"/>
        <w:rPr>
          <w:rFonts w:hint="eastAsia" w:ascii="宋体" w:hAnsi="宋体" w:eastAsia="宋体" w:cs="宋体"/>
          <w:b/>
          <w:bCs/>
          <w:color w:val="000000"/>
          <w:kern w:val="0"/>
          <w:sz w:val="36"/>
          <w:szCs w:val="36"/>
          <w:lang w:val="en-US" w:eastAsia="zh-CN"/>
        </w:rPr>
      </w:pPr>
      <w:r>
        <w:rPr>
          <w:rFonts w:hint="eastAsia" w:ascii="宋体" w:hAnsi="宋体" w:cs="宋体"/>
          <w:b/>
          <w:bCs/>
          <w:color w:val="000000"/>
          <w:kern w:val="0"/>
          <w:sz w:val="36"/>
          <w:szCs w:val="36"/>
          <w:lang w:val="en-US" w:eastAsia="zh-CN"/>
        </w:rPr>
        <w:t>包号：</w:t>
      </w:r>
    </w:p>
    <w:p w14:paraId="57D8801A">
      <w:pPr>
        <w:autoSpaceDE w:val="0"/>
        <w:autoSpaceDN w:val="0"/>
        <w:spacing w:line="360" w:lineRule="auto"/>
        <w:rPr>
          <w:rFonts w:hint="eastAsia" w:ascii="宋体" w:hAnsi="宋体" w:eastAsia="宋体" w:cs="宋体"/>
          <w:b/>
          <w:bCs/>
          <w:color w:val="000000"/>
          <w:kern w:val="0"/>
          <w:sz w:val="36"/>
          <w:szCs w:val="36"/>
        </w:rPr>
      </w:pPr>
    </w:p>
    <w:p w14:paraId="5AFBD460">
      <w:pPr>
        <w:autoSpaceDE w:val="0"/>
        <w:autoSpaceDN w:val="0"/>
        <w:spacing w:line="360" w:lineRule="auto"/>
        <w:rPr>
          <w:rFonts w:hint="eastAsia" w:ascii="宋体" w:hAnsi="宋体" w:eastAsia="宋体" w:cs="宋体"/>
          <w:b/>
          <w:bCs/>
          <w:color w:val="000000"/>
          <w:kern w:val="0"/>
          <w:sz w:val="36"/>
          <w:szCs w:val="36"/>
        </w:rPr>
      </w:pPr>
    </w:p>
    <w:p w14:paraId="7F382C29">
      <w:pPr>
        <w:autoSpaceDE w:val="0"/>
        <w:autoSpaceDN w:val="0"/>
        <w:spacing w:line="360" w:lineRule="auto"/>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投标人：</w:t>
      </w:r>
      <w:r>
        <w:rPr>
          <w:rFonts w:hint="eastAsia" w:ascii="宋体" w:hAnsi="宋体" w:eastAsia="宋体" w:cs="宋体"/>
          <w:b/>
          <w:bCs/>
          <w:color w:val="000000"/>
          <w:kern w:val="0"/>
          <w:sz w:val="36"/>
          <w:szCs w:val="36"/>
          <w:u w:val="single"/>
        </w:rPr>
        <w:t xml:space="preserve">                          </w:t>
      </w:r>
      <w:r>
        <w:rPr>
          <w:rFonts w:hint="eastAsia" w:ascii="宋体" w:hAnsi="宋体" w:eastAsia="宋体" w:cs="宋体"/>
          <w:b/>
          <w:bCs/>
          <w:color w:val="000000"/>
          <w:kern w:val="0"/>
          <w:sz w:val="36"/>
          <w:szCs w:val="36"/>
        </w:rPr>
        <w:t>（</w:t>
      </w:r>
      <w:r>
        <w:rPr>
          <w:rFonts w:hint="eastAsia" w:ascii="宋体" w:hAnsi="宋体" w:eastAsia="宋体" w:cs="宋体"/>
          <w:b/>
          <w:bCs/>
          <w:color w:val="000000"/>
          <w:kern w:val="0"/>
          <w:sz w:val="36"/>
          <w:szCs w:val="36"/>
          <w:lang w:val="zh-CN"/>
        </w:rPr>
        <w:t>公章）</w:t>
      </w:r>
    </w:p>
    <w:p w14:paraId="490E2A4C">
      <w:pPr>
        <w:autoSpaceDE w:val="0"/>
        <w:autoSpaceDN w:val="0"/>
        <w:spacing w:line="360" w:lineRule="auto"/>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法定代表人或委托代理人：</w:t>
      </w:r>
      <w:r>
        <w:rPr>
          <w:rFonts w:hint="eastAsia" w:ascii="宋体" w:hAnsi="宋体" w:eastAsia="宋体" w:cs="宋体"/>
          <w:b/>
          <w:bCs/>
          <w:color w:val="000000"/>
          <w:kern w:val="0"/>
          <w:sz w:val="36"/>
          <w:szCs w:val="36"/>
          <w:u w:val="single"/>
        </w:rPr>
        <w:t xml:space="preserve">     </w:t>
      </w:r>
      <w:r>
        <w:rPr>
          <w:rFonts w:hint="eastAsia" w:ascii="宋体" w:hAnsi="宋体" w:eastAsia="宋体" w:cs="宋体"/>
          <w:b/>
          <w:bCs/>
          <w:color w:val="000000"/>
          <w:kern w:val="0"/>
          <w:sz w:val="36"/>
          <w:szCs w:val="36"/>
          <w:lang w:val="zh-CN"/>
        </w:rPr>
        <w:t>（签字或盖章）</w:t>
      </w:r>
    </w:p>
    <w:p w14:paraId="2258669A">
      <w:pPr>
        <w:autoSpaceDE w:val="0"/>
        <w:autoSpaceDN w:val="0"/>
        <w:spacing w:line="360" w:lineRule="auto"/>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年</w:t>
      </w: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月</w:t>
      </w: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日</w:t>
      </w:r>
    </w:p>
    <w:p w14:paraId="49917E8D">
      <w:pPr>
        <w:pStyle w:val="23"/>
        <w:spacing w:before="0" w:after="0" w:line="360" w:lineRule="auto"/>
        <w:jc w:val="left"/>
        <w:rPr>
          <w:rFonts w:hint="eastAsia" w:ascii="宋体" w:hAnsi="宋体" w:eastAsia="宋体" w:cs="宋体"/>
          <w:color w:val="000000"/>
          <w:lang w:val="zh-CN"/>
        </w:rPr>
      </w:pPr>
      <w:r>
        <w:rPr>
          <w:rFonts w:hint="eastAsia" w:ascii="宋体" w:hAnsi="宋体" w:eastAsia="宋体" w:cs="宋体"/>
          <w:b w:val="0"/>
          <w:bCs w:val="0"/>
          <w:color w:val="000000"/>
          <w:kern w:val="0"/>
          <w:lang w:val="zh-CN"/>
        </w:rPr>
        <w:br w:type="page"/>
      </w:r>
      <w:bookmarkStart w:id="71" w:name="_Toc14382"/>
      <w:r>
        <w:rPr>
          <w:rFonts w:hint="eastAsia" w:ascii="宋体" w:hAnsi="宋体" w:eastAsia="宋体" w:cs="宋体"/>
          <w:color w:val="000000"/>
          <w:sz w:val="30"/>
          <w:szCs w:val="30"/>
          <w:lang w:val="zh-CN"/>
        </w:rPr>
        <w:t>目录（下册）</w:t>
      </w:r>
      <w:bookmarkEnd w:id="71"/>
    </w:p>
    <w:p w14:paraId="7BCAEACA">
      <w:pPr>
        <w:numPr>
          <w:ilvl w:val="0"/>
          <w:numId w:val="0"/>
        </w:num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sz w:val="24"/>
          <w:szCs w:val="24"/>
          <w:lang w:val="zh-CN" w:eastAsia="zh-CN" w:bidi="ar-SA"/>
        </w:rPr>
        <w:t>（11）</w:t>
      </w:r>
      <w:r>
        <w:rPr>
          <w:rFonts w:hint="eastAsia" w:ascii="宋体" w:hAnsi="宋体" w:eastAsia="宋体" w:cs="宋体"/>
          <w:color w:val="000000"/>
        </w:rPr>
        <w:t>评分对照表</w:t>
      </w:r>
      <w:r>
        <w:rPr>
          <w:rFonts w:hint="eastAsia" w:ascii="宋体" w:hAnsi="宋体" w:eastAsia="宋体" w:cs="宋体"/>
          <w:color w:val="000000"/>
          <w:kern w:val="0"/>
          <w:lang w:val="zh-CN"/>
        </w:rPr>
        <w:t>……………………………………………………………………所在页码</w:t>
      </w:r>
    </w:p>
    <w:p w14:paraId="1D4F04D2">
      <w:pPr>
        <w:numPr>
          <w:ilvl w:val="0"/>
          <w:numId w:val="0"/>
        </w:num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sz w:val="24"/>
          <w:szCs w:val="24"/>
          <w:lang w:val="zh-CN" w:eastAsia="zh-CN" w:bidi="ar-SA"/>
        </w:rPr>
        <w:t>（12）</w:t>
      </w:r>
      <w:r>
        <w:rPr>
          <w:rFonts w:hint="eastAsia" w:ascii="宋体" w:hAnsi="宋体" w:eastAsia="宋体" w:cs="宋体"/>
          <w:color w:val="000000"/>
          <w:kern w:val="0"/>
          <w:lang w:val="zh-CN"/>
        </w:rPr>
        <w:t>开标一览表（报价表）………………………………………………………所在页码</w:t>
      </w:r>
    </w:p>
    <w:p w14:paraId="76A23FB2">
      <w:pPr>
        <w:numPr>
          <w:ilvl w:val="0"/>
          <w:numId w:val="0"/>
        </w:num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sz w:val="24"/>
          <w:szCs w:val="24"/>
          <w:lang w:val="zh-CN" w:eastAsia="zh-CN" w:bidi="ar-SA"/>
        </w:rPr>
        <w:t>（13）</w:t>
      </w:r>
      <w:r>
        <w:rPr>
          <w:rFonts w:hint="eastAsia" w:ascii="宋体" w:hAnsi="宋体" w:eastAsia="宋体" w:cs="宋体"/>
          <w:color w:val="000000"/>
          <w:kern w:val="0"/>
          <w:lang w:val="zh-CN"/>
        </w:rPr>
        <w:t>分项报价表……………………………………………………………………所在页码</w:t>
      </w:r>
    </w:p>
    <w:p w14:paraId="56A73294">
      <w:pPr>
        <w:numPr>
          <w:ilvl w:val="0"/>
          <w:numId w:val="0"/>
        </w:num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sz w:val="24"/>
          <w:szCs w:val="24"/>
          <w:lang w:val="zh-CN" w:eastAsia="zh-CN" w:bidi="ar-SA"/>
        </w:rPr>
        <w:t>（14）</w:t>
      </w:r>
      <w:r>
        <w:rPr>
          <w:rFonts w:hint="eastAsia" w:ascii="宋体" w:hAnsi="宋体" w:eastAsia="宋体" w:cs="宋体"/>
          <w:color w:val="000000"/>
          <w:kern w:val="0"/>
          <w:lang w:val="zh-CN"/>
        </w:rPr>
        <w:t>技术规格响应表………………………………………………………………所在页码</w:t>
      </w:r>
    </w:p>
    <w:p w14:paraId="546BBB7A">
      <w:pPr>
        <w:numPr>
          <w:ilvl w:val="0"/>
          <w:numId w:val="0"/>
        </w:num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sz w:val="24"/>
          <w:szCs w:val="24"/>
          <w:lang w:val="zh-CN" w:eastAsia="zh-CN" w:bidi="ar-SA"/>
        </w:rPr>
        <w:t>（15）</w:t>
      </w:r>
      <w:r>
        <w:rPr>
          <w:rFonts w:hint="eastAsia" w:ascii="宋体" w:hAnsi="宋体" w:eastAsia="宋体" w:cs="宋体"/>
          <w:color w:val="000000"/>
          <w:kern w:val="0"/>
          <w:lang w:val="zh-CN"/>
        </w:rPr>
        <w:t>投标产品相关资料……………………………………………………………所在页码</w:t>
      </w:r>
    </w:p>
    <w:p w14:paraId="4070C51D">
      <w:pPr>
        <w:numPr>
          <w:ilvl w:val="0"/>
          <w:numId w:val="0"/>
        </w:num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sz w:val="24"/>
          <w:szCs w:val="24"/>
          <w:lang w:val="zh-CN" w:eastAsia="zh-CN" w:bidi="ar-SA"/>
        </w:rPr>
        <w:t>（16）</w:t>
      </w:r>
      <w:r>
        <w:rPr>
          <w:rFonts w:hint="eastAsia" w:ascii="宋体" w:hAnsi="宋体" w:eastAsia="宋体" w:cs="宋体"/>
          <w:color w:val="000000"/>
          <w:kern w:val="0"/>
          <w:lang w:val="zh-CN"/>
        </w:rPr>
        <w:t>投标人的类似业绩证明材料…………………………………………………所在页码</w:t>
      </w:r>
    </w:p>
    <w:p w14:paraId="5A79993B">
      <w:pPr>
        <w:numPr>
          <w:ilvl w:val="0"/>
          <w:numId w:val="0"/>
        </w:numPr>
        <w:autoSpaceDE w:val="0"/>
        <w:autoSpaceDN w:val="0"/>
        <w:spacing w:line="360" w:lineRule="auto"/>
        <w:rPr>
          <w:rFonts w:hint="eastAsia" w:ascii="宋体" w:hAnsi="宋体" w:eastAsia="宋体" w:cs="宋体"/>
          <w:color w:val="000000"/>
          <w:lang w:val="zh-CN"/>
        </w:rPr>
      </w:pPr>
      <w:r>
        <w:rPr>
          <w:rFonts w:hint="eastAsia" w:ascii="宋体" w:hAnsi="宋体" w:eastAsia="宋体" w:cs="宋体"/>
          <w:color w:val="000000"/>
          <w:kern w:val="2"/>
          <w:sz w:val="24"/>
          <w:szCs w:val="24"/>
          <w:lang w:val="zh-CN" w:eastAsia="zh-CN" w:bidi="ar-SA"/>
        </w:rPr>
        <w:t>（17）</w:t>
      </w:r>
      <w:r>
        <w:rPr>
          <w:rFonts w:hint="eastAsia" w:ascii="宋体" w:hAnsi="宋体" w:eastAsia="宋体" w:cs="宋体"/>
          <w:color w:val="000000"/>
          <w:kern w:val="0"/>
          <w:lang w:val="zh-CN"/>
        </w:rPr>
        <w:t>中小企业声明函………………………………………………………………所在页码</w:t>
      </w:r>
    </w:p>
    <w:p w14:paraId="05022008">
      <w:pPr>
        <w:numPr>
          <w:ilvl w:val="0"/>
          <w:numId w:val="0"/>
        </w:num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sz w:val="24"/>
          <w:szCs w:val="24"/>
          <w:lang w:val="zh-CN" w:eastAsia="zh-CN" w:bidi="ar-SA"/>
        </w:rPr>
        <w:t>（18）</w:t>
      </w:r>
      <w:r>
        <w:rPr>
          <w:rFonts w:hint="eastAsia" w:ascii="宋体" w:hAnsi="宋体" w:eastAsia="宋体" w:cs="宋体"/>
          <w:color w:val="000000"/>
          <w:kern w:val="0"/>
          <w:lang w:val="zh-CN"/>
        </w:rPr>
        <w:t>残疾人福利性单位声明函……………………………………………………所在页码</w:t>
      </w:r>
    </w:p>
    <w:p w14:paraId="35036273">
      <w:pPr>
        <w:numPr>
          <w:ilvl w:val="0"/>
          <w:numId w:val="0"/>
        </w:numPr>
        <w:autoSpaceDE w:val="0"/>
        <w:autoSpaceDN w:val="0"/>
        <w:spacing w:line="360" w:lineRule="auto"/>
        <w:rPr>
          <w:rFonts w:hint="eastAsia" w:ascii="宋体" w:hAnsi="宋体" w:eastAsia="宋体" w:cs="宋体"/>
          <w:color w:val="000000"/>
          <w:lang w:val="zh-CN"/>
        </w:rPr>
      </w:pPr>
      <w:r>
        <w:rPr>
          <w:rFonts w:hint="eastAsia" w:ascii="宋体" w:hAnsi="宋体" w:eastAsia="宋体" w:cs="宋体"/>
          <w:color w:val="000000"/>
          <w:kern w:val="2"/>
          <w:sz w:val="24"/>
          <w:szCs w:val="24"/>
          <w:lang w:val="zh-CN" w:eastAsia="zh-CN" w:bidi="ar-SA"/>
        </w:rPr>
        <w:t>（19）</w:t>
      </w:r>
      <w:r>
        <w:rPr>
          <w:rFonts w:hint="eastAsia" w:ascii="宋体" w:hAnsi="宋体" w:eastAsia="宋体" w:cs="宋体"/>
          <w:color w:val="000000"/>
          <w:kern w:val="0"/>
          <w:lang w:val="zh-CN"/>
        </w:rPr>
        <w:t>投标人认为在其他方面有必要说明的事项…………………………………所在页码</w:t>
      </w:r>
    </w:p>
    <w:p w14:paraId="4704A3BC">
      <w:pPr>
        <w:pStyle w:val="23"/>
        <w:spacing w:before="0" w:after="0" w:line="360" w:lineRule="auto"/>
        <w:jc w:val="left"/>
        <w:outlineLvl w:val="1"/>
        <w:rPr>
          <w:rFonts w:hint="eastAsia" w:ascii="宋体" w:hAnsi="宋体" w:eastAsia="宋体" w:cs="宋体"/>
          <w:color w:val="000000"/>
          <w:sz w:val="30"/>
          <w:szCs w:val="30"/>
          <w:lang w:val="zh-CN"/>
        </w:rPr>
      </w:pPr>
      <w:r>
        <w:rPr>
          <w:rFonts w:hint="eastAsia" w:ascii="宋体" w:hAnsi="宋体" w:eastAsia="宋体" w:cs="宋体"/>
          <w:color w:val="000000"/>
          <w:lang w:val="zh-CN"/>
        </w:rPr>
        <w:br w:type="page"/>
      </w:r>
      <w:bookmarkStart w:id="72" w:name="_Toc12554"/>
      <w:r>
        <w:rPr>
          <w:rFonts w:hint="eastAsia" w:ascii="宋体" w:hAnsi="宋体" w:eastAsia="宋体" w:cs="宋体"/>
          <w:color w:val="000000"/>
          <w:sz w:val="30"/>
          <w:szCs w:val="30"/>
        </w:rPr>
        <w:t>（11）</w:t>
      </w:r>
      <w:r>
        <w:rPr>
          <w:rFonts w:hint="eastAsia" w:ascii="宋体" w:hAnsi="宋体" w:eastAsia="宋体" w:cs="宋体"/>
          <w:color w:val="000000"/>
          <w:sz w:val="30"/>
          <w:szCs w:val="30"/>
          <w:lang w:val="zh-CN"/>
        </w:rPr>
        <w:t>评分对照表</w:t>
      </w:r>
      <w:bookmarkEnd w:id="72"/>
    </w:p>
    <w:p w14:paraId="40E3A055">
      <w:pPr>
        <w:spacing w:line="360" w:lineRule="auto"/>
        <w:rPr>
          <w:rFonts w:hint="eastAsia" w:ascii="宋体" w:hAnsi="宋体" w:eastAsia="宋体" w:cs="宋体"/>
          <w:color w:val="000000"/>
          <w:sz w:val="28"/>
          <w:szCs w:val="28"/>
        </w:rPr>
      </w:pPr>
    </w:p>
    <w:p w14:paraId="52756D27">
      <w:pPr>
        <w:spacing w:line="360" w:lineRule="auto"/>
        <w:jc w:val="center"/>
        <w:rPr>
          <w:rFonts w:hint="eastAsia" w:ascii="宋体" w:hAnsi="宋体" w:eastAsia="宋体" w:cs="宋体"/>
          <w:color w:val="000000"/>
        </w:rPr>
      </w:pPr>
      <w:r>
        <w:rPr>
          <w:rFonts w:hint="eastAsia" w:ascii="宋体" w:hAnsi="宋体" w:eastAsia="宋体" w:cs="宋体"/>
          <w:b/>
          <w:bCs/>
          <w:color w:val="000000"/>
          <w:sz w:val="28"/>
          <w:szCs w:val="28"/>
        </w:rPr>
        <w:t>评分对照表</w:t>
      </w:r>
    </w:p>
    <w:p w14:paraId="5CB29FFE">
      <w:pPr>
        <w:spacing w:line="360" w:lineRule="auto"/>
        <w:rPr>
          <w:rFonts w:hint="eastAsia" w:ascii="宋体" w:hAnsi="宋体" w:eastAsia="宋体" w:cs="宋体"/>
          <w:color w:val="000000"/>
          <w:sz w:val="28"/>
          <w:szCs w:val="28"/>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14:paraId="1A67A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42AFD3A9">
            <w:pPr>
              <w:pStyle w:val="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000000"/>
                <w:szCs w:val="24"/>
              </w:rPr>
            </w:pPr>
            <w:r>
              <w:rPr>
                <w:rFonts w:hint="eastAsia" w:ascii="宋体" w:hAnsi="宋体" w:eastAsia="宋体" w:cs="宋体"/>
                <w:color w:val="000000"/>
                <w:szCs w:val="24"/>
              </w:rPr>
              <w:t>序号</w:t>
            </w:r>
          </w:p>
        </w:tc>
        <w:tc>
          <w:tcPr>
            <w:tcW w:w="2514" w:type="dxa"/>
            <w:noWrap w:val="0"/>
            <w:vAlign w:val="center"/>
          </w:tcPr>
          <w:p w14:paraId="7A5C3EFC">
            <w:pPr>
              <w:pStyle w:val="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000000"/>
                <w:szCs w:val="24"/>
              </w:rPr>
            </w:pPr>
            <w:r>
              <w:rPr>
                <w:rFonts w:hint="eastAsia" w:ascii="宋体" w:hAnsi="宋体" w:eastAsia="宋体" w:cs="宋体"/>
                <w:color w:val="000000"/>
                <w:szCs w:val="24"/>
              </w:rPr>
              <w:t>招标文件评分标准</w:t>
            </w:r>
          </w:p>
        </w:tc>
        <w:tc>
          <w:tcPr>
            <w:tcW w:w="2266" w:type="dxa"/>
            <w:noWrap w:val="0"/>
            <w:vAlign w:val="center"/>
          </w:tcPr>
          <w:p w14:paraId="6CA28D21">
            <w:pPr>
              <w:pStyle w:val="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000000"/>
                <w:szCs w:val="24"/>
              </w:rPr>
            </w:pPr>
            <w:r>
              <w:rPr>
                <w:rFonts w:hint="eastAsia" w:ascii="宋体" w:hAnsi="宋体" w:eastAsia="宋体" w:cs="宋体"/>
                <w:color w:val="000000"/>
                <w:szCs w:val="24"/>
              </w:rPr>
              <w:t>投标响应部分</w:t>
            </w:r>
          </w:p>
        </w:tc>
        <w:tc>
          <w:tcPr>
            <w:tcW w:w="2966" w:type="dxa"/>
            <w:noWrap w:val="0"/>
            <w:vAlign w:val="center"/>
          </w:tcPr>
          <w:p w14:paraId="721F073F">
            <w:pPr>
              <w:pStyle w:val="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000000"/>
                <w:szCs w:val="24"/>
              </w:rPr>
            </w:pPr>
            <w:r>
              <w:rPr>
                <w:rFonts w:hint="eastAsia" w:ascii="宋体" w:hAnsi="宋体" w:eastAsia="宋体" w:cs="宋体"/>
                <w:color w:val="000000"/>
                <w:szCs w:val="24"/>
              </w:rPr>
              <w:t>投标文件中对应页码</w:t>
            </w:r>
          </w:p>
        </w:tc>
      </w:tr>
      <w:tr w14:paraId="048F6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747CA0E8">
            <w:pPr>
              <w:pStyle w:val="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000000"/>
                <w:szCs w:val="24"/>
              </w:rPr>
            </w:pPr>
          </w:p>
        </w:tc>
        <w:tc>
          <w:tcPr>
            <w:tcW w:w="2514" w:type="dxa"/>
            <w:noWrap w:val="0"/>
            <w:vAlign w:val="center"/>
          </w:tcPr>
          <w:p w14:paraId="3F6F035B">
            <w:pPr>
              <w:pStyle w:val="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000000"/>
                <w:szCs w:val="24"/>
              </w:rPr>
            </w:pPr>
          </w:p>
        </w:tc>
        <w:tc>
          <w:tcPr>
            <w:tcW w:w="2266" w:type="dxa"/>
            <w:noWrap w:val="0"/>
            <w:vAlign w:val="center"/>
          </w:tcPr>
          <w:p w14:paraId="01F09FF2">
            <w:pPr>
              <w:pStyle w:val="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000000"/>
                <w:szCs w:val="24"/>
              </w:rPr>
            </w:pPr>
          </w:p>
        </w:tc>
        <w:tc>
          <w:tcPr>
            <w:tcW w:w="2966" w:type="dxa"/>
            <w:noWrap w:val="0"/>
            <w:vAlign w:val="center"/>
          </w:tcPr>
          <w:p w14:paraId="178C2F82">
            <w:pPr>
              <w:pStyle w:val="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000000"/>
                <w:szCs w:val="24"/>
              </w:rPr>
            </w:pPr>
          </w:p>
        </w:tc>
      </w:tr>
      <w:tr w14:paraId="000A7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5BABA9C3">
            <w:pPr>
              <w:pStyle w:val="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000000"/>
                <w:szCs w:val="24"/>
              </w:rPr>
            </w:pPr>
          </w:p>
        </w:tc>
        <w:tc>
          <w:tcPr>
            <w:tcW w:w="2514" w:type="dxa"/>
            <w:noWrap w:val="0"/>
            <w:vAlign w:val="center"/>
          </w:tcPr>
          <w:p w14:paraId="78264F01">
            <w:pPr>
              <w:pStyle w:val="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000000"/>
                <w:szCs w:val="24"/>
              </w:rPr>
            </w:pPr>
          </w:p>
        </w:tc>
        <w:tc>
          <w:tcPr>
            <w:tcW w:w="2266" w:type="dxa"/>
            <w:noWrap w:val="0"/>
            <w:vAlign w:val="center"/>
          </w:tcPr>
          <w:p w14:paraId="17AC7FC6">
            <w:pPr>
              <w:pStyle w:val="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000000"/>
                <w:szCs w:val="24"/>
              </w:rPr>
            </w:pPr>
          </w:p>
        </w:tc>
        <w:tc>
          <w:tcPr>
            <w:tcW w:w="2966" w:type="dxa"/>
            <w:noWrap w:val="0"/>
            <w:vAlign w:val="center"/>
          </w:tcPr>
          <w:p w14:paraId="2DAC9207">
            <w:pPr>
              <w:pStyle w:val="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000000"/>
                <w:szCs w:val="24"/>
              </w:rPr>
            </w:pPr>
          </w:p>
        </w:tc>
      </w:tr>
      <w:tr w14:paraId="23081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1BBBBA3E">
            <w:pPr>
              <w:pStyle w:val="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000000"/>
                <w:szCs w:val="24"/>
              </w:rPr>
            </w:pPr>
          </w:p>
        </w:tc>
        <w:tc>
          <w:tcPr>
            <w:tcW w:w="2514" w:type="dxa"/>
            <w:noWrap w:val="0"/>
            <w:vAlign w:val="center"/>
          </w:tcPr>
          <w:p w14:paraId="4A459D22">
            <w:pPr>
              <w:pStyle w:val="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000000"/>
                <w:szCs w:val="24"/>
              </w:rPr>
            </w:pPr>
          </w:p>
        </w:tc>
        <w:tc>
          <w:tcPr>
            <w:tcW w:w="2266" w:type="dxa"/>
            <w:noWrap w:val="0"/>
            <w:vAlign w:val="center"/>
          </w:tcPr>
          <w:p w14:paraId="1C8F9BC4">
            <w:pPr>
              <w:pStyle w:val="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000000"/>
                <w:szCs w:val="24"/>
              </w:rPr>
            </w:pPr>
          </w:p>
        </w:tc>
        <w:tc>
          <w:tcPr>
            <w:tcW w:w="2966" w:type="dxa"/>
            <w:noWrap w:val="0"/>
            <w:vAlign w:val="center"/>
          </w:tcPr>
          <w:p w14:paraId="1479FE3A">
            <w:pPr>
              <w:pStyle w:val="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000000"/>
                <w:szCs w:val="24"/>
              </w:rPr>
            </w:pPr>
          </w:p>
        </w:tc>
      </w:tr>
      <w:tr w14:paraId="1A788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15C4CB71">
            <w:pPr>
              <w:pStyle w:val="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000000"/>
                <w:szCs w:val="24"/>
              </w:rPr>
            </w:pPr>
          </w:p>
        </w:tc>
        <w:tc>
          <w:tcPr>
            <w:tcW w:w="2514" w:type="dxa"/>
            <w:noWrap w:val="0"/>
            <w:vAlign w:val="center"/>
          </w:tcPr>
          <w:p w14:paraId="50945385">
            <w:pPr>
              <w:pStyle w:val="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000000"/>
                <w:szCs w:val="24"/>
              </w:rPr>
            </w:pPr>
          </w:p>
        </w:tc>
        <w:tc>
          <w:tcPr>
            <w:tcW w:w="2266" w:type="dxa"/>
            <w:noWrap w:val="0"/>
            <w:vAlign w:val="center"/>
          </w:tcPr>
          <w:p w14:paraId="7C9F1996">
            <w:pPr>
              <w:pStyle w:val="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000000"/>
                <w:szCs w:val="24"/>
              </w:rPr>
            </w:pPr>
          </w:p>
        </w:tc>
        <w:tc>
          <w:tcPr>
            <w:tcW w:w="2966" w:type="dxa"/>
            <w:noWrap w:val="0"/>
            <w:vAlign w:val="center"/>
          </w:tcPr>
          <w:p w14:paraId="75A34087">
            <w:pPr>
              <w:pStyle w:val="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000000"/>
                <w:szCs w:val="24"/>
              </w:rPr>
            </w:pPr>
          </w:p>
        </w:tc>
      </w:tr>
      <w:tr w14:paraId="1C633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32E66393">
            <w:pPr>
              <w:pStyle w:val="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000000"/>
                <w:szCs w:val="24"/>
              </w:rPr>
            </w:pPr>
          </w:p>
        </w:tc>
        <w:tc>
          <w:tcPr>
            <w:tcW w:w="2514" w:type="dxa"/>
            <w:noWrap w:val="0"/>
            <w:vAlign w:val="center"/>
          </w:tcPr>
          <w:p w14:paraId="3717A25B">
            <w:pPr>
              <w:pStyle w:val="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000000"/>
                <w:szCs w:val="24"/>
              </w:rPr>
            </w:pPr>
          </w:p>
        </w:tc>
        <w:tc>
          <w:tcPr>
            <w:tcW w:w="2266" w:type="dxa"/>
            <w:noWrap w:val="0"/>
            <w:vAlign w:val="center"/>
          </w:tcPr>
          <w:p w14:paraId="03051F02">
            <w:pPr>
              <w:pStyle w:val="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000000"/>
                <w:szCs w:val="24"/>
              </w:rPr>
            </w:pPr>
          </w:p>
        </w:tc>
        <w:tc>
          <w:tcPr>
            <w:tcW w:w="2966" w:type="dxa"/>
            <w:noWrap w:val="0"/>
            <w:vAlign w:val="center"/>
          </w:tcPr>
          <w:p w14:paraId="34CA9EBE">
            <w:pPr>
              <w:pStyle w:val="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000000"/>
                <w:szCs w:val="24"/>
              </w:rPr>
            </w:pPr>
          </w:p>
        </w:tc>
      </w:tr>
      <w:tr w14:paraId="456D5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178DF7EF">
            <w:pPr>
              <w:pStyle w:val="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000000"/>
                <w:szCs w:val="24"/>
              </w:rPr>
            </w:pPr>
          </w:p>
        </w:tc>
        <w:tc>
          <w:tcPr>
            <w:tcW w:w="2514" w:type="dxa"/>
            <w:noWrap w:val="0"/>
            <w:vAlign w:val="center"/>
          </w:tcPr>
          <w:p w14:paraId="561F4B36">
            <w:pPr>
              <w:pStyle w:val="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000000"/>
                <w:szCs w:val="24"/>
              </w:rPr>
            </w:pPr>
          </w:p>
        </w:tc>
        <w:tc>
          <w:tcPr>
            <w:tcW w:w="2266" w:type="dxa"/>
            <w:noWrap w:val="0"/>
            <w:vAlign w:val="center"/>
          </w:tcPr>
          <w:p w14:paraId="04BE71BE">
            <w:pPr>
              <w:pStyle w:val="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000000"/>
                <w:szCs w:val="24"/>
              </w:rPr>
            </w:pPr>
          </w:p>
        </w:tc>
        <w:tc>
          <w:tcPr>
            <w:tcW w:w="2966" w:type="dxa"/>
            <w:noWrap w:val="0"/>
            <w:vAlign w:val="center"/>
          </w:tcPr>
          <w:p w14:paraId="5662291A">
            <w:pPr>
              <w:pStyle w:val="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000000"/>
                <w:szCs w:val="24"/>
              </w:rPr>
            </w:pPr>
          </w:p>
        </w:tc>
      </w:tr>
    </w:tbl>
    <w:p w14:paraId="6F9FDD47">
      <w:pPr>
        <w:spacing w:line="360" w:lineRule="auto"/>
        <w:rPr>
          <w:rFonts w:hint="eastAsia" w:ascii="宋体" w:hAnsi="宋体" w:eastAsia="宋体" w:cs="宋体"/>
          <w:color w:val="000000"/>
          <w:lang w:val="zh-CN"/>
        </w:rPr>
      </w:pPr>
    </w:p>
    <w:p w14:paraId="1AC71D69">
      <w:pPr>
        <w:pStyle w:val="23"/>
        <w:spacing w:before="0" w:after="0" w:line="360" w:lineRule="auto"/>
        <w:jc w:val="left"/>
        <w:outlineLvl w:val="1"/>
        <w:rPr>
          <w:rFonts w:hint="eastAsia" w:ascii="宋体" w:hAnsi="宋体" w:eastAsia="宋体" w:cs="宋体"/>
          <w:color w:val="000000"/>
          <w:lang w:val="zh-CN"/>
        </w:rPr>
      </w:pPr>
      <w:bookmarkStart w:id="73" w:name="_Toc28963"/>
      <w:r>
        <w:rPr>
          <w:rFonts w:hint="eastAsia" w:ascii="宋体" w:hAnsi="宋体" w:eastAsia="宋体" w:cs="宋体"/>
          <w:color w:val="000000"/>
          <w:sz w:val="30"/>
          <w:szCs w:val="30"/>
          <w:lang w:val="zh-CN"/>
        </w:rPr>
        <w:br w:type="page"/>
      </w:r>
      <w:bookmarkStart w:id="74" w:name="_Toc27533"/>
      <w:bookmarkStart w:id="75" w:name="_Toc26451"/>
      <w:r>
        <w:rPr>
          <w:rFonts w:hint="eastAsia" w:ascii="宋体" w:hAnsi="宋体" w:eastAsia="宋体" w:cs="宋体"/>
          <w:color w:val="000000"/>
          <w:sz w:val="30"/>
          <w:szCs w:val="30"/>
        </w:rPr>
        <w:t>（12）</w:t>
      </w:r>
      <w:r>
        <w:rPr>
          <w:rFonts w:hint="eastAsia" w:ascii="宋体" w:hAnsi="宋体" w:eastAsia="宋体" w:cs="宋体"/>
          <w:color w:val="000000"/>
          <w:sz w:val="30"/>
          <w:szCs w:val="30"/>
          <w:lang w:val="zh-CN"/>
        </w:rPr>
        <w:t>开标一览表（报价表）</w:t>
      </w:r>
      <w:bookmarkEnd w:id="74"/>
      <w:bookmarkEnd w:id="75"/>
    </w:p>
    <w:p w14:paraId="045B1DD2">
      <w:pPr>
        <w:autoSpaceDE w:val="0"/>
        <w:autoSpaceDN w:val="0"/>
        <w:spacing w:line="360" w:lineRule="auto"/>
        <w:rPr>
          <w:rFonts w:hint="eastAsia" w:ascii="宋体" w:hAnsi="宋体" w:eastAsia="宋体" w:cs="宋体"/>
          <w:b/>
          <w:bCs/>
          <w:color w:val="000000"/>
          <w:kern w:val="0"/>
          <w:sz w:val="28"/>
          <w:szCs w:val="28"/>
          <w:lang w:val="zh-CN"/>
        </w:rPr>
      </w:pPr>
    </w:p>
    <w:p w14:paraId="48101165">
      <w:pPr>
        <w:autoSpaceDE w:val="0"/>
        <w:autoSpaceDN w:val="0"/>
        <w:spacing w:line="360" w:lineRule="auto"/>
        <w:jc w:val="center"/>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28"/>
          <w:szCs w:val="28"/>
          <w:lang w:val="zh-CN"/>
        </w:rPr>
        <w:t>开标一览表（报价表）</w:t>
      </w:r>
    </w:p>
    <w:tbl>
      <w:tblPr>
        <w:tblStyle w:val="25"/>
        <w:tblW w:w="0" w:type="auto"/>
        <w:jc w:val="center"/>
        <w:tblLayout w:type="fixed"/>
        <w:tblCellMar>
          <w:top w:w="0" w:type="dxa"/>
          <w:left w:w="108" w:type="dxa"/>
          <w:bottom w:w="0" w:type="dxa"/>
          <w:right w:w="108" w:type="dxa"/>
        </w:tblCellMar>
      </w:tblPr>
      <w:tblGrid>
        <w:gridCol w:w="2686"/>
        <w:gridCol w:w="2898"/>
        <w:gridCol w:w="1668"/>
        <w:gridCol w:w="1785"/>
      </w:tblGrid>
      <w:tr w14:paraId="63F59118">
        <w:tblPrEx>
          <w:tblCellMar>
            <w:top w:w="0" w:type="dxa"/>
            <w:left w:w="108" w:type="dxa"/>
            <w:bottom w:w="0" w:type="dxa"/>
            <w:right w:w="108" w:type="dxa"/>
          </w:tblCellMar>
        </w:tblPrEx>
        <w:trPr>
          <w:trHeight w:val="932" w:hRule="atLeast"/>
          <w:jc w:val="center"/>
        </w:trPr>
        <w:tc>
          <w:tcPr>
            <w:tcW w:w="2686" w:type="dxa"/>
            <w:tcBorders>
              <w:top w:val="single" w:color="000000" w:sz="6" w:space="0"/>
              <w:left w:val="single" w:color="000000" w:sz="6" w:space="0"/>
              <w:bottom w:val="single" w:color="000000" w:sz="6" w:space="0"/>
              <w:right w:val="single" w:color="000000" w:sz="6" w:space="0"/>
            </w:tcBorders>
            <w:noWrap w:val="0"/>
            <w:vAlign w:val="center"/>
          </w:tcPr>
          <w:p w14:paraId="1BC11F39">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kern w:val="0"/>
                <w:szCs w:val="21"/>
                <w:lang w:val="zh-CN"/>
              </w:rPr>
            </w:pPr>
            <w:r>
              <w:rPr>
                <w:rFonts w:hint="eastAsia" w:ascii="宋体" w:hAnsi="宋体" w:eastAsia="宋体" w:cs="宋体"/>
                <w:b/>
                <w:bCs/>
                <w:kern w:val="0"/>
                <w:szCs w:val="21"/>
                <w:lang w:val="zh-CN"/>
              </w:rPr>
              <w:t>项目名称</w:t>
            </w:r>
            <w:r>
              <w:rPr>
                <w:rFonts w:hint="eastAsia" w:ascii="宋体" w:hAnsi="宋体" w:cs="宋体"/>
                <w:b/>
                <w:bCs/>
                <w:kern w:val="0"/>
                <w:szCs w:val="21"/>
                <w:lang w:val="en-US" w:eastAsia="zh-CN"/>
              </w:rPr>
              <w:t>+包号</w:t>
            </w:r>
            <w:bookmarkStart w:id="106" w:name="_GoBack"/>
            <w:bookmarkEnd w:id="106"/>
          </w:p>
        </w:tc>
        <w:tc>
          <w:tcPr>
            <w:tcW w:w="2898" w:type="dxa"/>
            <w:tcBorders>
              <w:top w:val="single" w:color="000000" w:sz="6" w:space="0"/>
              <w:left w:val="single" w:color="000000" w:sz="6" w:space="0"/>
              <w:bottom w:val="single" w:color="000000" w:sz="6" w:space="0"/>
              <w:right w:val="single" w:color="auto" w:sz="4" w:space="0"/>
            </w:tcBorders>
            <w:noWrap w:val="0"/>
            <w:vAlign w:val="center"/>
          </w:tcPr>
          <w:p w14:paraId="35F1D66C">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b/>
                <w:bCs/>
                <w:kern w:val="0"/>
                <w:szCs w:val="21"/>
                <w:lang w:val="zh-CN"/>
              </w:rPr>
            </w:pPr>
            <w:r>
              <w:rPr>
                <w:rFonts w:hint="eastAsia" w:ascii="宋体" w:hAnsi="宋体" w:eastAsia="宋体" w:cs="宋体"/>
                <w:b/>
                <w:bCs/>
                <w:kern w:val="0"/>
                <w:szCs w:val="21"/>
                <w:lang w:val="zh-CN"/>
              </w:rPr>
              <w:t>投 标 报 价（元）</w:t>
            </w:r>
          </w:p>
        </w:tc>
        <w:tc>
          <w:tcPr>
            <w:tcW w:w="1668" w:type="dxa"/>
            <w:tcBorders>
              <w:top w:val="single" w:color="000000" w:sz="6" w:space="0"/>
              <w:left w:val="single" w:color="auto" w:sz="4" w:space="0"/>
              <w:bottom w:val="single" w:color="auto" w:sz="4" w:space="0"/>
              <w:right w:val="single" w:color="auto" w:sz="4" w:space="0"/>
            </w:tcBorders>
            <w:noWrap w:val="0"/>
            <w:vAlign w:val="center"/>
          </w:tcPr>
          <w:p w14:paraId="2417FC84">
            <w:pPr>
              <w:keepNext w:val="0"/>
              <w:keepLines w:val="0"/>
              <w:suppressLineNumbers w:val="0"/>
              <w:autoSpaceDE w:val="0"/>
              <w:autoSpaceDN w:val="0"/>
              <w:adjustRightInd w:val="0"/>
              <w:spacing w:before="0" w:beforeAutospacing="0" w:after="0" w:afterAutospacing="0" w:line="320" w:lineRule="exact"/>
              <w:ind w:left="38" w:right="0"/>
              <w:jc w:val="center"/>
              <w:rPr>
                <w:rFonts w:hint="eastAsia" w:ascii="宋体" w:hAnsi="宋体" w:eastAsia="宋体" w:cs="宋体"/>
                <w:kern w:val="0"/>
                <w:szCs w:val="21"/>
              </w:rPr>
            </w:pPr>
            <w:r>
              <w:rPr>
                <w:rFonts w:hint="eastAsia" w:ascii="宋体" w:hAnsi="宋体" w:eastAsia="宋体" w:cs="宋体"/>
                <w:b/>
                <w:bCs/>
                <w:kern w:val="0"/>
                <w:szCs w:val="21"/>
                <w:lang w:val="zh-CN"/>
              </w:rPr>
              <w:t>交货期</w:t>
            </w:r>
          </w:p>
        </w:tc>
        <w:tc>
          <w:tcPr>
            <w:tcW w:w="1785" w:type="dxa"/>
            <w:tcBorders>
              <w:top w:val="single" w:color="000000" w:sz="6" w:space="0"/>
              <w:left w:val="single" w:color="auto" w:sz="4" w:space="0"/>
              <w:bottom w:val="single" w:color="auto" w:sz="4" w:space="0"/>
              <w:right w:val="single" w:color="000000" w:sz="6" w:space="0"/>
            </w:tcBorders>
            <w:noWrap w:val="0"/>
            <w:vAlign w:val="center"/>
          </w:tcPr>
          <w:p w14:paraId="2ED85879">
            <w:pPr>
              <w:keepNext w:val="0"/>
              <w:keepLines w:val="0"/>
              <w:suppressLineNumbers w:val="0"/>
              <w:autoSpaceDE w:val="0"/>
              <w:autoSpaceDN w:val="0"/>
              <w:adjustRightInd w:val="0"/>
              <w:spacing w:before="0" w:beforeAutospacing="0" w:after="0" w:afterAutospacing="0" w:line="320" w:lineRule="exact"/>
              <w:ind w:left="38" w:right="0"/>
              <w:jc w:val="center"/>
              <w:rPr>
                <w:rFonts w:hint="default" w:ascii="宋体" w:hAnsi="宋体" w:eastAsia="宋体" w:cs="宋体"/>
                <w:b/>
                <w:bCs/>
                <w:kern w:val="0"/>
                <w:szCs w:val="21"/>
                <w:lang w:val="en-US" w:eastAsia="zh-CN"/>
              </w:rPr>
            </w:pPr>
            <w:r>
              <w:rPr>
                <w:rFonts w:hint="eastAsia" w:ascii="宋体" w:hAnsi="宋体" w:eastAsia="宋体" w:cs="宋体"/>
                <w:b/>
                <w:bCs/>
                <w:kern w:val="0"/>
                <w:szCs w:val="21"/>
                <w:lang w:val="en-US" w:eastAsia="zh-CN"/>
              </w:rPr>
              <w:t>免费质保期和运维服务</w:t>
            </w:r>
          </w:p>
        </w:tc>
      </w:tr>
      <w:tr w14:paraId="3581EB91">
        <w:tblPrEx>
          <w:tblCellMar>
            <w:top w:w="0" w:type="dxa"/>
            <w:left w:w="108" w:type="dxa"/>
            <w:bottom w:w="0" w:type="dxa"/>
            <w:right w:w="108" w:type="dxa"/>
          </w:tblCellMar>
        </w:tblPrEx>
        <w:trPr>
          <w:trHeight w:val="1881" w:hRule="atLeast"/>
          <w:jc w:val="center"/>
        </w:trPr>
        <w:tc>
          <w:tcPr>
            <w:tcW w:w="2686" w:type="dxa"/>
            <w:tcBorders>
              <w:top w:val="single" w:color="000000" w:sz="6" w:space="0"/>
              <w:left w:val="single" w:color="000000" w:sz="6" w:space="0"/>
              <w:right w:val="single" w:color="000000" w:sz="6" w:space="0"/>
            </w:tcBorders>
            <w:noWrap w:val="0"/>
            <w:vAlign w:val="center"/>
          </w:tcPr>
          <w:p w14:paraId="44E88FCA">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b/>
                <w:kern w:val="0"/>
                <w:szCs w:val="21"/>
              </w:rPr>
            </w:pPr>
          </w:p>
        </w:tc>
        <w:tc>
          <w:tcPr>
            <w:tcW w:w="2898" w:type="dxa"/>
            <w:tcBorders>
              <w:top w:val="single" w:color="000000" w:sz="6" w:space="0"/>
              <w:left w:val="single" w:color="000000" w:sz="6" w:space="0"/>
              <w:right w:val="single" w:color="auto" w:sz="4" w:space="0"/>
            </w:tcBorders>
            <w:noWrap w:val="0"/>
            <w:vAlign w:val="center"/>
          </w:tcPr>
          <w:p w14:paraId="60C76002">
            <w:pPr>
              <w:keepNext w:val="0"/>
              <w:keepLines w:val="0"/>
              <w:suppressLineNumbers w:val="0"/>
              <w:autoSpaceDE w:val="0"/>
              <w:autoSpaceDN w:val="0"/>
              <w:adjustRightInd w:val="0"/>
              <w:spacing w:before="0" w:beforeAutospacing="0" w:after="0" w:afterAutospacing="0" w:line="480" w:lineRule="auto"/>
              <w:ind w:left="0" w:right="0"/>
              <w:rPr>
                <w:rFonts w:hint="eastAsia" w:ascii="宋体" w:hAnsi="宋体" w:eastAsia="宋体" w:cs="宋体"/>
                <w:b/>
                <w:bCs/>
                <w:kern w:val="0"/>
                <w:szCs w:val="21"/>
                <w:lang w:val="zh-CN"/>
              </w:rPr>
            </w:pPr>
            <w:r>
              <w:rPr>
                <w:rFonts w:hint="eastAsia" w:ascii="宋体" w:hAnsi="宋体" w:eastAsia="宋体" w:cs="宋体"/>
                <w:b/>
                <w:bCs/>
                <w:kern w:val="0"/>
                <w:szCs w:val="21"/>
                <w:lang w:val="zh-CN"/>
              </w:rPr>
              <w:t>大写：</w:t>
            </w:r>
          </w:p>
          <w:p w14:paraId="51232DB0">
            <w:pPr>
              <w:keepNext w:val="0"/>
              <w:keepLines w:val="0"/>
              <w:suppressLineNumbers w:val="0"/>
              <w:autoSpaceDE w:val="0"/>
              <w:autoSpaceDN w:val="0"/>
              <w:adjustRightInd w:val="0"/>
              <w:spacing w:before="0" w:beforeAutospacing="0" w:after="0" w:afterAutospacing="0" w:line="480" w:lineRule="auto"/>
              <w:ind w:left="0" w:right="0"/>
              <w:rPr>
                <w:rFonts w:hint="eastAsia" w:ascii="宋体" w:hAnsi="宋体" w:eastAsia="宋体" w:cs="宋体"/>
                <w:lang w:val="zh-CN"/>
              </w:rPr>
            </w:pPr>
            <w:r>
              <w:rPr>
                <w:rFonts w:hint="eastAsia" w:ascii="宋体" w:hAnsi="宋体" w:eastAsia="宋体" w:cs="宋体"/>
                <w:b/>
                <w:bCs/>
                <w:kern w:val="0"/>
                <w:szCs w:val="21"/>
                <w:lang w:val="zh-CN"/>
              </w:rPr>
              <w:t>小写：</w:t>
            </w:r>
          </w:p>
        </w:tc>
        <w:tc>
          <w:tcPr>
            <w:tcW w:w="1668" w:type="dxa"/>
            <w:tcBorders>
              <w:top w:val="single" w:color="000000" w:sz="6" w:space="0"/>
              <w:left w:val="single" w:color="auto" w:sz="4" w:space="0"/>
              <w:right w:val="single" w:color="auto" w:sz="4" w:space="0"/>
            </w:tcBorders>
            <w:noWrap w:val="0"/>
            <w:vAlign w:val="center"/>
          </w:tcPr>
          <w:p w14:paraId="26A0141A">
            <w:pPr>
              <w:keepNext w:val="0"/>
              <w:keepLines w:val="0"/>
              <w:suppressLineNumbers w:val="0"/>
              <w:autoSpaceDE w:val="0"/>
              <w:autoSpaceDN w:val="0"/>
              <w:adjustRightInd w:val="0"/>
              <w:spacing w:before="0" w:beforeAutospacing="0" w:after="0" w:afterAutospacing="0" w:line="320" w:lineRule="exact"/>
              <w:ind w:left="278" w:right="0" w:hanging="240"/>
              <w:rPr>
                <w:rFonts w:hint="eastAsia" w:ascii="宋体" w:hAnsi="宋体" w:eastAsia="宋体" w:cs="宋体"/>
                <w:b/>
                <w:bCs/>
                <w:kern w:val="0"/>
                <w:szCs w:val="21"/>
                <w:lang w:val="zh-CN"/>
              </w:rPr>
            </w:pPr>
          </w:p>
        </w:tc>
        <w:tc>
          <w:tcPr>
            <w:tcW w:w="1785" w:type="dxa"/>
            <w:tcBorders>
              <w:top w:val="single" w:color="000000" w:sz="6" w:space="0"/>
              <w:left w:val="single" w:color="auto" w:sz="4" w:space="0"/>
              <w:right w:val="single" w:color="000000" w:sz="6" w:space="0"/>
            </w:tcBorders>
            <w:noWrap w:val="0"/>
            <w:vAlign w:val="center"/>
          </w:tcPr>
          <w:p w14:paraId="52EB5C5D">
            <w:pPr>
              <w:keepNext w:val="0"/>
              <w:keepLines w:val="0"/>
              <w:suppressLineNumbers w:val="0"/>
              <w:autoSpaceDE w:val="0"/>
              <w:autoSpaceDN w:val="0"/>
              <w:adjustRightInd w:val="0"/>
              <w:spacing w:before="0" w:beforeAutospacing="0" w:after="0" w:afterAutospacing="0" w:line="320" w:lineRule="exact"/>
              <w:ind w:left="278" w:right="0" w:hanging="240"/>
              <w:jc w:val="center"/>
              <w:rPr>
                <w:rFonts w:hint="eastAsia" w:ascii="宋体" w:hAnsi="宋体" w:eastAsia="宋体" w:cs="宋体"/>
                <w:b/>
                <w:bCs/>
                <w:kern w:val="0"/>
                <w:szCs w:val="21"/>
                <w:lang w:val="en-US" w:eastAsia="zh-CN"/>
              </w:rPr>
            </w:pPr>
          </w:p>
        </w:tc>
      </w:tr>
      <w:tr w14:paraId="6B28059F">
        <w:tblPrEx>
          <w:tblCellMar>
            <w:top w:w="0" w:type="dxa"/>
            <w:left w:w="108" w:type="dxa"/>
            <w:bottom w:w="0" w:type="dxa"/>
            <w:right w:w="108" w:type="dxa"/>
          </w:tblCellMar>
        </w:tblPrEx>
        <w:trPr>
          <w:trHeight w:val="1715" w:hRule="atLeast"/>
          <w:jc w:val="center"/>
        </w:trPr>
        <w:tc>
          <w:tcPr>
            <w:tcW w:w="9037" w:type="dxa"/>
            <w:gridSpan w:val="4"/>
            <w:tcBorders>
              <w:top w:val="single" w:color="000000" w:sz="6" w:space="0"/>
              <w:left w:val="single" w:color="000000" w:sz="6" w:space="0"/>
              <w:bottom w:val="single" w:color="000000" w:sz="6" w:space="0"/>
              <w:right w:val="single" w:color="000000" w:sz="6" w:space="0"/>
            </w:tcBorders>
            <w:noWrap w:val="0"/>
            <w:vAlign w:val="center"/>
          </w:tcPr>
          <w:p w14:paraId="31DECB70">
            <w:pPr>
              <w:keepNext w:val="0"/>
              <w:keepLines w:val="0"/>
              <w:suppressLineNumbers w:val="0"/>
              <w:autoSpaceDE w:val="0"/>
              <w:autoSpaceDN w:val="0"/>
              <w:adjustRightInd w:val="0"/>
              <w:spacing w:before="0" w:beforeAutospacing="0" w:after="0" w:afterAutospacing="0" w:line="320" w:lineRule="exact"/>
              <w:ind w:left="0" w:right="0"/>
              <w:jc w:val="left"/>
              <w:rPr>
                <w:rFonts w:hint="eastAsia" w:ascii="宋体" w:hAnsi="宋体" w:eastAsia="宋体" w:cs="宋体"/>
                <w:kern w:val="0"/>
                <w:szCs w:val="21"/>
                <w:lang w:val="zh-CN"/>
              </w:rPr>
            </w:pPr>
            <w:r>
              <w:rPr>
                <w:rFonts w:hint="eastAsia" w:ascii="宋体" w:hAnsi="宋体" w:eastAsia="宋体" w:cs="宋体"/>
                <w:b/>
                <w:bCs/>
                <w:kern w:val="0"/>
                <w:szCs w:val="21"/>
                <w:lang w:val="zh-CN"/>
              </w:rPr>
              <w:t>优惠承诺及其他：</w:t>
            </w:r>
          </w:p>
        </w:tc>
      </w:tr>
    </w:tbl>
    <w:p w14:paraId="29A80018">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b/>
          <w:bCs/>
          <w:color w:val="000000"/>
          <w:kern w:val="0"/>
          <w:lang w:val="zh-CN"/>
        </w:rPr>
        <w:t>注：</w:t>
      </w:r>
      <w:r>
        <w:rPr>
          <w:rFonts w:hint="eastAsia" w:ascii="宋体" w:hAnsi="宋体" w:eastAsia="宋体" w:cs="宋体"/>
          <w:color w:val="000000"/>
          <w:kern w:val="0"/>
          <w:lang w:val="zh-CN"/>
        </w:rPr>
        <w:t>1.填写此表时不得改变表格形式。</w:t>
      </w:r>
    </w:p>
    <w:p w14:paraId="28F25796">
      <w:pPr>
        <w:autoSpaceDE w:val="0"/>
        <w:autoSpaceDN w:val="0"/>
        <w:spacing w:line="360" w:lineRule="auto"/>
        <w:ind w:firstLine="480" w:firstLineChars="200"/>
        <w:rPr>
          <w:rFonts w:hint="eastAsia" w:ascii="宋体" w:hAnsi="宋体" w:eastAsia="宋体" w:cs="宋体"/>
          <w:b/>
          <w:bCs/>
          <w:color w:val="FF0000"/>
          <w:kern w:val="0"/>
          <w:sz w:val="24"/>
          <w:szCs w:val="24"/>
          <w:lang w:val="en-US" w:eastAsia="zh-CN"/>
        </w:rPr>
      </w:pPr>
      <w:r>
        <w:rPr>
          <w:rFonts w:hint="eastAsia" w:ascii="宋体" w:hAnsi="宋体" w:eastAsia="宋体" w:cs="宋体"/>
          <w:color w:val="000000"/>
          <w:kern w:val="0"/>
          <w:lang w:val="zh-CN"/>
        </w:rPr>
        <w:t>2.</w:t>
      </w:r>
      <w:r>
        <w:rPr>
          <w:rFonts w:hint="eastAsia" w:ascii="宋体" w:hAnsi="宋体" w:eastAsia="宋体" w:cs="宋体"/>
          <w:color w:val="auto"/>
          <w:kern w:val="0"/>
          <w:sz w:val="24"/>
          <w:szCs w:val="24"/>
          <w:lang w:val="zh-CN"/>
        </w:rPr>
        <w:t>“投标报价”为投标总价。投标报价必须包括：</w:t>
      </w:r>
      <w:r>
        <w:rPr>
          <w:rFonts w:hint="eastAsia" w:ascii="宋体" w:hAnsi="宋体" w:eastAsia="宋体" w:cs="宋体"/>
          <w:color w:val="auto"/>
          <w:sz w:val="24"/>
          <w:szCs w:val="24"/>
        </w:rPr>
        <w:t>完成本项目</w:t>
      </w:r>
      <w:r>
        <w:rPr>
          <w:rFonts w:hint="eastAsia" w:ascii="宋体" w:hAnsi="宋体" w:cs="宋体"/>
          <w:color w:val="auto"/>
          <w:sz w:val="24"/>
          <w:szCs w:val="24"/>
          <w:lang w:eastAsia="zh-CN"/>
        </w:rPr>
        <w:t>货物</w:t>
      </w:r>
      <w:r>
        <w:rPr>
          <w:rFonts w:hint="eastAsia" w:ascii="宋体" w:hAnsi="宋体" w:eastAsia="宋体" w:cs="宋体"/>
          <w:color w:val="auto"/>
          <w:sz w:val="24"/>
          <w:szCs w:val="24"/>
        </w:rPr>
        <w:t>内容可能发生的各项费用，如</w:t>
      </w:r>
      <w:r>
        <w:rPr>
          <w:rFonts w:hint="eastAsia" w:ascii="宋体" w:hAnsi="宋体" w:cs="宋体"/>
          <w:color w:val="auto"/>
          <w:sz w:val="24"/>
          <w:szCs w:val="24"/>
          <w:lang w:val="en-US" w:eastAsia="zh-CN"/>
        </w:rPr>
        <w:t>货物</w:t>
      </w:r>
      <w:r>
        <w:rPr>
          <w:rFonts w:hint="eastAsia" w:ascii="宋体" w:hAnsi="宋体" w:eastAsia="宋体" w:cs="宋体"/>
          <w:color w:val="auto"/>
          <w:sz w:val="24"/>
          <w:szCs w:val="24"/>
          <w:lang w:val="en-US" w:eastAsia="zh-CN"/>
        </w:rPr>
        <w:t>费、运输费、安装调试费、手续费、保险费、人员工资、税金及不可预见的其他费等全部费用</w:t>
      </w:r>
      <w:r>
        <w:rPr>
          <w:rFonts w:hint="eastAsia" w:ascii="宋体" w:hAnsi="宋体" w:eastAsia="宋体" w:cs="宋体"/>
          <w:color w:val="auto"/>
          <w:sz w:val="24"/>
          <w:szCs w:val="24"/>
        </w:rPr>
        <w:t>。</w:t>
      </w:r>
    </w:p>
    <w:p w14:paraId="609E7600">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lang w:val="zh-CN"/>
        </w:rPr>
        <w:t>3.“交货时间”是指产品能够交付使用的具体时间。</w:t>
      </w:r>
    </w:p>
    <w:p w14:paraId="4037453E">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4.投标报价不能有两个或两个以上的报价方案，</w:t>
      </w:r>
      <w:r>
        <w:rPr>
          <w:rFonts w:hint="eastAsia" w:ascii="宋体" w:hAnsi="宋体" w:eastAsia="宋体" w:cs="宋体"/>
          <w:color w:val="000000"/>
          <w:kern w:val="0"/>
        </w:rPr>
        <w:t>否则投标无效</w:t>
      </w:r>
      <w:r>
        <w:rPr>
          <w:rFonts w:hint="eastAsia" w:ascii="宋体" w:hAnsi="宋体" w:eastAsia="宋体" w:cs="宋体"/>
          <w:color w:val="000000"/>
          <w:kern w:val="0"/>
          <w:lang w:val="zh-CN"/>
        </w:rPr>
        <w:t>。</w:t>
      </w:r>
    </w:p>
    <w:p w14:paraId="36FEB172">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5.投标总价不得超过招标预控价，否则投标无效</w:t>
      </w:r>
      <w:r>
        <w:rPr>
          <w:rFonts w:hint="eastAsia" w:ascii="宋体" w:hAnsi="宋体" w:eastAsia="宋体" w:cs="宋体"/>
          <w:color w:val="000000"/>
          <w:kern w:val="0"/>
          <w:lang w:val="zh-CN"/>
        </w:rPr>
        <w:t>。</w:t>
      </w:r>
    </w:p>
    <w:p w14:paraId="3BFB1082">
      <w:pPr>
        <w:pStyle w:val="10"/>
        <w:rPr>
          <w:rFonts w:hint="eastAsia" w:ascii="宋体" w:hAnsi="宋体" w:eastAsia="宋体" w:cs="宋体"/>
          <w:lang w:val="zh-CN"/>
        </w:rPr>
      </w:pPr>
    </w:p>
    <w:p w14:paraId="3D4453F3">
      <w:pPr>
        <w:autoSpaceDE w:val="0"/>
        <w:autoSpaceDN w:val="0"/>
        <w:spacing w:line="360" w:lineRule="auto"/>
        <w:rPr>
          <w:rFonts w:hint="eastAsia" w:ascii="宋体" w:hAnsi="宋体" w:eastAsia="宋体" w:cs="宋体"/>
          <w:color w:val="000000"/>
          <w:kern w:val="0"/>
          <w:lang w:val="zh-CN"/>
        </w:rPr>
      </w:pPr>
    </w:p>
    <w:p w14:paraId="0A549E40">
      <w:pPr>
        <w:autoSpaceDE w:val="0"/>
        <w:autoSpaceDN w:val="0"/>
        <w:spacing w:line="360" w:lineRule="auto"/>
        <w:rPr>
          <w:rFonts w:hint="eastAsia" w:ascii="宋体" w:hAnsi="宋体" w:eastAsia="宋体" w:cs="宋体"/>
          <w:color w:val="000000"/>
          <w:kern w:val="0"/>
          <w:lang w:val="zh-CN"/>
        </w:rPr>
      </w:pPr>
    </w:p>
    <w:p w14:paraId="4C36D9CD">
      <w:pPr>
        <w:autoSpaceDE w:val="0"/>
        <w:autoSpaceDN w:val="0"/>
        <w:spacing w:line="360" w:lineRule="auto"/>
        <w:ind w:firstLine="1928" w:firstLineChars="800"/>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投标人：</w:t>
      </w:r>
      <w:r>
        <w:rPr>
          <w:rFonts w:hint="eastAsia" w:ascii="宋体" w:hAnsi="宋体" w:eastAsia="宋体" w:cs="宋体"/>
          <w:b/>
          <w:bCs/>
          <w:color w:val="000000"/>
          <w:kern w:val="0"/>
          <w:u w:val="single"/>
          <w:lang w:val="zh-CN"/>
        </w:rPr>
        <w:t xml:space="preserve">           </w:t>
      </w:r>
      <w:r>
        <w:rPr>
          <w:rFonts w:hint="eastAsia" w:ascii="宋体" w:hAnsi="宋体" w:eastAsia="宋体" w:cs="宋体"/>
          <w:b/>
          <w:bCs/>
          <w:color w:val="000000"/>
          <w:kern w:val="0"/>
          <w:u w:val="single"/>
        </w:rPr>
        <w:t xml:space="preserve">           </w:t>
      </w:r>
      <w:r>
        <w:rPr>
          <w:rFonts w:hint="eastAsia" w:ascii="宋体" w:hAnsi="宋体" w:eastAsia="宋体" w:cs="宋体"/>
          <w:b/>
          <w:bCs/>
          <w:color w:val="000000"/>
          <w:kern w:val="0"/>
          <w:u w:val="single"/>
          <w:lang w:val="zh-CN"/>
        </w:rPr>
        <w:t xml:space="preserve">  </w:t>
      </w:r>
      <w:r>
        <w:rPr>
          <w:rFonts w:hint="eastAsia" w:ascii="宋体" w:hAnsi="宋体" w:eastAsia="宋体" w:cs="宋体"/>
          <w:b/>
          <w:bCs/>
          <w:color w:val="000000"/>
          <w:kern w:val="0"/>
          <w:lang w:val="zh-CN"/>
        </w:rPr>
        <w:t>（公章）</w:t>
      </w:r>
    </w:p>
    <w:p w14:paraId="0F97B495">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法定代表人或委托代理人：</w:t>
      </w:r>
      <w:r>
        <w:rPr>
          <w:rFonts w:hint="eastAsia" w:ascii="宋体" w:hAnsi="宋体" w:eastAsia="宋体" w:cs="宋体"/>
          <w:b/>
          <w:bCs/>
          <w:color w:val="000000"/>
          <w:kern w:val="0"/>
          <w:u w:val="single"/>
          <w:lang w:val="zh-CN"/>
        </w:rPr>
        <w:t xml:space="preserve">        </w:t>
      </w:r>
      <w:r>
        <w:rPr>
          <w:rFonts w:hint="eastAsia" w:ascii="宋体" w:hAnsi="宋体" w:eastAsia="宋体" w:cs="宋体"/>
          <w:b/>
          <w:bCs/>
          <w:color w:val="000000"/>
          <w:kern w:val="0"/>
          <w:lang w:val="zh-CN"/>
        </w:rPr>
        <w:t>（签字或盖章）</w:t>
      </w:r>
    </w:p>
    <w:p w14:paraId="17BD5E71">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年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月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日</w:t>
      </w:r>
    </w:p>
    <w:p w14:paraId="78A729E1">
      <w:pPr>
        <w:autoSpaceDE w:val="0"/>
        <w:autoSpaceDN w:val="0"/>
        <w:spacing w:line="360" w:lineRule="auto"/>
        <w:rPr>
          <w:rFonts w:hint="eastAsia" w:ascii="宋体" w:hAnsi="宋体" w:eastAsia="宋体" w:cs="宋体"/>
          <w:color w:val="000000"/>
          <w:kern w:val="0"/>
          <w:lang w:val="zh-CN"/>
        </w:rPr>
      </w:pPr>
    </w:p>
    <w:p w14:paraId="059374D3">
      <w:pPr>
        <w:autoSpaceDE w:val="0"/>
        <w:autoSpaceDN w:val="0"/>
        <w:spacing w:line="360" w:lineRule="auto"/>
        <w:rPr>
          <w:rFonts w:hint="eastAsia" w:ascii="宋体" w:hAnsi="宋体" w:eastAsia="宋体" w:cs="宋体"/>
          <w:color w:val="000000"/>
          <w:kern w:val="0"/>
          <w:lang w:val="zh-CN"/>
        </w:rPr>
      </w:pPr>
    </w:p>
    <w:p w14:paraId="435BA574">
      <w:pPr>
        <w:autoSpaceDE w:val="0"/>
        <w:autoSpaceDN w:val="0"/>
        <w:spacing w:line="360" w:lineRule="auto"/>
        <w:rPr>
          <w:rFonts w:hint="eastAsia" w:ascii="宋体" w:hAnsi="宋体" w:eastAsia="宋体" w:cs="宋体"/>
          <w:color w:val="000000"/>
          <w:kern w:val="0"/>
          <w:lang w:val="zh-CN"/>
        </w:rPr>
      </w:pPr>
    </w:p>
    <w:p w14:paraId="32C5E760">
      <w:pPr>
        <w:autoSpaceDE w:val="0"/>
        <w:autoSpaceDN w:val="0"/>
        <w:spacing w:line="360" w:lineRule="auto"/>
        <w:rPr>
          <w:rFonts w:hint="eastAsia" w:ascii="宋体" w:hAnsi="宋体" w:eastAsia="宋体" w:cs="宋体"/>
          <w:color w:val="000000"/>
          <w:kern w:val="0"/>
          <w:lang w:val="zh-CN"/>
        </w:rPr>
      </w:pPr>
    </w:p>
    <w:p w14:paraId="01836AD2">
      <w:pPr>
        <w:pStyle w:val="23"/>
        <w:spacing w:before="0" w:after="0" w:line="360" w:lineRule="auto"/>
        <w:jc w:val="left"/>
        <w:outlineLvl w:val="1"/>
        <w:rPr>
          <w:rFonts w:hint="eastAsia" w:ascii="宋体" w:hAnsi="宋体" w:eastAsia="宋体" w:cs="宋体"/>
          <w:color w:val="000000"/>
        </w:rPr>
      </w:pPr>
      <w:bookmarkStart w:id="76" w:name="_Toc1391"/>
      <w:r>
        <w:rPr>
          <w:rFonts w:hint="eastAsia" w:ascii="宋体" w:hAnsi="宋体" w:eastAsia="宋体" w:cs="宋体"/>
          <w:color w:val="000000"/>
          <w:sz w:val="30"/>
          <w:szCs w:val="30"/>
        </w:rPr>
        <w:t>（13）</w:t>
      </w:r>
      <w:r>
        <w:rPr>
          <w:rFonts w:hint="eastAsia" w:ascii="宋体" w:hAnsi="宋体" w:eastAsia="宋体" w:cs="宋体"/>
          <w:color w:val="000000"/>
          <w:sz w:val="30"/>
          <w:szCs w:val="30"/>
          <w:lang w:val="zh-CN"/>
        </w:rPr>
        <w:t>分项报价表</w:t>
      </w:r>
      <w:bookmarkEnd w:id="73"/>
      <w:bookmarkEnd w:id="76"/>
    </w:p>
    <w:p w14:paraId="6B0228D3">
      <w:pPr>
        <w:autoSpaceDE w:val="0"/>
        <w:autoSpaceDN w:val="0"/>
        <w:spacing w:line="360" w:lineRule="auto"/>
        <w:rPr>
          <w:rFonts w:hint="eastAsia" w:ascii="宋体" w:hAnsi="宋体" w:eastAsia="宋体" w:cs="宋体"/>
          <w:b/>
          <w:bCs/>
          <w:color w:val="000000"/>
          <w:kern w:val="0"/>
          <w:sz w:val="28"/>
          <w:szCs w:val="28"/>
          <w:lang w:val="zh-CN"/>
        </w:rPr>
      </w:pPr>
    </w:p>
    <w:p w14:paraId="4C786A75">
      <w:pPr>
        <w:autoSpaceDE w:val="0"/>
        <w:autoSpaceDN w:val="0"/>
        <w:spacing w:line="360" w:lineRule="auto"/>
        <w:jc w:val="center"/>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28"/>
          <w:szCs w:val="28"/>
          <w:lang w:val="zh-CN"/>
        </w:rPr>
        <w:t>分项报价表</w:t>
      </w:r>
    </w:p>
    <w:p w14:paraId="1C2A544C">
      <w:pPr>
        <w:autoSpaceDE w:val="0"/>
        <w:autoSpaceDN w:val="0"/>
        <w:spacing w:line="360" w:lineRule="auto"/>
        <w:rPr>
          <w:rFonts w:hint="eastAsia" w:ascii="宋体" w:hAnsi="宋体" w:eastAsia="宋体" w:cs="宋体"/>
          <w:b/>
          <w:bCs/>
          <w:color w:val="000000"/>
          <w:kern w:val="0"/>
          <w:sz w:val="28"/>
          <w:szCs w:val="28"/>
          <w:lang w:val="zh-CN"/>
        </w:rPr>
      </w:pPr>
    </w:p>
    <w:p w14:paraId="10DC4A1D">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b/>
          <w:bCs/>
          <w:color w:val="000000"/>
          <w:kern w:val="0"/>
          <w:lang w:val="zh-CN"/>
        </w:rPr>
        <w:t>投标人名称</w:t>
      </w:r>
      <w:r>
        <w:rPr>
          <w:rFonts w:hint="eastAsia" w:ascii="宋体" w:hAnsi="宋体" w:eastAsia="宋体" w:cs="宋体"/>
          <w:b/>
          <w:bCs/>
          <w:color w:val="000000"/>
          <w:kern w:val="0"/>
        </w:rPr>
        <w:t xml:space="preserve">：                                              </w:t>
      </w:r>
    </w:p>
    <w:tbl>
      <w:tblPr>
        <w:tblStyle w:val="25"/>
        <w:tblW w:w="0" w:type="auto"/>
        <w:jc w:val="center"/>
        <w:tblLayout w:type="fixed"/>
        <w:tblCellMar>
          <w:top w:w="0" w:type="dxa"/>
          <w:left w:w="28" w:type="dxa"/>
          <w:bottom w:w="0" w:type="dxa"/>
          <w:right w:w="28" w:type="dxa"/>
        </w:tblCellMar>
      </w:tblPr>
      <w:tblGrid>
        <w:gridCol w:w="1046"/>
        <w:gridCol w:w="1563"/>
        <w:gridCol w:w="1065"/>
        <w:gridCol w:w="759"/>
        <w:gridCol w:w="1305"/>
        <w:gridCol w:w="931"/>
        <w:gridCol w:w="706"/>
        <w:gridCol w:w="831"/>
        <w:gridCol w:w="829"/>
      </w:tblGrid>
      <w:tr w14:paraId="6E2ED473">
        <w:tblPrEx>
          <w:tblCellMar>
            <w:top w:w="0" w:type="dxa"/>
            <w:left w:w="28" w:type="dxa"/>
            <w:bottom w:w="0" w:type="dxa"/>
            <w:right w:w="28" w:type="dxa"/>
          </w:tblCellMar>
        </w:tblPrEx>
        <w:trPr>
          <w:trHeight w:val="23" w:hRule="atLeast"/>
          <w:jc w:val="center"/>
        </w:trPr>
        <w:tc>
          <w:tcPr>
            <w:tcW w:w="1046" w:type="dxa"/>
            <w:tcBorders>
              <w:top w:val="single" w:color="000000" w:sz="8" w:space="0"/>
              <w:left w:val="single" w:color="000000" w:sz="8" w:space="0"/>
              <w:bottom w:val="single" w:color="000000" w:sz="6" w:space="0"/>
              <w:right w:val="single" w:color="000000" w:sz="6" w:space="0"/>
            </w:tcBorders>
            <w:noWrap w:val="0"/>
            <w:vAlign w:val="center"/>
          </w:tcPr>
          <w:p w14:paraId="1270D76C">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序号</w:t>
            </w:r>
          </w:p>
        </w:tc>
        <w:tc>
          <w:tcPr>
            <w:tcW w:w="1563" w:type="dxa"/>
            <w:tcBorders>
              <w:top w:val="single" w:color="000000" w:sz="8" w:space="0"/>
              <w:left w:val="single" w:color="000000" w:sz="6" w:space="0"/>
              <w:bottom w:val="single" w:color="000000" w:sz="6" w:space="0"/>
              <w:right w:val="single" w:color="000000" w:sz="6" w:space="0"/>
            </w:tcBorders>
            <w:noWrap w:val="0"/>
            <w:vAlign w:val="center"/>
          </w:tcPr>
          <w:p w14:paraId="5F3313C8">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产品名称</w:t>
            </w:r>
          </w:p>
        </w:tc>
        <w:tc>
          <w:tcPr>
            <w:tcW w:w="1065" w:type="dxa"/>
            <w:tcBorders>
              <w:top w:val="single" w:color="000000" w:sz="8" w:space="0"/>
              <w:left w:val="single" w:color="000000" w:sz="6" w:space="0"/>
              <w:bottom w:val="single" w:color="000000" w:sz="6" w:space="0"/>
              <w:right w:val="single" w:color="000000" w:sz="6" w:space="0"/>
            </w:tcBorders>
            <w:noWrap w:val="0"/>
            <w:vAlign w:val="center"/>
          </w:tcPr>
          <w:p w14:paraId="71B92B6B">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品牌</w:t>
            </w:r>
          </w:p>
        </w:tc>
        <w:tc>
          <w:tcPr>
            <w:tcW w:w="759" w:type="dxa"/>
            <w:tcBorders>
              <w:top w:val="single" w:color="000000" w:sz="8" w:space="0"/>
              <w:left w:val="single" w:color="000000" w:sz="6" w:space="0"/>
              <w:bottom w:val="single" w:color="000000" w:sz="6" w:space="0"/>
              <w:right w:val="single" w:color="000000" w:sz="6" w:space="0"/>
            </w:tcBorders>
            <w:noWrap w:val="0"/>
            <w:vAlign w:val="center"/>
          </w:tcPr>
          <w:p w14:paraId="42283283">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规格型号</w:t>
            </w:r>
          </w:p>
        </w:tc>
        <w:tc>
          <w:tcPr>
            <w:tcW w:w="1305" w:type="dxa"/>
            <w:tcBorders>
              <w:top w:val="single" w:color="000000" w:sz="8" w:space="0"/>
              <w:left w:val="single" w:color="000000" w:sz="6" w:space="0"/>
              <w:bottom w:val="single" w:color="000000" w:sz="6" w:space="0"/>
              <w:right w:val="single" w:color="000000" w:sz="6" w:space="0"/>
            </w:tcBorders>
            <w:noWrap w:val="0"/>
            <w:vAlign w:val="center"/>
          </w:tcPr>
          <w:p w14:paraId="5F25FD07">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厂家</w:t>
            </w:r>
          </w:p>
        </w:tc>
        <w:tc>
          <w:tcPr>
            <w:tcW w:w="931" w:type="dxa"/>
            <w:tcBorders>
              <w:top w:val="single" w:color="000000" w:sz="8" w:space="0"/>
              <w:left w:val="single" w:color="000000" w:sz="6" w:space="0"/>
              <w:bottom w:val="single" w:color="000000" w:sz="6" w:space="0"/>
              <w:right w:val="single" w:color="000000" w:sz="6" w:space="0"/>
            </w:tcBorders>
            <w:noWrap w:val="0"/>
            <w:vAlign w:val="center"/>
          </w:tcPr>
          <w:p w14:paraId="4F683E49">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数量及单位</w:t>
            </w:r>
          </w:p>
        </w:tc>
        <w:tc>
          <w:tcPr>
            <w:tcW w:w="706" w:type="dxa"/>
            <w:tcBorders>
              <w:top w:val="single" w:color="000000" w:sz="8" w:space="0"/>
              <w:left w:val="single" w:color="000000" w:sz="6" w:space="0"/>
              <w:bottom w:val="single" w:color="000000" w:sz="6" w:space="0"/>
              <w:right w:val="single" w:color="000000" w:sz="6" w:space="0"/>
            </w:tcBorders>
            <w:noWrap w:val="0"/>
            <w:vAlign w:val="center"/>
          </w:tcPr>
          <w:p w14:paraId="007CEEE9">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单价</w:t>
            </w:r>
          </w:p>
        </w:tc>
        <w:tc>
          <w:tcPr>
            <w:tcW w:w="831" w:type="dxa"/>
            <w:tcBorders>
              <w:top w:val="single" w:color="000000" w:sz="8" w:space="0"/>
              <w:left w:val="single" w:color="000000" w:sz="6" w:space="0"/>
              <w:bottom w:val="single" w:color="000000" w:sz="6" w:space="0"/>
              <w:right w:val="single" w:color="000000" w:sz="6" w:space="0"/>
            </w:tcBorders>
            <w:noWrap w:val="0"/>
            <w:vAlign w:val="center"/>
          </w:tcPr>
          <w:p w14:paraId="4BE3FBFD">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合计</w:t>
            </w:r>
          </w:p>
        </w:tc>
        <w:tc>
          <w:tcPr>
            <w:tcW w:w="829" w:type="dxa"/>
            <w:tcBorders>
              <w:top w:val="single" w:color="000000" w:sz="8" w:space="0"/>
              <w:left w:val="single" w:color="000000" w:sz="6" w:space="0"/>
              <w:bottom w:val="single" w:color="000000" w:sz="6" w:space="0"/>
              <w:right w:val="single" w:color="000000" w:sz="8" w:space="0"/>
            </w:tcBorders>
            <w:noWrap w:val="0"/>
            <w:vAlign w:val="center"/>
          </w:tcPr>
          <w:p w14:paraId="0649D91A">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r>
              <w:rPr>
                <w:rFonts w:hint="eastAsia" w:ascii="宋体" w:hAnsi="宋体" w:eastAsia="宋体" w:cs="宋体"/>
                <w:color w:val="000000"/>
              </w:rPr>
              <w:t>备注</w:t>
            </w:r>
          </w:p>
        </w:tc>
      </w:tr>
      <w:tr w14:paraId="39F3C437">
        <w:tblPrEx>
          <w:tblCellMar>
            <w:top w:w="0" w:type="dxa"/>
            <w:left w:w="28" w:type="dxa"/>
            <w:bottom w:w="0" w:type="dxa"/>
            <w:right w:w="28" w:type="dxa"/>
          </w:tblCellMar>
        </w:tblPrEx>
        <w:trPr>
          <w:trHeight w:val="23" w:hRule="atLeast"/>
          <w:jc w:val="center"/>
        </w:trPr>
        <w:tc>
          <w:tcPr>
            <w:tcW w:w="1046" w:type="dxa"/>
            <w:tcBorders>
              <w:top w:val="single" w:color="000000" w:sz="6" w:space="0"/>
              <w:left w:val="single" w:color="000000" w:sz="8" w:space="0"/>
              <w:bottom w:val="single" w:color="000000" w:sz="6" w:space="0"/>
              <w:right w:val="single" w:color="000000" w:sz="6" w:space="0"/>
            </w:tcBorders>
            <w:noWrap w:val="0"/>
            <w:vAlign w:val="center"/>
          </w:tcPr>
          <w:p w14:paraId="7CFC0AD8">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1</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14:paraId="681BC564">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56643846">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14:paraId="3D4159E0">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14:paraId="5D6FC127">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14:paraId="5AB3E483">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14:paraId="4132AAF7">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14:paraId="0802B21C">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14:paraId="67BA2F4F">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r>
      <w:tr w14:paraId="54E52D0B">
        <w:tblPrEx>
          <w:tblCellMar>
            <w:top w:w="0" w:type="dxa"/>
            <w:left w:w="28" w:type="dxa"/>
            <w:bottom w:w="0" w:type="dxa"/>
            <w:right w:w="28" w:type="dxa"/>
          </w:tblCellMar>
        </w:tblPrEx>
        <w:trPr>
          <w:trHeight w:val="23" w:hRule="atLeast"/>
          <w:jc w:val="center"/>
        </w:trPr>
        <w:tc>
          <w:tcPr>
            <w:tcW w:w="1046" w:type="dxa"/>
            <w:tcBorders>
              <w:top w:val="single" w:color="000000" w:sz="6" w:space="0"/>
              <w:left w:val="single" w:color="000000" w:sz="8" w:space="0"/>
              <w:bottom w:val="single" w:color="000000" w:sz="6" w:space="0"/>
              <w:right w:val="single" w:color="000000" w:sz="6" w:space="0"/>
            </w:tcBorders>
            <w:noWrap w:val="0"/>
            <w:vAlign w:val="center"/>
          </w:tcPr>
          <w:p w14:paraId="3880B105">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2</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14:paraId="40E44C4A">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7D23C543">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14:paraId="6633F143">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14:paraId="3AA3D403">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14:paraId="42BC2F94">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14:paraId="0F49EA0B">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14:paraId="32F37B3B">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14:paraId="42A64EB0">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r>
      <w:tr w14:paraId="724D03DB">
        <w:tblPrEx>
          <w:tblCellMar>
            <w:top w:w="0" w:type="dxa"/>
            <w:left w:w="28" w:type="dxa"/>
            <w:bottom w:w="0" w:type="dxa"/>
            <w:right w:w="28" w:type="dxa"/>
          </w:tblCellMar>
        </w:tblPrEx>
        <w:trPr>
          <w:trHeight w:val="23" w:hRule="atLeast"/>
          <w:jc w:val="center"/>
        </w:trPr>
        <w:tc>
          <w:tcPr>
            <w:tcW w:w="1046" w:type="dxa"/>
            <w:tcBorders>
              <w:top w:val="single" w:color="000000" w:sz="6" w:space="0"/>
              <w:left w:val="single" w:color="000000" w:sz="8" w:space="0"/>
              <w:bottom w:val="single" w:color="000000" w:sz="6" w:space="0"/>
              <w:right w:val="single" w:color="000000" w:sz="6" w:space="0"/>
            </w:tcBorders>
            <w:noWrap w:val="0"/>
            <w:vAlign w:val="center"/>
          </w:tcPr>
          <w:p w14:paraId="210DF0BB">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3</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14:paraId="0CBA88B2">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2FCE17E7">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14:paraId="3B54DC84">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14:paraId="4905EE95">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14:paraId="5652C30E">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14:paraId="0BC18575">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14:paraId="7810805D">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14:paraId="4772A612">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r>
      <w:tr w14:paraId="60130F66">
        <w:tblPrEx>
          <w:tblCellMar>
            <w:top w:w="0" w:type="dxa"/>
            <w:left w:w="28" w:type="dxa"/>
            <w:bottom w:w="0" w:type="dxa"/>
            <w:right w:w="28" w:type="dxa"/>
          </w:tblCellMar>
        </w:tblPrEx>
        <w:trPr>
          <w:trHeight w:val="23" w:hRule="atLeast"/>
          <w:jc w:val="center"/>
        </w:trPr>
        <w:tc>
          <w:tcPr>
            <w:tcW w:w="1046" w:type="dxa"/>
            <w:tcBorders>
              <w:top w:val="single" w:color="000000" w:sz="6" w:space="0"/>
              <w:left w:val="single" w:color="000000" w:sz="8" w:space="0"/>
              <w:bottom w:val="single" w:color="000000" w:sz="6" w:space="0"/>
              <w:right w:val="single" w:color="000000" w:sz="6" w:space="0"/>
            </w:tcBorders>
            <w:noWrap w:val="0"/>
            <w:vAlign w:val="center"/>
          </w:tcPr>
          <w:p w14:paraId="29EC2627">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4</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14:paraId="54AB8FE0">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55F84CF5">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14:paraId="0DEA05A6">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14:paraId="1215E6F5">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14:paraId="457E873E">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14:paraId="254EBD3E">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14:paraId="2120EFB4">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14:paraId="652477AD">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r>
      <w:tr w14:paraId="10EB0972">
        <w:tblPrEx>
          <w:tblCellMar>
            <w:top w:w="0" w:type="dxa"/>
            <w:left w:w="28" w:type="dxa"/>
            <w:bottom w:w="0" w:type="dxa"/>
            <w:right w:w="28" w:type="dxa"/>
          </w:tblCellMar>
        </w:tblPrEx>
        <w:trPr>
          <w:trHeight w:val="23" w:hRule="atLeast"/>
          <w:jc w:val="center"/>
        </w:trPr>
        <w:tc>
          <w:tcPr>
            <w:tcW w:w="1046" w:type="dxa"/>
            <w:tcBorders>
              <w:top w:val="single" w:color="000000" w:sz="6" w:space="0"/>
              <w:left w:val="single" w:color="000000" w:sz="8" w:space="0"/>
              <w:bottom w:val="single" w:color="000000" w:sz="6" w:space="0"/>
              <w:right w:val="single" w:color="000000" w:sz="6" w:space="0"/>
            </w:tcBorders>
            <w:noWrap w:val="0"/>
            <w:vAlign w:val="center"/>
          </w:tcPr>
          <w:p w14:paraId="08F87AA0">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14:paraId="6A822A0D">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3235E417">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14:paraId="5342E07F">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14:paraId="657823C8">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14:paraId="46D06A6D">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14:paraId="33F8DE9B">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14:paraId="09B21666">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14:paraId="17EEAF02">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r>
      <w:tr w14:paraId="68B49ADD">
        <w:tblPrEx>
          <w:tblCellMar>
            <w:top w:w="0" w:type="dxa"/>
            <w:left w:w="28" w:type="dxa"/>
            <w:bottom w:w="0" w:type="dxa"/>
            <w:right w:w="28" w:type="dxa"/>
          </w:tblCellMar>
        </w:tblPrEx>
        <w:trPr>
          <w:trHeight w:val="23" w:hRule="atLeast"/>
          <w:jc w:val="center"/>
        </w:trPr>
        <w:tc>
          <w:tcPr>
            <w:tcW w:w="2609" w:type="dxa"/>
            <w:gridSpan w:val="2"/>
            <w:tcBorders>
              <w:top w:val="single" w:color="000000" w:sz="6" w:space="0"/>
              <w:left w:val="single" w:color="000000" w:sz="8" w:space="0"/>
              <w:bottom w:val="single" w:color="000000" w:sz="8" w:space="0"/>
              <w:right w:val="single" w:color="000000" w:sz="6" w:space="0"/>
            </w:tcBorders>
            <w:noWrap w:val="0"/>
            <w:vAlign w:val="center"/>
          </w:tcPr>
          <w:p w14:paraId="3BCD091E">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投标总价</w:t>
            </w:r>
          </w:p>
        </w:tc>
        <w:tc>
          <w:tcPr>
            <w:tcW w:w="6426" w:type="dxa"/>
            <w:gridSpan w:val="7"/>
            <w:tcBorders>
              <w:top w:val="single" w:color="000000" w:sz="6" w:space="0"/>
              <w:left w:val="single" w:color="000000" w:sz="6" w:space="0"/>
              <w:bottom w:val="single" w:color="000000" w:sz="8" w:space="0"/>
              <w:right w:val="single" w:color="000000" w:sz="8" w:space="0"/>
            </w:tcBorders>
            <w:noWrap w:val="0"/>
            <w:vAlign w:val="center"/>
          </w:tcPr>
          <w:p w14:paraId="2391D4C6">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color w:val="000000"/>
                <w:kern w:val="0"/>
                <w:lang w:val="zh-CN"/>
              </w:rPr>
            </w:pPr>
            <w:r>
              <w:rPr>
                <w:rFonts w:hint="eastAsia" w:ascii="宋体" w:hAnsi="宋体" w:eastAsia="宋体" w:cs="宋体"/>
                <w:color w:val="000000"/>
                <w:kern w:val="0"/>
                <w:lang w:val="zh-CN"/>
              </w:rPr>
              <w:t>大写：</w:t>
            </w:r>
          </w:p>
          <w:p w14:paraId="5DBACB50">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color w:val="000000"/>
                <w:kern w:val="0"/>
                <w:lang w:val="zh-CN"/>
              </w:rPr>
            </w:pPr>
            <w:r>
              <w:rPr>
                <w:rFonts w:hint="eastAsia" w:ascii="宋体" w:hAnsi="宋体" w:eastAsia="宋体" w:cs="宋体"/>
                <w:color w:val="000000"/>
                <w:kern w:val="0"/>
                <w:lang w:val="zh-CN"/>
              </w:rPr>
              <w:t>小写：</w:t>
            </w:r>
          </w:p>
        </w:tc>
      </w:tr>
    </w:tbl>
    <w:p w14:paraId="5E1B2F1D">
      <w:pPr>
        <w:autoSpaceDE w:val="0"/>
        <w:autoSpaceDN w:val="0"/>
        <w:spacing w:line="360" w:lineRule="auto"/>
        <w:ind w:left="720" w:hanging="720" w:hangingChars="300"/>
        <w:rPr>
          <w:rFonts w:hint="eastAsia" w:ascii="宋体" w:hAnsi="宋体" w:eastAsia="宋体" w:cs="宋体"/>
          <w:color w:val="000000"/>
          <w:kern w:val="0"/>
          <w:lang w:val="zh-CN"/>
        </w:rPr>
      </w:pPr>
      <w:r>
        <w:rPr>
          <w:rFonts w:hint="eastAsia" w:ascii="宋体" w:hAnsi="宋体" w:eastAsia="宋体" w:cs="宋体"/>
          <w:color w:val="000000"/>
          <w:kern w:val="0"/>
          <w:lang w:val="zh-CN"/>
        </w:rPr>
        <w:t>注：</w:t>
      </w:r>
      <w:r>
        <w:rPr>
          <w:rFonts w:hint="eastAsia" w:ascii="宋体" w:hAnsi="宋体" w:eastAsia="宋体" w:cs="宋体"/>
          <w:color w:val="000000"/>
          <w:kern w:val="0"/>
        </w:rPr>
        <w:t>1.</w:t>
      </w:r>
      <w:r>
        <w:rPr>
          <w:rFonts w:hint="eastAsia" w:ascii="宋体" w:hAnsi="宋体" w:eastAsia="宋体" w:cs="宋体"/>
          <w:color w:val="000000"/>
          <w:kern w:val="0"/>
          <w:lang w:val="zh-CN"/>
        </w:rPr>
        <w:t>本表应依照采购一览表中的产品序号按顺序逐项填写，不得遗漏，</w:t>
      </w:r>
      <w:r>
        <w:rPr>
          <w:rFonts w:hint="eastAsia" w:ascii="宋体" w:hAnsi="宋体" w:eastAsia="宋体" w:cs="宋体"/>
          <w:color w:val="000000"/>
        </w:rPr>
        <w:t>否则</w:t>
      </w:r>
      <w:r>
        <w:rPr>
          <w:rFonts w:hint="eastAsia" w:ascii="宋体" w:hAnsi="宋体" w:eastAsia="宋体" w:cs="宋体"/>
          <w:color w:val="000000"/>
          <w:kern w:val="0"/>
          <w:szCs w:val="20"/>
        </w:rPr>
        <w:t>，按无效投标处理</w:t>
      </w:r>
      <w:r>
        <w:rPr>
          <w:rFonts w:hint="eastAsia" w:ascii="宋体" w:hAnsi="宋体" w:eastAsia="宋体" w:cs="宋体"/>
          <w:color w:val="000000"/>
          <w:kern w:val="0"/>
          <w:lang w:val="zh-CN"/>
        </w:rPr>
        <w:t>。</w:t>
      </w:r>
    </w:p>
    <w:p w14:paraId="581B219A">
      <w:pPr>
        <w:numPr>
          <w:ilvl w:val="0"/>
          <w:numId w:val="0"/>
        </w:numPr>
        <w:tabs>
          <w:tab w:val="left" w:pos="312"/>
        </w:tabs>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sz w:val="24"/>
          <w:szCs w:val="24"/>
          <w:lang w:val="zh-CN" w:eastAsia="zh-CN" w:bidi="ar-SA"/>
        </w:rPr>
        <w:t>2</w:t>
      </w:r>
      <w:r>
        <w:rPr>
          <w:rFonts w:hint="eastAsia" w:ascii="宋体" w:hAnsi="宋体" w:eastAsia="宋体" w:cs="宋体"/>
          <w:color w:val="000000"/>
          <w:kern w:val="0"/>
          <w:sz w:val="24"/>
          <w:szCs w:val="24"/>
          <w:lang w:val="en-US" w:eastAsia="zh-CN" w:bidi="ar-SA"/>
        </w:rPr>
        <w:t>.</w:t>
      </w:r>
      <w:r>
        <w:rPr>
          <w:rFonts w:hint="eastAsia" w:ascii="宋体" w:hAnsi="宋体" w:eastAsia="宋体" w:cs="宋体"/>
          <w:color w:val="000000"/>
          <w:kern w:val="0"/>
          <w:lang w:val="zh-CN"/>
        </w:rPr>
        <w:t>投标报价不能有两个或两个以上的报价方案。</w:t>
      </w:r>
    </w:p>
    <w:p w14:paraId="03E71733">
      <w:pPr>
        <w:numPr>
          <w:ilvl w:val="0"/>
          <w:numId w:val="0"/>
        </w:numPr>
        <w:tabs>
          <w:tab w:val="left" w:pos="312"/>
        </w:tabs>
        <w:autoSpaceDE w:val="0"/>
        <w:autoSpaceDN w:val="0"/>
        <w:spacing w:line="360" w:lineRule="auto"/>
        <w:ind w:firstLine="480" w:firstLineChars="200"/>
        <w:rPr>
          <w:rFonts w:hint="default" w:ascii="宋体" w:hAnsi="宋体" w:eastAsia="宋体" w:cs="宋体"/>
          <w:color w:val="000000"/>
          <w:kern w:val="0"/>
          <w:lang w:val="en-US" w:eastAsia="zh-CN"/>
        </w:rPr>
      </w:pPr>
    </w:p>
    <w:p w14:paraId="4895605F">
      <w:pPr>
        <w:numPr>
          <w:ilvl w:val="0"/>
          <w:numId w:val="0"/>
        </w:numPr>
        <w:tabs>
          <w:tab w:val="left" w:pos="312"/>
        </w:tabs>
        <w:autoSpaceDE w:val="0"/>
        <w:autoSpaceDN w:val="0"/>
        <w:spacing w:line="360" w:lineRule="auto"/>
        <w:ind w:firstLine="480" w:firstLineChars="200"/>
        <w:rPr>
          <w:rFonts w:hint="eastAsia" w:ascii="宋体" w:hAnsi="宋体" w:eastAsia="宋体" w:cs="宋体"/>
          <w:color w:val="000000"/>
          <w:kern w:val="0"/>
          <w:lang w:val="zh-CN"/>
        </w:rPr>
      </w:pPr>
    </w:p>
    <w:p w14:paraId="38BBA1F0">
      <w:pPr>
        <w:pStyle w:val="10"/>
        <w:rPr>
          <w:rFonts w:hint="eastAsia" w:ascii="宋体" w:hAnsi="宋体" w:eastAsia="宋体" w:cs="宋体"/>
        </w:rPr>
      </w:pPr>
    </w:p>
    <w:p w14:paraId="57B33474">
      <w:pPr>
        <w:autoSpaceDE w:val="0"/>
        <w:autoSpaceDN w:val="0"/>
        <w:spacing w:line="360" w:lineRule="auto"/>
        <w:rPr>
          <w:rFonts w:hint="eastAsia" w:ascii="宋体" w:hAnsi="宋体" w:eastAsia="宋体" w:cs="宋体"/>
          <w:color w:val="000000"/>
          <w:kern w:val="0"/>
          <w:lang w:val="zh-CN"/>
        </w:rPr>
      </w:pPr>
    </w:p>
    <w:p w14:paraId="306EC1B8">
      <w:pPr>
        <w:autoSpaceDE w:val="0"/>
        <w:autoSpaceDN w:val="0"/>
        <w:spacing w:line="360" w:lineRule="auto"/>
        <w:rPr>
          <w:rFonts w:hint="eastAsia" w:ascii="宋体" w:hAnsi="宋体" w:eastAsia="宋体" w:cs="宋体"/>
          <w:color w:val="000000"/>
          <w:kern w:val="0"/>
          <w:lang w:val="zh-CN"/>
        </w:rPr>
      </w:pPr>
    </w:p>
    <w:p w14:paraId="6EEC0A91">
      <w:pPr>
        <w:autoSpaceDE w:val="0"/>
        <w:autoSpaceDN w:val="0"/>
        <w:spacing w:line="360" w:lineRule="auto"/>
        <w:ind w:firstLine="1928" w:firstLineChars="800"/>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投标人：</w:t>
      </w:r>
      <w:r>
        <w:rPr>
          <w:rFonts w:hint="eastAsia" w:ascii="宋体" w:hAnsi="宋体" w:eastAsia="宋体" w:cs="宋体"/>
          <w:b/>
          <w:bCs/>
          <w:color w:val="000000"/>
          <w:kern w:val="0"/>
          <w:u w:val="single"/>
          <w:lang w:val="zh-CN"/>
        </w:rPr>
        <w:t xml:space="preserve">           </w:t>
      </w:r>
      <w:r>
        <w:rPr>
          <w:rFonts w:hint="eastAsia" w:ascii="宋体" w:hAnsi="宋体" w:eastAsia="宋体" w:cs="宋体"/>
          <w:b/>
          <w:bCs/>
          <w:color w:val="000000"/>
          <w:kern w:val="0"/>
          <w:u w:val="single"/>
        </w:rPr>
        <w:t xml:space="preserve">           </w:t>
      </w:r>
      <w:r>
        <w:rPr>
          <w:rFonts w:hint="eastAsia" w:ascii="宋体" w:hAnsi="宋体" w:eastAsia="宋体" w:cs="宋体"/>
          <w:b/>
          <w:bCs/>
          <w:color w:val="000000"/>
          <w:kern w:val="0"/>
          <w:u w:val="single"/>
          <w:lang w:val="zh-CN"/>
        </w:rPr>
        <w:t xml:space="preserve">  </w:t>
      </w:r>
      <w:r>
        <w:rPr>
          <w:rFonts w:hint="eastAsia" w:ascii="宋体" w:hAnsi="宋体" w:eastAsia="宋体" w:cs="宋体"/>
          <w:b/>
          <w:bCs/>
          <w:color w:val="000000"/>
          <w:kern w:val="0"/>
          <w:lang w:val="zh-CN"/>
        </w:rPr>
        <w:t>（公章）</w:t>
      </w:r>
    </w:p>
    <w:p w14:paraId="62928A36">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法定代表人或委托代理人：</w:t>
      </w:r>
      <w:r>
        <w:rPr>
          <w:rFonts w:hint="eastAsia" w:ascii="宋体" w:hAnsi="宋体" w:eastAsia="宋体" w:cs="宋体"/>
          <w:b/>
          <w:bCs/>
          <w:color w:val="000000"/>
          <w:kern w:val="0"/>
          <w:u w:val="single"/>
          <w:lang w:val="zh-CN"/>
        </w:rPr>
        <w:t xml:space="preserve">        </w:t>
      </w:r>
      <w:r>
        <w:rPr>
          <w:rFonts w:hint="eastAsia" w:ascii="宋体" w:hAnsi="宋体" w:eastAsia="宋体" w:cs="宋体"/>
          <w:b/>
          <w:bCs/>
          <w:color w:val="000000"/>
          <w:kern w:val="0"/>
          <w:lang w:val="zh-CN"/>
        </w:rPr>
        <w:t>（签字或盖章）</w:t>
      </w:r>
    </w:p>
    <w:p w14:paraId="5F542AEB">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年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月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日</w:t>
      </w:r>
    </w:p>
    <w:p w14:paraId="29F94D6F">
      <w:pPr>
        <w:pStyle w:val="23"/>
        <w:spacing w:before="0" w:after="0" w:line="360" w:lineRule="auto"/>
        <w:jc w:val="both"/>
        <w:outlineLvl w:val="1"/>
        <w:rPr>
          <w:rFonts w:hint="eastAsia" w:ascii="宋体" w:hAnsi="宋体" w:eastAsia="宋体" w:cs="宋体"/>
          <w:color w:val="000000"/>
        </w:rPr>
      </w:pPr>
      <w:r>
        <w:rPr>
          <w:rFonts w:hint="eastAsia" w:ascii="宋体" w:hAnsi="宋体" w:eastAsia="宋体" w:cs="宋体"/>
          <w:color w:val="000000"/>
          <w:sz w:val="30"/>
          <w:szCs w:val="30"/>
          <w:lang w:val="zh-CN"/>
        </w:rPr>
        <w:br w:type="page"/>
      </w:r>
      <w:bookmarkStart w:id="77" w:name="_Toc29043"/>
      <w:r>
        <w:rPr>
          <w:rFonts w:hint="eastAsia" w:ascii="宋体" w:hAnsi="宋体" w:eastAsia="宋体" w:cs="宋体"/>
          <w:color w:val="000000"/>
          <w:sz w:val="30"/>
          <w:szCs w:val="30"/>
        </w:rPr>
        <w:t>（14）</w:t>
      </w:r>
      <w:r>
        <w:rPr>
          <w:rFonts w:hint="eastAsia" w:ascii="宋体" w:hAnsi="宋体" w:eastAsia="宋体" w:cs="宋体"/>
          <w:color w:val="000000"/>
          <w:sz w:val="30"/>
          <w:szCs w:val="30"/>
          <w:lang w:val="zh-CN"/>
        </w:rPr>
        <w:t>技术规格响应表</w:t>
      </w:r>
      <w:bookmarkEnd w:id="77"/>
    </w:p>
    <w:p w14:paraId="41EDCA2E">
      <w:pPr>
        <w:autoSpaceDE w:val="0"/>
        <w:autoSpaceDN w:val="0"/>
        <w:spacing w:line="360" w:lineRule="auto"/>
        <w:rPr>
          <w:rFonts w:hint="eastAsia" w:ascii="宋体" w:hAnsi="宋体" w:eastAsia="宋体" w:cs="宋体"/>
          <w:color w:val="000000"/>
          <w:kern w:val="0"/>
          <w:sz w:val="28"/>
          <w:szCs w:val="28"/>
          <w:lang w:val="zh-CN"/>
        </w:rPr>
      </w:pPr>
    </w:p>
    <w:p w14:paraId="785701F5">
      <w:pPr>
        <w:autoSpaceDE w:val="0"/>
        <w:autoSpaceDN w:val="0"/>
        <w:spacing w:line="360" w:lineRule="auto"/>
        <w:jc w:val="center"/>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28"/>
          <w:szCs w:val="28"/>
          <w:lang w:val="zh-CN"/>
        </w:rPr>
        <w:t>技术规格响应表</w:t>
      </w:r>
    </w:p>
    <w:p w14:paraId="3D34E833">
      <w:pPr>
        <w:autoSpaceDE w:val="0"/>
        <w:autoSpaceDN w:val="0"/>
        <w:spacing w:line="360" w:lineRule="auto"/>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投标人名称</w:t>
      </w:r>
      <w:r>
        <w:rPr>
          <w:rFonts w:hint="eastAsia" w:ascii="宋体" w:hAnsi="宋体" w:eastAsia="宋体" w:cs="宋体"/>
          <w:b/>
          <w:bCs/>
          <w:color w:val="000000"/>
          <w:kern w:val="0"/>
        </w:rPr>
        <w:t xml:space="preserve">：                                              </w:t>
      </w:r>
    </w:p>
    <w:tbl>
      <w:tblPr>
        <w:tblStyle w:val="25"/>
        <w:tblW w:w="0" w:type="auto"/>
        <w:jc w:val="center"/>
        <w:tblLayout w:type="fixed"/>
        <w:tblCellMar>
          <w:top w:w="0" w:type="dxa"/>
          <w:left w:w="28" w:type="dxa"/>
          <w:bottom w:w="0" w:type="dxa"/>
          <w:right w:w="28" w:type="dxa"/>
        </w:tblCellMar>
      </w:tblPr>
      <w:tblGrid>
        <w:gridCol w:w="647"/>
        <w:gridCol w:w="1296"/>
        <w:gridCol w:w="2500"/>
        <w:gridCol w:w="1311"/>
        <w:gridCol w:w="2593"/>
        <w:gridCol w:w="710"/>
      </w:tblGrid>
      <w:tr w14:paraId="4DB0E0E1">
        <w:tblPrEx>
          <w:tblCellMar>
            <w:top w:w="0" w:type="dxa"/>
            <w:left w:w="28" w:type="dxa"/>
            <w:bottom w:w="0" w:type="dxa"/>
            <w:right w:w="28" w:type="dxa"/>
          </w:tblCellMar>
        </w:tblPrEx>
        <w:trPr>
          <w:trHeight w:val="492" w:hRule="atLeast"/>
          <w:jc w:val="center"/>
        </w:trPr>
        <w:tc>
          <w:tcPr>
            <w:tcW w:w="647" w:type="dxa"/>
            <w:tcBorders>
              <w:top w:val="single" w:color="000000" w:sz="6" w:space="0"/>
              <w:left w:val="single" w:color="000000" w:sz="6" w:space="0"/>
              <w:bottom w:val="single" w:color="000000" w:sz="6" w:space="0"/>
              <w:right w:val="single" w:color="000000" w:sz="6" w:space="0"/>
            </w:tcBorders>
            <w:noWrap w:val="0"/>
            <w:vAlign w:val="center"/>
          </w:tcPr>
          <w:p w14:paraId="5F95A1DD">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3796" w:type="dxa"/>
            <w:gridSpan w:val="2"/>
            <w:tcBorders>
              <w:top w:val="single" w:color="000000" w:sz="6" w:space="0"/>
              <w:left w:val="single" w:color="000000" w:sz="6" w:space="0"/>
              <w:bottom w:val="single" w:color="000000" w:sz="6" w:space="0"/>
              <w:right w:val="single" w:color="000000" w:sz="6" w:space="0"/>
            </w:tcBorders>
            <w:noWrap w:val="0"/>
            <w:vAlign w:val="center"/>
          </w:tcPr>
          <w:p w14:paraId="2A9E5931">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采购需求技术参数、指标</w:t>
            </w:r>
          </w:p>
        </w:tc>
        <w:tc>
          <w:tcPr>
            <w:tcW w:w="3904" w:type="dxa"/>
            <w:gridSpan w:val="2"/>
            <w:tcBorders>
              <w:top w:val="single" w:color="000000" w:sz="6" w:space="0"/>
              <w:left w:val="single" w:color="000000" w:sz="6" w:space="0"/>
              <w:bottom w:val="single" w:color="000000" w:sz="6" w:space="0"/>
              <w:right w:val="single" w:color="000000" w:sz="6" w:space="0"/>
            </w:tcBorders>
            <w:noWrap w:val="0"/>
            <w:vAlign w:val="center"/>
          </w:tcPr>
          <w:p w14:paraId="06A93214">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投标产品技术参数、指标</w:t>
            </w:r>
          </w:p>
        </w:tc>
        <w:tc>
          <w:tcPr>
            <w:tcW w:w="710" w:type="dxa"/>
            <w:tcBorders>
              <w:top w:val="single" w:color="000000" w:sz="6" w:space="0"/>
              <w:left w:val="single" w:color="000000" w:sz="6" w:space="0"/>
              <w:bottom w:val="single" w:color="000000" w:sz="6" w:space="0"/>
              <w:right w:val="single" w:color="000000" w:sz="6" w:space="0"/>
            </w:tcBorders>
            <w:noWrap w:val="0"/>
            <w:vAlign w:val="center"/>
          </w:tcPr>
          <w:p w14:paraId="246AA0E3">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偏离</w:t>
            </w:r>
          </w:p>
        </w:tc>
      </w:tr>
      <w:tr w14:paraId="0DF4D678">
        <w:tblPrEx>
          <w:tblCellMar>
            <w:top w:w="0" w:type="dxa"/>
            <w:left w:w="28" w:type="dxa"/>
            <w:bottom w:w="0" w:type="dxa"/>
            <w:right w:w="28" w:type="dxa"/>
          </w:tblCellMar>
        </w:tblPrEx>
        <w:trPr>
          <w:trHeight w:val="492" w:hRule="atLeast"/>
          <w:jc w:val="center"/>
        </w:trPr>
        <w:tc>
          <w:tcPr>
            <w:tcW w:w="647" w:type="dxa"/>
            <w:tcBorders>
              <w:top w:val="single" w:color="000000" w:sz="6" w:space="0"/>
              <w:left w:val="single" w:color="000000" w:sz="6" w:space="0"/>
              <w:bottom w:val="single" w:color="000000" w:sz="6" w:space="0"/>
              <w:right w:val="single" w:color="000000" w:sz="6" w:space="0"/>
            </w:tcBorders>
            <w:noWrap w:val="0"/>
            <w:vAlign w:val="center"/>
          </w:tcPr>
          <w:p w14:paraId="5970758F">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序号</w:t>
            </w:r>
          </w:p>
        </w:tc>
        <w:tc>
          <w:tcPr>
            <w:tcW w:w="1296" w:type="dxa"/>
            <w:tcBorders>
              <w:top w:val="single" w:color="000000" w:sz="6" w:space="0"/>
              <w:left w:val="single" w:color="000000" w:sz="6" w:space="0"/>
              <w:bottom w:val="single" w:color="000000" w:sz="6" w:space="0"/>
              <w:right w:val="single" w:color="000000" w:sz="6" w:space="0"/>
            </w:tcBorders>
            <w:noWrap w:val="0"/>
            <w:vAlign w:val="center"/>
          </w:tcPr>
          <w:p w14:paraId="24ED42A9">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名称</w:t>
            </w:r>
          </w:p>
        </w:tc>
        <w:tc>
          <w:tcPr>
            <w:tcW w:w="2500" w:type="dxa"/>
            <w:tcBorders>
              <w:top w:val="single" w:color="000000" w:sz="6" w:space="0"/>
              <w:left w:val="single" w:color="000000" w:sz="6" w:space="0"/>
              <w:bottom w:val="single" w:color="000000" w:sz="6" w:space="0"/>
              <w:right w:val="single" w:color="000000" w:sz="6" w:space="0"/>
            </w:tcBorders>
            <w:noWrap w:val="0"/>
            <w:vAlign w:val="center"/>
          </w:tcPr>
          <w:p w14:paraId="6F49F4CB">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技术参数及配置</w:t>
            </w:r>
          </w:p>
        </w:tc>
        <w:tc>
          <w:tcPr>
            <w:tcW w:w="1311" w:type="dxa"/>
            <w:tcBorders>
              <w:top w:val="single" w:color="000000" w:sz="6" w:space="0"/>
              <w:left w:val="single" w:color="000000" w:sz="6" w:space="0"/>
              <w:bottom w:val="single" w:color="000000" w:sz="6" w:space="0"/>
              <w:right w:val="single" w:color="000000" w:sz="6" w:space="0"/>
            </w:tcBorders>
            <w:noWrap w:val="0"/>
            <w:vAlign w:val="center"/>
          </w:tcPr>
          <w:p w14:paraId="55A721E4">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名称</w:t>
            </w:r>
          </w:p>
        </w:tc>
        <w:tc>
          <w:tcPr>
            <w:tcW w:w="2593" w:type="dxa"/>
            <w:tcBorders>
              <w:top w:val="single" w:color="000000" w:sz="6" w:space="0"/>
              <w:left w:val="single" w:color="000000" w:sz="6" w:space="0"/>
              <w:bottom w:val="single" w:color="000000" w:sz="6" w:space="0"/>
              <w:right w:val="single" w:color="000000" w:sz="6" w:space="0"/>
            </w:tcBorders>
            <w:noWrap w:val="0"/>
            <w:vAlign w:val="center"/>
          </w:tcPr>
          <w:p w14:paraId="6F22BED8">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技术参数及配置</w:t>
            </w:r>
          </w:p>
        </w:tc>
        <w:tc>
          <w:tcPr>
            <w:tcW w:w="710" w:type="dxa"/>
            <w:tcBorders>
              <w:top w:val="single" w:color="000000" w:sz="6" w:space="0"/>
              <w:left w:val="single" w:color="000000" w:sz="6" w:space="0"/>
              <w:bottom w:val="single" w:color="000000" w:sz="6" w:space="0"/>
              <w:right w:val="single" w:color="000000" w:sz="6" w:space="0"/>
            </w:tcBorders>
            <w:noWrap w:val="0"/>
            <w:vAlign w:val="center"/>
          </w:tcPr>
          <w:p w14:paraId="7F6A7931">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r>
      <w:tr w14:paraId="3D8F4A38">
        <w:tblPrEx>
          <w:tblCellMar>
            <w:top w:w="0" w:type="dxa"/>
            <w:left w:w="28" w:type="dxa"/>
            <w:bottom w:w="0" w:type="dxa"/>
            <w:right w:w="28" w:type="dxa"/>
          </w:tblCellMar>
        </w:tblPrEx>
        <w:trPr>
          <w:trHeight w:val="492" w:hRule="atLeast"/>
          <w:jc w:val="center"/>
        </w:trPr>
        <w:tc>
          <w:tcPr>
            <w:tcW w:w="647" w:type="dxa"/>
            <w:tcBorders>
              <w:top w:val="single" w:color="000000" w:sz="6" w:space="0"/>
              <w:left w:val="single" w:color="000000" w:sz="6" w:space="0"/>
              <w:bottom w:val="single" w:color="000000" w:sz="6" w:space="0"/>
              <w:right w:val="single" w:color="000000" w:sz="6" w:space="0"/>
            </w:tcBorders>
            <w:noWrap w:val="0"/>
            <w:vAlign w:val="center"/>
          </w:tcPr>
          <w:p w14:paraId="23CFC459">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1</w:t>
            </w:r>
          </w:p>
        </w:tc>
        <w:tc>
          <w:tcPr>
            <w:tcW w:w="1296" w:type="dxa"/>
            <w:tcBorders>
              <w:top w:val="single" w:color="000000" w:sz="6" w:space="0"/>
              <w:left w:val="single" w:color="000000" w:sz="6" w:space="0"/>
              <w:bottom w:val="single" w:color="000000" w:sz="6" w:space="0"/>
              <w:right w:val="single" w:color="000000" w:sz="6" w:space="0"/>
            </w:tcBorders>
            <w:noWrap w:val="0"/>
            <w:vAlign w:val="center"/>
          </w:tcPr>
          <w:p w14:paraId="46150DD2">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2500" w:type="dxa"/>
            <w:tcBorders>
              <w:top w:val="single" w:color="000000" w:sz="6" w:space="0"/>
              <w:left w:val="single" w:color="000000" w:sz="6" w:space="0"/>
              <w:bottom w:val="single" w:color="000000" w:sz="6" w:space="0"/>
              <w:right w:val="single" w:color="000000" w:sz="6" w:space="0"/>
            </w:tcBorders>
            <w:noWrap w:val="0"/>
            <w:vAlign w:val="center"/>
          </w:tcPr>
          <w:p w14:paraId="40F67F92">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1311" w:type="dxa"/>
            <w:tcBorders>
              <w:top w:val="single" w:color="000000" w:sz="6" w:space="0"/>
              <w:left w:val="single" w:color="000000" w:sz="6" w:space="0"/>
              <w:bottom w:val="single" w:color="000000" w:sz="6" w:space="0"/>
              <w:right w:val="single" w:color="000000" w:sz="6" w:space="0"/>
            </w:tcBorders>
            <w:noWrap w:val="0"/>
            <w:vAlign w:val="center"/>
          </w:tcPr>
          <w:p w14:paraId="54A16203">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2593" w:type="dxa"/>
            <w:tcBorders>
              <w:top w:val="single" w:color="000000" w:sz="6" w:space="0"/>
              <w:left w:val="single" w:color="000000" w:sz="6" w:space="0"/>
              <w:bottom w:val="single" w:color="000000" w:sz="6" w:space="0"/>
              <w:right w:val="single" w:color="000000" w:sz="6" w:space="0"/>
            </w:tcBorders>
            <w:noWrap w:val="0"/>
            <w:vAlign w:val="center"/>
          </w:tcPr>
          <w:p w14:paraId="6814FB93">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710" w:type="dxa"/>
            <w:tcBorders>
              <w:top w:val="single" w:color="000000" w:sz="6" w:space="0"/>
              <w:left w:val="single" w:color="000000" w:sz="6" w:space="0"/>
              <w:bottom w:val="single" w:color="000000" w:sz="6" w:space="0"/>
              <w:right w:val="single" w:color="000000" w:sz="6" w:space="0"/>
            </w:tcBorders>
            <w:noWrap w:val="0"/>
            <w:vAlign w:val="center"/>
          </w:tcPr>
          <w:p w14:paraId="492D9D2C">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r>
      <w:tr w14:paraId="6E13047F">
        <w:tblPrEx>
          <w:tblCellMar>
            <w:top w:w="0" w:type="dxa"/>
            <w:left w:w="28" w:type="dxa"/>
            <w:bottom w:w="0" w:type="dxa"/>
            <w:right w:w="28" w:type="dxa"/>
          </w:tblCellMar>
        </w:tblPrEx>
        <w:trPr>
          <w:trHeight w:val="492" w:hRule="atLeast"/>
          <w:jc w:val="center"/>
        </w:trPr>
        <w:tc>
          <w:tcPr>
            <w:tcW w:w="647" w:type="dxa"/>
            <w:tcBorders>
              <w:top w:val="single" w:color="000000" w:sz="6" w:space="0"/>
              <w:left w:val="single" w:color="000000" w:sz="6" w:space="0"/>
              <w:bottom w:val="single" w:color="000000" w:sz="6" w:space="0"/>
              <w:right w:val="single" w:color="000000" w:sz="6" w:space="0"/>
            </w:tcBorders>
            <w:noWrap w:val="0"/>
            <w:vAlign w:val="center"/>
          </w:tcPr>
          <w:p w14:paraId="27E77F91">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2</w:t>
            </w:r>
          </w:p>
        </w:tc>
        <w:tc>
          <w:tcPr>
            <w:tcW w:w="1296" w:type="dxa"/>
            <w:tcBorders>
              <w:top w:val="single" w:color="000000" w:sz="6" w:space="0"/>
              <w:left w:val="single" w:color="000000" w:sz="6" w:space="0"/>
              <w:bottom w:val="single" w:color="000000" w:sz="6" w:space="0"/>
              <w:right w:val="single" w:color="000000" w:sz="6" w:space="0"/>
            </w:tcBorders>
            <w:noWrap w:val="0"/>
            <w:vAlign w:val="center"/>
          </w:tcPr>
          <w:p w14:paraId="42CE625E">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2500" w:type="dxa"/>
            <w:tcBorders>
              <w:top w:val="single" w:color="000000" w:sz="6" w:space="0"/>
              <w:left w:val="single" w:color="000000" w:sz="6" w:space="0"/>
              <w:bottom w:val="single" w:color="000000" w:sz="6" w:space="0"/>
              <w:right w:val="single" w:color="000000" w:sz="6" w:space="0"/>
            </w:tcBorders>
            <w:noWrap w:val="0"/>
            <w:vAlign w:val="center"/>
          </w:tcPr>
          <w:p w14:paraId="7AA24E9C">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1311" w:type="dxa"/>
            <w:tcBorders>
              <w:top w:val="single" w:color="000000" w:sz="6" w:space="0"/>
              <w:left w:val="single" w:color="000000" w:sz="6" w:space="0"/>
              <w:bottom w:val="single" w:color="000000" w:sz="6" w:space="0"/>
              <w:right w:val="single" w:color="000000" w:sz="6" w:space="0"/>
            </w:tcBorders>
            <w:noWrap w:val="0"/>
            <w:vAlign w:val="center"/>
          </w:tcPr>
          <w:p w14:paraId="40184E2F">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2593" w:type="dxa"/>
            <w:tcBorders>
              <w:top w:val="single" w:color="000000" w:sz="6" w:space="0"/>
              <w:left w:val="single" w:color="000000" w:sz="6" w:space="0"/>
              <w:bottom w:val="single" w:color="000000" w:sz="6" w:space="0"/>
              <w:right w:val="single" w:color="000000" w:sz="6" w:space="0"/>
            </w:tcBorders>
            <w:noWrap w:val="0"/>
            <w:vAlign w:val="center"/>
          </w:tcPr>
          <w:p w14:paraId="3937A0E3">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710" w:type="dxa"/>
            <w:tcBorders>
              <w:top w:val="single" w:color="000000" w:sz="6" w:space="0"/>
              <w:left w:val="single" w:color="000000" w:sz="6" w:space="0"/>
              <w:bottom w:val="single" w:color="000000" w:sz="6" w:space="0"/>
              <w:right w:val="single" w:color="000000" w:sz="6" w:space="0"/>
            </w:tcBorders>
            <w:noWrap w:val="0"/>
            <w:vAlign w:val="center"/>
          </w:tcPr>
          <w:p w14:paraId="6721A4B5">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r>
      <w:tr w14:paraId="7D9C8F52">
        <w:tblPrEx>
          <w:tblCellMar>
            <w:top w:w="0" w:type="dxa"/>
            <w:left w:w="28" w:type="dxa"/>
            <w:bottom w:w="0" w:type="dxa"/>
            <w:right w:w="28" w:type="dxa"/>
          </w:tblCellMar>
        </w:tblPrEx>
        <w:trPr>
          <w:trHeight w:val="507" w:hRule="atLeast"/>
          <w:jc w:val="center"/>
        </w:trPr>
        <w:tc>
          <w:tcPr>
            <w:tcW w:w="647" w:type="dxa"/>
            <w:tcBorders>
              <w:top w:val="single" w:color="000000" w:sz="6" w:space="0"/>
              <w:left w:val="single" w:color="000000" w:sz="6" w:space="0"/>
              <w:bottom w:val="single" w:color="000000" w:sz="6" w:space="0"/>
              <w:right w:val="single" w:color="000000" w:sz="6" w:space="0"/>
            </w:tcBorders>
            <w:noWrap w:val="0"/>
            <w:vAlign w:val="center"/>
          </w:tcPr>
          <w:p w14:paraId="43765183">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w:t>
            </w:r>
          </w:p>
        </w:tc>
        <w:tc>
          <w:tcPr>
            <w:tcW w:w="1296" w:type="dxa"/>
            <w:tcBorders>
              <w:top w:val="single" w:color="000000" w:sz="6" w:space="0"/>
              <w:left w:val="single" w:color="000000" w:sz="6" w:space="0"/>
              <w:bottom w:val="single" w:color="000000" w:sz="6" w:space="0"/>
              <w:right w:val="single" w:color="000000" w:sz="6" w:space="0"/>
            </w:tcBorders>
            <w:noWrap w:val="0"/>
            <w:vAlign w:val="center"/>
          </w:tcPr>
          <w:p w14:paraId="5BD9D38B">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2500" w:type="dxa"/>
            <w:tcBorders>
              <w:top w:val="single" w:color="000000" w:sz="6" w:space="0"/>
              <w:left w:val="single" w:color="000000" w:sz="6" w:space="0"/>
              <w:bottom w:val="single" w:color="000000" w:sz="6" w:space="0"/>
              <w:right w:val="single" w:color="000000" w:sz="6" w:space="0"/>
            </w:tcBorders>
            <w:noWrap w:val="0"/>
            <w:vAlign w:val="center"/>
          </w:tcPr>
          <w:p w14:paraId="0819E2D7">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1311" w:type="dxa"/>
            <w:tcBorders>
              <w:top w:val="single" w:color="000000" w:sz="6" w:space="0"/>
              <w:left w:val="single" w:color="000000" w:sz="6" w:space="0"/>
              <w:bottom w:val="single" w:color="000000" w:sz="6" w:space="0"/>
              <w:right w:val="single" w:color="000000" w:sz="6" w:space="0"/>
            </w:tcBorders>
            <w:noWrap w:val="0"/>
            <w:vAlign w:val="center"/>
          </w:tcPr>
          <w:p w14:paraId="6349D94E">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2593" w:type="dxa"/>
            <w:tcBorders>
              <w:top w:val="single" w:color="000000" w:sz="6" w:space="0"/>
              <w:left w:val="single" w:color="000000" w:sz="6" w:space="0"/>
              <w:bottom w:val="single" w:color="000000" w:sz="6" w:space="0"/>
              <w:right w:val="single" w:color="000000" w:sz="6" w:space="0"/>
            </w:tcBorders>
            <w:noWrap w:val="0"/>
            <w:vAlign w:val="center"/>
          </w:tcPr>
          <w:p w14:paraId="1B40249E">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710" w:type="dxa"/>
            <w:tcBorders>
              <w:top w:val="single" w:color="000000" w:sz="6" w:space="0"/>
              <w:left w:val="single" w:color="000000" w:sz="6" w:space="0"/>
              <w:bottom w:val="single" w:color="000000" w:sz="6" w:space="0"/>
              <w:right w:val="single" w:color="000000" w:sz="6" w:space="0"/>
            </w:tcBorders>
            <w:noWrap w:val="0"/>
            <w:vAlign w:val="center"/>
          </w:tcPr>
          <w:p w14:paraId="46A92688">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r>
    </w:tbl>
    <w:p w14:paraId="336CBB68">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注：1.本表应按照每包“项目概况及技术参数”中产品序号的指标逐项填写，不得遗漏，</w:t>
      </w:r>
      <w:r>
        <w:rPr>
          <w:rFonts w:hint="eastAsia" w:ascii="宋体" w:hAnsi="宋体" w:eastAsia="宋体" w:cs="宋体"/>
          <w:color w:val="000000"/>
        </w:rPr>
        <w:t>否则</w:t>
      </w:r>
      <w:r>
        <w:rPr>
          <w:rFonts w:hint="eastAsia" w:ascii="宋体" w:hAnsi="宋体" w:eastAsia="宋体" w:cs="宋体"/>
          <w:color w:val="000000"/>
          <w:kern w:val="0"/>
          <w:szCs w:val="20"/>
        </w:rPr>
        <w:t>，按无效投标处理</w:t>
      </w:r>
      <w:r>
        <w:rPr>
          <w:rFonts w:hint="eastAsia" w:ascii="宋体" w:hAnsi="宋体" w:eastAsia="宋体" w:cs="宋体"/>
          <w:color w:val="000000"/>
        </w:rPr>
        <w:t>。</w:t>
      </w:r>
    </w:p>
    <w:p w14:paraId="151C60B4">
      <w:pPr>
        <w:autoSpaceDE w:val="0"/>
        <w:autoSpaceDN w:val="0"/>
        <w:adjustRightInd w:val="0"/>
        <w:ind w:firstLine="480"/>
        <w:rPr>
          <w:rFonts w:hint="eastAsia" w:ascii="宋体" w:hAnsi="宋体" w:eastAsia="宋体" w:cs="宋体"/>
          <w:kern w:val="0"/>
          <w:lang w:val="zh-CN"/>
        </w:rPr>
      </w:pPr>
      <w:r>
        <w:rPr>
          <w:rFonts w:hint="eastAsia" w:ascii="宋体" w:hAnsi="宋体" w:eastAsia="宋体" w:cs="宋体"/>
          <w:kern w:val="0"/>
        </w:rPr>
        <w:t>2</w:t>
      </w:r>
      <w:r>
        <w:rPr>
          <w:rFonts w:hint="eastAsia" w:ascii="宋体" w:hAnsi="宋体" w:eastAsia="宋体" w:cs="宋体"/>
          <w:kern w:val="0"/>
          <w:lang w:val="zh-CN"/>
        </w:rPr>
        <w:t>. 供应商响应采购需求应具体、明确，应以招标项目参数要求为基本投标要求，</w:t>
      </w:r>
    </w:p>
    <w:p w14:paraId="2B615B6C">
      <w:pPr>
        <w:autoSpaceDE w:val="0"/>
        <w:autoSpaceDN w:val="0"/>
        <w:adjustRightInd w:val="0"/>
        <w:ind w:firstLine="480"/>
        <w:rPr>
          <w:rFonts w:hint="eastAsia" w:ascii="宋体" w:hAnsi="宋体" w:eastAsia="宋体" w:cs="宋体"/>
          <w:kern w:val="0"/>
          <w:lang w:val="zh-CN"/>
        </w:rPr>
      </w:pPr>
      <w:r>
        <w:rPr>
          <w:rFonts w:hint="eastAsia" w:ascii="宋体" w:hAnsi="宋体" w:eastAsia="宋体" w:cs="宋体"/>
          <w:kern w:val="0"/>
          <w:lang w:val="zh-CN"/>
        </w:rPr>
        <w:t>对超出或不满足招标项目参数要求的指标需列出“+、-”偏差，并做出详细说明；</w:t>
      </w:r>
    </w:p>
    <w:p w14:paraId="094962B9">
      <w:pPr>
        <w:autoSpaceDE w:val="0"/>
        <w:autoSpaceDN w:val="0"/>
        <w:adjustRightInd w:val="0"/>
        <w:ind w:firstLine="480" w:firstLineChars="200"/>
        <w:rPr>
          <w:rFonts w:hint="eastAsia" w:ascii="宋体" w:hAnsi="宋体" w:eastAsia="宋体" w:cs="宋体"/>
          <w:kern w:val="0"/>
          <w:lang w:val="zh-CN"/>
        </w:rPr>
      </w:pPr>
      <w:r>
        <w:rPr>
          <w:rFonts w:hint="eastAsia" w:ascii="宋体" w:hAnsi="宋体" w:eastAsia="宋体" w:cs="宋体"/>
          <w:kern w:val="0"/>
        </w:rPr>
        <w:t>3</w:t>
      </w:r>
      <w:r>
        <w:rPr>
          <w:rFonts w:hint="eastAsia" w:ascii="宋体" w:hAnsi="宋体" w:eastAsia="宋体" w:cs="宋体"/>
          <w:kern w:val="0"/>
          <w:lang w:val="zh-CN"/>
        </w:rPr>
        <w:t>. 供应商应按投标产品实际情况填写，不得照抄、复制采购文件技术参数要求。</w:t>
      </w:r>
    </w:p>
    <w:p w14:paraId="51335C62">
      <w:pPr>
        <w:autoSpaceDE w:val="0"/>
        <w:autoSpaceDN w:val="0"/>
        <w:adjustRightInd w:val="0"/>
        <w:ind w:firstLine="480"/>
        <w:rPr>
          <w:rFonts w:hint="eastAsia" w:ascii="宋体" w:hAnsi="宋体" w:eastAsia="宋体" w:cs="宋体"/>
          <w:kern w:val="0"/>
          <w:lang w:val="zh-CN"/>
        </w:rPr>
      </w:pPr>
      <w:r>
        <w:rPr>
          <w:rFonts w:hint="eastAsia" w:ascii="宋体" w:hAnsi="宋体" w:eastAsia="宋体" w:cs="宋体"/>
          <w:kern w:val="0"/>
        </w:rPr>
        <w:t>4</w:t>
      </w:r>
      <w:r>
        <w:rPr>
          <w:rFonts w:hint="eastAsia" w:ascii="宋体" w:hAnsi="宋体" w:eastAsia="宋体" w:cs="宋体"/>
          <w:kern w:val="0"/>
          <w:lang w:val="zh-CN"/>
        </w:rPr>
        <w:t>. 供应商响应采购需求应具体、明确，含糊不清、不确切或伪造、编造证明</w:t>
      </w:r>
    </w:p>
    <w:p w14:paraId="0E0F1DEB">
      <w:pPr>
        <w:autoSpaceDE w:val="0"/>
        <w:autoSpaceDN w:val="0"/>
        <w:adjustRightInd w:val="0"/>
        <w:ind w:firstLine="480"/>
        <w:rPr>
          <w:rFonts w:hint="eastAsia" w:ascii="宋体" w:hAnsi="宋体" w:eastAsia="宋体" w:cs="宋体"/>
          <w:kern w:val="0"/>
          <w:lang w:val="zh-CN"/>
        </w:rPr>
      </w:pPr>
      <w:r>
        <w:rPr>
          <w:rFonts w:hint="eastAsia" w:ascii="宋体" w:hAnsi="宋体" w:eastAsia="宋体" w:cs="宋体"/>
          <w:kern w:val="0"/>
          <w:lang w:val="zh-CN"/>
        </w:rPr>
        <w:t>材料的，按照实质性不响应处理。对伪造、编造证明材料的，将报送采购监管部门</w:t>
      </w:r>
    </w:p>
    <w:p w14:paraId="502F3834">
      <w:pPr>
        <w:autoSpaceDE w:val="0"/>
        <w:autoSpaceDN w:val="0"/>
        <w:adjustRightInd w:val="0"/>
        <w:ind w:firstLine="480"/>
        <w:rPr>
          <w:rFonts w:hint="eastAsia" w:ascii="宋体" w:hAnsi="宋体" w:eastAsia="宋体" w:cs="宋体"/>
          <w:kern w:val="0"/>
          <w:lang w:val="zh-CN"/>
        </w:rPr>
      </w:pPr>
      <w:r>
        <w:rPr>
          <w:rFonts w:hint="eastAsia" w:ascii="宋体" w:hAnsi="宋体" w:eastAsia="宋体" w:cs="宋体"/>
          <w:kern w:val="0"/>
          <w:lang w:val="zh-CN"/>
        </w:rPr>
        <w:t>查处。</w:t>
      </w:r>
    </w:p>
    <w:p w14:paraId="27394E02">
      <w:pPr>
        <w:autoSpaceDE w:val="0"/>
        <w:autoSpaceDN w:val="0"/>
        <w:adjustRightInd w:val="0"/>
        <w:ind w:firstLine="480" w:firstLineChars="200"/>
        <w:rPr>
          <w:rFonts w:hint="eastAsia" w:ascii="宋体" w:hAnsi="宋体" w:eastAsia="宋体" w:cs="宋体"/>
          <w:kern w:val="0"/>
          <w:lang w:val="zh-CN"/>
        </w:rPr>
      </w:pPr>
    </w:p>
    <w:p w14:paraId="4C9A945E">
      <w:pPr>
        <w:autoSpaceDE w:val="0"/>
        <w:autoSpaceDN w:val="0"/>
        <w:spacing w:line="360" w:lineRule="auto"/>
        <w:ind w:firstLine="480"/>
        <w:rPr>
          <w:rFonts w:hint="eastAsia" w:ascii="宋体" w:hAnsi="宋体" w:eastAsia="宋体" w:cs="宋体"/>
          <w:color w:val="000000"/>
          <w:kern w:val="0"/>
          <w:lang w:val="zh-CN"/>
        </w:rPr>
      </w:pPr>
    </w:p>
    <w:p w14:paraId="0FA3F330">
      <w:pPr>
        <w:autoSpaceDE w:val="0"/>
        <w:autoSpaceDN w:val="0"/>
        <w:spacing w:line="360" w:lineRule="auto"/>
        <w:ind w:firstLine="480"/>
        <w:rPr>
          <w:rFonts w:hint="eastAsia" w:ascii="宋体" w:hAnsi="宋体" w:eastAsia="宋体" w:cs="宋体"/>
          <w:color w:val="000000"/>
          <w:kern w:val="0"/>
          <w:lang w:val="zh-CN"/>
        </w:rPr>
      </w:pPr>
    </w:p>
    <w:p w14:paraId="3A1C1CAB">
      <w:pPr>
        <w:autoSpaceDE w:val="0"/>
        <w:autoSpaceDN w:val="0"/>
        <w:spacing w:line="360" w:lineRule="auto"/>
        <w:ind w:firstLine="1928" w:firstLineChars="800"/>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投标人：</w:t>
      </w:r>
      <w:r>
        <w:rPr>
          <w:rFonts w:hint="eastAsia" w:ascii="宋体" w:hAnsi="宋体" w:eastAsia="宋体" w:cs="宋体"/>
          <w:b/>
          <w:bCs/>
          <w:color w:val="000000"/>
          <w:kern w:val="0"/>
          <w:u w:val="single"/>
          <w:lang w:val="zh-CN"/>
        </w:rPr>
        <w:t xml:space="preserve">           </w:t>
      </w:r>
      <w:r>
        <w:rPr>
          <w:rFonts w:hint="eastAsia" w:ascii="宋体" w:hAnsi="宋体" w:eastAsia="宋体" w:cs="宋体"/>
          <w:b/>
          <w:bCs/>
          <w:color w:val="000000"/>
          <w:kern w:val="0"/>
          <w:u w:val="single"/>
        </w:rPr>
        <w:t xml:space="preserve">           </w:t>
      </w:r>
      <w:r>
        <w:rPr>
          <w:rFonts w:hint="eastAsia" w:ascii="宋体" w:hAnsi="宋体" w:eastAsia="宋体" w:cs="宋体"/>
          <w:b/>
          <w:bCs/>
          <w:color w:val="000000"/>
          <w:kern w:val="0"/>
          <w:u w:val="single"/>
          <w:lang w:val="zh-CN"/>
        </w:rPr>
        <w:t xml:space="preserve">  </w:t>
      </w:r>
      <w:r>
        <w:rPr>
          <w:rFonts w:hint="eastAsia" w:ascii="宋体" w:hAnsi="宋体" w:eastAsia="宋体" w:cs="宋体"/>
          <w:b/>
          <w:bCs/>
          <w:color w:val="000000"/>
          <w:kern w:val="0"/>
          <w:lang w:val="zh-CN"/>
        </w:rPr>
        <w:t>（公章）</w:t>
      </w:r>
    </w:p>
    <w:p w14:paraId="25ED75F9">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法定代表人或委托代理人：</w:t>
      </w:r>
      <w:r>
        <w:rPr>
          <w:rFonts w:hint="eastAsia" w:ascii="宋体" w:hAnsi="宋体" w:eastAsia="宋体" w:cs="宋体"/>
          <w:b/>
          <w:bCs/>
          <w:color w:val="000000"/>
          <w:kern w:val="0"/>
          <w:u w:val="single"/>
          <w:lang w:val="zh-CN"/>
        </w:rPr>
        <w:t xml:space="preserve">        </w:t>
      </w:r>
      <w:r>
        <w:rPr>
          <w:rFonts w:hint="eastAsia" w:ascii="宋体" w:hAnsi="宋体" w:eastAsia="宋体" w:cs="宋体"/>
          <w:b/>
          <w:bCs/>
          <w:color w:val="000000"/>
          <w:kern w:val="0"/>
          <w:lang w:val="zh-CN"/>
        </w:rPr>
        <w:t>（签字或盖章）</w:t>
      </w:r>
    </w:p>
    <w:p w14:paraId="1262A26E">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年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月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日</w:t>
      </w:r>
    </w:p>
    <w:p w14:paraId="67A82ECF">
      <w:pPr>
        <w:pStyle w:val="23"/>
        <w:spacing w:before="0" w:after="0" w:line="360" w:lineRule="auto"/>
        <w:jc w:val="left"/>
        <w:outlineLvl w:val="1"/>
        <w:rPr>
          <w:rFonts w:hint="eastAsia" w:ascii="宋体" w:hAnsi="宋体" w:eastAsia="宋体" w:cs="宋体"/>
          <w:color w:val="000000"/>
        </w:rPr>
      </w:pPr>
      <w:r>
        <w:rPr>
          <w:rFonts w:hint="eastAsia" w:ascii="宋体" w:hAnsi="宋体" w:eastAsia="宋体" w:cs="宋体"/>
          <w:color w:val="000000"/>
          <w:kern w:val="0"/>
          <w:sz w:val="24"/>
          <w:szCs w:val="24"/>
          <w:lang w:val="zh-CN"/>
        </w:rPr>
        <w:br w:type="page"/>
      </w:r>
      <w:bookmarkStart w:id="78" w:name="_Toc32410"/>
      <w:bookmarkStart w:id="79" w:name="_Toc14290"/>
      <w:r>
        <w:rPr>
          <w:rFonts w:hint="eastAsia" w:ascii="宋体" w:hAnsi="宋体" w:eastAsia="宋体" w:cs="宋体"/>
          <w:color w:val="000000"/>
          <w:sz w:val="30"/>
          <w:szCs w:val="30"/>
        </w:rPr>
        <w:t>（15）</w:t>
      </w:r>
      <w:r>
        <w:rPr>
          <w:rFonts w:hint="eastAsia" w:ascii="宋体" w:hAnsi="宋体" w:eastAsia="宋体" w:cs="宋体"/>
          <w:color w:val="000000"/>
          <w:sz w:val="30"/>
          <w:szCs w:val="30"/>
          <w:lang w:val="zh-CN"/>
        </w:rPr>
        <w:t>投标产品相关资料</w:t>
      </w:r>
      <w:bookmarkEnd w:id="78"/>
    </w:p>
    <w:p w14:paraId="7D3A75DE">
      <w:pPr>
        <w:autoSpaceDE w:val="0"/>
        <w:autoSpaceDN w:val="0"/>
        <w:spacing w:line="360" w:lineRule="auto"/>
        <w:rPr>
          <w:rFonts w:hint="eastAsia" w:ascii="宋体" w:hAnsi="宋体" w:eastAsia="宋体" w:cs="宋体"/>
          <w:color w:val="000000"/>
          <w:kern w:val="0"/>
          <w:sz w:val="28"/>
          <w:szCs w:val="28"/>
          <w:lang w:val="zh-CN"/>
        </w:rPr>
      </w:pPr>
    </w:p>
    <w:p w14:paraId="332E51F9">
      <w:pPr>
        <w:autoSpaceDE w:val="0"/>
        <w:autoSpaceDN w:val="0"/>
        <w:spacing w:line="360" w:lineRule="auto"/>
        <w:jc w:val="center"/>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28"/>
          <w:szCs w:val="28"/>
          <w:lang w:val="zh-CN"/>
        </w:rPr>
        <w:t>投标产品相关资料</w:t>
      </w:r>
    </w:p>
    <w:p w14:paraId="3A65E1A6">
      <w:pPr>
        <w:autoSpaceDE w:val="0"/>
        <w:autoSpaceDN w:val="0"/>
        <w:spacing w:line="360" w:lineRule="auto"/>
        <w:rPr>
          <w:rFonts w:hint="eastAsia" w:ascii="宋体" w:hAnsi="宋体" w:eastAsia="宋体" w:cs="宋体"/>
          <w:color w:val="000000"/>
          <w:kern w:val="0"/>
          <w:sz w:val="28"/>
          <w:szCs w:val="28"/>
          <w:lang w:val="zh-CN"/>
        </w:rPr>
      </w:pPr>
    </w:p>
    <w:p w14:paraId="7F153511">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根据采购项目内容，投标时提供国家认可的质监机构出具的投标产品的产品检验报告、证明技术参数响应的相关资料、彩页（或厂家公开发布的资料参数）、相关认证等资料。</w:t>
      </w:r>
    </w:p>
    <w:p w14:paraId="5F908C56">
      <w:pPr>
        <w:pStyle w:val="23"/>
        <w:spacing w:before="0" w:after="0" w:line="360" w:lineRule="auto"/>
        <w:ind w:firstLine="602" w:firstLineChars="200"/>
        <w:jc w:val="left"/>
        <w:outlineLvl w:val="1"/>
        <w:rPr>
          <w:rFonts w:hint="eastAsia" w:ascii="宋体" w:hAnsi="宋体" w:eastAsia="宋体" w:cs="宋体"/>
          <w:color w:val="000000"/>
        </w:rPr>
      </w:pPr>
      <w:r>
        <w:rPr>
          <w:rFonts w:hint="eastAsia" w:ascii="宋体" w:hAnsi="宋体" w:eastAsia="宋体" w:cs="宋体"/>
          <w:color w:val="000000"/>
          <w:sz w:val="30"/>
          <w:szCs w:val="30"/>
        </w:rPr>
        <w:br w:type="page"/>
      </w:r>
      <w:bookmarkStart w:id="80" w:name="_Toc10495"/>
      <w:r>
        <w:rPr>
          <w:rFonts w:hint="eastAsia" w:ascii="宋体" w:hAnsi="宋体" w:eastAsia="宋体" w:cs="宋体"/>
          <w:color w:val="000000"/>
          <w:sz w:val="30"/>
          <w:szCs w:val="30"/>
        </w:rPr>
        <w:t>（16）</w:t>
      </w:r>
      <w:r>
        <w:rPr>
          <w:rFonts w:hint="eastAsia" w:ascii="宋体" w:hAnsi="宋体" w:eastAsia="宋体" w:cs="宋体"/>
          <w:color w:val="000000"/>
          <w:sz w:val="30"/>
          <w:szCs w:val="30"/>
          <w:lang w:val="zh-CN"/>
        </w:rPr>
        <w:t>投标人的类似业绩证明材料</w:t>
      </w:r>
      <w:bookmarkEnd w:id="79"/>
      <w:bookmarkEnd w:id="80"/>
    </w:p>
    <w:p w14:paraId="341F10BD">
      <w:pPr>
        <w:autoSpaceDE w:val="0"/>
        <w:autoSpaceDN w:val="0"/>
        <w:spacing w:line="360" w:lineRule="auto"/>
        <w:rPr>
          <w:rFonts w:hint="eastAsia" w:ascii="宋体" w:hAnsi="宋体" w:eastAsia="宋体" w:cs="宋体"/>
          <w:color w:val="000000"/>
          <w:kern w:val="0"/>
          <w:sz w:val="28"/>
          <w:szCs w:val="28"/>
          <w:lang w:val="zh-CN"/>
        </w:rPr>
      </w:pPr>
    </w:p>
    <w:p w14:paraId="63FA58F6">
      <w:pPr>
        <w:autoSpaceDE w:val="0"/>
        <w:autoSpaceDN w:val="0"/>
        <w:spacing w:line="360" w:lineRule="auto"/>
        <w:jc w:val="center"/>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28"/>
          <w:szCs w:val="28"/>
          <w:lang w:val="zh-CN"/>
        </w:rPr>
        <w:t>投标人的类似业绩证明材料</w:t>
      </w:r>
    </w:p>
    <w:p w14:paraId="5E5C38EB">
      <w:pPr>
        <w:autoSpaceDE w:val="0"/>
        <w:autoSpaceDN w:val="0"/>
        <w:spacing w:line="360" w:lineRule="auto"/>
        <w:ind w:firstLine="480" w:firstLineChars="200"/>
        <w:rPr>
          <w:rFonts w:hint="eastAsia" w:ascii="宋体" w:hAnsi="宋体" w:eastAsia="宋体" w:cs="宋体"/>
          <w:color w:val="000000"/>
          <w:kern w:val="0"/>
          <w:lang w:val="zh-CN"/>
        </w:rPr>
      </w:pPr>
    </w:p>
    <w:p w14:paraId="7B31DE91">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202</w:t>
      </w:r>
      <w:r>
        <w:rPr>
          <w:rFonts w:hint="eastAsia" w:ascii="宋体" w:hAnsi="宋体" w:eastAsia="宋体" w:cs="宋体"/>
          <w:color w:val="000000"/>
          <w:kern w:val="0"/>
          <w:lang w:val="en-US" w:eastAsia="zh-CN"/>
        </w:rPr>
        <w:t>2</w:t>
      </w:r>
      <w:r>
        <w:rPr>
          <w:rFonts w:hint="eastAsia" w:ascii="宋体" w:hAnsi="宋体" w:eastAsia="宋体" w:cs="宋体"/>
          <w:color w:val="000000"/>
          <w:kern w:val="0"/>
        </w:rPr>
        <w:t>年1月1日至今，投标人提供类似业绩证明材料（须提供合同首页、合同金额所在页、合同标的页、签字盖章、合同签署日期页复印件或中标通知书）。</w:t>
      </w:r>
    </w:p>
    <w:p w14:paraId="05F5333D">
      <w:pPr>
        <w:autoSpaceDE w:val="0"/>
        <w:autoSpaceDN w:val="0"/>
        <w:spacing w:line="360" w:lineRule="auto"/>
        <w:ind w:firstLine="480" w:firstLineChars="200"/>
        <w:rPr>
          <w:rFonts w:hint="eastAsia" w:ascii="宋体" w:hAnsi="宋体" w:eastAsia="宋体" w:cs="宋体"/>
          <w:color w:val="000000"/>
          <w:lang w:val="zh-CN"/>
        </w:rPr>
      </w:pPr>
      <w:r>
        <w:rPr>
          <w:rFonts w:hint="eastAsia" w:ascii="宋体" w:hAnsi="宋体" w:eastAsia="宋体" w:cs="宋体"/>
          <w:color w:val="000000"/>
          <w:kern w:val="0"/>
          <w:lang w:val="zh-CN"/>
        </w:rPr>
        <w:br w:type="page"/>
      </w:r>
      <w:bookmarkStart w:id="81" w:name="_Toc10010"/>
      <w:bookmarkStart w:id="82" w:name="_Toc9207"/>
      <w:r>
        <w:rPr>
          <w:rFonts w:hint="eastAsia" w:ascii="宋体" w:hAnsi="宋体" w:eastAsia="宋体" w:cs="宋体"/>
          <w:b/>
          <w:sz w:val="28"/>
          <w:szCs w:val="28"/>
        </w:rPr>
        <w:t>（17）中</w:t>
      </w:r>
      <w:r>
        <w:rPr>
          <w:rFonts w:hint="eastAsia" w:ascii="宋体" w:hAnsi="宋体" w:eastAsia="宋体" w:cs="宋体"/>
          <w:b/>
          <w:sz w:val="28"/>
          <w:szCs w:val="28"/>
          <w:lang w:val="zh-CN"/>
        </w:rPr>
        <w:t>小企业声明函</w:t>
      </w:r>
      <w:bookmarkEnd w:id="81"/>
      <w:bookmarkEnd w:id="82"/>
    </w:p>
    <w:p w14:paraId="5B140B13">
      <w:pPr>
        <w:spacing w:line="360" w:lineRule="auto"/>
        <w:rPr>
          <w:rFonts w:hint="eastAsia" w:ascii="宋体" w:hAnsi="宋体" w:eastAsia="宋体" w:cs="宋体"/>
          <w:color w:val="000000"/>
          <w:sz w:val="28"/>
          <w:szCs w:val="28"/>
          <w:lang w:val="zh-CN"/>
        </w:rPr>
      </w:pPr>
    </w:p>
    <w:p w14:paraId="2F7EC6A6">
      <w:pPr>
        <w:widowControl/>
        <w:jc w:val="center"/>
        <w:rPr>
          <w:rFonts w:hint="eastAsia" w:ascii="宋体" w:hAnsi="宋体" w:eastAsia="宋体" w:cs="宋体"/>
        </w:rPr>
      </w:pPr>
      <w:r>
        <w:rPr>
          <w:rFonts w:hint="eastAsia" w:ascii="宋体" w:hAnsi="宋体" w:eastAsia="宋体" w:cs="宋体"/>
          <w:b/>
          <w:bCs/>
          <w:color w:val="000000"/>
          <w:kern w:val="0"/>
          <w:sz w:val="36"/>
          <w:szCs w:val="36"/>
          <w:lang w:bidi="ar"/>
        </w:rPr>
        <w:t>中小企业声明函</w:t>
      </w:r>
    </w:p>
    <w:p w14:paraId="69577BE5">
      <w:pPr>
        <w:autoSpaceDE w:val="0"/>
        <w:autoSpaceDN w:val="0"/>
        <w:spacing w:line="360" w:lineRule="auto"/>
        <w:rPr>
          <w:rFonts w:hint="eastAsia" w:ascii="宋体" w:hAnsi="宋体" w:eastAsia="宋体" w:cs="宋体"/>
          <w:color w:val="000000"/>
          <w:kern w:val="0"/>
          <w:sz w:val="28"/>
          <w:szCs w:val="28"/>
          <w:lang w:val="zh-CN"/>
        </w:rPr>
      </w:pPr>
    </w:p>
    <w:p w14:paraId="7258D99D">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b/>
          <w:bCs/>
          <w:color w:val="000000"/>
          <w:kern w:val="0"/>
          <w:lang w:val="zh-CN"/>
        </w:rPr>
        <w:t>致：青海君昱工程项目管理有限公司</w:t>
      </w:r>
    </w:p>
    <w:p w14:paraId="74CBC611">
      <w:pPr>
        <w:spacing w:line="360" w:lineRule="auto"/>
        <w:rPr>
          <w:rFonts w:hint="eastAsia" w:ascii="宋体" w:hAnsi="宋体" w:eastAsia="宋体" w:cs="宋体"/>
        </w:rPr>
      </w:pPr>
      <w:r>
        <w:rPr>
          <w:rFonts w:hint="eastAsia" w:ascii="宋体" w:hAnsi="宋体" w:eastAsia="宋体" w:cs="宋体"/>
        </w:rPr>
        <w:t xml:space="preserve">   本公司（联合体）郑重声明，根据《政府采购促进中小企业发展管理办法》（财库﹝2020﹞46 号）的规定，本公司（联合体）参加</w:t>
      </w:r>
      <w:r>
        <w:rPr>
          <w:rFonts w:hint="eastAsia" w:ascii="宋体" w:hAnsi="宋体" w:eastAsia="宋体" w:cs="宋体"/>
          <w:u w:val="single"/>
        </w:rPr>
        <w:t>（采购单位名称）</w:t>
      </w:r>
      <w:r>
        <w:rPr>
          <w:rFonts w:hint="eastAsia" w:ascii="宋体" w:hAnsi="宋体" w:eastAsia="宋体" w:cs="宋体"/>
        </w:rPr>
        <w:t>的</w:t>
      </w:r>
      <w:r>
        <w:rPr>
          <w:rFonts w:hint="eastAsia" w:ascii="宋体" w:hAnsi="宋体" w:eastAsia="宋体" w:cs="宋体"/>
          <w:u w:val="single"/>
        </w:rPr>
        <w:t>（项目名称）</w:t>
      </w:r>
      <w:r>
        <w:rPr>
          <w:rFonts w:hint="eastAsia" w:ascii="宋体" w:hAnsi="宋体" w:eastAsia="宋体" w:cs="宋体"/>
        </w:rPr>
        <w:t>采购活动，提供的货物全部由符合政策要求的中小企业制造。相关企业（含联合体中的中小企业、签订分包意向协议的中小企业）的具体情况如下：</w:t>
      </w:r>
    </w:p>
    <w:p w14:paraId="4E9A3FBC">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 xml:space="preserve">1. </w:t>
      </w:r>
      <w:r>
        <w:rPr>
          <w:rFonts w:hint="eastAsia" w:ascii="宋体" w:hAnsi="宋体" w:eastAsia="宋体" w:cs="宋体"/>
          <w:highlight w:val="none"/>
          <w:u w:val="single"/>
        </w:rPr>
        <w:t>（</w:t>
      </w:r>
      <w:r>
        <w:rPr>
          <w:rFonts w:hint="eastAsia" w:ascii="宋体" w:hAnsi="宋体" w:eastAsia="宋体" w:cs="宋体"/>
          <w:highlight w:val="none"/>
          <w:u w:val="single"/>
          <w:lang w:val="en-US" w:eastAsia="zh-CN"/>
        </w:rPr>
        <w:t>包一</w:t>
      </w:r>
      <w:r>
        <w:rPr>
          <w:rFonts w:hint="eastAsia" w:ascii="宋体" w:hAnsi="宋体" w:eastAsia="宋体" w:cs="宋体"/>
          <w:highlight w:val="none"/>
          <w:u w:val="single"/>
        </w:rPr>
        <w:t xml:space="preserve">标的名称） </w:t>
      </w:r>
      <w:r>
        <w:rPr>
          <w:rFonts w:hint="eastAsia" w:ascii="宋体" w:hAnsi="宋体" w:eastAsia="宋体" w:cs="宋体"/>
          <w:highlight w:val="none"/>
        </w:rPr>
        <w:t>，属于</w:t>
      </w:r>
      <w:r>
        <w:rPr>
          <w:rFonts w:hint="eastAsia" w:ascii="宋体" w:hAnsi="宋体" w:eastAsia="宋体" w:cs="宋体"/>
          <w:highlight w:val="none"/>
          <w:u w:val="single"/>
        </w:rPr>
        <w:t>（</w:t>
      </w:r>
      <w:r>
        <w:rPr>
          <w:rFonts w:hint="eastAsia" w:ascii="宋体" w:hAnsi="宋体" w:cs="宋体"/>
          <w:highlight w:val="none"/>
          <w:u w:val="single"/>
          <w:lang w:val="en-US" w:eastAsia="zh-CN"/>
        </w:rPr>
        <w:t>工业</w:t>
      </w:r>
      <w:r>
        <w:rPr>
          <w:rFonts w:hint="eastAsia" w:ascii="宋体" w:hAnsi="宋体" w:eastAsia="宋体" w:cs="宋体"/>
          <w:highlight w:val="none"/>
          <w:u w:val="single"/>
        </w:rPr>
        <w:t>）</w:t>
      </w:r>
      <w:r>
        <w:rPr>
          <w:rFonts w:hint="eastAsia" w:ascii="宋体" w:hAnsi="宋体" w:eastAsia="宋体" w:cs="宋体"/>
          <w:highlight w:val="none"/>
        </w:rPr>
        <w:t>行业；制造商为</w:t>
      </w:r>
      <w:r>
        <w:rPr>
          <w:rFonts w:hint="eastAsia" w:ascii="宋体" w:hAnsi="宋体" w:eastAsia="宋体" w:cs="宋体"/>
          <w:highlight w:val="none"/>
          <w:u w:val="single"/>
        </w:rPr>
        <w:t>（企业名称）</w:t>
      </w:r>
      <w:r>
        <w:rPr>
          <w:rFonts w:hint="eastAsia" w:ascii="宋体" w:hAnsi="宋体" w:eastAsia="宋体" w:cs="宋体"/>
          <w:highlight w:val="none"/>
        </w:rPr>
        <w:t>，从业人员</w:t>
      </w:r>
      <w:r>
        <w:rPr>
          <w:rFonts w:hint="eastAsia" w:ascii="宋体" w:hAnsi="宋体" w:eastAsia="宋体" w:cs="宋体"/>
          <w:highlight w:val="none"/>
          <w:u w:val="single"/>
        </w:rPr>
        <w:t xml:space="preserve">    </w:t>
      </w:r>
      <w:r>
        <w:rPr>
          <w:rFonts w:hint="eastAsia" w:ascii="宋体" w:hAnsi="宋体" w:eastAsia="宋体" w:cs="宋体"/>
          <w:highlight w:val="none"/>
        </w:rPr>
        <w:t>人，营业收入为</w:t>
      </w:r>
      <w:r>
        <w:rPr>
          <w:rFonts w:hint="eastAsia" w:ascii="宋体" w:hAnsi="宋体" w:eastAsia="宋体" w:cs="宋体"/>
          <w:highlight w:val="none"/>
          <w:u w:val="single"/>
        </w:rPr>
        <w:t xml:space="preserve">    </w:t>
      </w:r>
      <w:r>
        <w:rPr>
          <w:rFonts w:hint="eastAsia" w:ascii="宋体" w:hAnsi="宋体" w:eastAsia="宋体" w:cs="宋体"/>
          <w:highlight w:val="none"/>
        </w:rPr>
        <w:t>万元，资产总额为</w:t>
      </w:r>
      <w:r>
        <w:rPr>
          <w:rFonts w:hint="eastAsia" w:ascii="宋体" w:hAnsi="宋体" w:eastAsia="宋体" w:cs="宋体"/>
          <w:highlight w:val="none"/>
          <w:u w:val="single"/>
        </w:rPr>
        <w:t xml:space="preserve">    </w:t>
      </w:r>
      <w:r>
        <w:rPr>
          <w:rFonts w:hint="eastAsia" w:ascii="宋体" w:hAnsi="宋体" w:eastAsia="宋体" w:cs="宋体"/>
          <w:highlight w:val="none"/>
        </w:rPr>
        <w:t>万元，属于</w:t>
      </w:r>
      <w:r>
        <w:rPr>
          <w:rFonts w:hint="eastAsia" w:ascii="宋体" w:hAnsi="宋体" w:eastAsia="宋体" w:cs="宋体"/>
          <w:highlight w:val="none"/>
          <w:u w:val="single"/>
        </w:rPr>
        <w:t>（中型企业、小型企业、微型企业）</w:t>
      </w:r>
      <w:r>
        <w:rPr>
          <w:rFonts w:hint="eastAsia" w:ascii="宋体" w:hAnsi="宋体" w:eastAsia="宋体" w:cs="宋体"/>
          <w:highlight w:val="none"/>
        </w:rPr>
        <w:t xml:space="preserve">；   </w:t>
      </w:r>
    </w:p>
    <w:p w14:paraId="190C8E40">
      <w:pPr>
        <w:spacing w:line="360" w:lineRule="auto"/>
        <w:ind w:firstLine="360" w:firstLineChars="150"/>
        <w:rPr>
          <w:rFonts w:hint="eastAsia" w:ascii="宋体" w:hAnsi="宋体" w:eastAsia="宋体" w:cs="宋体"/>
          <w:highlight w:val="none"/>
        </w:rPr>
      </w:pPr>
      <w:r>
        <w:rPr>
          <w:rFonts w:hint="eastAsia" w:ascii="宋体" w:hAnsi="宋体" w:eastAsia="宋体" w:cs="宋体"/>
          <w:highlight w:val="none"/>
        </w:rPr>
        <w:t xml:space="preserve"> 2、</w:t>
      </w:r>
      <w:r>
        <w:rPr>
          <w:rFonts w:hint="eastAsia" w:ascii="宋体" w:hAnsi="宋体" w:eastAsia="宋体" w:cs="宋体"/>
          <w:highlight w:val="none"/>
          <w:u w:val="single"/>
        </w:rPr>
        <w:t>（</w:t>
      </w:r>
      <w:r>
        <w:rPr>
          <w:rFonts w:hint="eastAsia" w:ascii="宋体" w:hAnsi="宋体" w:eastAsia="宋体" w:cs="宋体"/>
          <w:highlight w:val="none"/>
          <w:u w:val="single"/>
          <w:lang w:val="en-US" w:eastAsia="zh-CN"/>
        </w:rPr>
        <w:t>包二</w:t>
      </w:r>
      <w:r>
        <w:rPr>
          <w:rFonts w:hint="eastAsia" w:ascii="宋体" w:hAnsi="宋体" w:eastAsia="宋体" w:cs="宋体"/>
          <w:highlight w:val="none"/>
          <w:u w:val="single"/>
        </w:rPr>
        <w:t xml:space="preserve">标的名称） </w:t>
      </w:r>
      <w:r>
        <w:rPr>
          <w:rFonts w:hint="eastAsia" w:ascii="宋体" w:hAnsi="宋体" w:eastAsia="宋体" w:cs="宋体"/>
          <w:highlight w:val="none"/>
        </w:rPr>
        <w:t>，属于</w:t>
      </w:r>
      <w:r>
        <w:rPr>
          <w:rFonts w:hint="eastAsia" w:ascii="宋体" w:hAnsi="宋体" w:eastAsia="宋体" w:cs="宋体"/>
          <w:highlight w:val="none"/>
          <w:u w:val="single"/>
        </w:rPr>
        <w:t>（</w:t>
      </w:r>
      <w:r>
        <w:rPr>
          <w:rFonts w:hint="eastAsia" w:ascii="宋体" w:hAnsi="宋体" w:cs="宋体"/>
          <w:highlight w:val="none"/>
          <w:u w:val="single"/>
          <w:lang w:val="en-US" w:eastAsia="zh-CN"/>
        </w:rPr>
        <w:t>工业</w:t>
      </w:r>
      <w:r>
        <w:rPr>
          <w:rFonts w:hint="eastAsia" w:ascii="宋体" w:hAnsi="宋体" w:eastAsia="宋体" w:cs="宋体"/>
          <w:highlight w:val="none"/>
          <w:u w:val="single"/>
        </w:rPr>
        <w:t>）</w:t>
      </w:r>
      <w:r>
        <w:rPr>
          <w:rFonts w:hint="eastAsia" w:ascii="宋体" w:hAnsi="宋体" w:eastAsia="宋体" w:cs="宋体"/>
          <w:highlight w:val="none"/>
        </w:rPr>
        <w:t>行业；制造商为</w:t>
      </w:r>
      <w:r>
        <w:rPr>
          <w:rFonts w:hint="eastAsia" w:ascii="宋体" w:hAnsi="宋体" w:eastAsia="宋体" w:cs="宋体"/>
          <w:highlight w:val="none"/>
          <w:u w:val="single"/>
        </w:rPr>
        <w:t>（企业名称）</w:t>
      </w:r>
      <w:r>
        <w:rPr>
          <w:rFonts w:hint="eastAsia" w:ascii="宋体" w:hAnsi="宋体" w:eastAsia="宋体" w:cs="宋体"/>
          <w:highlight w:val="none"/>
        </w:rPr>
        <w:t>，从业人员</w:t>
      </w:r>
      <w:r>
        <w:rPr>
          <w:rFonts w:hint="eastAsia" w:ascii="宋体" w:hAnsi="宋体" w:eastAsia="宋体" w:cs="宋体"/>
          <w:highlight w:val="none"/>
          <w:u w:val="single"/>
        </w:rPr>
        <w:t xml:space="preserve">    </w:t>
      </w:r>
      <w:r>
        <w:rPr>
          <w:rFonts w:hint="eastAsia" w:ascii="宋体" w:hAnsi="宋体" w:eastAsia="宋体" w:cs="宋体"/>
          <w:highlight w:val="none"/>
        </w:rPr>
        <w:t>人，营业收入为</w:t>
      </w:r>
      <w:r>
        <w:rPr>
          <w:rFonts w:hint="eastAsia" w:ascii="宋体" w:hAnsi="宋体" w:eastAsia="宋体" w:cs="宋体"/>
          <w:highlight w:val="none"/>
          <w:u w:val="single"/>
        </w:rPr>
        <w:t xml:space="preserve">    </w:t>
      </w:r>
      <w:r>
        <w:rPr>
          <w:rFonts w:hint="eastAsia" w:ascii="宋体" w:hAnsi="宋体" w:eastAsia="宋体" w:cs="宋体"/>
          <w:highlight w:val="none"/>
        </w:rPr>
        <w:t>万元，资产总额为</w:t>
      </w:r>
      <w:r>
        <w:rPr>
          <w:rFonts w:hint="eastAsia" w:ascii="宋体" w:hAnsi="宋体" w:eastAsia="宋体" w:cs="宋体"/>
          <w:highlight w:val="none"/>
          <w:u w:val="single"/>
        </w:rPr>
        <w:t xml:space="preserve">    </w:t>
      </w:r>
      <w:r>
        <w:rPr>
          <w:rFonts w:hint="eastAsia" w:ascii="宋体" w:hAnsi="宋体" w:eastAsia="宋体" w:cs="宋体"/>
          <w:highlight w:val="none"/>
        </w:rPr>
        <w:t>万元，属于</w:t>
      </w:r>
      <w:r>
        <w:rPr>
          <w:rFonts w:hint="eastAsia" w:ascii="宋体" w:hAnsi="宋体" w:eastAsia="宋体" w:cs="宋体"/>
          <w:highlight w:val="none"/>
          <w:u w:val="single"/>
        </w:rPr>
        <w:t>（中型企业、小型企业、微型企业）</w:t>
      </w:r>
      <w:r>
        <w:rPr>
          <w:rFonts w:hint="eastAsia" w:ascii="宋体" w:hAnsi="宋体" w:eastAsia="宋体" w:cs="宋体"/>
          <w:highlight w:val="none"/>
        </w:rPr>
        <w:t>；</w:t>
      </w:r>
    </w:p>
    <w:p w14:paraId="3BFFC424">
      <w:pPr>
        <w:spacing w:line="360" w:lineRule="auto"/>
        <w:ind w:firstLine="600" w:firstLineChars="250"/>
        <w:rPr>
          <w:rFonts w:hint="eastAsia" w:ascii="宋体" w:hAnsi="宋体" w:eastAsia="宋体" w:cs="宋体"/>
          <w:highlight w:val="none"/>
        </w:rPr>
      </w:pPr>
      <w:r>
        <w:rPr>
          <w:rFonts w:hint="eastAsia" w:ascii="宋体" w:hAnsi="宋体" w:eastAsia="宋体" w:cs="宋体"/>
          <w:highlight w:val="none"/>
        </w:rPr>
        <w:t>……</w:t>
      </w:r>
    </w:p>
    <w:p w14:paraId="6BB0ED83">
      <w:pPr>
        <w:pStyle w:val="10"/>
        <w:rPr>
          <w:rFonts w:hint="eastAsia" w:ascii="宋体" w:hAnsi="宋体" w:eastAsia="宋体" w:cs="宋体"/>
        </w:rPr>
      </w:pPr>
    </w:p>
    <w:p w14:paraId="10DF91CA">
      <w:pPr>
        <w:spacing w:line="360" w:lineRule="auto"/>
        <w:ind w:firstLine="480" w:firstLineChars="200"/>
        <w:rPr>
          <w:rFonts w:hint="eastAsia" w:ascii="宋体" w:hAnsi="宋体" w:eastAsia="宋体" w:cs="宋体"/>
        </w:rPr>
      </w:pPr>
      <w:r>
        <w:rPr>
          <w:rFonts w:hint="eastAsia" w:ascii="宋体" w:hAnsi="宋体" w:eastAsia="宋体" w:cs="宋体"/>
        </w:rPr>
        <w:t>以上企业，不属于大企业的分支机构，不存在控股股东为大企业的情形，也不存在与大企业的负责人为同一人的情形。</w:t>
      </w:r>
    </w:p>
    <w:p w14:paraId="656BD84A">
      <w:pPr>
        <w:spacing w:line="360" w:lineRule="auto"/>
        <w:ind w:firstLine="480" w:firstLineChars="200"/>
        <w:rPr>
          <w:rFonts w:hint="eastAsia" w:ascii="宋体" w:hAnsi="宋体" w:eastAsia="宋体" w:cs="宋体"/>
        </w:rPr>
      </w:pPr>
      <w:r>
        <w:rPr>
          <w:rFonts w:hint="eastAsia" w:ascii="宋体" w:hAnsi="宋体" w:eastAsia="宋体" w:cs="宋体"/>
        </w:rPr>
        <w:t>本企业对上述声明内容的真实性负责。如有虚假，将依法承担相应责任。</w:t>
      </w:r>
    </w:p>
    <w:p w14:paraId="4AE07D2F">
      <w:pPr>
        <w:autoSpaceDE w:val="0"/>
        <w:autoSpaceDN w:val="0"/>
        <w:spacing w:line="360" w:lineRule="auto"/>
        <w:rPr>
          <w:rFonts w:hint="eastAsia" w:ascii="宋体" w:hAnsi="宋体" w:eastAsia="宋体" w:cs="宋体"/>
          <w:color w:val="000000"/>
          <w:kern w:val="0"/>
          <w:lang w:val="zh-CN"/>
        </w:rPr>
      </w:pPr>
    </w:p>
    <w:p w14:paraId="50A47703">
      <w:pPr>
        <w:autoSpaceDE w:val="0"/>
        <w:autoSpaceDN w:val="0"/>
        <w:spacing w:line="360" w:lineRule="auto"/>
        <w:rPr>
          <w:rFonts w:hint="eastAsia" w:ascii="宋体" w:hAnsi="宋体" w:eastAsia="宋体" w:cs="宋体"/>
          <w:color w:val="000000"/>
          <w:kern w:val="0"/>
          <w:lang w:val="zh-CN"/>
        </w:rPr>
      </w:pPr>
    </w:p>
    <w:p w14:paraId="5F32E371">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企业名称：</w:t>
      </w:r>
      <w:r>
        <w:rPr>
          <w:rFonts w:hint="eastAsia" w:ascii="宋体" w:hAnsi="宋体" w:eastAsia="宋体" w:cs="宋体"/>
          <w:b/>
          <w:bCs/>
          <w:color w:val="000000"/>
          <w:kern w:val="0"/>
          <w:u w:val="single"/>
          <w:lang w:val="zh-CN"/>
        </w:rPr>
        <w:t xml:space="preserve">       </w:t>
      </w:r>
      <w:r>
        <w:rPr>
          <w:rFonts w:hint="eastAsia" w:ascii="宋体" w:hAnsi="宋体" w:eastAsia="宋体" w:cs="宋体"/>
          <w:b/>
          <w:bCs/>
          <w:color w:val="000000"/>
          <w:kern w:val="0"/>
          <w:lang w:val="zh-CN"/>
        </w:rPr>
        <w:t>（公章）</w:t>
      </w:r>
    </w:p>
    <w:p w14:paraId="0C9F90B6">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企业法定代表人：</w:t>
      </w:r>
      <w:r>
        <w:rPr>
          <w:rFonts w:hint="eastAsia" w:ascii="宋体" w:hAnsi="宋体" w:eastAsia="宋体" w:cs="宋体"/>
          <w:b/>
          <w:bCs/>
          <w:color w:val="000000"/>
          <w:kern w:val="0"/>
          <w:u w:val="single"/>
          <w:lang w:val="zh-CN"/>
        </w:rPr>
        <w:t xml:space="preserve">       </w:t>
      </w:r>
      <w:r>
        <w:rPr>
          <w:rFonts w:hint="eastAsia" w:ascii="宋体" w:hAnsi="宋体" w:eastAsia="宋体" w:cs="宋体"/>
          <w:b/>
          <w:bCs/>
          <w:color w:val="000000"/>
          <w:kern w:val="0"/>
          <w:lang w:val="zh-CN"/>
        </w:rPr>
        <w:t>（签字或盖章）</w:t>
      </w:r>
    </w:p>
    <w:p w14:paraId="3AC8FD92">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年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月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日</w:t>
      </w:r>
    </w:p>
    <w:p w14:paraId="5F4A60B1">
      <w:pPr>
        <w:autoSpaceDE w:val="0"/>
        <w:autoSpaceDN w:val="0"/>
        <w:spacing w:line="360" w:lineRule="auto"/>
        <w:rPr>
          <w:rFonts w:hint="eastAsia" w:ascii="宋体" w:hAnsi="宋体" w:eastAsia="宋体" w:cs="宋体"/>
          <w:b/>
          <w:sz w:val="28"/>
          <w:szCs w:val="28"/>
        </w:rPr>
      </w:pPr>
      <w:r>
        <w:rPr>
          <w:rFonts w:hint="eastAsia" w:ascii="宋体" w:hAnsi="宋体" w:eastAsia="宋体" w:cs="宋体"/>
          <w:color w:val="000000"/>
          <w:kern w:val="0"/>
          <w:lang w:val="zh-CN"/>
        </w:rPr>
        <w:br w:type="page"/>
      </w:r>
      <w:bookmarkStart w:id="83" w:name="_Toc743"/>
      <w:r>
        <w:rPr>
          <w:rFonts w:hint="eastAsia" w:ascii="宋体" w:hAnsi="宋体" w:eastAsia="宋体" w:cs="宋体"/>
          <w:b/>
          <w:sz w:val="28"/>
          <w:szCs w:val="28"/>
          <w:lang w:val="zh-CN"/>
        </w:rPr>
        <w:t>（</w:t>
      </w:r>
      <w:r>
        <w:rPr>
          <w:rFonts w:hint="eastAsia" w:ascii="宋体" w:hAnsi="宋体" w:eastAsia="宋体" w:cs="宋体"/>
          <w:b/>
          <w:sz w:val="28"/>
          <w:szCs w:val="28"/>
        </w:rPr>
        <w:t>18</w:t>
      </w:r>
      <w:r>
        <w:rPr>
          <w:rFonts w:hint="eastAsia" w:ascii="宋体" w:hAnsi="宋体" w:eastAsia="宋体" w:cs="宋体"/>
          <w:b/>
          <w:sz w:val="28"/>
          <w:szCs w:val="28"/>
          <w:lang w:val="zh-CN"/>
        </w:rPr>
        <w:t>）</w:t>
      </w:r>
      <w:r>
        <w:rPr>
          <w:rFonts w:hint="eastAsia" w:ascii="宋体" w:hAnsi="宋体" w:eastAsia="宋体" w:cs="宋体"/>
          <w:b/>
          <w:color w:val="000000"/>
          <w:sz w:val="30"/>
          <w:szCs w:val="30"/>
          <w:lang w:val="zh-CN"/>
        </w:rPr>
        <w:t>残疾人</w:t>
      </w:r>
      <w:r>
        <w:rPr>
          <w:rFonts w:hint="eastAsia" w:ascii="宋体" w:hAnsi="宋体" w:eastAsia="宋体" w:cs="宋体"/>
          <w:b/>
          <w:sz w:val="28"/>
          <w:szCs w:val="28"/>
        </w:rPr>
        <w:t>福利性单位声明函</w:t>
      </w:r>
    </w:p>
    <w:p w14:paraId="6A4F2F78">
      <w:pPr>
        <w:jc w:val="center"/>
        <w:rPr>
          <w:rFonts w:hint="eastAsia" w:ascii="宋体" w:hAnsi="宋体" w:eastAsia="宋体" w:cs="宋体"/>
          <w:b/>
          <w:sz w:val="36"/>
          <w:szCs w:val="36"/>
        </w:rPr>
      </w:pPr>
      <w:bookmarkStart w:id="84" w:name="OLE_LINK13"/>
      <w:bookmarkStart w:id="85" w:name="OLE_LINK14"/>
    </w:p>
    <w:p w14:paraId="1BBE30D8">
      <w:pPr>
        <w:jc w:val="center"/>
        <w:rPr>
          <w:rFonts w:hint="eastAsia" w:ascii="宋体" w:hAnsi="宋体" w:eastAsia="宋体" w:cs="宋体"/>
          <w:b/>
          <w:sz w:val="36"/>
          <w:szCs w:val="36"/>
        </w:rPr>
      </w:pPr>
      <w:r>
        <w:rPr>
          <w:rFonts w:hint="eastAsia" w:ascii="宋体" w:hAnsi="宋体" w:eastAsia="宋体" w:cs="宋体"/>
          <w:b/>
          <w:sz w:val="36"/>
          <w:szCs w:val="36"/>
        </w:rPr>
        <w:t>残疾人福利性单位声明函</w:t>
      </w:r>
    </w:p>
    <w:bookmarkEnd w:id="84"/>
    <w:bookmarkEnd w:id="85"/>
    <w:p w14:paraId="4263D939">
      <w:pPr>
        <w:spacing w:after="120" w:afterLines="50"/>
        <w:rPr>
          <w:rFonts w:hint="eastAsia" w:ascii="宋体" w:hAnsi="宋体" w:eastAsia="宋体" w:cs="宋体"/>
          <w:bCs/>
        </w:rPr>
      </w:pPr>
    </w:p>
    <w:p w14:paraId="71ADBB83">
      <w:pPr>
        <w:spacing w:after="120" w:afterLines="50"/>
        <w:rPr>
          <w:rFonts w:hint="eastAsia" w:ascii="宋体" w:hAnsi="宋体" w:eastAsia="宋体" w:cs="宋体"/>
          <w:b/>
          <w:bCs/>
        </w:rPr>
      </w:pPr>
      <w:r>
        <w:rPr>
          <w:rFonts w:hint="eastAsia" w:ascii="宋体" w:hAnsi="宋体" w:eastAsia="宋体" w:cs="宋体"/>
          <w:b/>
          <w:bCs/>
        </w:rPr>
        <w:t>致：</w:t>
      </w:r>
      <w:r>
        <w:rPr>
          <w:rFonts w:hint="eastAsia" w:ascii="宋体" w:hAnsi="宋体" w:eastAsia="宋体" w:cs="宋体"/>
          <w:b/>
          <w:bCs/>
          <w:color w:val="000000"/>
          <w:kern w:val="0"/>
          <w:lang w:val="zh-CN"/>
        </w:rPr>
        <w:t>青海君昱工程项目管理有限公司</w:t>
      </w:r>
    </w:p>
    <w:p w14:paraId="17DFD266">
      <w:pPr>
        <w:spacing w:line="360" w:lineRule="auto"/>
        <w:ind w:firstLine="480"/>
        <w:rPr>
          <w:rFonts w:hint="eastAsia" w:ascii="宋体" w:hAnsi="宋体" w:eastAsia="宋体" w:cs="宋体"/>
        </w:rPr>
      </w:pPr>
    </w:p>
    <w:p w14:paraId="3C788569">
      <w:pPr>
        <w:spacing w:line="360" w:lineRule="auto"/>
        <w:ind w:firstLine="480"/>
        <w:rPr>
          <w:rFonts w:hint="eastAsia" w:ascii="宋体" w:hAnsi="宋体" w:eastAsia="宋体" w:cs="宋体"/>
        </w:rPr>
      </w:pPr>
      <w:r>
        <w:rPr>
          <w:rFonts w:hint="eastAsia" w:ascii="宋体" w:hAnsi="宋体" w:eastAsia="宋体" w:cs="宋体"/>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eastAsia="宋体" w:cs="宋体"/>
          <w:u w:val="single"/>
        </w:rPr>
        <w:t xml:space="preserve">       </w:t>
      </w:r>
      <w:r>
        <w:rPr>
          <w:rFonts w:hint="eastAsia" w:ascii="宋体" w:hAnsi="宋体" w:eastAsia="宋体" w:cs="宋体"/>
        </w:rPr>
        <w:t>人，安置的残疾人人数</w:t>
      </w:r>
      <w:r>
        <w:rPr>
          <w:rFonts w:hint="eastAsia" w:ascii="宋体" w:hAnsi="宋体" w:eastAsia="宋体" w:cs="宋体"/>
          <w:u w:val="single"/>
        </w:rPr>
        <w:t xml:space="preserve">      </w:t>
      </w:r>
      <w:r>
        <w:rPr>
          <w:rFonts w:hint="eastAsia" w:ascii="宋体" w:hAnsi="宋体" w:eastAsia="宋体" w:cs="宋体"/>
        </w:rPr>
        <w:t>人。且本单位参加______单位的______项目采购活动提供本单位制造的货物（由本单位承担工程/提供服务），或者提供其他残疾人福利性单位制造的货物（不包括使用非残疾人福利性单位注册商标的货物）。</w:t>
      </w:r>
    </w:p>
    <w:p w14:paraId="44A5E577">
      <w:pPr>
        <w:spacing w:line="360" w:lineRule="auto"/>
        <w:ind w:firstLine="480"/>
        <w:rPr>
          <w:rFonts w:hint="eastAsia" w:ascii="宋体" w:hAnsi="宋体" w:eastAsia="宋体" w:cs="宋体"/>
        </w:rPr>
      </w:pPr>
      <w:r>
        <w:rPr>
          <w:rFonts w:hint="eastAsia" w:ascii="宋体" w:hAnsi="宋体" w:eastAsia="宋体" w:cs="宋体"/>
        </w:rPr>
        <w:t>本单位对上述声明的真实性负责。如有虚假，将依法承担相应责任。</w:t>
      </w:r>
    </w:p>
    <w:p w14:paraId="45B47668">
      <w:pPr>
        <w:spacing w:line="360" w:lineRule="auto"/>
        <w:ind w:firstLine="480"/>
        <w:rPr>
          <w:rFonts w:hint="eastAsia" w:ascii="宋体" w:hAnsi="宋体" w:eastAsia="宋体" w:cs="宋体"/>
        </w:rPr>
      </w:pPr>
    </w:p>
    <w:p w14:paraId="5E3FE8B2">
      <w:pPr>
        <w:spacing w:line="360" w:lineRule="auto"/>
        <w:rPr>
          <w:rFonts w:hint="eastAsia" w:ascii="宋体" w:hAnsi="宋体" w:eastAsia="宋体" w:cs="宋体"/>
        </w:rPr>
      </w:pPr>
      <w:r>
        <w:rPr>
          <w:rFonts w:hint="eastAsia" w:ascii="宋体" w:hAnsi="宋体" w:eastAsia="宋体" w:cs="宋体"/>
        </w:rPr>
        <w:t>注：若无此项内容，可不提供此函。</w:t>
      </w:r>
    </w:p>
    <w:p w14:paraId="01C8A56B">
      <w:pPr>
        <w:spacing w:line="360" w:lineRule="auto"/>
        <w:ind w:firstLine="480"/>
        <w:rPr>
          <w:rFonts w:hint="eastAsia" w:ascii="宋体" w:hAnsi="宋体" w:eastAsia="宋体" w:cs="宋体"/>
        </w:rPr>
      </w:pPr>
    </w:p>
    <w:p w14:paraId="2EA37BAD">
      <w:pPr>
        <w:spacing w:line="360" w:lineRule="auto"/>
        <w:ind w:firstLine="480"/>
        <w:rPr>
          <w:rFonts w:hint="eastAsia" w:ascii="宋体" w:hAnsi="宋体" w:eastAsia="宋体" w:cs="宋体"/>
        </w:rPr>
      </w:pPr>
    </w:p>
    <w:p w14:paraId="770A2FB1">
      <w:pPr>
        <w:spacing w:line="360" w:lineRule="auto"/>
        <w:ind w:firstLine="480"/>
        <w:rPr>
          <w:rFonts w:hint="eastAsia" w:ascii="宋体" w:hAnsi="宋体" w:eastAsia="宋体" w:cs="宋体"/>
        </w:rPr>
      </w:pPr>
    </w:p>
    <w:p w14:paraId="18660ABA">
      <w:pPr>
        <w:spacing w:line="360" w:lineRule="auto"/>
        <w:ind w:firstLine="480"/>
        <w:rPr>
          <w:rFonts w:hint="eastAsia" w:ascii="宋体" w:hAnsi="宋体" w:eastAsia="宋体" w:cs="宋体"/>
        </w:rPr>
      </w:pPr>
    </w:p>
    <w:p w14:paraId="1C5814CC">
      <w:pPr>
        <w:spacing w:line="360" w:lineRule="auto"/>
        <w:ind w:firstLine="480"/>
        <w:rPr>
          <w:rFonts w:hint="eastAsia" w:ascii="宋体" w:hAnsi="宋体" w:eastAsia="宋体" w:cs="宋体"/>
        </w:rPr>
      </w:pPr>
    </w:p>
    <w:p w14:paraId="728085C2">
      <w:pPr>
        <w:spacing w:line="360" w:lineRule="auto"/>
        <w:ind w:firstLine="480"/>
        <w:rPr>
          <w:rFonts w:hint="eastAsia" w:ascii="宋体" w:hAnsi="宋体" w:eastAsia="宋体" w:cs="宋体"/>
        </w:rPr>
      </w:pPr>
    </w:p>
    <w:p w14:paraId="19FE1853">
      <w:pPr>
        <w:spacing w:line="360" w:lineRule="auto"/>
        <w:ind w:firstLine="480"/>
        <w:rPr>
          <w:rFonts w:hint="eastAsia" w:ascii="宋体" w:hAnsi="宋体" w:eastAsia="宋体" w:cs="宋体"/>
        </w:rPr>
      </w:pPr>
    </w:p>
    <w:p w14:paraId="33ADB73B">
      <w:pPr>
        <w:spacing w:line="360" w:lineRule="auto"/>
        <w:jc w:val="center"/>
        <w:rPr>
          <w:rFonts w:hint="eastAsia" w:ascii="宋体" w:hAnsi="宋体" w:eastAsia="宋体" w:cs="宋体"/>
          <w:b/>
        </w:rPr>
      </w:pPr>
      <w:r>
        <w:rPr>
          <w:rFonts w:hint="eastAsia" w:ascii="宋体" w:hAnsi="宋体" w:eastAsia="宋体" w:cs="宋体"/>
          <w:b/>
        </w:rPr>
        <w:t xml:space="preserve">                                企业名称：</w:t>
      </w:r>
      <w:r>
        <w:rPr>
          <w:rFonts w:hint="eastAsia" w:ascii="宋体" w:hAnsi="宋体" w:eastAsia="宋体" w:cs="宋体"/>
          <w:kern w:val="0"/>
          <w:sz w:val="28"/>
          <w:szCs w:val="28"/>
          <w:u w:val="single"/>
        </w:rPr>
        <w:t xml:space="preserve">       </w:t>
      </w:r>
      <w:r>
        <w:rPr>
          <w:rFonts w:hint="eastAsia" w:ascii="宋体" w:hAnsi="宋体" w:eastAsia="宋体" w:cs="宋体"/>
          <w:b/>
        </w:rPr>
        <w:t>（公章）</w:t>
      </w:r>
    </w:p>
    <w:p w14:paraId="79569CD9">
      <w:pPr>
        <w:spacing w:line="360" w:lineRule="auto"/>
        <w:ind w:firstLine="482"/>
        <w:jc w:val="right"/>
        <w:rPr>
          <w:rFonts w:hint="eastAsia" w:ascii="宋体" w:hAnsi="宋体" w:eastAsia="宋体" w:cs="宋体"/>
          <w:b/>
        </w:rPr>
      </w:pPr>
      <w:r>
        <w:rPr>
          <w:rFonts w:hint="eastAsia" w:ascii="宋体" w:hAnsi="宋体" w:eastAsia="宋体" w:cs="宋体"/>
          <w:b/>
        </w:rPr>
        <w:t xml:space="preserve">       企业法定代表人：</w:t>
      </w:r>
      <w:r>
        <w:rPr>
          <w:rFonts w:hint="eastAsia" w:ascii="宋体" w:hAnsi="宋体" w:eastAsia="宋体" w:cs="宋体"/>
          <w:kern w:val="0"/>
          <w:sz w:val="28"/>
          <w:szCs w:val="28"/>
          <w:u w:val="single"/>
        </w:rPr>
        <w:t xml:space="preserve">       </w:t>
      </w:r>
      <w:r>
        <w:rPr>
          <w:rFonts w:hint="eastAsia" w:ascii="宋体" w:hAnsi="宋体" w:eastAsia="宋体" w:cs="宋体"/>
          <w:b/>
        </w:rPr>
        <w:t>（签字或盖章）</w:t>
      </w:r>
    </w:p>
    <w:p w14:paraId="46266CA3">
      <w:pPr>
        <w:ind w:firstLine="482"/>
        <w:jc w:val="center"/>
        <w:rPr>
          <w:rFonts w:hint="eastAsia" w:ascii="宋体" w:hAnsi="宋体" w:eastAsia="宋体" w:cs="宋体"/>
          <w:b/>
        </w:rPr>
      </w:pPr>
      <w:r>
        <w:rPr>
          <w:rFonts w:hint="eastAsia" w:ascii="宋体" w:hAnsi="宋体" w:eastAsia="宋体" w:cs="宋体"/>
          <w:b/>
        </w:rPr>
        <w:t xml:space="preserve">             年  月  日</w:t>
      </w:r>
    </w:p>
    <w:p w14:paraId="103F97F1">
      <w:pPr>
        <w:pStyle w:val="23"/>
        <w:spacing w:before="0" w:after="0" w:line="360" w:lineRule="auto"/>
        <w:jc w:val="left"/>
        <w:outlineLvl w:val="1"/>
        <w:rPr>
          <w:rFonts w:hint="eastAsia" w:ascii="宋体" w:hAnsi="宋体" w:eastAsia="宋体" w:cs="宋体"/>
          <w:color w:val="000000"/>
        </w:rPr>
      </w:pPr>
      <w:r>
        <w:rPr>
          <w:rFonts w:hint="eastAsia" w:ascii="宋体" w:hAnsi="宋体" w:eastAsia="宋体" w:cs="宋体"/>
          <w:color w:val="000000"/>
          <w:lang w:val="zh-CN"/>
        </w:rPr>
        <w:br w:type="page"/>
      </w:r>
      <w:bookmarkStart w:id="86" w:name="_Toc13704"/>
      <w:r>
        <w:rPr>
          <w:rFonts w:hint="eastAsia" w:ascii="宋体" w:hAnsi="宋体" w:eastAsia="宋体" w:cs="宋体"/>
          <w:color w:val="000000"/>
          <w:sz w:val="30"/>
          <w:szCs w:val="30"/>
        </w:rPr>
        <w:t>（19）</w:t>
      </w:r>
      <w:r>
        <w:rPr>
          <w:rFonts w:hint="eastAsia" w:ascii="宋体" w:hAnsi="宋体" w:eastAsia="宋体" w:cs="宋体"/>
          <w:color w:val="000000"/>
          <w:sz w:val="30"/>
          <w:szCs w:val="30"/>
          <w:lang w:val="zh-CN"/>
        </w:rPr>
        <w:t>投标人认为在其他方面有必要说明的事项</w:t>
      </w:r>
      <w:bookmarkEnd w:id="83"/>
      <w:bookmarkEnd w:id="86"/>
    </w:p>
    <w:p w14:paraId="73F46009">
      <w:pPr>
        <w:autoSpaceDE w:val="0"/>
        <w:autoSpaceDN w:val="0"/>
        <w:spacing w:line="360" w:lineRule="auto"/>
        <w:rPr>
          <w:rFonts w:hint="eastAsia" w:ascii="宋体" w:hAnsi="宋体" w:eastAsia="宋体" w:cs="宋体"/>
          <w:color w:val="000000"/>
          <w:kern w:val="0"/>
          <w:sz w:val="28"/>
          <w:szCs w:val="28"/>
          <w:lang w:val="zh-CN"/>
        </w:rPr>
      </w:pPr>
    </w:p>
    <w:p w14:paraId="36328BF7">
      <w:pPr>
        <w:autoSpaceDE w:val="0"/>
        <w:autoSpaceDN w:val="0"/>
        <w:spacing w:line="360" w:lineRule="auto"/>
        <w:jc w:val="center"/>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28"/>
          <w:szCs w:val="28"/>
          <w:lang w:val="zh-CN"/>
        </w:rPr>
        <w:t>投标人认为在其他方面有必要说明的事项</w:t>
      </w:r>
    </w:p>
    <w:p w14:paraId="16B004EB">
      <w:pPr>
        <w:autoSpaceDE w:val="0"/>
        <w:autoSpaceDN w:val="0"/>
        <w:spacing w:line="360" w:lineRule="auto"/>
        <w:rPr>
          <w:rFonts w:hint="eastAsia" w:ascii="宋体" w:hAnsi="宋体" w:eastAsia="宋体" w:cs="宋体"/>
          <w:color w:val="000000"/>
          <w:lang w:val="zh-CN"/>
        </w:rPr>
      </w:pPr>
      <w:r>
        <w:rPr>
          <w:rFonts w:hint="eastAsia" w:ascii="宋体" w:hAnsi="宋体" w:eastAsia="宋体" w:cs="宋体"/>
          <w:color w:val="000000"/>
          <w:lang w:val="zh-CN"/>
        </w:rPr>
        <w:t>格式自定</w:t>
      </w:r>
    </w:p>
    <w:p w14:paraId="3CB3143E">
      <w:pPr>
        <w:pStyle w:val="23"/>
        <w:spacing w:before="0" w:after="0"/>
        <w:rPr>
          <w:rFonts w:hint="eastAsia" w:ascii="宋体" w:hAnsi="宋体" w:eastAsia="宋体" w:cs="宋体"/>
          <w:color w:val="000000"/>
        </w:rPr>
      </w:pPr>
      <w:r>
        <w:rPr>
          <w:rFonts w:hint="eastAsia" w:ascii="宋体" w:hAnsi="宋体" w:eastAsia="宋体" w:cs="宋体"/>
          <w:color w:val="000000"/>
          <w:lang w:val="zh-CN"/>
        </w:rPr>
        <w:br w:type="page"/>
      </w:r>
      <w:bookmarkStart w:id="87" w:name="_Toc18752"/>
      <w:bookmarkStart w:id="88" w:name="_Toc26265"/>
      <w:r>
        <w:rPr>
          <w:rFonts w:hint="eastAsia" w:ascii="宋体" w:hAnsi="宋体" w:eastAsia="宋体" w:cs="宋体"/>
          <w:color w:val="000000"/>
          <w:szCs w:val="36"/>
          <w:lang w:val="zh-CN"/>
        </w:rPr>
        <w:t>第五部分  采购项目要求及技术参数</w:t>
      </w:r>
      <w:bookmarkEnd w:id="87"/>
      <w:bookmarkEnd w:id="88"/>
    </w:p>
    <w:p w14:paraId="2F2C5C0E">
      <w:pPr>
        <w:pStyle w:val="23"/>
        <w:spacing w:before="0" w:after="0"/>
        <w:outlineLvl w:val="1"/>
        <w:rPr>
          <w:rFonts w:hint="eastAsia" w:ascii="宋体" w:hAnsi="宋体" w:eastAsia="宋体" w:cs="宋体"/>
          <w:color w:val="000000"/>
          <w:sz w:val="30"/>
          <w:szCs w:val="30"/>
          <w:lang w:val="zh-CN"/>
        </w:rPr>
      </w:pPr>
      <w:bookmarkStart w:id="89" w:name="_Toc9451"/>
    </w:p>
    <w:bookmarkEnd w:id="89"/>
    <w:p w14:paraId="2DB1C1B6">
      <w:pPr>
        <w:pStyle w:val="23"/>
        <w:spacing w:line="360" w:lineRule="auto"/>
        <w:jc w:val="both"/>
        <w:outlineLvl w:val="1"/>
        <w:rPr>
          <w:rFonts w:hint="eastAsia" w:ascii="宋体" w:hAnsi="宋体" w:eastAsia="宋体" w:cs="宋体"/>
          <w:color w:val="000000"/>
          <w:szCs w:val="36"/>
        </w:rPr>
      </w:pPr>
      <w:bookmarkStart w:id="90" w:name="_Toc515908231"/>
      <w:bookmarkStart w:id="91" w:name="_Toc6794"/>
      <w:bookmarkStart w:id="92" w:name="_Toc7326"/>
      <w:r>
        <w:rPr>
          <w:rFonts w:hint="eastAsia" w:ascii="宋体" w:hAnsi="宋体" w:eastAsia="宋体" w:cs="宋体"/>
          <w:color w:val="000000"/>
          <w:lang w:val="zh-CN"/>
        </w:rPr>
        <w:t>一、投标要求</w:t>
      </w:r>
      <w:bookmarkEnd w:id="90"/>
      <w:bookmarkEnd w:id="91"/>
      <w:bookmarkEnd w:id="92"/>
    </w:p>
    <w:p w14:paraId="77F5DC1D">
      <w:pPr>
        <w:pStyle w:val="23"/>
        <w:spacing w:line="360" w:lineRule="auto"/>
        <w:jc w:val="left"/>
        <w:outlineLvl w:val="1"/>
        <w:rPr>
          <w:rFonts w:hint="eastAsia" w:ascii="宋体" w:hAnsi="宋体" w:eastAsia="宋体" w:cs="宋体"/>
          <w:color w:val="000000"/>
          <w:lang w:val="zh-CN"/>
        </w:rPr>
      </w:pPr>
      <w:bookmarkStart w:id="93" w:name="_Toc515908232"/>
      <w:bookmarkStart w:id="94" w:name="_Toc32759"/>
      <w:bookmarkStart w:id="95" w:name="_Toc4601"/>
      <w:bookmarkStart w:id="96" w:name="_Toc22957"/>
      <w:r>
        <w:rPr>
          <w:rFonts w:hint="eastAsia" w:ascii="宋体" w:hAnsi="宋体" w:eastAsia="宋体" w:cs="宋体"/>
          <w:color w:val="000000"/>
          <w:sz w:val="28"/>
          <w:szCs w:val="28"/>
          <w:lang w:val="zh-CN"/>
        </w:rPr>
        <w:t>1.投标说明</w:t>
      </w:r>
      <w:bookmarkEnd w:id="93"/>
      <w:bookmarkEnd w:id="94"/>
      <w:bookmarkEnd w:id="95"/>
      <w:bookmarkEnd w:id="96"/>
    </w:p>
    <w:p w14:paraId="166B3E69">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1.1投标人可以按照招标文件规定的包号选择投标，但必须对所投包号中的所有内容作为一个整体进行投标，不能拆分或少报。否则，投标无效。</w:t>
      </w:r>
    </w:p>
    <w:p w14:paraId="2993AB28">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1.2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w:t>
      </w:r>
    </w:p>
    <w:p w14:paraId="2CD97A2E">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1.</w:t>
      </w:r>
      <w:r>
        <w:rPr>
          <w:rFonts w:hint="eastAsia" w:ascii="宋体" w:hAnsi="宋体" w:eastAsia="宋体" w:cs="宋体"/>
          <w:color w:val="000000"/>
          <w:kern w:val="0"/>
        </w:rPr>
        <w:t>3</w:t>
      </w:r>
      <w:r>
        <w:rPr>
          <w:rFonts w:hint="eastAsia" w:ascii="宋体" w:hAnsi="宋体" w:eastAsia="宋体" w:cs="宋体"/>
          <w:color w:val="000000"/>
          <w:kern w:val="0"/>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14:paraId="2661DD60">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rPr>
        <w:t>1.4</w:t>
      </w:r>
      <w:r>
        <w:rPr>
          <w:rFonts w:hint="eastAsia" w:ascii="宋体" w:hAnsi="宋体" w:eastAsia="宋体" w:cs="宋体"/>
        </w:rPr>
        <w:t>所投产品或其任何一部分不得侵犯专利权、著作权、商标权和工业设计权等知识产权。</w:t>
      </w:r>
    </w:p>
    <w:p w14:paraId="0A5E0DB1">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1.5 项目中标后分包情况：</w:t>
      </w:r>
      <w:r>
        <w:rPr>
          <w:rFonts w:hint="eastAsia" w:ascii="宋体" w:hAnsi="宋体" w:eastAsia="宋体" w:cs="宋体"/>
        </w:rPr>
        <w:t>不允许</w:t>
      </w:r>
      <w:r>
        <w:rPr>
          <w:rFonts w:hint="eastAsia" w:ascii="宋体" w:hAnsi="宋体" w:eastAsia="宋体" w:cs="宋体"/>
          <w:color w:val="000000"/>
          <w:kern w:val="0"/>
        </w:rPr>
        <w:t>。</w:t>
      </w:r>
    </w:p>
    <w:p w14:paraId="393CC295">
      <w:pPr>
        <w:pStyle w:val="23"/>
        <w:numPr>
          <w:ilvl w:val="0"/>
          <w:numId w:val="5"/>
        </w:numPr>
        <w:spacing w:line="360" w:lineRule="auto"/>
        <w:jc w:val="left"/>
        <w:outlineLvl w:val="1"/>
        <w:rPr>
          <w:rFonts w:hint="eastAsia" w:ascii="宋体" w:hAnsi="宋体" w:eastAsia="宋体" w:cs="宋体"/>
          <w:color w:val="000000"/>
          <w:sz w:val="28"/>
          <w:szCs w:val="28"/>
          <w:lang w:val="zh-CN"/>
        </w:rPr>
      </w:pPr>
      <w:bookmarkStart w:id="97" w:name="_Toc2021"/>
      <w:bookmarkStart w:id="98" w:name="_Toc1475"/>
      <w:bookmarkStart w:id="99" w:name="_Toc15629"/>
      <w:bookmarkStart w:id="100" w:name="_Toc515908233"/>
      <w:r>
        <w:rPr>
          <w:rFonts w:hint="eastAsia" w:ascii="宋体" w:hAnsi="宋体" w:eastAsia="宋体" w:cs="宋体"/>
          <w:color w:val="000000"/>
          <w:sz w:val="28"/>
          <w:szCs w:val="28"/>
          <w:lang w:val="zh-CN"/>
        </w:rPr>
        <w:t>重要指标</w:t>
      </w:r>
      <w:bookmarkEnd w:id="97"/>
      <w:bookmarkEnd w:id="98"/>
      <w:bookmarkEnd w:id="99"/>
      <w:bookmarkEnd w:id="100"/>
    </w:p>
    <w:p w14:paraId="43E7A8CA">
      <w:pPr>
        <w:autoSpaceDE w:val="0"/>
        <w:autoSpaceDN w:val="0"/>
        <w:spacing w:line="360" w:lineRule="auto"/>
        <w:ind w:firstLine="480" w:firstLineChars="200"/>
        <w:rPr>
          <w:rFonts w:hint="eastAsia" w:ascii="宋体" w:hAnsi="宋体" w:eastAsia="宋体" w:cs="宋体"/>
          <w:color w:val="000000"/>
          <w:kern w:val="0"/>
          <w:lang w:val="zh-CN"/>
        </w:rPr>
      </w:pPr>
      <w:bookmarkStart w:id="101" w:name="_Toc18880"/>
      <w:r>
        <w:rPr>
          <w:rFonts w:hint="eastAsia" w:ascii="宋体" w:hAnsi="宋体" w:eastAsia="宋体" w:cs="宋体"/>
          <w:color w:val="000000"/>
          <w:kern w:val="0"/>
        </w:rPr>
        <w:t>2</w:t>
      </w:r>
      <w:r>
        <w:rPr>
          <w:rFonts w:hint="eastAsia" w:ascii="宋体" w:hAnsi="宋体" w:eastAsia="宋体" w:cs="宋体"/>
          <w:color w:val="000000"/>
          <w:kern w:val="0"/>
          <w:lang w:val="zh-CN"/>
        </w:rPr>
        <w:t>.</w:t>
      </w:r>
      <w:r>
        <w:rPr>
          <w:rFonts w:hint="eastAsia" w:ascii="宋体" w:hAnsi="宋体" w:eastAsia="宋体" w:cs="宋体"/>
          <w:color w:val="000000"/>
          <w:kern w:val="0"/>
        </w:rPr>
        <w:t>1</w:t>
      </w:r>
      <w:r>
        <w:rPr>
          <w:rFonts w:hint="eastAsia" w:ascii="宋体" w:hAnsi="宋体" w:eastAsia="宋体" w:cs="宋体"/>
          <w:color w:val="000000"/>
          <w:kern w:val="0"/>
          <w:lang w:val="zh-CN"/>
        </w:rPr>
        <w:t>招标文件中凡需与原有设备、系统并机、兼容、匹配等要求的，请主动和采购人联系，取得原有设备、系统相关资料。若有招标文件未提及或变更内容的，请及时与采购人或者采购代理机构联系。</w:t>
      </w:r>
    </w:p>
    <w:p w14:paraId="66700CE7">
      <w:pPr>
        <w:autoSpaceDE w:val="0"/>
        <w:autoSpaceDN w:val="0"/>
        <w:spacing w:line="360" w:lineRule="auto"/>
        <w:ind w:firstLine="480" w:firstLineChars="200"/>
        <w:rPr>
          <w:rFonts w:hint="eastAsia" w:ascii="宋体" w:hAnsi="宋体" w:eastAsia="宋体" w:cs="宋体"/>
          <w:color w:val="000000"/>
        </w:rPr>
      </w:pPr>
      <w:r>
        <w:rPr>
          <w:rFonts w:hint="eastAsia" w:ascii="宋体" w:hAnsi="宋体" w:eastAsia="宋体" w:cs="宋体"/>
          <w:color w:val="000000"/>
          <w:kern w:val="0"/>
        </w:rPr>
        <w:t>2</w:t>
      </w:r>
      <w:r>
        <w:rPr>
          <w:rFonts w:hint="eastAsia" w:ascii="宋体" w:hAnsi="宋体" w:eastAsia="宋体" w:cs="宋体"/>
          <w:color w:val="000000"/>
          <w:kern w:val="0"/>
          <w:lang w:val="zh-CN"/>
        </w:rPr>
        <w:t>.</w:t>
      </w:r>
      <w:r>
        <w:rPr>
          <w:rFonts w:hint="eastAsia" w:ascii="宋体" w:hAnsi="宋体" w:eastAsia="宋体" w:cs="宋体"/>
          <w:color w:val="000000"/>
          <w:kern w:val="0"/>
        </w:rPr>
        <w:t>2</w:t>
      </w:r>
      <w:r>
        <w:rPr>
          <w:rFonts w:hint="eastAsia" w:ascii="宋体" w:hAnsi="宋体" w:eastAsia="宋体" w:cs="宋体"/>
          <w:color w:val="000000"/>
          <w:kern w:val="0"/>
          <w:lang w:val="zh-CN"/>
        </w:rPr>
        <w:t>技术参数中除注明签订合同时提供</w:t>
      </w:r>
      <w:r>
        <w:rPr>
          <w:rFonts w:hint="eastAsia" w:ascii="宋体" w:hAnsi="宋体" w:eastAsia="宋体" w:cs="宋体"/>
          <w:color w:val="000000"/>
        </w:rPr>
        <w:t>的相关授权、服务承诺等资料以外，其余相关资料在投标时必须附在投标文件中。</w:t>
      </w:r>
    </w:p>
    <w:p w14:paraId="77023468">
      <w:pPr>
        <w:pStyle w:val="23"/>
        <w:spacing w:line="360" w:lineRule="auto"/>
        <w:jc w:val="left"/>
        <w:outlineLvl w:val="1"/>
        <w:rPr>
          <w:rFonts w:hint="eastAsia" w:ascii="宋体" w:hAnsi="宋体" w:eastAsia="宋体" w:cs="宋体"/>
          <w:lang w:val="zh-CN"/>
        </w:rPr>
      </w:pPr>
      <w:bookmarkStart w:id="102" w:name="_Toc21419"/>
      <w:bookmarkStart w:id="103" w:name="_Toc18165"/>
      <w:bookmarkStart w:id="104" w:name="_Toc515908234"/>
      <w:r>
        <w:rPr>
          <w:rFonts w:hint="eastAsia" w:ascii="宋体" w:hAnsi="宋体" w:eastAsia="宋体" w:cs="宋体"/>
          <w:color w:val="000000"/>
          <w:sz w:val="28"/>
          <w:szCs w:val="28"/>
        </w:rPr>
        <w:t>3</w:t>
      </w:r>
      <w:r>
        <w:rPr>
          <w:rFonts w:hint="eastAsia" w:ascii="宋体" w:hAnsi="宋体" w:eastAsia="宋体" w:cs="宋体"/>
          <w:color w:val="000000"/>
          <w:sz w:val="28"/>
          <w:szCs w:val="28"/>
          <w:lang w:val="zh-CN"/>
        </w:rPr>
        <w:t>.商务要求</w:t>
      </w:r>
      <w:bookmarkEnd w:id="101"/>
      <w:bookmarkEnd w:id="102"/>
      <w:bookmarkEnd w:id="103"/>
      <w:bookmarkEnd w:id="104"/>
    </w:p>
    <w:p w14:paraId="39C09DB8">
      <w:pPr>
        <w:spacing w:line="360" w:lineRule="auto"/>
        <w:ind w:firstLine="480" w:firstLineChars="200"/>
        <w:rPr>
          <w:rFonts w:hint="eastAsia" w:ascii="宋体" w:hAnsi="宋体" w:eastAsia="宋体" w:cs="宋体"/>
          <w:kern w:val="0"/>
          <w:lang w:val="en-US" w:eastAsia="zh-CN"/>
        </w:rPr>
      </w:pPr>
      <w:r>
        <w:rPr>
          <w:rFonts w:hint="eastAsia" w:ascii="宋体" w:hAnsi="宋体" w:eastAsia="宋体" w:cs="宋体"/>
          <w:kern w:val="0"/>
          <w:lang w:val="zh-CN"/>
        </w:rPr>
        <w:t>3.1.交货时间</w:t>
      </w:r>
      <w:r>
        <w:rPr>
          <w:rFonts w:hint="eastAsia" w:ascii="宋体" w:hAnsi="宋体" w:eastAsia="宋体" w:cs="宋体"/>
          <w:color w:val="000000"/>
          <w:lang w:val="zh-CN"/>
        </w:rPr>
        <w:t>：</w:t>
      </w:r>
      <w:r>
        <w:rPr>
          <w:rFonts w:hint="eastAsia" w:ascii="宋体" w:hAnsi="宋体" w:eastAsia="宋体" w:cs="宋体"/>
          <w:color w:val="000000"/>
          <w:lang w:val="en-US" w:eastAsia="zh-CN"/>
        </w:rPr>
        <w:t>合同签订后3</w:t>
      </w:r>
      <w:r>
        <w:rPr>
          <w:rFonts w:hint="eastAsia" w:ascii="宋体" w:hAnsi="宋体" w:eastAsia="宋体" w:cs="宋体"/>
          <w:color w:val="000000"/>
          <w:lang w:val="zh-CN"/>
        </w:rPr>
        <w:t>个月内</w:t>
      </w:r>
      <w:r>
        <w:rPr>
          <w:rFonts w:hint="eastAsia" w:ascii="宋体" w:hAnsi="宋体" w:eastAsia="宋体" w:cs="宋体"/>
          <w:color w:val="000000"/>
          <w:lang w:val="en-US" w:eastAsia="zh-CN"/>
        </w:rPr>
        <w:t>完成交货，5个月内完成建设</w:t>
      </w:r>
      <w:r>
        <w:rPr>
          <w:rFonts w:hint="eastAsia" w:ascii="宋体" w:hAnsi="宋体" w:eastAsia="宋体" w:cs="宋体"/>
          <w:color w:val="000000"/>
          <w:lang w:val="zh-CN"/>
        </w:rPr>
        <w:t>；</w:t>
      </w:r>
    </w:p>
    <w:p w14:paraId="78774F80">
      <w:pPr>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3.2.交货地点：</w:t>
      </w:r>
      <w:r>
        <w:rPr>
          <w:rFonts w:hint="eastAsia" w:ascii="宋体" w:hAnsi="宋体" w:eastAsia="宋体" w:cs="宋体"/>
          <w:color w:val="000000"/>
          <w:kern w:val="0"/>
          <w:lang w:val="en-US" w:eastAsia="zh-CN"/>
        </w:rPr>
        <w:t>甲方</w:t>
      </w:r>
      <w:r>
        <w:rPr>
          <w:rFonts w:hint="eastAsia" w:ascii="宋体" w:hAnsi="宋体" w:eastAsia="宋体" w:cs="宋体"/>
          <w:color w:val="000000"/>
          <w:kern w:val="0"/>
          <w:lang w:val="zh-CN"/>
        </w:rPr>
        <w:t>指定地点；</w:t>
      </w:r>
    </w:p>
    <w:p w14:paraId="28F082D0">
      <w:pPr>
        <w:autoSpaceDE w:val="0"/>
        <w:autoSpaceDN w:val="0"/>
        <w:spacing w:line="360" w:lineRule="auto"/>
        <w:ind w:firstLine="480" w:firstLineChars="200"/>
        <w:rPr>
          <w:rFonts w:hint="default" w:ascii="宋体" w:hAnsi="宋体" w:eastAsia="宋体" w:cs="宋体"/>
          <w:color w:val="auto"/>
          <w:kern w:val="0"/>
          <w:highlight w:val="none"/>
          <w:lang w:val="en-US" w:eastAsia="zh-CN"/>
        </w:rPr>
      </w:pPr>
      <w:r>
        <w:rPr>
          <w:rFonts w:hint="eastAsia" w:ascii="宋体" w:hAnsi="宋体" w:eastAsia="宋体" w:cs="宋体"/>
          <w:color w:val="auto"/>
          <w:kern w:val="0"/>
          <w:lang w:val="zh-CN"/>
        </w:rPr>
        <w:t>3.3.付款方式：</w:t>
      </w:r>
      <w:r>
        <w:rPr>
          <w:rFonts w:hint="eastAsia" w:ascii="宋体" w:hAnsi="宋体" w:eastAsia="宋体" w:cs="宋体"/>
          <w:color w:val="auto"/>
          <w:kern w:val="0"/>
          <w:lang w:val="en-US" w:eastAsia="zh-CN"/>
        </w:rPr>
        <w:t>详见《招标文件》“第三部分”第五款；</w:t>
      </w:r>
    </w:p>
    <w:p w14:paraId="71BC9FC2">
      <w:pPr>
        <w:autoSpaceDE w:val="0"/>
        <w:autoSpaceDN w:val="0"/>
        <w:spacing w:line="360" w:lineRule="auto"/>
        <w:ind w:firstLine="480" w:firstLineChars="200"/>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3.4质保期：提供三年免费质保和运维服务</w:t>
      </w:r>
      <w:r>
        <w:rPr>
          <w:rFonts w:hint="eastAsia" w:ascii="宋体" w:hAnsi="宋体" w:eastAsia="宋体" w:cs="宋体"/>
          <w:color w:val="auto"/>
          <w:kern w:val="0"/>
          <w:lang w:val="zh-CN" w:eastAsia="zh-CN"/>
        </w:rPr>
        <w:t>；</w:t>
      </w:r>
    </w:p>
    <w:p w14:paraId="2CE21BFB">
      <w:pPr>
        <w:pStyle w:val="23"/>
        <w:numPr>
          <w:ilvl w:val="0"/>
          <w:numId w:val="0"/>
        </w:numPr>
        <w:spacing w:before="0" w:after="0" w:line="360" w:lineRule="auto"/>
        <w:jc w:val="both"/>
        <w:rPr>
          <w:rFonts w:hint="eastAsia" w:ascii="宋体" w:hAnsi="宋体" w:eastAsia="宋体" w:cs="宋体"/>
          <w:kern w:val="0"/>
          <w:lang w:val="zh-CN"/>
        </w:rPr>
        <w:sectPr>
          <w:headerReference r:id="rId5" w:type="default"/>
          <w:footerReference r:id="rId6" w:type="default"/>
          <w:pgSz w:w="11906" w:h="16838"/>
          <w:pgMar w:top="1440" w:right="1406" w:bottom="1440" w:left="1321" w:header="851" w:footer="992" w:gutter="0"/>
          <w:pgNumType w:fmt="decimal" w:start="1"/>
          <w:cols w:space="720" w:num="1"/>
          <w:docGrid w:linePitch="397" w:charSpace="0"/>
        </w:sectPr>
      </w:pPr>
    </w:p>
    <w:p w14:paraId="2DE777C2">
      <w:pPr>
        <w:pStyle w:val="23"/>
        <w:numPr>
          <w:ilvl w:val="0"/>
          <w:numId w:val="6"/>
        </w:numPr>
        <w:spacing w:before="0" w:after="0" w:line="360" w:lineRule="auto"/>
        <w:jc w:val="center"/>
        <w:rPr>
          <w:rFonts w:hint="eastAsia" w:ascii="宋体" w:hAnsi="宋体" w:eastAsia="宋体" w:cs="宋体"/>
          <w:color w:val="000000"/>
          <w:sz w:val="30"/>
          <w:szCs w:val="30"/>
        </w:rPr>
      </w:pPr>
      <w:bookmarkStart w:id="105" w:name="_Toc24857"/>
      <w:r>
        <w:rPr>
          <w:rFonts w:hint="eastAsia" w:ascii="宋体" w:hAnsi="宋体" w:eastAsia="宋体" w:cs="宋体"/>
          <w:color w:val="000000"/>
          <w:sz w:val="30"/>
          <w:szCs w:val="30"/>
          <w:lang w:val="zh-CN"/>
        </w:rPr>
        <w:t>技术参数</w:t>
      </w:r>
      <w:bookmarkEnd w:id="105"/>
    </w:p>
    <w:p w14:paraId="2120CE93">
      <w:pPr>
        <w:pStyle w:val="23"/>
        <w:numPr>
          <w:ilvl w:val="0"/>
          <w:numId w:val="7"/>
        </w:numPr>
        <w:spacing w:before="0" w:after="0" w:line="360" w:lineRule="auto"/>
        <w:outlineLvl w:val="1"/>
        <w:rPr>
          <w:rFonts w:ascii="宋体" w:hAnsi="宋体" w:cs="宋体"/>
          <w:sz w:val="24"/>
          <w:szCs w:val="24"/>
          <w:lang w:val="zh-CN"/>
        </w:rPr>
      </w:pPr>
      <w:r>
        <w:rPr>
          <w:rFonts w:hint="eastAsia" w:ascii="宋体" w:hAnsi="宋体" w:cs="宋体"/>
          <w:sz w:val="24"/>
          <w:szCs w:val="24"/>
        </w:rPr>
        <w:t>各包</w:t>
      </w:r>
      <w:r>
        <w:rPr>
          <w:rFonts w:hint="eastAsia" w:ascii="宋体" w:hAnsi="宋体" w:cs="宋体"/>
          <w:sz w:val="24"/>
          <w:szCs w:val="24"/>
          <w:lang w:val="zh-CN"/>
        </w:rPr>
        <w:t>项目概况及</w:t>
      </w:r>
      <w:r>
        <w:rPr>
          <w:rFonts w:hint="eastAsia" w:ascii="宋体" w:hAnsi="宋体" w:cs="宋体"/>
          <w:sz w:val="24"/>
          <w:szCs w:val="24"/>
        </w:rPr>
        <w:t>参数要求</w:t>
      </w:r>
    </w:p>
    <w:p w14:paraId="0290EC05">
      <w:pPr>
        <w:jc w:val="center"/>
        <w:rPr>
          <w:rFonts w:ascii="宋体" w:hAnsi="宋体" w:cs="宋体"/>
          <w:b/>
          <w:bCs/>
          <w:sz w:val="32"/>
          <w:szCs w:val="32"/>
        </w:rPr>
      </w:pPr>
      <w:r>
        <w:rPr>
          <w:rFonts w:hint="eastAsia" w:ascii="宋体" w:hAnsi="宋体" w:cs="宋体"/>
          <w:b/>
          <w:bCs/>
          <w:sz w:val="32"/>
          <w:szCs w:val="32"/>
        </w:rPr>
        <w:t>包一</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1486"/>
        <w:gridCol w:w="1605"/>
        <w:gridCol w:w="2097"/>
        <w:gridCol w:w="6001"/>
        <w:gridCol w:w="1120"/>
        <w:gridCol w:w="1146"/>
      </w:tblGrid>
      <w:tr w14:paraId="606E4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center"/>
          </w:tcPr>
          <w:p w14:paraId="2F15E3A4">
            <w:pPr>
              <w:keepNext w:val="0"/>
              <w:keepLines w:val="0"/>
              <w:widowControl/>
              <w:suppressLineNumbers w:val="0"/>
              <w:spacing w:before="0" w:beforeAutospacing="0" w:after="0" w:afterAutospacing="0"/>
              <w:ind w:left="0" w:right="0"/>
              <w:jc w:val="center"/>
              <w:textAlignment w:val="center"/>
              <w:rPr>
                <w:rFonts w:hint="default" w:ascii="宋体" w:hAnsi="宋体" w:cs="宋体"/>
                <w:spacing w:val="-5"/>
                <w:sz w:val="24"/>
              </w:rPr>
            </w:pPr>
            <w:r>
              <w:rPr>
                <w:rFonts w:hint="eastAsia" w:ascii="宋体" w:hAnsi="宋体" w:cs="宋体"/>
                <w:b/>
                <w:bCs/>
                <w:color w:val="000000"/>
                <w:kern w:val="0"/>
                <w:sz w:val="24"/>
                <w:lang w:bidi="ar"/>
              </w:rPr>
              <w:t>序号</w:t>
            </w:r>
          </w:p>
        </w:tc>
        <w:tc>
          <w:tcPr>
            <w:tcW w:w="1514" w:type="dxa"/>
            <w:vAlign w:val="center"/>
          </w:tcPr>
          <w:p w14:paraId="04032847">
            <w:pPr>
              <w:keepNext w:val="0"/>
              <w:keepLines w:val="0"/>
              <w:widowControl/>
              <w:suppressLineNumbers w:val="0"/>
              <w:spacing w:before="0" w:beforeAutospacing="0" w:after="0" w:afterAutospacing="0"/>
              <w:ind w:left="0" w:right="0"/>
              <w:jc w:val="center"/>
              <w:textAlignment w:val="center"/>
              <w:rPr>
                <w:rFonts w:hint="default" w:ascii="宋体" w:hAnsi="宋体" w:cs="宋体"/>
                <w:spacing w:val="-5"/>
                <w:sz w:val="24"/>
              </w:rPr>
            </w:pPr>
            <w:r>
              <w:rPr>
                <w:rFonts w:hint="eastAsia" w:ascii="宋体" w:hAnsi="宋体" w:cs="宋体"/>
                <w:b/>
                <w:bCs/>
                <w:color w:val="000000"/>
                <w:kern w:val="0"/>
                <w:sz w:val="24"/>
                <w:lang w:bidi="ar"/>
              </w:rPr>
              <w:t>系统名称</w:t>
            </w:r>
          </w:p>
        </w:tc>
        <w:tc>
          <w:tcPr>
            <w:tcW w:w="1636" w:type="dxa"/>
            <w:vAlign w:val="center"/>
          </w:tcPr>
          <w:p w14:paraId="29F81EED">
            <w:pPr>
              <w:keepNext w:val="0"/>
              <w:keepLines w:val="0"/>
              <w:widowControl/>
              <w:suppressLineNumbers w:val="0"/>
              <w:spacing w:before="0" w:beforeAutospacing="0" w:after="0" w:afterAutospacing="0"/>
              <w:ind w:left="0" w:right="0"/>
              <w:jc w:val="center"/>
              <w:textAlignment w:val="center"/>
              <w:rPr>
                <w:rFonts w:hint="default" w:ascii="宋体" w:hAnsi="宋体" w:cs="宋体"/>
                <w:spacing w:val="-5"/>
                <w:sz w:val="24"/>
              </w:rPr>
            </w:pPr>
            <w:r>
              <w:rPr>
                <w:rFonts w:hint="eastAsia" w:ascii="宋体" w:hAnsi="宋体" w:cs="宋体"/>
                <w:b/>
                <w:bCs/>
                <w:color w:val="000000"/>
                <w:kern w:val="0"/>
                <w:sz w:val="24"/>
                <w:lang w:bidi="ar"/>
              </w:rPr>
              <w:t>一级功能</w:t>
            </w:r>
          </w:p>
        </w:tc>
        <w:tc>
          <w:tcPr>
            <w:tcW w:w="2141" w:type="dxa"/>
            <w:vAlign w:val="center"/>
          </w:tcPr>
          <w:p w14:paraId="522B8A5D">
            <w:pPr>
              <w:keepNext w:val="0"/>
              <w:keepLines w:val="0"/>
              <w:widowControl/>
              <w:suppressLineNumbers w:val="0"/>
              <w:spacing w:before="0" w:beforeAutospacing="0" w:after="0" w:afterAutospacing="0"/>
              <w:ind w:left="0" w:right="0"/>
              <w:jc w:val="center"/>
              <w:textAlignment w:val="center"/>
              <w:rPr>
                <w:rFonts w:hint="default" w:ascii="宋体" w:hAnsi="宋体" w:cs="宋体"/>
                <w:spacing w:val="-5"/>
                <w:sz w:val="24"/>
              </w:rPr>
            </w:pPr>
            <w:r>
              <w:rPr>
                <w:rFonts w:hint="eastAsia" w:ascii="宋体" w:hAnsi="宋体" w:cs="宋体"/>
                <w:b/>
                <w:bCs/>
                <w:color w:val="000000"/>
                <w:kern w:val="0"/>
                <w:sz w:val="24"/>
                <w:lang w:bidi="ar"/>
              </w:rPr>
              <w:t>二级功能</w:t>
            </w:r>
          </w:p>
        </w:tc>
        <w:tc>
          <w:tcPr>
            <w:tcW w:w="6137" w:type="dxa"/>
            <w:vAlign w:val="center"/>
          </w:tcPr>
          <w:p w14:paraId="7FC10D6A">
            <w:pPr>
              <w:keepNext w:val="0"/>
              <w:keepLines w:val="0"/>
              <w:widowControl/>
              <w:suppressLineNumbers w:val="0"/>
              <w:spacing w:before="0" w:beforeAutospacing="0" w:after="0" w:afterAutospacing="0"/>
              <w:ind w:left="0" w:right="0"/>
              <w:jc w:val="center"/>
              <w:textAlignment w:val="center"/>
              <w:rPr>
                <w:rFonts w:hint="default" w:ascii="宋体" w:hAnsi="宋体" w:cs="宋体"/>
                <w:spacing w:val="-5"/>
                <w:sz w:val="24"/>
              </w:rPr>
            </w:pPr>
            <w:r>
              <w:rPr>
                <w:rFonts w:hint="eastAsia" w:ascii="宋体" w:hAnsi="宋体" w:cs="宋体"/>
                <w:b/>
                <w:bCs/>
                <w:color w:val="000000"/>
                <w:kern w:val="0"/>
                <w:sz w:val="24"/>
                <w:lang w:bidi="ar"/>
              </w:rPr>
              <w:t>具体要求</w:t>
            </w:r>
          </w:p>
        </w:tc>
        <w:tc>
          <w:tcPr>
            <w:tcW w:w="1131" w:type="dxa"/>
            <w:vAlign w:val="center"/>
          </w:tcPr>
          <w:p w14:paraId="0AFF3B09">
            <w:pPr>
              <w:keepNext w:val="0"/>
              <w:keepLines w:val="0"/>
              <w:widowControl/>
              <w:suppressLineNumbers w:val="0"/>
              <w:spacing w:before="0" w:beforeAutospacing="0" w:after="0" w:afterAutospacing="0"/>
              <w:ind w:left="0" w:right="0"/>
              <w:jc w:val="center"/>
              <w:textAlignment w:val="center"/>
              <w:rPr>
                <w:rFonts w:hint="default" w:ascii="宋体" w:hAnsi="宋体" w:cs="宋体"/>
                <w:spacing w:val="-5"/>
                <w:sz w:val="24"/>
              </w:rPr>
            </w:pPr>
            <w:r>
              <w:rPr>
                <w:rFonts w:hint="eastAsia" w:ascii="宋体" w:hAnsi="宋体" w:cs="宋体"/>
                <w:b/>
                <w:bCs/>
                <w:color w:val="000000"/>
                <w:kern w:val="0"/>
                <w:sz w:val="24"/>
                <w:lang w:bidi="ar"/>
              </w:rPr>
              <w:t>数量</w:t>
            </w:r>
          </w:p>
        </w:tc>
        <w:tc>
          <w:tcPr>
            <w:tcW w:w="1161" w:type="dxa"/>
            <w:vAlign w:val="center"/>
          </w:tcPr>
          <w:p w14:paraId="65FBE078">
            <w:pPr>
              <w:keepNext w:val="0"/>
              <w:keepLines w:val="0"/>
              <w:widowControl/>
              <w:suppressLineNumbers w:val="0"/>
              <w:spacing w:before="0" w:beforeAutospacing="0" w:after="0" w:afterAutospacing="0"/>
              <w:ind w:left="0" w:right="0"/>
              <w:jc w:val="center"/>
              <w:textAlignment w:val="center"/>
              <w:rPr>
                <w:rFonts w:hint="default" w:ascii="宋体" w:hAnsi="宋体" w:cs="宋体"/>
                <w:spacing w:val="-5"/>
                <w:sz w:val="24"/>
              </w:rPr>
            </w:pPr>
            <w:r>
              <w:rPr>
                <w:rFonts w:hint="eastAsia" w:ascii="宋体" w:hAnsi="宋体" w:cs="宋体"/>
                <w:b/>
                <w:bCs/>
                <w:color w:val="000000"/>
                <w:kern w:val="0"/>
                <w:sz w:val="24"/>
                <w:lang w:bidi="ar"/>
              </w:rPr>
              <w:t>单位</w:t>
            </w:r>
          </w:p>
        </w:tc>
      </w:tr>
      <w:tr w14:paraId="73EE0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center"/>
          </w:tcPr>
          <w:p w14:paraId="36B43B28">
            <w:pPr>
              <w:keepNext w:val="0"/>
              <w:keepLines w:val="0"/>
              <w:suppressLineNumbers w:val="0"/>
              <w:spacing w:before="0" w:beforeAutospacing="0" w:after="0" w:afterAutospacing="0" w:line="360" w:lineRule="auto"/>
              <w:ind w:left="0" w:right="0"/>
              <w:jc w:val="center"/>
              <w:rPr>
                <w:rFonts w:hint="default" w:ascii="宋体" w:hAnsi="宋体" w:cs="宋体"/>
                <w:spacing w:val="-5"/>
                <w:sz w:val="24"/>
              </w:rPr>
            </w:pPr>
            <w:r>
              <w:rPr>
                <w:rFonts w:hint="eastAsia" w:ascii="宋体" w:hAnsi="宋体" w:cs="宋体"/>
                <w:spacing w:val="-5"/>
                <w:sz w:val="24"/>
              </w:rPr>
              <w:t>1</w:t>
            </w:r>
          </w:p>
        </w:tc>
        <w:tc>
          <w:tcPr>
            <w:tcW w:w="1514" w:type="dxa"/>
            <w:vMerge w:val="restart"/>
            <w:vAlign w:val="center"/>
          </w:tcPr>
          <w:p w14:paraId="443AB0EC">
            <w:pPr>
              <w:keepNext w:val="0"/>
              <w:keepLines w:val="0"/>
              <w:suppressLineNumbers w:val="0"/>
              <w:spacing w:before="0" w:beforeAutospacing="0" w:after="0" w:afterAutospacing="0" w:line="360" w:lineRule="auto"/>
              <w:ind w:left="0" w:right="0"/>
              <w:jc w:val="center"/>
              <w:rPr>
                <w:rFonts w:hint="default" w:ascii="宋体" w:hAnsi="宋体" w:cs="宋体"/>
                <w:spacing w:val="-5"/>
                <w:sz w:val="24"/>
              </w:rPr>
            </w:pPr>
            <w:r>
              <w:rPr>
                <w:rFonts w:hint="eastAsia" w:ascii="宋体" w:hAnsi="宋体" w:cs="宋体"/>
                <w:spacing w:val="-5"/>
                <w:sz w:val="24"/>
              </w:rPr>
              <w:t>地理空间信息平台</w:t>
            </w:r>
          </w:p>
        </w:tc>
        <w:tc>
          <w:tcPr>
            <w:tcW w:w="1636" w:type="dxa"/>
            <w:vMerge w:val="restart"/>
            <w:vAlign w:val="center"/>
          </w:tcPr>
          <w:p w14:paraId="37220CF3">
            <w:pPr>
              <w:keepNext w:val="0"/>
              <w:keepLines w:val="0"/>
              <w:suppressLineNumbers w:val="0"/>
              <w:spacing w:before="0" w:beforeAutospacing="0" w:after="0" w:afterAutospacing="0" w:line="360" w:lineRule="auto"/>
              <w:ind w:left="0" w:right="0"/>
              <w:jc w:val="center"/>
              <w:rPr>
                <w:rFonts w:hint="default" w:ascii="宋体" w:hAnsi="宋体" w:cs="宋体"/>
                <w:spacing w:val="-5"/>
                <w:sz w:val="24"/>
              </w:rPr>
            </w:pPr>
            <w:r>
              <w:rPr>
                <w:rFonts w:hint="eastAsia" w:ascii="宋体" w:hAnsi="宋体" w:cs="宋体"/>
                <w:spacing w:val="-5"/>
                <w:sz w:val="24"/>
              </w:rPr>
              <w:t>基础空间数据采集</w:t>
            </w:r>
          </w:p>
        </w:tc>
        <w:tc>
          <w:tcPr>
            <w:tcW w:w="2141" w:type="dxa"/>
            <w:vMerge w:val="restart"/>
            <w:vAlign w:val="center"/>
          </w:tcPr>
          <w:p w14:paraId="20BCE2D3">
            <w:pPr>
              <w:keepNext w:val="0"/>
              <w:keepLines w:val="0"/>
              <w:suppressLineNumbers w:val="0"/>
              <w:spacing w:before="0" w:beforeAutospacing="0" w:after="0" w:afterAutospacing="0" w:line="360" w:lineRule="auto"/>
              <w:ind w:left="0" w:right="0"/>
              <w:jc w:val="center"/>
              <w:rPr>
                <w:rFonts w:hint="default" w:ascii="宋体" w:hAnsi="宋体" w:cs="宋体"/>
                <w:spacing w:val="-5"/>
                <w:sz w:val="24"/>
              </w:rPr>
            </w:pPr>
            <w:r>
              <w:rPr>
                <w:rFonts w:hint="eastAsia" w:ascii="宋体" w:hAnsi="宋体" w:cs="宋体"/>
                <w:spacing w:val="-5"/>
                <w:sz w:val="24"/>
              </w:rPr>
              <w:t>数据采集</w:t>
            </w:r>
          </w:p>
        </w:tc>
        <w:tc>
          <w:tcPr>
            <w:tcW w:w="6137" w:type="dxa"/>
            <w:vAlign w:val="center"/>
          </w:tcPr>
          <w:p w14:paraId="6D90021C">
            <w:pPr>
              <w:keepNext w:val="0"/>
              <w:keepLines w:val="0"/>
              <w:widowControl/>
              <w:suppressLineNumbers w:val="0"/>
              <w:spacing w:before="0" w:beforeAutospacing="0" w:after="0" w:afterAutospacing="0"/>
              <w:ind w:left="0" w:right="0"/>
              <w:jc w:val="left"/>
              <w:textAlignment w:val="center"/>
              <w:rPr>
                <w:rFonts w:hint="default" w:ascii="宋体" w:hAnsi="宋体" w:cs="宋体"/>
                <w:spacing w:val="-5"/>
                <w:sz w:val="24"/>
              </w:rPr>
            </w:pPr>
            <w:r>
              <w:rPr>
                <w:rFonts w:hint="eastAsia" w:ascii="宋体" w:hAnsi="宋体" w:cs="宋体"/>
                <w:color w:val="000000"/>
                <w:kern w:val="0"/>
                <w:sz w:val="24"/>
                <w:lang w:bidi="ar"/>
              </w:rPr>
              <w:t>卫星影像数据（数字正射影像数据、1m分辨率）尖扎县全域</w:t>
            </w:r>
          </w:p>
        </w:tc>
        <w:tc>
          <w:tcPr>
            <w:tcW w:w="1131" w:type="dxa"/>
            <w:vAlign w:val="center"/>
          </w:tcPr>
          <w:p w14:paraId="6C976AE8">
            <w:pPr>
              <w:keepNext w:val="0"/>
              <w:keepLines w:val="0"/>
              <w:widowControl/>
              <w:suppressLineNumbers w:val="0"/>
              <w:spacing w:before="0" w:beforeAutospacing="0" w:after="0" w:afterAutospacing="0"/>
              <w:ind w:left="0" w:right="0"/>
              <w:jc w:val="center"/>
              <w:textAlignment w:val="center"/>
              <w:rPr>
                <w:rFonts w:hint="default" w:ascii="宋体" w:hAnsi="宋体" w:cs="宋体"/>
                <w:spacing w:val="-5"/>
                <w:sz w:val="24"/>
              </w:rPr>
            </w:pPr>
            <w:r>
              <w:rPr>
                <w:rFonts w:hint="eastAsia" w:ascii="宋体" w:hAnsi="宋体" w:cs="宋体"/>
                <w:color w:val="000000"/>
                <w:kern w:val="0"/>
                <w:sz w:val="24"/>
                <w:lang w:bidi="ar"/>
              </w:rPr>
              <w:t>1700</w:t>
            </w:r>
          </w:p>
        </w:tc>
        <w:tc>
          <w:tcPr>
            <w:tcW w:w="1161" w:type="dxa"/>
            <w:vAlign w:val="center"/>
          </w:tcPr>
          <w:p w14:paraId="5164673F">
            <w:pPr>
              <w:keepNext w:val="0"/>
              <w:keepLines w:val="0"/>
              <w:widowControl/>
              <w:suppressLineNumbers w:val="0"/>
              <w:spacing w:before="0" w:beforeAutospacing="0" w:after="0" w:afterAutospacing="0"/>
              <w:ind w:left="0" w:right="0"/>
              <w:jc w:val="center"/>
              <w:textAlignment w:val="center"/>
              <w:rPr>
                <w:rFonts w:hint="default" w:ascii="宋体" w:hAnsi="宋体" w:cs="宋体"/>
                <w:spacing w:val="-5"/>
                <w:sz w:val="24"/>
              </w:rPr>
            </w:pPr>
            <w:r>
              <w:rPr>
                <w:rFonts w:hint="eastAsia" w:ascii="宋体" w:hAnsi="宋体" w:cs="宋体"/>
                <w:spacing w:val="-5"/>
                <w:sz w:val="24"/>
              </w:rPr>
              <w:t xml:space="preserve">km² </w:t>
            </w:r>
          </w:p>
        </w:tc>
      </w:tr>
      <w:tr w14:paraId="0AB22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center"/>
          </w:tcPr>
          <w:p w14:paraId="2D4D0F4F">
            <w:pPr>
              <w:keepNext w:val="0"/>
              <w:keepLines w:val="0"/>
              <w:suppressLineNumbers w:val="0"/>
              <w:spacing w:before="0" w:beforeAutospacing="0" w:after="0" w:afterAutospacing="0" w:line="360" w:lineRule="auto"/>
              <w:ind w:left="0" w:right="0"/>
              <w:jc w:val="center"/>
              <w:rPr>
                <w:rFonts w:hint="default" w:ascii="宋体" w:hAnsi="宋体" w:cs="宋体"/>
                <w:spacing w:val="-5"/>
                <w:sz w:val="24"/>
              </w:rPr>
            </w:pPr>
            <w:r>
              <w:rPr>
                <w:rFonts w:hint="eastAsia" w:ascii="宋体" w:hAnsi="宋体" w:cs="宋体"/>
                <w:spacing w:val="-5"/>
                <w:sz w:val="24"/>
              </w:rPr>
              <w:t>2</w:t>
            </w:r>
          </w:p>
        </w:tc>
        <w:tc>
          <w:tcPr>
            <w:tcW w:w="1514" w:type="dxa"/>
            <w:vMerge w:val="continue"/>
            <w:vAlign w:val="center"/>
          </w:tcPr>
          <w:p w14:paraId="7DDAE0D4">
            <w:pPr>
              <w:keepNext w:val="0"/>
              <w:keepLines w:val="0"/>
              <w:suppressLineNumbers w:val="0"/>
              <w:spacing w:before="0" w:beforeAutospacing="0" w:after="0" w:afterAutospacing="0" w:line="360" w:lineRule="auto"/>
              <w:ind w:left="0" w:right="0"/>
              <w:jc w:val="center"/>
              <w:rPr>
                <w:rFonts w:hint="default" w:ascii="宋体" w:hAnsi="宋体" w:cs="宋体"/>
                <w:spacing w:val="-5"/>
                <w:sz w:val="24"/>
              </w:rPr>
            </w:pPr>
          </w:p>
        </w:tc>
        <w:tc>
          <w:tcPr>
            <w:tcW w:w="1636" w:type="dxa"/>
            <w:vMerge w:val="continue"/>
            <w:vAlign w:val="center"/>
          </w:tcPr>
          <w:p w14:paraId="0F3DBF6C">
            <w:pPr>
              <w:keepNext w:val="0"/>
              <w:keepLines w:val="0"/>
              <w:suppressLineNumbers w:val="0"/>
              <w:spacing w:before="0" w:beforeAutospacing="0" w:after="0" w:afterAutospacing="0" w:line="360" w:lineRule="auto"/>
              <w:ind w:left="0" w:right="0"/>
              <w:jc w:val="center"/>
              <w:rPr>
                <w:rFonts w:hint="default" w:ascii="宋体" w:hAnsi="宋体" w:cs="宋体"/>
                <w:spacing w:val="-5"/>
                <w:sz w:val="24"/>
              </w:rPr>
            </w:pPr>
          </w:p>
        </w:tc>
        <w:tc>
          <w:tcPr>
            <w:tcW w:w="2141" w:type="dxa"/>
            <w:vMerge w:val="continue"/>
            <w:vAlign w:val="center"/>
          </w:tcPr>
          <w:p w14:paraId="42A9BA33">
            <w:pPr>
              <w:keepNext w:val="0"/>
              <w:keepLines w:val="0"/>
              <w:suppressLineNumbers w:val="0"/>
              <w:spacing w:before="0" w:beforeAutospacing="0" w:after="0" w:afterAutospacing="0" w:line="360" w:lineRule="auto"/>
              <w:ind w:left="0" w:right="0"/>
              <w:jc w:val="center"/>
              <w:rPr>
                <w:rFonts w:hint="default" w:ascii="宋体" w:hAnsi="宋体" w:cs="宋体"/>
                <w:spacing w:val="-5"/>
                <w:sz w:val="24"/>
              </w:rPr>
            </w:pPr>
          </w:p>
        </w:tc>
        <w:tc>
          <w:tcPr>
            <w:tcW w:w="6137" w:type="dxa"/>
            <w:vAlign w:val="center"/>
          </w:tcPr>
          <w:p w14:paraId="3F3B390C">
            <w:pPr>
              <w:keepNext w:val="0"/>
              <w:keepLines w:val="0"/>
              <w:widowControl/>
              <w:suppressLineNumbers w:val="0"/>
              <w:spacing w:before="0" w:beforeAutospacing="0" w:after="0" w:afterAutospacing="0"/>
              <w:ind w:left="0" w:right="0"/>
              <w:jc w:val="left"/>
              <w:textAlignment w:val="center"/>
              <w:rPr>
                <w:rFonts w:hint="default" w:ascii="宋体" w:hAnsi="宋体" w:cs="宋体"/>
                <w:spacing w:val="-5"/>
                <w:sz w:val="24"/>
              </w:rPr>
            </w:pPr>
            <w:r>
              <w:rPr>
                <w:rFonts w:hint="eastAsia" w:ascii="宋体" w:hAnsi="宋体" w:cs="宋体"/>
                <w:color w:val="000000"/>
                <w:kern w:val="0"/>
                <w:sz w:val="24"/>
                <w:lang w:bidi="ar"/>
              </w:rPr>
              <w:t>航空影像数据（数字正射影像数据、3cm分辨率)康杨镇、坎布拉镇建成区</w:t>
            </w:r>
          </w:p>
        </w:tc>
        <w:tc>
          <w:tcPr>
            <w:tcW w:w="1131" w:type="dxa"/>
            <w:vAlign w:val="center"/>
          </w:tcPr>
          <w:p w14:paraId="47985762">
            <w:pPr>
              <w:keepNext w:val="0"/>
              <w:keepLines w:val="0"/>
              <w:widowControl/>
              <w:suppressLineNumbers w:val="0"/>
              <w:spacing w:before="0" w:beforeAutospacing="0" w:after="0" w:afterAutospacing="0"/>
              <w:ind w:left="0" w:right="0"/>
              <w:jc w:val="center"/>
              <w:textAlignment w:val="center"/>
              <w:rPr>
                <w:rFonts w:hint="default" w:ascii="宋体" w:hAnsi="宋体" w:cs="宋体"/>
                <w:spacing w:val="-5"/>
                <w:sz w:val="24"/>
              </w:rPr>
            </w:pPr>
            <w:r>
              <w:rPr>
                <w:rFonts w:hint="eastAsia" w:ascii="宋体" w:hAnsi="宋体" w:cs="宋体"/>
                <w:color w:val="000000"/>
                <w:kern w:val="0"/>
                <w:sz w:val="24"/>
                <w:lang w:bidi="ar"/>
              </w:rPr>
              <w:t>10</w:t>
            </w:r>
          </w:p>
        </w:tc>
        <w:tc>
          <w:tcPr>
            <w:tcW w:w="1161" w:type="dxa"/>
            <w:vAlign w:val="center"/>
          </w:tcPr>
          <w:p w14:paraId="790BE59B">
            <w:pPr>
              <w:keepNext w:val="0"/>
              <w:keepLines w:val="0"/>
              <w:widowControl/>
              <w:suppressLineNumbers w:val="0"/>
              <w:spacing w:before="0" w:beforeAutospacing="0" w:after="0" w:afterAutospacing="0"/>
              <w:ind w:left="0" w:right="0"/>
              <w:jc w:val="center"/>
              <w:textAlignment w:val="center"/>
              <w:rPr>
                <w:rFonts w:hint="default" w:ascii="宋体" w:hAnsi="宋体" w:cs="宋体"/>
                <w:spacing w:val="-5"/>
                <w:sz w:val="24"/>
              </w:rPr>
            </w:pPr>
            <w:r>
              <w:rPr>
                <w:rFonts w:hint="eastAsia" w:ascii="宋体" w:hAnsi="宋体" w:cs="宋体"/>
                <w:spacing w:val="-5"/>
                <w:sz w:val="24"/>
              </w:rPr>
              <w:t xml:space="preserve">km² </w:t>
            </w:r>
          </w:p>
        </w:tc>
      </w:tr>
      <w:tr w14:paraId="2E2CE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center"/>
          </w:tcPr>
          <w:p w14:paraId="68A5D16E">
            <w:pPr>
              <w:keepNext w:val="0"/>
              <w:keepLines w:val="0"/>
              <w:suppressLineNumbers w:val="0"/>
              <w:spacing w:before="0" w:beforeAutospacing="0" w:after="0" w:afterAutospacing="0" w:line="360" w:lineRule="auto"/>
              <w:ind w:left="0" w:right="0"/>
              <w:jc w:val="center"/>
              <w:rPr>
                <w:rFonts w:hint="default" w:ascii="宋体" w:hAnsi="宋体" w:cs="宋体"/>
                <w:spacing w:val="-5"/>
                <w:sz w:val="24"/>
              </w:rPr>
            </w:pPr>
            <w:r>
              <w:rPr>
                <w:rFonts w:hint="eastAsia" w:ascii="宋体" w:hAnsi="宋体" w:cs="宋体"/>
                <w:spacing w:val="-5"/>
                <w:sz w:val="24"/>
              </w:rPr>
              <w:t>3</w:t>
            </w:r>
          </w:p>
        </w:tc>
        <w:tc>
          <w:tcPr>
            <w:tcW w:w="1514" w:type="dxa"/>
            <w:vMerge w:val="continue"/>
            <w:vAlign w:val="center"/>
          </w:tcPr>
          <w:p w14:paraId="20770EFC">
            <w:pPr>
              <w:keepNext w:val="0"/>
              <w:keepLines w:val="0"/>
              <w:suppressLineNumbers w:val="0"/>
              <w:spacing w:before="0" w:beforeAutospacing="0" w:after="0" w:afterAutospacing="0" w:line="360" w:lineRule="auto"/>
              <w:ind w:left="0" w:right="0"/>
              <w:jc w:val="center"/>
              <w:rPr>
                <w:rFonts w:hint="default" w:ascii="宋体" w:hAnsi="宋体" w:cs="宋体"/>
                <w:spacing w:val="-5"/>
                <w:sz w:val="24"/>
              </w:rPr>
            </w:pPr>
          </w:p>
        </w:tc>
        <w:tc>
          <w:tcPr>
            <w:tcW w:w="1636" w:type="dxa"/>
            <w:vMerge w:val="continue"/>
            <w:vAlign w:val="center"/>
          </w:tcPr>
          <w:p w14:paraId="14A6643D">
            <w:pPr>
              <w:keepNext w:val="0"/>
              <w:keepLines w:val="0"/>
              <w:suppressLineNumbers w:val="0"/>
              <w:spacing w:before="0" w:beforeAutospacing="0" w:after="0" w:afterAutospacing="0" w:line="360" w:lineRule="auto"/>
              <w:ind w:left="0" w:right="0"/>
              <w:jc w:val="center"/>
              <w:rPr>
                <w:rFonts w:hint="default" w:ascii="宋体" w:hAnsi="宋体" w:cs="宋体"/>
                <w:spacing w:val="-5"/>
                <w:sz w:val="24"/>
              </w:rPr>
            </w:pPr>
          </w:p>
        </w:tc>
        <w:tc>
          <w:tcPr>
            <w:tcW w:w="2141" w:type="dxa"/>
            <w:vMerge w:val="continue"/>
            <w:vAlign w:val="center"/>
          </w:tcPr>
          <w:p w14:paraId="54DE6673">
            <w:pPr>
              <w:keepNext w:val="0"/>
              <w:keepLines w:val="0"/>
              <w:suppressLineNumbers w:val="0"/>
              <w:spacing w:before="0" w:beforeAutospacing="0" w:after="0" w:afterAutospacing="0" w:line="360" w:lineRule="auto"/>
              <w:ind w:left="0" w:right="0"/>
              <w:jc w:val="center"/>
              <w:rPr>
                <w:rFonts w:hint="default" w:ascii="宋体" w:hAnsi="宋体" w:cs="宋体"/>
                <w:spacing w:val="-5"/>
                <w:sz w:val="24"/>
              </w:rPr>
            </w:pPr>
          </w:p>
        </w:tc>
        <w:tc>
          <w:tcPr>
            <w:tcW w:w="6137" w:type="dxa"/>
            <w:vAlign w:val="center"/>
          </w:tcPr>
          <w:p w14:paraId="233759A5">
            <w:pPr>
              <w:keepNext w:val="0"/>
              <w:keepLines w:val="0"/>
              <w:widowControl/>
              <w:suppressLineNumbers w:val="0"/>
              <w:spacing w:before="0" w:beforeAutospacing="0" w:after="0" w:afterAutospacing="0"/>
              <w:ind w:left="0" w:right="0"/>
              <w:jc w:val="left"/>
              <w:textAlignment w:val="center"/>
              <w:rPr>
                <w:rFonts w:hint="default" w:ascii="宋体" w:hAnsi="宋体" w:cs="宋体"/>
                <w:spacing w:val="-5"/>
                <w:sz w:val="24"/>
              </w:rPr>
            </w:pPr>
            <w:r>
              <w:rPr>
                <w:rFonts w:hint="eastAsia" w:ascii="宋体" w:hAnsi="宋体" w:cs="宋体"/>
                <w:color w:val="000000"/>
                <w:kern w:val="0"/>
                <w:sz w:val="24"/>
                <w:lang w:bidi="ar"/>
              </w:rPr>
              <w:t>数字线划图(1:500比例尺)、马克唐镇建成区</w:t>
            </w:r>
          </w:p>
        </w:tc>
        <w:tc>
          <w:tcPr>
            <w:tcW w:w="1131" w:type="dxa"/>
            <w:vAlign w:val="center"/>
          </w:tcPr>
          <w:p w14:paraId="7EC7F15A">
            <w:pPr>
              <w:keepNext w:val="0"/>
              <w:keepLines w:val="0"/>
              <w:widowControl/>
              <w:suppressLineNumbers w:val="0"/>
              <w:spacing w:before="0" w:beforeAutospacing="0" w:after="0" w:afterAutospacing="0"/>
              <w:ind w:left="0" w:right="0"/>
              <w:jc w:val="center"/>
              <w:textAlignment w:val="center"/>
              <w:rPr>
                <w:rFonts w:hint="default" w:ascii="宋体" w:hAnsi="宋体" w:cs="宋体"/>
                <w:spacing w:val="-5"/>
                <w:sz w:val="24"/>
              </w:rPr>
            </w:pPr>
            <w:r>
              <w:rPr>
                <w:rFonts w:hint="eastAsia" w:ascii="宋体" w:hAnsi="宋体" w:cs="宋体"/>
                <w:color w:val="000000"/>
                <w:kern w:val="0"/>
                <w:sz w:val="24"/>
                <w:lang w:bidi="ar"/>
              </w:rPr>
              <w:t>5</w:t>
            </w:r>
          </w:p>
        </w:tc>
        <w:tc>
          <w:tcPr>
            <w:tcW w:w="1161" w:type="dxa"/>
            <w:vAlign w:val="center"/>
          </w:tcPr>
          <w:p w14:paraId="287E0CE8">
            <w:pPr>
              <w:keepNext w:val="0"/>
              <w:keepLines w:val="0"/>
              <w:widowControl/>
              <w:suppressLineNumbers w:val="0"/>
              <w:spacing w:before="0" w:beforeAutospacing="0" w:after="0" w:afterAutospacing="0"/>
              <w:ind w:left="0" w:right="0"/>
              <w:jc w:val="center"/>
              <w:textAlignment w:val="center"/>
              <w:rPr>
                <w:rFonts w:hint="default" w:ascii="宋体" w:hAnsi="宋体" w:cs="宋体"/>
                <w:spacing w:val="-5"/>
                <w:sz w:val="24"/>
              </w:rPr>
            </w:pPr>
            <w:r>
              <w:rPr>
                <w:rFonts w:hint="eastAsia" w:ascii="宋体" w:hAnsi="宋体" w:cs="宋体"/>
                <w:spacing w:val="-5"/>
                <w:sz w:val="24"/>
              </w:rPr>
              <w:t xml:space="preserve">km² </w:t>
            </w:r>
          </w:p>
        </w:tc>
      </w:tr>
      <w:tr w14:paraId="32498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center"/>
          </w:tcPr>
          <w:p w14:paraId="3EAC5C5A">
            <w:pPr>
              <w:keepNext w:val="0"/>
              <w:keepLines w:val="0"/>
              <w:suppressLineNumbers w:val="0"/>
              <w:spacing w:before="0" w:beforeAutospacing="0" w:after="0" w:afterAutospacing="0" w:line="360" w:lineRule="auto"/>
              <w:ind w:left="0" w:right="0"/>
              <w:jc w:val="center"/>
              <w:rPr>
                <w:rFonts w:hint="default" w:ascii="宋体" w:hAnsi="宋体" w:cs="宋体"/>
                <w:spacing w:val="-5"/>
                <w:sz w:val="24"/>
              </w:rPr>
            </w:pPr>
            <w:r>
              <w:rPr>
                <w:rFonts w:hint="eastAsia" w:ascii="宋体" w:hAnsi="宋体" w:cs="宋体"/>
                <w:spacing w:val="-5"/>
                <w:sz w:val="24"/>
              </w:rPr>
              <w:t>4</w:t>
            </w:r>
          </w:p>
        </w:tc>
        <w:tc>
          <w:tcPr>
            <w:tcW w:w="1514" w:type="dxa"/>
            <w:vMerge w:val="continue"/>
            <w:vAlign w:val="center"/>
          </w:tcPr>
          <w:p w14:paraId="43C22CA9">
            <w:pPr>
              <w:keepNext w:val="0"/>
              <w:keepLines w:val="0"/>
              <w:suppressLineNumbers w:val="0"/>
              <w:spacing w:before="0" w:beforeAutospacing="0" w:after="0" w:afterAutospacing="0" w:line="360" w:lineRule="auto"/>
              <w:ind w:left="0" w:right="0"/>
              <w:jc w:val="center"/>
              <w:rPr>
                <w:rFonts w:hint="default" w:ascii="宋体" w:hAnsi="宋体" w:cs="宋体"/>
                <w:spacing w:val="-5"/>
                <w:sz w:val="24"/>
              </w:rPr>
            </w:pPr>
          </w:p>
        </w:tc>
        <w:tc>
          <w:tcPr>
            <w:tcW w:w="1636" w:type="dxa"/>
            <w:vMerge w:val="continue"/>
            <w:vAlign w:val="center"/>
          </w:tcPr>
          <w:p w14:paraId="7405FA81">
            <w:pPr>
              <w:keepNext w:val="0"/>
              <w:keepLines w:val="0"/>
              <w:suppressLineNumbers w:val="0"/>
              <w:spacing w:before="0" w:beforeAutospacing="0" w:after="0" w:afterAutospacing="0" w:line="360" w:lineRule="auto"/>
              <w:ind w:left="0" w:right="0"/>
              <w:jc w:val="center"/>
              <w:rPr>
                <w:rFonts w:hint="default" w:ascii="宋体" w:hAnsi="宋体" w:cs="宋体"/>
                <w:spacing w:val="-5"/>
                <w:sz w:val="24"/>
              </w:rPr>
            </w:pPr>
          </w:p>
        </w:tc>
        <w:tc>
          <w:tcPr>
            <w:tcW w:w="2141" w:type="dxa"/>
            <w:vMerge w:val="continue"/>
            <w:vAlign w:val="center"/>
          </w:tcPr>
          <w:p w14:paraId="220A0849">
            <w:pPr>
              <w:keepNext w:val="0"/>
              <w:keepLines w:val="0"/>
              <w:suppressLineNumbers w:val="0"/>
              <w:spacing w:before="0" w:beforeAutospacing="0" w:after="0" w:afterAutospacing="0" w:line="360" w:lineRule="auto"/>
              <w:ind w:left="0" w:right="0"/>
              <w:jc w:val="center"/>
              <w:rPr>
                <w:rFonts w:hint="default" w:ascii="宋体" w:hAnsi="宋体" w:cs="宋体"/>
                <w:spacing w:val="-5"/>
                <w:sz w:val="24"/>
              </w:rPr>
            </w:pPr>
          </w:p>
        </w:tc>
        <w:tc>
          <w:tcPr>
            <w:tcW w:w="6137" w:type="dxa"/>
            <w:vAlign w:val="center"/>
          </w:tcPr>
          <w:p w14:paraId="6694A312">
            <w:pPr>
              <w:keepNext w:val="0"/>
              <w:keepLines w:val="0"/>
              <w:widowControl/>
              <w:suppressLineNumbers w:val="0"/>
              <w:spacing w:before="0" w:beforeAutospacing="0" w:after="0" w:afterAutospacing="0"/>
              <w:ind w:left="0" w:right="0"/>
              <w:jc w:val="left"/>
              <w:textAlignment w:val="center"/>
              <w:rPr>
                <w:rFonts w:hint="default" w:ascii="宋体" w:hAnsi="宋体" w:cs="宋体"/>
                <w:spacing w:val="-5"/>
                <w:sz w:val="24"/>
              </w:rPr>
            </w:pPr>
            <w:r>
              <w:rPr>
                <w:rFonts w:hint="eastAsia" w:ascii="宋体" w:hAnsi="宋体" w:cs="宋体"/>
                <w:color w:val="000000"/>
                <w:kern w:val="0"/>
                <w:sz w:val="24"/>
                <w:lang w:bidi="ar"/>
              </w:rPr>
              <w:t>实景三维模型数据(3cm分辨率)、康杨镇、坎布拉镇建成区</w:t>
            </w:r>
          </w:p>
        </w:tc>
        <w:tc>
          <w:tcPr>
            <w:tcW w:w="1131" w:type="dxa"/>
            <w:vAlign w:val="center"/>
          </w:tcPr>
          <w:p w14:paraId="30D127AC">
            <w:pPr>
              <w:keepNext w:val="0"/>
              <w:keepLines w:val="0"/>
              <w:widowControl/>
              <w:suppressLineNumbers w:val="0"/>
              <w:spacing w:before="0" w:beforeAutospacing="0" w:after="0" w:afterAutospacing="0"/>
              <w:ind w:left="0" w:right="0"/>
              <w:jc w:val="center"/>
              <w:textAlignment w:val="center"/>
              <w:rPr>
                <w:rFonts w:hint="default" w:ascii="宋体" w:hAnsi="宋体" w:cs="宋体"/>
                <w:spacing w:val="-5"/>
                <w:sz w:val="24"/>
              </w:rPr>
            </w:pPr>
            <w:r>
              <w:rPr>
                <w:rFonts w:hint="eastAsia" w:ascii="宋体" w:hAnsi="宋体" w:cs="宋体"/>
                <w:color w:val="000000"/>
                <w:kern w:val="0"/>
                <w:sz w:val="24"/>
                <w:lang w:bidi="ar"/>
              </w:rPr>
              <w:t>10</w:t>
            </w:r>
          </w:p>
        </w:tc>
        <w:tc>
          <w:tcPr>
            <w:tcW w:w="1161" w:type="dxa"/>
            <w:vAlign w:val="center"/>
          </w:tcPr>
          <w:p w14:paraId="6DA2AC43">
            <w:pPr>
              <w:keepNext w:val="0"/>
              <w:keepLines w:val="0"/>
              <w:widowControl/>
              <w:suppressLineNumbers w:val="0"/>
              <w:spacing w:before="0" w:beforeAutospacing="0" w:after="0" w:afterAutospacing="0"/>
              <w:ind w:left="0" w:right="0"/>
              <w:jc w:val="center"/>
              <w:textAlignment w:val="center"/>
              <w:rPr>
                <w:rFonts w:hint="default" w:ascii="宋体" w:hAnsi="宋体" w:cs="宋体"/>
                <w:spacing w:val="-5"/>
                <w:sz w:val="24"/>
              </w:rPr>
            </w:pPr>
            <w:r>
              <w:rPr>
                <w:rFonts w:hint="eastAsia" w:ascii="宋体" w:hAnsi="宋体" w:cs="宋体"/>
                <w:spacing w:val="-5"/>
                <w:sz w:val="24"/>
              </w:rPr>
              <w:t xml:space="preserve">km² </w:t>
            </w:r>
          </w:p>
        </w:tc>
      </w:tr>
      <w:tr w14:paraId="507FB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center"/>
          </w:tcPr>
          <w:p w14:paraId="143265E6">
            <w:pPr>
              <w:keepNext w:val="0"/>
              <w:keepLines w:val="0"/>
              <w:suppressLineNumbers w:val="0"/>
              <w:spacing w:before="0" w:beforeAutospacing="0" w:after="0" w:afterAutospacing="0" w:line="360" w:lineRule="auto"/>
              <w:ind w:left="0" w:right="0"/>
              <w:jc w:val="center"/>
              <w:rPr>
                <w:rFonts w:hint="default" w:ascii="宋体" w:hAnsi="宋体" w:cs="宋体"/>
                <w:spacing w:val="-5"/>
                <w:sz w:val="24"/>
              </w:rPr>
            </w:pPr>
            <w:r>
              <w:rPr>
                <w:rFonts w:hint="eastAsia" w:ascii="宋体" w:hAnsi="宋体" w:cs="宋体"/>
                <w:spacing w:val="-5"/>
                <w:sz w:val="24"/>
              </w:rPr>
              <w:t>5</w:t>
            </w:r>
          </w:p>
        </w:tc>
        <w:tc>
          <w:tcPr>
            <w:tcW w:w="1514" w:type="dxa"/>
            <w:vMerge w:val="continue"/>
            <w:vAlign w:val="center"/>
          </w:tcPr>
          <w:p w14:paraId="6B8879CB">
            <w:pPr>
              <w:keepNext w:val="0"/>
              <w:keepLines w:val="0"/>
              <w:suppressLineNumbers w:val="0"/>
              <w:spacing w:before="0" w:beforeAutospacing="0" w:after="0" w:afterAutospacing="0" w:line="360" w:lineRule="auto"/>
              <w:ind w:left="0" w:right="0"/>
              <w:jc w:val="center"/>
              <w:rPr>
                <w:rFonts w:hint="default" w:ascii="宋体" w:hAnsi="宋体" w:cs="宋体"/>
                <w:spacing w:val="-5"/>
                <w:sz w:val="24"/>
              </w:rPr>
            </w:pPr>
          </w:p>
        </w:tc>
        <w:tc>
          <w:tcPr>
            <w:tcW w:w="1636" w:type="dxa"/>
            <w:vMerge w:val="continue"/>
            <w:vAlign w:val="center"/>
          </w:tcPr>
          <w:p w14:paraId="21BA6FA0">
            <w:pPr>
              <w:keepNext w:val="0"/>
              <w:keepLines w:val="0"/>
              <w:suppressLineNumbers w:val="0"/>
              <w:spacing w:before="0" w:beforeAutospacing="0" w:after="0" w:afterAutospacing="0" w:line="360" w:lineRule="auto"/>
              <w:ind w:left="0" w:right="0"/>
              <w:jc w:val="center"/>
              <w:rPr>
                <w:rFonts w:hint="default" w:ascii="宋体" w:hAnsi="宋体" w:cs="宋体"/>
                <w:spacing w:val="-5"/>
                <w:sz w:val="24"/>
              </w:rPr>
            </w:pPr>
          </w:p>
        </w:tc>
        <w:tc>
          <w:tcPr>
            <w:tcW w:w="2141" w:type="dxa"/>
            <w:vMerge w:val="continue"/>
            <w:vAlign w:val="center"/>
          </w:tcPr>
          <w:p w14:paraId="18CB5DEA">
            <w:pPr>
              <w:keepNext w:val="0"/>
              <w:keepLines w:val="0"/>
              <w:suppressLineNumbers w:val="0"/>
              <w:spacing w:before="0" w:beforeAutospacing="0" w:after="0" w:afterAutospacing="0" w:line="360" w:lineRule="auto"/>
              <w:ind w:left="0" w:right="0"/>
              <w:jc w:val="center"/>
              <w:rPr>
                <w:rFonts w:hint="default" w:ascii="宋体" w:hAnsi="宋体" w:cs="宋体"/>
                <w:spacing w:val="-5"/>
                <w:sz w:val="24"/>
              </w:rPr>
            </w:pPr>
          </w:p>
        </w:tc>
        <w:tc>
          <w:tcPr>
            <w:tcW w:w="6137" w:type="dxa"/>
            <w:vAlign w:val="center"/>
          </w:tcPr>
          <w:p w14:paraId="3083D3BC">
            <w:pPr>
              <w:keepNext w:val="0"/>
              <w:keepLines w:val="0"/>
              <w:widowControl/>
              <w:suppressLineNumbers w:val="0"/>
              <w:spacing w:before="0" w:beforeAutospacing="0" w:after="0" w:afterAutospacing="0"/>
              <w:ind w:left="0" w:right="0"/>
              <w:jc w:val="left"/>
              <w:textAlignment w:val="center"/>
              <w:rPr>
                <w:rFonts w:hint="default" w:ascii="宋体" w:hAnsi="宋体" w:cs="宋体"/>
                <w:spacing w:val="-5"/>
                <w:sz w:val="24"/>
              </w:rPr>
            </w:pPr>
            <w:r>
              <w:rPr>
                <w:rFonts w:hint="eastAsia" w:ascii="宋体" w:hAnsi="宋体" w:cs="宋体"/>
                <w:color w:val="000000"/>
                <w:kern w:val="0"/>
                <w:sz w:val="24"/>
                <w:lang w:bidi="ar"/>
              </w:rPr>
              <w:t>实景三维模型数据(5cm分辨率)、县境内黄河流域</w:t>
            </w:r>
          </w:p>
        </w:tc>
        <w:tc>
          <w:tcPr>
            <w:tcW w:w="1131" w:type="dxa"/>
            <w:vAlign w:val="center"/>
          </w:tcPr>
          <w:p w14:paraId="00F5E7FB">
            <w:pPr>
              <w:keepNext w:val="0"/>
              <w:keepLines w:val="0"/>
              <w:widowControl/>
              <w:suppressLineNumbers w:val="0"/>
              <w:spacing w:before="0" w:beforeAutospacing="0" w:after="0" w:afterAutospacing="0"/>
              <w:ind w:left="0" w:right="0"/>
              <w:jc w:val="center"/>
              <w:textAlignment w:val="center"/>
              <w:rPr>
                <w:rFonts w:hint="default" w:ascii="宋体" w:hAnsi="宋体" w:cs="宋体"/>
                <w:spacing w:val="-5"/>
                <w:sz w:val="24"/>
              </w:rPr>
            </w:pPr>
            <w:r>
              <w:rPr>
                <w:rFonts w:hint="eastAsia" w:ascii="宋体" w:hAnsi="宋体" w:cs="宋体"/>
                <w:color w:val="000000"/>
                <w:kern w:val="0"/>
                <w:sz w:val="24"/>
                <w:lang w:bidi="ar"/>
              </w:rPr>
              <w:t>96</w:t>
            </w:r>
          </w:p>
        </w:tc>
        <w:tc>
          <w:tcPr>
            <w:tcW w:w="1161" w:type="dxa"/>
            <w:vAlign w:val="center"/>
          </w:tcPr>
          <w:p w14:paraId="7BE6E9E5">
            <w:pPr>
              <w:keepNext w:val="0"/>
              <w:keepLines w:val="0"/>
              <w:widowControl/>
              <w:suppressLineNumbers w:val="0"/>
              <w:spacing w:before="0" w:beforeAutospacing="0" w:after="0" w:afterAutospacing="0"/>
              <w:ind w:left="0" w:right="0"/>
              <w:jc w:val="center"/>
              <w:textAlignment w:val="center"/>
              <w:rPr>
                <w:rFonts w:hint="default" w:ascii="宋体" w:hAnsi="宋体" w:cs="宋体"/>
                <w:spacing w:val="-5"/>
                <w:sz w:val="24"/>
              </w:rPr>
            </w:pPr>
            <w:r>
              <w:rPr>
                <w:rFonts w:hint="eastAsia" w:ascii="宋体" w:hAnsi="宋体" w:cs="宋体"/>
                <w:spacing w:val="-5"/>
                <w:sz w:val="24"/>
              </w:rPr>
              <w:t xml:space="preserve">km² </w:t>
            </w:r>
          </w:p>
        </w:tc>
      </w:tr>
      <w:tr w14:paraId="3293F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center"/>
          </w:tcPr>
          <w:p w14:paraId="69206010">
            <w:pPr>
              <w:keepNext w:val="0"/>
              <w:keepLines w:val="0"/>
              <w:suppressLineNumbers w:val="0"/>
              <w:spacing w:before="0" w:beforeAutospacing="0" w:after="0" w:afterAutospacing="0" w:line="360" w:lineRule="auto"/>
              <w:ind w:left="0" w:right="0"/>
              <w:jc w:val="center"/>
              <w:rPr>
                <w:rFonts w:hint="default" w:ascii="宋体" w:hAnsi="宋体" w:cs="宋体"/>
                <w:spacing w:val="-5"/>
                <w:sz w:val="24"/>
              </w:rPr>
            </w:pPr>
            <w:r>
              <w:rPr>
                <w:rFonts w:hint="eastAsia" w:ascii="宋体" w:hAnsi="宋体" w:cs="宋体"/>
                <w:spacing w:val="-5"/>
                <w:sz w:val="24"/>
              </w:rPr>
              <w:t>6</w:t>
            </w:r>
          </w:p>
        </w:tc>
        <w:tc>
          <w:tcPr>
            <w:tcW w:w="1514" w:type="dxa"/>
            <w:vMerge w:val="continue"/>
            <w:vAlign w:val="center"/>
          </w:tcPr>
          <w:p w14:paraId="4FE7A5BA">
            <w:pPr>
              <w:keepNext w:val="0"/>
              <w:keepLines w:val="0"/>
              <w:suppressLineNumbers w:val="0"/>
              <w:spacing w:before="0" w:beforeAutospacing="0" w:after="0" w:afterAutospacing="0" w:line="360" w:lineRule="auto"/>
              <w:ind w:left="0" w:right="0"/>
              <w:jc w:val="center"/>
              <w:rPr>
                <w:rFonts w:hint="default" w:ascii="宋体" w:hAnsi="宋体" w:cs="宋体"/>
                <w:spacing w:val="-5"/>
                <w:sz w:val="24"/>
              </w:rPr>
            </w:pPr>
          </w:p>
        </w:tc>
        <w:tc>
          <w:tcPr>
            <w:tcW w:w="1636" w:type="dxa"/>
            <w:vMerge w:val="continue"/>
            <w:vAlign w:val="center"/>
          </w:tcPr>
          <w:p w14:paraId="7A373BFF">
            <w:pPr>
              <w:keepNext w:val="0"/>
              <w:keepLines w:val="0"/>
              <w:suppressLineNumbers w:val="0"/>
              <w:spacing w:before="0" w:beforeAutospacing="0" w:after="0" w:afterAutospacing="0" w:line="360" w:lineRule="auto"/>
              <w:ind w:left="0" w:right="0"/>
              <w:jc w:val="center"/>
              <w:rPr>
                <w:rFonts w:hint="default" w:ascii="宋体" w:hAnsi="宋体" w:cs="宋体"/>
                <w:spacing w:val="-5"/>
                <w:sz w:val="24"/>
              </w:rPr>
            </w:pPr>
          </w:p>
        </w:tc>
        <w:tc>
          <w:tcPr>
            <w:tcW w:w="2141" w:type="dxa"/>
            <w:vMerge w:val="continue"/>
            <w:vAlign w:val="center"/>
          </w:tcPr>
          <w:p w14:paraId="369B8D54">
            <w:pPr>
              <w:keepNext w:val="0"/>
              <w:keepLines w:val="0"/>
              <w:suppressLineNumbers w:val="0"/>
              <w:spacing w:before="0" w:beforeAutospacing="0" w:after="0" w:afterAutospacing="0" w:line="360" w:lineRule="auto"/>
              <w:ind w:left="0" w:right="0"/>
              <w:jc w:val="center"/>
              <w:rPr>
                <w:rFonts w:hint="default" w:ascii="宋体" w:hAnsi="宋体" w:cs="宋体"/>
                <w:spacing w:val="-5"/>
                <w:sz w:val="24"/>
              </w:rPr>
            </w:pPr>
          </w:p>
        </w:tc>
        <w:tc>
          <w:tcPr>
            <w:tcW w:w="6137" w:type="dxa"/>
            <w:vAlign w:val="center"/>
          </w:tcPr>
          <w:p w14:paraId="5A730971">
            <w:pPr>
              <w:keepNext w:val="0"/>
              <w:keepLines w:val="0"/>
              <w:widowControl/>
              <w:suppressLineNumbers w:val="0"/>
              <w:spacing w:before="0" w:beforeAutospacing="0" w:after="0" w:afterAutospacing="0"/>
              <w:ind w:left="0" w:right="0"/>
              <w:jc w:val="left"/>
              <w:textAlignment w:val="center"/>
              <w:rPr>
                <w:rFonts w:hint="default" w:ascii="宋体" w:hAnsi="宋体" w:cs="宋体"/>
                <w:spacing w:val="-5"/>
                <w:sz w:val="24"/>
              </w:rPr>
            </w:pPr>
            <w:r>
              <w:rPr>
                <w:rFonts w:hint="eastAsia" w:ascii="宋体" w:hAnsi="宋体" w:cs="宋体"/>
                <w:color w:val="000000"/>
                <w:kern w:val="0"/>
                <w:sz w:val="24"/>
                <w:lang w:bidi="ar"/>
              </w:rPr>
              <w:t>地下管线数据（包括给水、排水、电力、电信、燃气、热力及其附属设施等管线数据）、马克唐镇建成区</w:t>
            </w:r>
          </w:p>
        </w:tc>
        <w:tc>
          <w:tcPr>
            <w:tcW w:w="1131" w:type="dxa"/>
            <w:vAlign w:val="center"/>
          </w:tcPr>
          <w:p w14:paraId="11404808">
            <w:pPr>
              <w:keepNext w:val="0"/>
              <w:keepLines w:val="0"/>
              <w:widowControl/>
              <w:suppressLineNumbers w:val="0"/>
              <w:spacing w:before="0" w:beforeAutospacing="0" w:after="0" w:afterAutospacing="0"/>
              <w:ind w:left="0" w:right="0"/>
              <w:jc w:val="center"/>
              <w:textAlignment w:val="center"/>
              <w:rPr>
                <w:rFonts w:hint="default" w:ascii="宋体" w:hAnsi="宋体" w:cs="宋体"/>
                <w:spacing w:val="-5"/>
                <w:sz w:val="24"/>
              </w:rPr>
            </w:pPr>
            <w:r>
              <w:rPr>
                <w:rFonts w:hint="eastAsia" w:ascii="宋体" w:hAnsi="宋体" w:cs="宋体"/>
                <w:color w:val="000000"/>
                <w:kern w:val="0"/>
                <w:sz w:val="24"/>
                <w:lang w:bidi="ar"/>
              </w:rPr>
              <w:t>140</w:t>
            </w:r>
          </w:p>
        </w:tc>
        <w:tc>
          <w:tcPr>
            <w:tcW w:w="1161" w:type="dxa"/>
            <w:vAlign w:val="center"/>
          </w:tcPr>
          <w:p w14:paraId="26F72F67">
            <w:pPr>
              <w:keepNext w:val="0"/>
              <w:keepLines w:val="0"/>
              <w:widowControl/>
              <w:suppressLineNumbers w:val="0"/>
              <w:spacing w:before="0" w:beforeAutospacing="0" w:after="0" w:afterAutospacing="0"/>
              <w:ind w:left="0" w:right="0"/>
              <w:jc w:val="center"/>
              <w:textAlignment w:val="center"/>
              <w:rPr>
                <w:rFonts w:hint="default" w:ascii="宋体" w:hAnsi="宋体" w:cs="宋体"/>
                <w:spacing w:val="-5"/>
                <w:sz w:val="24"/>
              </w:rPr>
            </w:pPr>
            <w:r>
              <w:rPr>
                <w:rFonts w:hint="eastAsia" w:ascii="宋体" w:hAnsi="宋体" w:cs="宋体"/>
                <w:spacing w:val="-5"/>
                <w:sz w:val="24"/>
              </w:rPr>
              <w:t xml:space="preserve">km² </w:t>
            </w:r>
          </w:p>
        </w:tc>
      </w:tr>
      <w:tr w14:paraId="20A7C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center"/>
          </w:tcPr>
          <w:p w14:paraId="2AABCD82">
            <w:pPr>
              <w:keepNext w:val="0"/>
              <w:keepLines w:val="0"/>
              <w:suppressLineNumbers w:val="0"/>
              <w:spacing w:before="0" w:beforeAutospacing="0" w:after="0" w:afterAutospacing="0" w:line="360" w:lineRule="auto"/>
              <w:ind w:left="0" w:right="0"/>
              <w:jc w:val="center"/>
              <w:rPr>
                <w:rFonts w:hint="default" w:ascii="宋体" w:hAnsi="宋体" w:cs="宋体"/>
                <w:spacing w:val="-5"/>
                <w:sz w:val="24"/>
              </w:rPr>
            </w:pPr>
            <w:r>
              <w:rPr>
                <w:rFonts w:hint="eastAsia" w:ascii="宋体" w:hAnsi="宋体" w:cs="宋体"/>
                <w:spacing w:val="-5"/>
                <w:sz w:val="24"/>
              </w:rPr>
              <w:t>7</w:t>
            </w:r>
          </w:p>
        </w:tc>
        <w:tc>
          <w:tcPr>
            <w:tcW w:w="1514" w:type="dxa"/>
            <w:vMerge w:val="continue"/>
            <w:vAlign w:val="center"/>
          </w:tcPr>
          <w:p w14:paraId="4F6A2939">
            <w:pPr>
              <w:keepNext w:val="0"/>
              <w:keepLines w:val="0"/>
              <w:suppressLineNumbers w:val="0"/>
              <w:spacing w:before="0" w:beforeAutospacing="0" w:after="0" w:afterAutospacing="0" w:line="360" w:lineRule="auto"/>
              <w:ind w:left="0" w:right="0"/>
              <w:jc w:val="center"/>
              <w:rPr>
                <w:rFonts w:hint="default" w:ascii="宋体" w:hAnsi="宋体" w:cs="宋体"/>
                <w:spacing w:val="-5"/>
                <w:sz w:val="24"/>
              </w:rPr>
            </w:pPr>
          </w:p>
        </w:tc>
        <w:tc>
          <w:tcPr>
            <w:tcW w:w="1636" w:type="dxa"/>
            <w:vMerge w:val="continue"/>
            <w:vAlign w:val="center"/>
          </w:tcPr>
          <w:p w14:paraId="039E2AD6">
            <w:pPr>
              <w:keepNext w:val="0"/>
              <w:keepLines w:val="0"/>
              <w:suppressLineNumbers w:val="0"/>
              <w:spacing w:before="0" w:beforeAutospacing="0" w:after="0" w:afterAutospacing="0" w:line="360" w:lineRule="auto"/>
              <w:ind w:left="0" w:right="0"/>
              <w:jc w:val="center"/>
              <w:rPr>
                <w:rFonts w:hint="default" w:ascii="宋体" w:hAnsi="宋体" w:cs="宋体"/>
                <w:spacing w:val="-5"/>
                <w:sz w:val="24"/>
              </w:rPr>
            </w:pPr>
          </w:p>
        </w:tc>
        <w:tc>
          <w:tcPr>
            <w:tcW w:w="2141" w:type="dxa"/>
            <w:vAlign w:val="center"/>
          </w:tcPr>
          <w:p w14:paraId="0FA3FDE2">
            <w:pPr>
              <w:keepNext w:val="0"/>
              <w:keepLines w:val="0"/>
              <w:suppressLineNumbers w:val="0"/>
              <w:spacing w:before="0" w:beforeAutospacing="0" w:after="0" w:afterAutospacing="0" w:line="360" w:lineRule="auto"/>
              <w:ind w:left="0" w:right="0"/>
              <w:jc w:val="center"/>
              <w:rPr>
                <w:rFonts w:hint="default" w:ascii="宋体" w:hAnsi="宋体" w:cs="宋体"/>
                <w:spacing w:val="-5"/>
                <w:sz w:val="24"/>
              </w:rPr>
            </w:pPr>
            <w:r>
              <w:rPr>
                <w:rFonts w:hint="eastAsia" w:ascii="宋体" w:hAnsi="宋体" w:cs="宋体"/>
                <w:spacing w:val="-5"/>
                <w:sz w:val="24"/>
              </w:rPr>
              <w:t>专题数据收集整理</w:t>
            </w:r>
          </w:p>
        </w:tc>
        <w:tc>
          <w:tcPr>
            <w:tcW w:w="6137" w:type="dxa"/>
            <w:vAlign w:val="center"/>
          </w:tcPr>
          <w:p w14:paraId="2D00F6F6">
            <w:pPr>
              <w:keepNext w:val="0"/>
              <w:keepLines w:val="0"/>
              <w:widowControl/>
              <w:suppressLineNumbers w:val="0"/>
              <w:spacing w:before="0" w:beforeAutospacing="0" w:after="0" w:afterAutospacing="0"/>
              <w:ind w:left="0" w:right="0"/>
              <w:jc w:val="left"/>
              <w:textAlignment w:val="center"/>
              <w:rPr>
                <w:rFonts w:hint="default" w:ascii="宋体" w:hAnsi="宋体" w:cs="宋体"/>
                <w:spacing w:val="-5"/>
                <w:sz w:val="24"/>
              </w:rPr>
            </w:pPr>
            <w:r>
              <w:rPr>
                <w:rFonts w:hint="eastAsia" w:ascii="宋体" w:hAnsi="宋体" w:cs="宋体"/>
                <w:color w:val="000000"/>
                <w:kern w:val="0"/>
                <w:sz w:val="24"/>
                <w:lang w:bidi="ar"/>
              </w:rPr>
              <w:t>空间规划、地质灾害、文化旅游、乡村振兴、援建项目、对外宣传等数据收集整理。</w:t>
            </w:r>
          </w:p>
        </w:tc>
        <w:tc>
          <w:tcPr>
            <w:tcW w:w="1131" w:type="dxa"/>
            <w:vAlign w:val="center"/>
          </w:tcPr>
          <w:p w14:paraId="68EC9773">
            <w:pPr>
              <w:keepNext w:val="0"/>
              <w:keepLines w:val="0"/>
              <w:widowControl/>
              <w:suppressLineNumbers w:val="0"/>
              <w:spacing w:before="0" w:beforeAutospacing="0" w:after="0" w:afterAutospacing="0"/>
              <w:ind w:left="0" w:right="0"/>
              <w:jc w:val="center"/>
              <w:textAlignment w:val="center"/>
              <w:rPr>
                <w:rFonts w:hint="default" w:ascii="宋体" w:hAnsi="宋体" w:cs="宋体"/>
                <w:spacing w:val="-5"/>
                <w:sz w:val="24"/>
              </w:rPr>
            </w:pPr>
            <w:r>
              <w:rPr>
                <w:rFonts w:hint="eastAsia" w:ascii="宋体" w:hAnsi="宋体" w:cs="宋体"/>
                <w:color w:val="000000"/>
                <w:kern w:val="0"/>
                <w:sz w:val="24"/>
                <w:lang w:bidi="ar"/>
              </w:rPr>
              <w:t>1</w:t>
            </w:r>
          </w:p>
        </w:tc>
        <w:tc>
          <w:tcPr>
            <w:tcW w:w="1161" w:type="dxa"/>
            <w:vAlign w:val="center"/>
          </w:tcPr>
          <w:p w14:paraId="6E2E10BF">
            <w:pPr>
              <w:keepNext w:val="0"/>
              <w:keepLines w:val="0"/>
              <w:widowControl/>
              <w:suppressLineNumbers w:val="0"/>
              <w:spacing w:before="0" w:beforeAutospacing="0" w:after="0" w:afterAutospacing="0"/>
              <w:ind w:left="0" w:right="0"/>
              <w:jc w:val="center"/>
              <w:textAlignment w:val="center"/>
              <w:rPr>
                <w:rFonts w:hint="default" w:ascii="宋体" w:hAnsi="宋体" w:cs="宋体"/>
                <w:spacing w:val="-5"/>
                <w:sz w:val="24"/>
              </w:rPr>
            </w:pPr>
            <w:r>
              <w:rPr>
                <w:rFonts w:hint="eastAsia" w:ascii="宋体" w:hAnsi="宋体" w:cs="宋体"/>
                <w:color w:val="000000"/>
                <w:kern w:val="0"/>
                <w:sz w:val="24"/>
                <w:lang w:bidi="ar"/>
              </w:rPr>
              <w:t>项</w:t>
            </w:r>
          </w:p>
        </w:tc>
      </w:tr>
      <w:tr w14:paraId="59C14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center"/>
          </w:tcPr>
          <w:p w14:paraId="2544E60D">
            <w:pPr>
              <w:keepNext w:val="0"/>
              <w:keepLines w:val="0"/>
              <w:suppressLineNumbers w:val="0"/>
              <w:spacing w:before="0" w:beforeAutospacing="0" w:after="0" w:afterAutospacing="0" w:line="360" w:lineRule="auto"/>
              <w:ind w:left="0" w:right="0"/>
              <w:jc w:val="center"/>
              <w:rPr>
                <w:rFonts w:hint="default" w:ascii="宋体" w:hAnsi="宋体" w:cs="宋体"/>
                <w:spacing w:val="-5"/>
                <w:sz w:val="24"/>
              </w:rPr>
            </w:pPr>
            <w:r>
              <w:rPr>
                <w:rFonts w:hint="eastAsia" w:ascii="宋体" w:hAnsi="宋体" w:cs="宋体"/>
                <w:spacing w:val="-5"/>
                <w:sz w:val="24"/>
              </w:rPr>
              <w:t>8</w:t>
            </w:r>
          </w:p>
        </w:tc>
        <w:tc>
          <w:tcPr>
            <w:tcW w:w="1514" w:type="dxa"/>
            <w:vMerge w:val="continue"/>
            <w:vAlign w:val="center"/>
          </w:tcPr>
          <w:p w14:paraId="1688105D">
            <w:pPr>
              <w:keepNext w:val="0"/>
              <w:keepLines w:val="0"/>
              <w:suppressLineNumbers w:val="0"/>
              <w:spacing w:before="0" w:beforeAutospacing="0" w:after="0" w:afterAutospacing="0" w:line="360" w:lineRule="auto"/>
              <w:ind w:left="0" w:right="0"/>
              <w:jc w:val="center"/>
              <w:rPr>
                <w:rFonts w:hint="default" w:ascii="宋体" w:hAnsi="宋体" w:cs="宋体"/>
                <w:spacing w:val="-5"/>
                <w:sz w:val="24"/>
              </w:rPr>
            </w:pPr>
          </w:p>
        </w:tc>
        <w:tc>
          <w:tcPr>
            <w:tcW w:w="1636" w:type="dxa"/>
            <w:vMerge w:val="continue"/>
            <w:vAlign w:val="center"/>
          </w:tcPr>
          <w:p w14:paraId="57544958">
            <w:pPr>
              <w:keepNext w:val="0"/>
              <w:keepLines w:val="0"/>
              <w:suppressLineNumbers w:val="0"/>
              <w:spacing w:before="0" w:beforeAutospacing="0" w:after="0" w:afterAutospacing="0" w:line="360" w:lineRule="auto"/>
              <w:ind w:left="0" w:right="0"/>
              <w:jc w:val="center"/>
              <w:rPr>
                <w:rFonts w:hint="default" w:ascii="宋体" w:hAnsi="宋体" w:cs="宋体"/>
                <w:spacing w:val="-5"/>
                <w:sz w:val="24"/>
              </w:rPr>
            </w:pPr>
          </w:p>
        </w:tc>
        <w:tc>
          <w:tcPr>
            <w:tcW w:w="2141" w:type="dxa"/>
            <w:vAlign w:val="center"/>
          </w:tcPr>
          <w:p w14:paraId="54DDC4AC">
            <w:pPr>
              <w:keepNext w:val="0"/>
              <w:keepLines w:val="0"/>
              <w:suppressLineNumbers w:val="0"/>
              <w:spacing w:before="0" w:beforeAutospacing="0" w:after="0" w:afterAutospacing="0" w:line="360" w:lineRule="auto"/>
              <w:ind w:left="0" w:right="0"/>
              <w:jc w:val="center"/>
              <w:rPr>
                <w:rFonts w:hint="default" w:ascii="宋体" w:hAnsi="宋体" w:cs="宋体"/>
                <w:spacing w:val="-5"/>
                <w:sz w:val="24"/>
              </w:rPr>
            </w:pPr>
            <w:r>
              <w:rPr>
                <w:rFonts w:hint="eastAsia" w:ascii="宋体" w:hAnsi="宋体" w:cs="宋体"/>
                <w:spacing w:val="-5"/>
                <w:sz w:val="24"/>
              </w:rPr>
              <w:t>数据建库</w:t>
            </w:r>
          </w:p>
        </w:tc>
        <w:tc>
          <w:tcPr>
            <w:tcW w:w="6137" w:type="dxa"/>
            <w:vAlign w:val="center"/>
          </w:tcPr>
          <w:p w14:paraId="215B5E41">
            <w:pPr>
              <w:keepNext w:val="0"/>
              <w:keepLines w:val="0"/>
              <w:widowControl/>
              <w:suppressLineNumbers w:val="0"/>
              <w:spacing w:before="0" w:beforeAutospacing="0" w:after="0" w:afterAutospacing="0"/>
              <w:ind w:left="0" w:right="0"/>
              <w:jc w:val="left"/>
              <w:textAlignment w:val="center"/>
              <w:rPr>
                <w:rFonts w:hint="default" w:ascii="宋体" w:hAnsi="宋体" w:cs="宋体"/>
                <w:spacing w:val="-5"/>
                <w:sz w:val="24"/>
              </w:rPr>
            </w:pPr>
            <w:r>
              <w:rPr>
                <w:rFonts w:hint="eastAsia" w:ascii="宋体" w:hAnsi="宋体" w:cs="宋体"/>
                <w:color w:val="000000"/>
                <w:kern w:val="0"/>
                <w:sz w:val="24"/>
                <w:lang w:bidi="ar"/>
              </w:rPr>
              <w:t>将采集和收集的数据进行预处理并建库。</w:t>
            </w:r>
          </w:p>
        </w:tc>
        <w:tc>
          <w:tcPr>
            <w:tcW w:w="1131" w:type="dxa"/>
            <w:vAlign w:val="center"/>
          </w:tcPr>
          <w:p w14:paraId="19DB7528">
            <w:pPr>
              <w:keepNext w:val="0"/>
              <w:keepLines w:val="0"/>
              <w:widowControl/>
              <w:suppressLineNumbers w:val="0"/>
              <w:spacing w:before="0" w:beforeAutospacing="0" w:after="0" w:afterAutospacing="0"/>
              <w:ind w:left="0" w:right="0"/>
              <w:jc w:val="center"/>
              <w:textAlignment w:val="center"/>
              <w:rPr>
                <w:rFonts w:hint="default" w:ascii="宋体" w:hAnsi="宋体" w:cs="宋体"/>
                <w:spacing w:val="-5"/>
                <w:sz w:val="24"/>
              </w:rPr>
            </w:pPr>
            <w:r>
              <w:rPr>
                <w:rFonts w:hint="eastAsia" w:ascii="宋体" w:hAnsi="宋体" w:cs="宋体"/>
                <w:color w:val="000000"/>
                <w:kern w:val="0"/>
                <w:sz w:val="24"/>
                <w:lang w:bidi="ar"/>
              </w:rPr>
              <w:t>1</w:t>
            </w:r>
          </w:p>
        </w:tc>
        <w:tc>
          <w:tcPr>
            <w:tcW w:w="1161" w:type="dxa"/>
            <w:vAlign w:val="center"/>
          </w:tcPr>
          <w:p w14:paraId="0EE76227">
            <w:pPr>
              <w:keepNext w:val="0"/>
              <w:keepLines w:val="0"/>
              <w:widowControl/>
              <w:suppressLineNumbers w:val="0"/>
              <w:spacing w:before="0" w:beforeAutospacing="0" w:after="0" w:afterAutospacing="0"/>
              <w:ind w:left="0" w:right="0"/>
              <w:jc w:val="center"/>
              <w:textAlignment w:val="center"/>
              <w:rPr>
                <w:rFonts w:hint="default" w:ascii="宋体" w:hAnsi="宋体" w:cs="宋体"/>
                <w:spacing w:val="-5"/>
                <w:sz w:val="24"/>
              </w:rPr>
            </w:pPr>
            <w:r>
              <w:rPr>
                <w:rFonts w:hint="eastAsia" w:ascii="宋体" w:hAnsi="宋体" w:cs="宋体"/>
                <w:color w:val="000000"/>
                <w:kern w:val="0"/>
                <w:sz w:val="24"/>
                <w:lang w:bidi="ar"/>
              </w:rPr>
              <w:t>项</w:t>
            </w:r>
          </w:p>
        </w:tc>
      </w:tr>
      <w:tr w14:paraId="2789C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center"/>
          </w:tcPr>
          <w:p w14:paraId="5CE5E5DD">
            <w:pPr>
              <w:keepNext w:val="0"/>
              <w:keepLines w:val="0"/>
              <w:suppressLineNumbers w:val="0"/>
              <w:spacing w:before="0" w:beforeAutospacing="0" w:after="0" w:afterAutospacing="0" w:line="360" w:lineRule="auto"/>
              <w:ind w:left="0" w:right="0"/>
              <w:jc w:val="center"/>
              <w:rPr>
                <w:rFonts w:hint="default" w:ascii="宋体" w:hAnsi="宋体" w:cs="宋体"/>
                <w:spacing w:val="-5"/>
                <w:sz w:val="24"/>
              </w:rPr>
            </w:pPr>
            <w:r>
              <w:rPr>
                <w:rFonts w:hint="eastAsia" w:ascii="宋体" w:hAnsi="宋体" w:cs="宋体"/>
                <w:spacing w:val="-5"/>
                <w:sz w:val="24"/>
              </w:rPr>
              <w:t>9</w:t>
            </w:r>
          </w:p>
        </w:tc>
        <w:tc>
          <w:tcPr>
            <w:tcW w:w="1514" w:type="dxa"/>
            <w:vMerge w:val="continue"/>
            <w:vAlign w:val="center"/>
          </w:tcPr>
          <w:p w14:paraId="2B38974E">
            <w:pPr>
              <w:keepNext w:val="0"/>
              <w:keepLines w:val="0"/>
              <w:suppressLineNumbers w:val="0"/>
              <w:spacing w:before="0" w:beforeAutospacing="0" w:after="0" w:afterAutospacing="0" w:line="360" w:lineRule="auto"/>
              <w:ind w:left="0" w:right="0"/>
              <w:jc w:val="center"/>
              <w:rPr>
                <w:rFonts w:hint="default" w:ascii="宋体" w:hAnsi="宋体" w:cs="宋体"/>
                <w:spacing w:val="-5"/>
                <w:sz w:val="24"/>
              </w:rPr>
            </w:pPr>
          </w:p>
        </w:tc>
        <w:tc>
          <w:tcPr>
            <w:tcW w:w="1636" w:type="dxa"/>
            <w:vMerge w:val="restart"/>
            <w:vAlign w:val="center"/>
          </w:tcPr>
          <w:p w14:paraId="5F359695">
            <w:pPr>
              <w:keepNext w:val="0"/>
              <w:keepLines w:val="0"/>
              <w:suppressLineNumbers w:val="0"/>
              <w:spacing w:before="0" w:beforeAutospacing="0" w:after="0" w:afterAutospacing="0" w:line="360" w:lineRule="auto"/>
              <w:ind w:left="0" w:right="0"/>
              <w:jc w:val="center"/>
              <w:rPr>
                <w:rFonts w:hint="default" w:ascii="宋体" w:hAnsi="宋体" w:cs="宋体"/>
                <w:spacing w:val="-5"/>
                <w:sz w:val="24"/>
              </w:rPr>
            </w:pPr>
            <w:r>
              <w:rPr>
                <w:rFonts w:hint="eastAsia" w:ascii="宋体" w:hAnsi="宋体" w:cs="宋体"/>
                <w:spacing w:val="-5"/>
                <w:sz w:val="24"/>
              </w:rPr>
              <w:t>基础空间数据信息平台</w:t>
            </w:r>
          </w:p>
        </w:tc>
        <w:tc>
          <w:tcPr>
            <w:tcW w:w="2141" w:type="dxa"/>
            <w:vAlign w:val="center"/>
          </w:tcPr>
          <w:p w14:paraId="567455CF">
            <w:pPr>
              <w:keepNext w:val="0"/>
              <w:keepLines w:val="0"/>
              <w:widowControl/>
              <w:suppressLineNumbers w:val="0"/>
              <w:spacing w:before="0" w:beforeAutospacing="0" w:after="0" w:afterAutospacing="0"/>
              <w:ind w:left="0" w:right="0"/>
              <w:jc w:val="center"/>
              <w:textAlignment w:val="center"/>
              <w:rPr>
                <w:rFonts w:hint="default" w:ascii="宋体" w:hAnsi="宋体" w:cs="宋体"/>
                <w:spacing w:val="-5"/>
                <w:sz w:val="24"/>
              </w:rPr>
            </w:pPr>
            <w:r>
              <w:rPr>
                <w:rFonts w:hint="eastAsia" w:ascii="宋体" w:hAnsi="宋体" w:cs="宋体"/>
                <w:color w:val="000000"/>
                <w:kern w:val="0"/>
                <w:sz w:val="24"/>
                <w:lang w:bidi="ar"/>
              </w:rPr>
              <w:t>基础工具</w:t>
            </w:r>
          </w:p>
        </w:tc>
        <w:tc>
          <w:tcPr>
            <w:tcW w:w="6137" w:type="dxa"/>
            <w:vAlign w:val="center"/>
          </w:tcPr>
          <w:p w14:paraId="3B89D2A4">
            <w:pPr>
              <w:keepNext w:val="0"/>
              <w:keepLines w:val="0"/>
              <w:widowControl/>
              <w:suppressLineNumbers w:val="0"/>
              <w:spacing w:before="0" w:beforeAutospacing="0" w:after="0" w:afterAutospacing="0"/>
              <w:ind w:left="0" w:right="0"/>
              <w:jc w:val="left"/>
              <w:textAlignment w:val="center"/>
              <w:rPr>
                <w:rFonts w:hint="default" w:ascii="宋体" w:hAnsi="宋体" w:cs="宋体"/>
                <w:spacing w:val="-5"/>
                <w:sz w:val="24"/>
              </w:rPr>
            </w:pPr>
            <w:r>
              <w:rPr>
                <w:rFonts w:hint="eastAsia" w:ascii="宋体" w:hAnsi="宋体" w:cs="宋体"/>
                <w:color w:val="000000"/>
                <w:kern w:val="0"/>
                <w:sz w:val="24"/>
                <w:lang w:bidi="ar"/>
              </w:rPr>
              <w:t>可实现许多基本的地图场景操作功能，具体包含地图控制、三维量算、坐标定位、视角书签、分屏对比和飞行漫游</w:t>
            </w:r>
          </w:p>
        </w:tc>
        <w:tc>
          <w:tcPr>
            <w:tcW w:w="1131" w:type="dxa"/>
            <w:vAlign w:val="center"/>
          </w:tcPr>
          <w:p w14:paraId="4ADF3E3D">
            <w:pPr>
              <w:keepNext w:val="0"/>
              <w:keepLines w:val="0"/>
              <w:widowControl/>
              <w:suppressLineNumbers w:val="0"/>
              <w:spacing w:before="0" w:beforeAutospacing="0" w:after="0" w:afterAutospacing="0"/>
              <w:ind w:left="0" w:right="0"/>
              <w:jc w:val="center"/>
              <w:textAlignment w:val="center"/>
              <w:rPr>
                <w:rFonts w:hint="default" w:ascii="宋体" w:hAnsi="宋体" w:cs="宋体"/>
                <w:spacing w:val="-5"/>
                <w:sz w:val="24"/>
              </w:rPr>
            </w:pPr>
            <w:r>
              <w:rPr>
                <w:rFonts w:hint="eastAsia" w:ascii="宋体" w:hAnsi="宋体" w:cs="宋体"/>
                <w:color w:val="000000"/>
                <w:kern w:val="0"/>
                <w:sz w:val="24"/>
                <w:lang w:bidi="ar"/>
              </w:rPr>
              <w:t>1</w:t>
            </w:r>
          </w:p>
        </w:tc>
        <w:tc>
          <w:tcPr>
            <w:tcW w:w="1161" w:type="dxa"/>
            <w:vAlign w:val="center"/>
          </w:tcPr>
          <w:p w14:paraId="3236830A">
            <w:pPr>
              <w:keepNext w:val="0"/>
              <w:keepLines w:val="0"/>
              <w:widowControl/>
              <w:suppressLineNumbers w:val="0"/>
              <w:spacing w:before="0" w:beforeAutospacing="0" w:after="0" w:afterAutospacing="0"/>
              <w:ind w:left="0" w:right="0"/>
              <w:jc w:val="center"/>
              <w:textAlignment w:val="center"/>
              <w:rPr>
                <w:rFonts w:hint="default" w:ascii="宋体" w:hAnsi="宋体" w:cs="宋体"/>
                <w:spacing w:val="-5"/>
                <w:sz w:val="24"/>
              </w:rPr>
            </w:pPr>
            <w:r>
              <w:rPr>
                <w:rFonts w:hint="eastAsia" w:ascii="宋体" w:hAnsi="宋体" w:cs="宋体"/>
                <w:color w:val="000000"/>
                <w:kern w:val="0"/>
                <w:sz w:val="24"/>
                <w:lang w:bidi="ar"/>
              </w:rPr>
              <w:t>项</w:t>
            </w:r>
          </w:p>
        </w:tc>
      </w:tr>
      <w:tr w14:paraId="37A2E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center"/>
          </w:tcPr>
          <w:p w14:paraId="2DCDE840">
            <w:pPr>
              <w:keepNext w:val="0"/>
              <w:keepLines w:val="0"/>
              <w:suppressLineNumbers w:val="0"/>
              <w:spacing w:before="0" w:beforeAutospacing="0" w:after="0" w:afterAutospacing="0" w:line="360" w:lineRule="auto"/>
              <w:ind w:left="0" w:right="0"/>
              <w:jc w:val="center"/>
              <w:rPr>
                <w:rFonts w:hint="default" w:ascii="宋体" w:hAnsi="宋体" w:cs="宋体"/>
                <w:spacing w:val="-5"/>
                <w:sz w:val="24"/>
              </w:rPr>
            </w:pPr>
            <w:r>
              <w:rPr>
                <w:rFonts w:hint="eastAsia" w:ascii="宋体" w:hAnsi="宋体" w:cs="宋体"/>
                <w:spacing w:val="-5"/>
                <w:sz w:val="24"/>
              </w:rPr>
              <w:t>10</w:t>
            </w:r>
          </w:p>
        </w:tc>
        <w:tc>
          <w:tcPr>
            <w:tcW w:w="1514" w:type="dxa"/>
            <w:vMerge w:val="continue"/>
            <w:vAlign w:val="center"/>
          </w:tcPr>
          <w:p w14:paraId="225E7C01">
            <w:pPr>
              <w:keepNext w:val="0"/>
              <w:keepLines w:val="0"/>
              <w:suppressLineNumbers w:val="0"/>
              <w:spacing w:before="0" w:beforeAutospacing="0" w:after="0" w:afterAutospacing="0" w:line="360" w:lineRule="auto"/>
              <w:ind w:left="0" w:right="0"/>
              <w:jc w:val="center"/>
              <w:rPr>
                <w:rFonts w:hint="default" w:ascii="宋体" w:hAnsi="宋体" w:cs="宋体"/>
                <w:spacing w:val="-5"/>
                <w:sz w:val="24"/>
              </w:rPr>
            </w:pPr>
          </w:p>
        </w:tc>
        <w:tc>
          <w:tcPr>
            <w:tcW w:w="1636" w:type="dxa"/>
            <w:vMerge w:val="continue"/>
            <w:vAlign w:val="center"/>
          </w:tcPr>
          <w:p w14:paraId="03B8EB39">
            <w:pPr>
              <w:keepNext w:val="0"/>
              <w:keepLines w:val="0"/>
              <w:suppressLineNumbers w:val="0"/>
              <w:spacing w:before="0" w:beforeAutospacing="0" w:after="0" w:afterAutospacing="0" w:line="360" w:lineRule="auto"/>
              <w:ind w:left="0" w:right="0"/>
              <w:jc w:val="center"/>
              <w:rPr>
                <w:rFonts w:hint="default" w:ascii="宋体" w:hAnsi="宋体" w:cs="宋体"/>
                <w:spacing w:val="-5"/>
                <w:sz w:val="24"/>
              </w:rPr>
            </w:pPr>
          </w:p>
        </w:tc>
        <w:tc>
          <w:tcPr>
            <w:tcW w:w="2141" w:type="dxa"/>
            <w:vAlign w:val="center"/>
          </w:tcPr>
          <w:p w14:paraId="774E6293">
            <w:pPr>
              <w:keepNext w:val="0"/>
              <w:keepLines w:val="0"/>
              <w:widowControl/>
              <w:suppressLineNumbers w:val="0"/>
              <w:spacing w:before="0" w:beforeAutospacing="0" w:after="0" w:afterAutospacing="0"/>
              <w:ind w:left="0" w:right="0"/>
              <w:jc w:val="center"/>
              <w:textAlignment w:val="center"/>
              <w:rPr>
                <w:rFonts w:hint="default" w:ascii="宋体" w:hAnsi="宋体" w:cs="宋体"/>
                <w:spacing w:val="-5"/>
                <w:sz w:val="24"/>
              </w:rPr>
            </w:pPr>
            <w:r>
              <w:rPr>
                <w:rFonts w:hint="eastAsia" w:ascii="宋体" w:hAnsi="宋体" w:cs="宋体"/>
                <w:color w:val="000000"/>
                <w:kern w:val="0"/>
                <w:sz w:val="24"/>
                <w:lang w:bidi="ar"/>
              </w:rPr>
              <w:t>查询定位</w:t>
            </w:r>
          </w:p>
        </w:tc>
        <w:tc>
          <w:tcPr>
            <w:tcW w:w="6137" w:type="dxa"/>
            <w:vAlign w:val="center"/>
          </w:tcPr>
          <w:p w14:paraId="2983B46F">
            <w:pPr>
              <w:keepNext w:val="0"/>
              <w:keepLines w:val="0"/>
              <w:widowControl/>
              <w:suppressLineNumbers w:val="0"/>
              <w:spacing w:before="0" w:beforeAutospacing="0" w:after="0" w:afterAutospacing="0"/>
              <w:ind w:left="0" w:right="0"/>
              <w:jc w:val="left"/>
              <w:textAlignment w:val="center"/>
              <w:rPr>
                <w:rFonts w:hint="default" w:ascii="宋体" w:hAnsi="宋体" w:cs="宋体"/>
                <w:spacing w:val="-5"/>
                <w:sz w:val="24"/>
              </w:rPr>
            </w:pPr>
            <w:r>
              <w:rPr>
                <w:rFonts w:hint="eastAsia" w:ascii="宋体" w:hAnsi="宋体" w:cs="宋体"/>
                <w:color w:val="000000"/>
                <w:kern w:val="0"/>
                <w:sz w:val="24"/>
                <w:lang w:bidi="ar"/>
              </w:rPr>
              <w:t>通过空间查询和属性查询的方式，对地图进行精细查询定位</w:t>
            </w:r>
          </w:p>
        </w:tc>
        <w:tc>
          <w:tcPr>
            <w:tcW w:w="1131" w:type="dxa"/>
            <w:vAlign w:val="center"/>
          </w:tcPr>
          <w:p w14:paraId="459BBFF4">
            <w:pPr>
              <w:keepNext w:val="0"/>
              <w:keepLines w:val="0"/>
              <w:widowControl/>
              <w:suppressLineNumbers w:val="0"/>
              <w:spacing w:before="0" w:beforeAutospacing="0" w:after="0" w:afterAutospacing="0"/>
              <w:ind w:left="0" w:right="0"/>
              <w:jc w:val="center"/>
              <w:textAlignment w:val="center"/>
              <w:rPr>
                <w:rFonts w:hint="default" w:ascii="宋体" w:hAnsi="宋体" w:cs="宋体"/>
                <w:spacing w:val="-5"/>
                <w:sz w:val="24"/>
              </w:rPr>
            </w:pPr>
            <w:r>
              <w:rPr>
                <w:rFonts w:hint="eastAsia" w:ascii="宋体" w:hAnsi="宋体" w:cs="宋体"/>
                <w:color w:val="000000"/>
                <w:kern w:val="0"/>
                <w:sz w:val="24"/>
                <w:lang w:bidi="ar"/>
              </w:rPr>
              <w:t>1</w:t>
            </w:r>
          </w:p>
        </w:tc>
        <w:tc>
          <w:tcPr>
            <w:tcW w:w="1161" w:type="dxa"/>
            <w:vAlign w:val="center"/>
          </w:tcPr>
          <w:p w14:paraId="245FD9C4">
            <w:pPr>
              <w:keepNext w:val="0"/>
              <w:keepLines w:val="0"/>
              <w:widowControl/>
              <w:suppressLineNumbers w:val="0"/>
              <w:spacing w:before="0" w:beforeAutospacing="0" w:after="0" w:afterAutospacing="0"/>
              <w:ind w:left="0" w:right="0"/>
              <w:jc w:val="center"/>
              <w:textAlignment w:val="center"/>
              <w:rPr>
                <w:rFonts w:hint="default" w:ascii="宋体" w:hAnsi="宋体" w:cs="宋体"/>
                <w:spacing w:val="-5"/>
                <w:sz w:val="24"/>
              </w:rPr>
            </w:pPr>
            <w:r>
              <w:rPr>
                <w:rFonts w:hint="eastAsia" w:ascii="宋体" w:hAnsi="宋体" w:cs="宋体"/>
                <w:color w:val="000000"/>
                <w:kern w:val="0"/>
                <w:sz w:val="24"/>
                <w:lang w:bidi="ar"/>
              </w:rPr>
              <w:t>项</w:t>
            </w:r>
          </w:p>
        </w:tc>
      </w:tr>
      <w:tr w14:paraId="01768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center"/>
          </w:tcPr>
          <w:p w14:paraId="5504A4E4">
            <w:pPr>
              <w:keepNext w:val="0"/>
              <w:keepLines w:val="0"/>
              <w:suppressLineNumbers w:val="0"/>
              <w:spacing w:before="0" w:beforeAutospacing="0" w:after="0" w:afterAutospacing="0" w:line="360" w:lineRule="auto"/>
              <w:ind w:left="0" w:right="0"/>
              <w:jc w:val="center"/>
              <w:rPr>
                <w:rFonts w:hint="default" w:ascii="宋体" w:hAnsi="宋体" w:cs="宋体"/>
                <w:spacing w:val="-5"/>
                <w:sz w:val="24"/>
              </w:rPr>
            </w:pPr>
            <w:r>
              <w:rPr>
                <w:rFonts w:hint="eastAsia" w:ascii="宋体" w:hAnsi="宋体" w:cs="宋体"/>
                <w:spacing w:val="-5"/>
                <w:sz w:val="24"/>
              </w:rPr>
              <w:t>11</w:t>
            </w:r>
          </w:p>
        </w:tc>
        <w:tc>
          <w:tcPr>
            <w:tcW w:w="1514" w:type="dxa"/>
            <w:vMerge w:val="continue"/>
            <w:vAlign w:val="center"/>
          </w:tcPr>
          <w:p w14:paraId="0D56D46D">
            <w:pPr>
              <w:keepNext w:val="0"/>
              <w:keepLines w:val="0"/>
              <w:suppressLineNumbers w:val="0"/>
              <w:spacing w:before="0" w:beforeAutospacing="0" w:after="0" w:afterAutospacing="0" w:line="360" w:lineRule="auto"/>
              <w:ind w:left="0" w:right="0"/>
              <w:jc w:val="center"/>
              <w:rPr>
                <w:rFonts w:hint="default" w:ascii="宋体" w:hAnsi="宋体" w:cs="宋体"/>
                <w:spacing w:val="-5"/>
                <w:sz w:val="24"/>
              </w:rPr>
            </w:pPr>
          </w:p>
        </w:tc>
        <w:tc>
          <w:tcPr>
            <w:tcW w:w="1636" w:type="dxa"/>
            <w:vMerge w:val="continue"/>
            <w:vAlign w:val="center"/>
          </w:tcPr>
          <w:p w14:paraId="6020E99D">
            <w:pPr>
              <w:keepNext w:val="0"/>
              <w:keepLines w:val="0"/>
              <w:suppressLineNumbers w:val="0"/>
              <w:spacing w:before="0" w:beforeAutospacing="0" w:after="0" w:afterAutospacing="0" w:line="360" w:lineRule="auto"/>
              <w:ind w:left="0" w:right="0"/>
              <w:jc w:val="center"/>
              <w:rPr>
                <w:rFonts w:hint="default" w:ascii="宋体" w:hAnsi="宋体" w:cs="宋体"/>
                <w:spacing w:val="-5"/>
                <w:sz w:val="24"/>
              </w:rPr>
            </w:pPr>
          </w:p>
        </w:tc>
        <w:tc>
          <w:tcPr>
            <w:tcW w:w="2141" w:type="dxa"/>
            <w:vAlign w:val="center"/>
          </w:tcPr>
          <w:p w14:paraId="7D427C01">
            <w:pPr>
              <w:keepNext w:val="0"/>
              <w:keepLines w:val="0"/>
              <w:widowControl/>
              <w:suppressLineNumbers w:val="0"/>
              <w:spacing w:before="0" w:beforeAutospacing="0" w:after="0" w:afterAutospacing="0"/>
              <w:ind w:left="0" w:right="0"/>
              <w:jc w:val="center"/>
              <w:textAlignment w:val="center"/>
              <w:rPr>
                <w:rFonts w:hint="default" w:ascii="宋体" w:hAnsi="宋体" w:cs="宋体"/>
                <w:spacing w:val="-5"/>
                <w:sz w:val="24"/>
              </w:rPr>
            </w:pPr>
            <w:r>
              <w:rPr>
                <w:rFonts w:hint="eastAsia" w:ascii="宋体" w:hAnsi="宋体" w:cs="宋体"/>
                <w:color w:val="000000"/>
                <w:kern w:val="0"/>
                <w:sz w:val="24"/>
                <w:lang w:bidi="ar"/>
              </w:rPr>
              <w:t>场景编辑</w:t>
            </w:r>
          </w:p>
        </w:tc>
        <w:tc>
          <w:tcPr>
            <w:tcW w:w="6137" w:type="dxa"/>
            <w:vAlign w:val="center"/>
          </w:tcPr>
          <w:p w14:paraId="29513A0F">
            <w:pPr>
              <w:keepNext w:val="0"/>
              <w:keepLines w:val="0"/>
              <w:widowControl/>
              <w:suppressLineNumbers w:val="0"/>
              <w:spacing w:before="0" w:beforeAutospacing="0" w:after="0" w:afterAutospacing="0"/>
              <w:ind w:left="0" w:right="0"/>
              <w:jc w:val="left"/>
              <w:textAlignment w:val="center"/>
              <w:rPr>
                <w:rFonts w:hint="default" w:ascii="宋体" w:hAnsi="宋体" w:cs="宋体"/>
                <w:spacing w:val="-5"/>
                <w:sz w:val="24"/>
              </w:rPr>
            </w:pPr>
            <w:r>
              <w:rPr>
                <w:rFonts w:hint="eastAsia" w:ascii="宋体" w:hAnsi="宋体" w:cs="宋体"/>
                <w:color w:val="000000"/>
                <w:kern w:val="0"/>
                <w:sz w:val="24"/>
                <w:lang w:bidi="ar"/>
              </w:rPr>
              <w:t>提供三维地图底图切换功能，可一键切换电子地图、影像地图；支持在线标记功能；支持三维标绘功能。</w:t>
            </w:r>
          </w:p>
        </w:tc>
        <w:tc>
          <w:tcPr>
            <w:tcW w:w="1131" w:type="dxa"/>
            <w:vAlign w:val="center"/>
          </w:tcPr>
          <w:p w14:paraId="2A3C1269">
            <w:pPr>
              <w:keepNext w:val="0"/>
              <w:keepLines w:val="0"/>
              <w:widowControl/>
              <w:suppressLineNumbers w:val="0"/>
              <w:spacing w:before="0" w:beforeAutospacing="0" w:after="0" w:afterAutospacing="0"/>
              <w:ind w:left="0" w:right="0"/>
              <w:jc w:val="center"/>
              <w:textAlignment w:val="center"/>
              <w:rPr>
                <w:rFonts w:hint="default" w:ascii="宋体" w:hAnsi="宋体" w:cs="宋体"/>
                <w:spacing w:val="-5"/>
                <w:sz w:val="24"/>
              </w:rPr>
            </w:pPr>
            <w:r>
              <w:rPr>
                <w:rFonts w:hint="eastAsia" w:ascii="宋体" w:hAnsi="宋体" w:cs="宋体"/>
                <w:color w:val="000000"/>
                <w:kern w:val="0"/>
                <w:sz w:val="24"/>
                <w:lang w:bidi="ar"/>
              </w:rPr>
              <w:t>1</w:t>
            </w:r>
          </w:p>
        </w:tc>
        <w:tc>
          <w:tcPr>
            <w:tcW w:w="1161" w:type="dxa"/>
            <w:vAlign w:val="center"/>
          </w:tcPr>
          <w:p w14:paraId="4831A827">
            <w:pPr>
              <w:keepNext w:val="0"/>
              <w:keepLines w:val="0"/>
              <w:widowControl/>
              <w:suppressLineNumbers w:val="0"/>
              <w:spacing w:before="0" w:beforeAutospacing="0" w:after="0" w:afterAutospacing="0"/>
              <w:ind w:left="0" w:right="0"/>
              <w:jc w:val="center"/>
              <w:textAlignment w:val="center"/>
              <w:rPr>
                <w:rFonts w:hint="default" w:ascii="宋体" w:hAnsi="宋体" w:cs="宋体"/>
                <w:spacing w:val="-5"/>
                <w:sz w:val="24"/>
              </w:rPr>
            </w:pPr>
            <w:r>
              <w:rPr>
                <w:rFonts w:hint="eastAsia" w:ascii="宋体" w:hAnsi="宋体" w:cs="宋体"/>
                <w:color w:val="000000"/>
                <w:kern w:val="0"/>
                <w:sz w:val="24"/>
                <w:lang w:bidi="ar"/>
              </w:rPr>
              <w:t>项</w:t>
            </w:r>
          </w:p>
        </w:tc>
      </w:tr>
      <w:tr w14:paraId="39BB4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center"/>
          </w:tcPr>
          <w:p w14:paraId="752D583A">
            <w:pPr>
              <w:keepNext w:val="0"/>
              <w:keepLines w:val="0"/>
              <w:suppressLineNumbers w:val="0"/>
              <w:spacing w:before="0" w:beforeAutospacing="0" w:after="0" w:afterAutospacing="0" w:line="360" w:lineRule="auto"/>
              <w:ind w:left="0" w:right="0"/>
              <w:jc w:val="center"/>
              <w:rPr>
                <w:rFonts w:hint="default" w:ascii="宋体" w:hAnsi="宋体" w:cs="宋体"/>
                <w:spacing w:val="-5"/>
                <w:sz w:val="24"/>
              </w:rPr>
            </w:pPr>
            <w:r>
              <w:rPr>
                <w:rFonts w:hint="eastAsia" w:ascii="宋体" w:hAnsi="宋体" w:cs="宋体"/>
                <w:spacing w:val="-5"/>
                <w:sz w:val="24"/>
              </w:rPr>
              <w:t>12</w:t>
            </w:r>
          </w:p>
        </w:tc>
        <w:tc>
          <w:tcPr>
            <w:tcW w:w="1514" w:type="dxa"/>
            <w:vMerge w:val="continue"/>
            <w:vAlign w:val="center"/>
          </w:tcPr>
          <w:p w14:paraId="3EA18B10">
            <w:pPr>
              <w:keepNext w:val="0"/>
              <w:keepLines w:val="0"/>
              <w:suppressLineNumbers w:val="0"/>
              <w:spacing w:before="0" w:beforeAutospacing="0" w:after="0" w:afterAutospacing="0" w:line="360" w:lineRule="auto"/>
              <w:ind w:left="0" w:right="0"/>
              <w:jc w:val="center"/>
              <w:rPr>
                <w:rFonts w:hint="default" w:ascii="宋体" w:hAnsi="宋体" w:cs="宋体"/>
                <w:spacing w:val="-5"/>
                <w:sz w:val="24"/>
              </w:rPr>
            </w:pPr>
          </w:p>
        </w:tc>
        <w:tc>
          <w:tcPr>
            <w:tcW w:w="1636" w:type="dxa"/>
            <w:vMerge w:val="continue"/>
            <w:vAlign w:val="center"/>
          </w:tcPr>
          <w:p w14:paraId="63B1F1EA">
            <w:pPr>
              <w:keepNext w:val="0"/>
              <w:keepLines w:val="0"/>
              <w:suppressLineNumbers w:val="0"/>
              <w:spacing w:before="0" w:beforeAutospacing="0" w:after="0" w:afterAutospacing="0" w:line="360" w:lineRule="auto"/>
              <w:ind w:left="0" w:right="0"/>
              <w:jc w:val="center"/>
              <w:rPr>
                <w:rFonts w:hint="default" w:ascii="宋体" w:hAnsi="宋体" w:cs="宋体"/>
                <w:spacing w:val="-5"/>
                <w:sz w:val="24"/>
              </w:rPr>
            </w:pPr>
          </w:p>
        </w:tc>
        <w:tc>
          <w:tcPr>
            <w:tcW w:w="2141" w:type="dxa"/>
            <w:vAlign w:val="center"/>
          </w:tcPr>
          <w:p w14:paraId="571EA99D">
            <w:pPr>
              <w:keepNext w:val="0"/>
              <w:keepLines w:val="0"/>
              <w:widowControl/>
              <w:suppressLineNumbers w:val="0"/>
              <w:spacing w:before="0" w:beforeAutospacing="0" w:after="0" w:afterAutospacing="0"/>
              <w:ind w:left="0" w:right="0"/>
              <w:jc w:val="center"/>
              <w:textAlignment w:val="center"/>
              <w:rPr>
                <w:rFonts w:hint="default" w:ascii="宋体" w:hAnsi="宋体" w:cs="宋体"/>
                <w:spacing w:val="-5"/>
                <w:sz w:val="24"/>
              </w:rPr>
            </w:pPr>
            <w:r>
              <w:rPr>
                <w:rFonts w:hint="eastAsia" w:ascii="宋体" w:hAnsi="宋体" w:cs="宋体"/>
                <w:color w:val="000000"/>
                <w:kern w:val="0"/>
                <w:sz w:val="24"/>
                <w:lang w:bidi="ar"/>
              </w:rPr>
              <w:t>综合分析</w:t>
            </w:r>
          </w:p>
        </w:tc>
        <w:tc>
          <w:tcPr>
            <w:tcW w:w="6137" w:type="dxa"/>
            <w:vAlign w:val="center"/>
          </w:tcPr>
          <w:p w14:paraId="434C9F5D">
            <w:pPr>
              <w:keepNext w:val="0"/>
              <w:keepLines w:val="0"/>
              <w:widowControl/>
              <w:suppressLineNumbers w:val="0"/>
              <w:spacing w:before="0" w:beforeAutospacing="0" w:after="0" w:afterAutospacing="0"/>
              <w:ind w:left="0" w:right="0"/>
              <w:jc w:val="left"/>
              <w:textAlignment w:val="center"/>
              <w:rPr>
                <w:rFonts w:hint="default" w:ascii="宋体" w:hAnsi="宋体" w:cs="宋体"/>
                <w:spacing w:val="-5"/>
                <w:sz w:val="24"/>
              </w:rPr>
            </w:pPr>
            <w:r>
              <w:rPr>
                <w:rFonts w:hint="eastAsia" w:ascii="宋体" w:hAnsi="宋体" w:cs="宋体"/>
                <w:color w:val="000000"/>
                <w:kern w:val="0"/>
                <w:sz w:val="24"/>
                <w:lang w:bidi="ar"/>
              </w:rPr>
              <w:t>提供可视域分析、淹没分析、地块压平分析、日照分析和剖面分析功能。</w:t>
            </w:r>
          </w:p>
        </w:tc>
        <w:tc>
          <w:tcPr>
            <w:tcW w:w="1131" w:type="dxa"/>
            <w:vAlign w:val="center"/>
          </w:tcPr>
          <w:p w14:paraId="630A1E14">
            <w:pPr>
              <w:keepNext w:val="0"/>
              <w:keepLines w:val="0"/>
              <w:widowControl/>
              <w:suppressLineNumbers w:val="0"/>
              <w:spacing w:before="0" w:beforeAutospacing="0" w:after="0" w:afterAutospacing="0"/>
              <w:ind w:left="0" w:right="0"/>
              <w:jc w:val="center"/>
              <w:textAlignment w:val="center"/>
              <w:rPr>
                <w:rFonts w:hint="default" w:ascii="宋体" w:hAnsi="宋体" w:cs="宋体"/>
                <w:spacing w:val="-5"/>
                <w:sz w:val="24"/>
              </w:rPr>
            </w:pPr>
            <w:r>
              <w:rPr>
                <w:rFonts w:hint="eastAsia" w:ascii="宋体" w:hAnsi="宋体" w:cs="宋体"/>
                <w:color w:val="000000"/>
                <w:kern w:val="0"/>
                <w:sz w:val="24"/>
                <w:lang w:bidi="ar"/>
              </w:rPr>
              <w:t>1</w:t>
            </w:r>
          </w:p>
        </w:tc>
        <w:tc>
          <w:tcPr>
            <w:tcW w:w="1161" w:type="dxa"/>
            <w:vAlign w:val="center"/>
          </w:tcPr>
          <w:p w14:paraId="50F8F9B8">
            <w:pPr>
              <w:keepNext w:val="0"/>
              <w:keepLines w:val="0"/>
              <w:widowControl/>
              <w:suppressLineNumbers w:val="0"/>
              <w:spacing w:before="0" w:beforeAutospacing="0" w:after="0" w:afterAutospacing="0"/>
              <w:ind w:left="0" w:right="0"/>
              <w:jc w:val="center"/>
              <w:textAlignment w:val="center"/>
              <w:rPr>
                <w:rFonts w:hint="default" w:ascii="宋体" w:hAnsi="宋体" w:cs="宋体"/>
                <w:spacing w:val="-5"/>
                <w:sz w:val="24"/>
              </w:rPr>
            </w:pPr>
            <w:r>
              <w:rPr>
                <w:rFonts w:hint="eastAsia" w:ascii="宋体" w:hAnsi="宋体" w:cs="宋体"/>
                <w:color w:val="000000"/>
                <w:kern w:val="0"/>
                <w:sz w:val="24"/>
                <w:lang w:bidi="ar"/>
              </w:rPr>
              <w:t>项</w:t>
            </w:r>
          </w:p>
        </w:tc>
      </w:tr>
      <w:tr w14:paraId="3AE6D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center"/>
          </w:tcPr>
          <w:p w14:paraId="70762263">
            <w:pPr>
              <w:keepNext w:val="0"/>
              <w:keepLines w:val="0"/>
              <w:suppressLineNumbers w:val="0"/>
              <w:spacing w:before="0" w:beforeAutospacing="0" w:after="0" w:afterAutospacing="0" w:line="360" w:lineRule="auto"/>
              <w:ind w:left="0" w:right="0"/>
              <w:jc w:val="center"/>
              <w:rPr>
                <w:rFonts w:hint="default" w:ascii="宋体" w:hAnsi="宋体" w:cs="宋体"/>
                <w:spacing w:val="-5"/>
                <w:sz w:val="24"/>
              </w:rPr>
            </w:pPr>
            <w:r>
              <w:rPr>
                <w:rFonts w:hint="eastAsia" w:ascii="宋体" w:hAnsi="宋体" w:cs="宋体"/>
                <w:spacing w:val="-5"/>
                <w:sz w:val="24"/>
              </w:rPr>
              <w:t>13</w:t>
            </w:r>
          </w:p>
        </w:tc>
        <w:tc>
          <w:tcPr>
            <w:tcW w:w="1514" w:type="dxa"/>
            <w:vMerge w:val="continue"/>
            <w:vAlign w:val="center"/>
          </w:tcPr>
          <w:p w14:paraId="5717E4E7">
            <w:pPr>
              <w:keepNext w:val="0"/>
              <w:keepLines w:val="0"/>
              <w:suppressLineNumbers w:val="0"/>
              <w:spacing w:before="0" w:beforeAutospacing="0" w:after="0" w:afterAutospacing="0" w:line="360" w:lineRule="auto"/>
              <w:ind w:left="0" w:right="0"/>
              <w:jc w:val="center"/>
              <w:rPr>
                <w:rFonts w:hint="default" w:ascii="宋体" w:hAnsi="宋体" w:cs="宋体"/>
                <w:spacing w:val="-5"/>
                <w:sz w:val="24"/>
              </w:rPr>
            </w:pPr>
          </w:p>
        </w:tc>
        <w:tc>
          <w:tcPr>
            <w:tcW w:w="1636" w:type="dxa"/>
            <w:vMerge w:val="continue"/>
            <w:vAlign w:val="center"/>
          </w:tcPr>
          <w:p w14:paraId="7C011E77">
            <w:pPr>
              <w:keepNext w:val="0"/>
              <w:keepLines w:val="0"/>
              <w:suppressLineNumbers w:val="0"/>
              <w:spacing w:before="0" w:beforeAutospacing="0" w:after="0" w:afterAutospacing="0" w:line="360" w:lineRule="auto"/>
              <w:ind w:left="0" w:right="0"/>
              <w:jc w:val="center"/>
              <w:rPr>
                <w:rFonts w:hint="default" w:ascii="宋体" w:hAnsi="宋体" w:cs="宋体"/>
                <w:spacing w:val="-5"/>
                <w:sz w:val="24"/>
              </w:rPr>
            </w:pPr>
          </w:p>
        </w:tc>
        <w:tc>
          <w:tcPr>
            <w:tcW w:w="2141" w:type="dxa"/>
            <w:vAlign w:val="center"/>
          </w:tcPr>
          <w:p w14:paraId="393EFA31">
            <w:pPr>
              <w:keepNext w:val="0"/>
              <w:keepLines w:val="0"/>
              <w:widowControl/>
              <w:suppressLineNumbers w:val="0"/>
              <w:spacing w:before="0" w:beforeAutospacing="0" w:after="0" w:afterAutospacing="0"/>
              <w:ind w:left="0" w:right="0"/>
              <w:jc w:val="center"/>
              <w:textAlignment w:val="center"/>
              <w:rPr>
                <w:rFonts w:hint="default" w:ascii="宋体" w:hAnsi="宋体" w:cs="宋体"/>
                <w:spacing w:val="-5"/>
                <w:sz w:val="24"/>
              </w:rPr>
            </w:pPr>
            <w:r>
              <w:rPr>
                <w:rFonts w:hint="eastAsia" w:ascii="宋体" w:hAnsi="宋体" w:cs="宋体"/>
                <w:color w:val="000000"/>
                <w:kern w:val="0"/>
                <w:sz w:val="24"/>
                <w:lang w:bidi="ar"/>
              </w:rPr>
              <w:t>专题展示</w:t>
            </w:r>
          </w:p>
        </w:tc>
        <w:tc>
          <w:tcPr>
            <w:tcW w:w="6137" w:type="dxa"/>
            <w:vAlign w:val="center"/>
          </w:tcPr>
          <w:p w14:paraId="1DF9B903">
            <w:pPr>
              <w:keepNext w:val="0"/>
              <w:keepLines w:val="0"/>
              <w:widowControl/>
              <w:suppressLineNumbers w:val="0"/>
              <w:spacing w:before="0" w:beforeAutospacing="0" w:after="0" w:afterAutospacing="0"/>
              <w:ind w:left="0" w:right="0"/>
              <w:jc w:val="left"/>
              <w:textAlignment w:val="center"/>
              <w:rPr>
                <w:rFonts w:hint="default" w:ascii="宋体" w:hAnsi="宋体" w:cs="宋体"/>
                <w:spacing w:val="-5"/>
                <w:sz w:val="24"/>
              </w:rPr>
            </w:pPr>
            <w:r>
              <w:rPr>
                <w:rFonts w:hint="eastAsia" w:ascii="宋体" w:hAnsi="宋体" w:cs="宋体"/>
                <w:color w:val="000000"/>
                <w:kern w:val="0"/>
                <w:sz w:val="24"/>
                <w:lang w:bidi="ar"/>
              </w:rPr>
              <w:t>提供文化旅游、空间规划、地质灾害、援建项目、乡村振兴、地下管线和对外宣传等专题展示。</w:t>
            </w:r>
          </w:p>
        </w:tc>
        <w:tc>
          <w:tcPr>
            <w:tcW w:w="1131" w:type="dxa"/>
            <w:vAlign w:val="center"/>
          </w:tcPr>
          <w:p w14:paraId="07B61D5A">
            <w:pPr>
              <w:keepNext w:val="0"/>
              <w:keepLines w:val="0"/>
              <w:widowControl/>
              <w:suppressLineNumbers w:val="0"/>
              <w:spacing w:before="0" w:beforeAutospacing="0" w:after="0" w:afterAutospacing="0"/>
              <w:ind w:left="0" w:right="0"/>
              <w:jc w:val="center"/>
              <w:textAlignment w:val="center"/>
              <w:rPr>
                <w:rFonts w:hint="default" w:ascii="宋体" w:hAnsi="宋体" w:cs="宋体"/>
                <w:spacing w:val="-5"/>
                <w:sz w:val="24"/>
              </w:rPr>
            </w:pPr>
            <w:r>
              <w:rPr>
                <w:rFonts w:hint="eastAsia" w:ascii="宋体" w:hAnsi="宋体" w:cs="宋体"/>
                <w:color w:val="000000"/>
                <w:kern w:val="0"/>
                <w:sz w:val="24"/>
                <w:lang w:bidi="ar"/>
              </w:rPr>
              <w:t>7</w:t>
            </w:r>
          </w:p>
        </w:tc>
        <w:tc>
          <w:tcPr>
            <w:tcW w:w="1161" w:type="dxa"/>
            <w:vAlign w:val="center"/>
          </w:tcPr>
          <w:p w14:paraId="75D9ACBE">
            <w:pPr>
              <w:keepNext w:val="0"/>
              <w:keepLines w:val="0"/>
              <w:widowControl/>
              <w:suppressLineNumbers w:val="0"/>
              <w:spacing w:before="0" w:beforeAutospacing="0" w:after="0" w:afterAutospacing="0"/>
              <w:ind w:left="0" w:right="0"/>
              <w:jc w:val="center"/>
              <w:textAlignment w:val="center"/>
              <w:rPr>
                <w:rFonts w:hint="default" w:ascii="宋体" w:hAnsi="宋体" w:cs="宋体"/>
                <w:spacing w:val="-5"/>
                <w:sz w:val="24"/>
              </w:rPr>
            </w:pPr>
            <w:r>
              <w:rPr>
                <w:rFonts w:hint="eastAsia" w:ascii="宋体" w:hAnsi="宋体" w:cs="宋体"/>
                <w:color w:val="000000"/>
                <w:kern w:val="0"/>
                <w:sz w:val="24"/>
                <w:lang w:bidi="ar"/>
              </w:rPr>
              <w:t>项</w:t>
            </w:r>
          </w:p>
        </w:tc>
      </w:tr>
      <w:tr w14:paraId="5F0CA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center"/>
          </w:tcPr>
          <w:p w14:paraId="2304BBC0">
            <w:pPr>
              <w:keepNext w:val="0"/>
              <w:keepLines w:val="0"/>
              <w:suppressLineNumbers w:val="0"/>
              <w:spacing w:before="0" w:beforeAutospacing="0" w:after="0" w:afterAutospacing="0" w:line="360" w:lineRule="auto"/>
              <w:ind w:left="0" w:right="0"/>
              <w:jc w:val="center"/>
              <w:rPr>
                <w:rFonts w:hint="default" w:ascii="宋体" w:hAnsi="宋体" w:cs="宋体"/>
                <w:spacing w:val="-5"/>
                <w:sz w:val="24"/>
              </w:rPr>
            </w:pPr>
            <w:r>
              <w:rPr>
                <w:rFonts w:hint="eastAsia" w:ascii="宋体" w:hAnsi="宋体" w:cs="宋体"/>
                <w:spacing w:val="-5"/>
                <w:sz w:val="24"/>
              </w:rPr>
              <w:t>14</w:t>
            </w:r>
          </w:p>
        </w:tc>
        <w:tc>
          <w:tcPr>
            <w:tcW w:w="1514" w:type="dxa"/>
            <w:vMerge w:val="continue"/>
            <w:vAlign w:val="center"/>
          </w:tcPr>
          <w:p w14:paraId="43C130DA">
            <w:pPr>
              <w:keepNext w:val="0"/>
              <w:keepLines w:val="0"/>
              <w:suppressLineNumbers w:val="0"/>
              <w:spacing w:before="0" w:beforeAutospacing="0" w:after="0" w:afterAutospacing="0" w:line="360" w:lineRule="auto"/>
              <w:ind w:left="0" w:right="0"/>
              <w:jc w:val="center"/>
              <w:rPr>
                <w:rFonts w:hint="default" w:ascii="宋体" w:hAnsi="宋体" w:cs="宋体"/>
                <w:spacing w:val="-5"/>
                <w:sz w:val="24"/>
              </w:rPr>
            </w:pPr>
          </w:p>
        </w:tc>
        <w:tc>
          <w:tcPr>
            <w:tcW w:w="1636" w:type="dxa"/>
            <w:vMerge w:val="continue"/>
            <w:vAlign w:val="center"/>
          </w:tcPr>
          <w:p w14:paraId="64D6911B">
            <w:pPr>
              <w:keepNext w:val="0"/>
              <w:keepLines w:val="0"/>
              <w:suppressLineNumbers w:val="0"/>
              <w:spacing w:before="0" w:beforeAutospacing="0" w:after="0" w:afterAutospacing="0" w:line="360" w:lineRule="auto"/>
              <w:ind w:left="0" w:right="0"/>
              <w:jc w:val="center"/>
              <w:rPr>
                <w:rFonts w:hint="default" w:ascii="宋体" w:hAnsi="宋体" w:cs="宋体"/>
                <w:spacing w:val="-5"/>
                <w:sz w:val="24"/>
              </w:rPr>
            </w:pPr>
          </w:p>
        </w:tc>
        <w:tc>
          <w:tcPr>
            <w:tcW w:w="2141" w:type="dxa"/>
            <w:vAlign w:val="center"/>
          </w:tcPr>
          <w:p w14:paraId="01ED525D">
            <w:pPr>
              <w:keepNext w:val="0"/>
              <w:keepLines w:val="0"/>
              <w:widowControl/>
              <w:suppressLineNumbers w:val="0"/>
              <w:spacing w:before="0" w:beforeAutospacing="0" w:after="0" w:afterAutospacing="0"/>
              <w:ind w:left="0" w:right="0"/>
              <w:jc w:val="center"/>
              <w:textAlignment w:val="center"/>
              <w:rPr>
                <w:rFonts w:hint="default" w:ascii="宋体" w:hAnsi="宋体" w:cs="宋体"/>
                <w:spacing w:val="-5"/>
                <w:sz w:val="24"/>
              </w:rPr>
            </w:pPr>
            <w:r>
              <w:rPr>
                <w:rFonts w:hint="eastAsia" w:ascii="宋体" w:hAnsi="宋体" w:cs="宋体"/>
                <w:color w:val="000000"/>
                <w:kern w:val="0"/>
                <w:sz w:val="24"/>
                <w:lang w:bidi="ar"/>
              </w:rPr>
              <w:t>系统管理</w:t>
            </w:r>
          </w:p>
        </w:tc>
        <w:tc>
          <w:tcPr>
            <w:tcW w:w="6137" w:type="dxa"/>
            <w:vAlign w:val="center"/>
          </w:tcPr>
          <w:p w14:paraId="3EB2F3B5">
            <w:pPr>
              <w:keepNext w:val="0"/>
              <w:keepLines w:val="0"/>
              <w:widowControl/>
              <w:suppressLineNumbers w:val="0"/>
              <w:spacing w:before="0" w:beforeAutospacing="0" w:after="0" w:afterAutospacing="0"/>
              <w:ind w:left="0" w:right="0"/>
              <w:jc w:val="left"/>
              <w:textAlignment w:val="center"/>
              <w:rPr>
                <w:rFonts w:hint="default" w:ascii="宋体" w:hAnsi="宋体" w:cs="宋体"/>
                <w:spacing w:val="-5"/>
                <w:sz w:val="24"/>
              </w:rPr>
            </w:pPr>
            <w:r>
              <w:rPr>
                <w:rFonts w:hint="eastAsia" w:ascii="宋体" w:hAnsi="宋体" w:cs="宋体"/>
                <w:color w:val="000000"/>
                <w:kern w:val="0"/>
                <w:sz w:val="24"/>
                <w:lang w:bidi="ar"/>
              </w:rPr>
              <w:t>系统管理提供平台所涉及到的组织机构的部门、用户、角色等创建与维护功能。</w:t>
            </w:r>
          </w:p>
        </w:tc>
        <w:tc>
          <w:tcPr>
            <w:tcW w:w="1131" w:type="dxa"/>
            <w:vAlign w:val="center"/>
          </w:tcPr>
          <w:p w14:paraId="7A5EA709">
            <w:pPr>
              <w:keepNext w:val="0"/>
              <w:keepLines w:val="0"/>
              <w:widowControl/>
              <w:suppressLineNumbers w:val="0"/>
              <w:spacing w:before="0" w:beforeAutospacing="0" w:after="0" w:afterAutospacing="0"/>
              <w:ind w:left="0" w:right="0"/>
              <w:jc w:val="center"/>
              <w:textAlignment w:val="center"/>
              <w:rPr>
                <w:rFonts w:hint="default" w:ascii="宋体" w:hAnsi="宋体" w:cs="宋体"/>
                <w:spacing w:val="-5"/>
                <w:sz w:val="24"/>
              </w:rPr>
            </w:pPr>
            <w:r>
              <w:rPr>
                <w:rFonts w:hint="eastAsia" w:ascii="宋体" w:hAnsi="宋体" w:cs="宋体"/>
                <w:color w:val="000000"/>
                <w:kern w:val="0"/>
                <w:sz w:val="24"/>
                <w:lang w:bidi="ar"/>
              </w:rPr>
              <w:t>1</w:t>
            </w:r>
          </w:p>
        </w:tc>
        <w:tc>
          <w:tcPr>
            <w:tcW w:w="1161" w:type="dxa"/>
            <w:vAlign w:val="center"/>
          </w:tcPr>
          <w:p w14:paraId="50ADC45A">
            <w:pPr>
              <w:keepNext w:val="0"/>
              <w:keepLines w:val="0"/>
              <w:widowControl/>
              <w:suppressLineNumbers w:val="0"/>
              <w:spacing w:before="0" w:beforeAutospacing="0" w:after="0" w:afterAutospacing="0"/>
              <w:ind w:left="0" w:right="0"/>
              <w:jc w:val="center"/>
              <w:textAlignment w:val="center"/>
              <w:rPr>
                <w:rFonts w:hint="default" w:ascii="宋体" w:hAnsi="宋体" w:cs="宋体"/>
                <w:spacing w:val="-5"/>
                <w:sz w:val="24"/>
              </w:rPr>
            </w:pPr>
            <w:r>
              <w:rPr>
                <w:rFonts w:hint="eastAsia" w:ascii="宋体" w:hAnsi="宋体" w:cs="宋体"/>
                <w:color w:val="000000"/>
                <w:kern w:val="0"/>
                <w:sz w:val="24"/>
                <w:lang w:bidi="ar"/>
              </w:rPr>
              <w:t>项</w:t>
            </w:r>
          </w:p>
        </w:tc>
      </w:tr>
      <w:tr w14:paraId="236BD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4446" w:type="dxa"/>
            <w:gridSpan w:val="7"/>
            <w:vAlign w:val="center"/>
          </w:tcPr>
          <w:p w14:paraId="32E99755">
            <w:pPr>
              <w:keepNext w:val="0"/>
              <w:keepLines w:val="0"/>
              <w:suppressLineNumbers w:val="0"/>
              <w:spacing w:before="0" w:beforeAutospacing="0" w:after="0" w:afterAutospacing="0" w:line="360" w:lineRule="auto"/>
              <w:ind w:left="0" w:right="0"/>
              <w:rPr>
                <w:rFonts w:hint="default" w:ascii="宋体" w:hAnsi="宋体" w:cs="宋体"/>
                <w:spacing w:val="-5"/>
                <w:sz w:val="24"/>
              </w:rPr>
            </w:pPr>
            <w:r>
              <w:rPr>
                <w:rFonts w:hint="eastAsia" w:ascii="宋体" w:hAnsi="宋体" w:cs="宋体"/>
                <w:spacing w:val="-5"/>
                <w:sz w:val="24"/>
              </w:rPr>
              <w:t>备注：以上数据须支持t</w:t>
            </w:r>
            <w:r>
              <w:rPr>
                <w:rFonts w:hint="default" w:ascii="宋体" w:hAnsi="宋体" w:cs="宋体"/>
                <w:spacing w:val="-5"/>
                <w:sz w:val="24"/>
              </w:rPr>
              <w:t>if</w:t>
            </w:r>
            <w:r>
              <w:rPr>
                <w:rFonts w:hint="eastAsia" w:ascii="宋体" w:hAnsi="宋体" w:cs="宋体"/>
                <w:spacing w:val="-5"/>
                <w:sz w:val="24"/>
              </w:rPr>
              <w:t>、o</w:t>
            </w:r>
            <w:r>
              <w:rPr>
                <w:rFonts w:hint="default" w:ascii="宋体" w:hAnsi="宋体" w:cs="宋体"/>
                <w:spacing w:val="-5"/>
                <w:sz w:val="24"/>
              </w:rPr>
              <w:t xml:space="preserve">sgb </w:t>
            </w:r>
            <w:r>
              <w:rPr>
                <w:rFonts w:hint="eastAsia" w:ascii="宋体" w:hAnsi="宋体" w:cs="宋体"/>
                <w:spacing w:val="-5"/>
                <w:sz w:val="24"/>
              </w:rPr>
              <w:t>等标准格式，为确保数据资源共建共享以及能够被第三方平台正常调用，具备与第三方平台接口对接能力，共享的数据必须确保图层规范、标准，同类型数据图层和类型须一致。</w:t>
            </w:r>
          </w:p>
        </w:tc>
      </w:tr>
    </w:tbl>
    <w:p w14:paraId="5892069A">
      <w:pPr>
        <w:pStyle w:val="3"/>
        <w:ind w:left="0" w:firstLine="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基础空间数据底座建设需求 </w:t>
      </w:r>
    </w:p>
    <w:p w14:paraId="2408673A">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本项目平台所需数据包括基础地理信息数据、三维模型数据、地下管线数据、空间规划数据、其他专业数据等。 </w:t>
      </w:r>
    </w:p>
    <w:p w14:paraId="693B2596">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1.通过采购卫星影像制作全县域 1m 分辨率数字正射影像数据；</w:t>
      </w:r>
    </w:p>
    <w:p w14:paraId="6091ABDF">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2.通过无人机航飞采集制作 3cm 分辨率重点区域康杨镇、坎布拉镇建成区数字正射影像数据，马克唐镇、昂拉乡数字正射影像数据。 </w:t>
      </w:r>
    </w:p>
    <w:p w14:paraId="2CA8603B">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3.通过无人机倾斜摄影采集制作重点区域康杨镇、坎布拉镇建成区 3cm 分辨率和县域范围内黄河流域优于 5cm 分辨率实景三维数据，马克唐镇、昂拉乡建成区实景三维数据。 </w:t>
      </w:r>
    </w:p>
    <w:p w14:paraId="68766952">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4.通过野外测图的方式完成尖扎县重点区域马克唐镇建成区1:500 数字线划地图制作。 </w:t>
      </w:r>
    </w:p>
    <w:p w14:paraId="510511F2">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5.通过外业探测的方式完成尖扎县重点区域马克唐镇建成区道路沿线地下管线数据采集。 </w:t>
      </w:r>
    </w:p>
    <w:p w14:paraId="7B49A2CE">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6.空间规划数据：国土空间总体规划电子成果</w:t>
      </w:r>
    </w:p>
    <w:p w14:paraId="212F9AFE">
      <w:pPr>
        <w:pStyle w:val="3"/>
        <w:ind w:left="0" w:firstLine="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系统基础功能需求</w:t>
      </w:r>
    </w:p>
    <w:p w14:paraId="7D2E54CC">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1.基础功能：提供地图操控、图层管理、三维量测、查询定位、视角书签、三维标绘等基础功能。</w:t>
      </w:r>
    </w:p>
    <w:p w14:paraId="7E60582C">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2.分析功能：提供可视域分析、淹没分析、地块压平分析、日照分析等综合分析功能。</w:t>
      </w:r>
    </w:p>
    <w:p w14:paraId="34677044">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3.专题展示功能：实现文化旅游、空间规划、地质灾害、援建项目、乡村振兴、地下管线、对外宣传等专题展示功能。</w:t>
      </w:r>
    </w:p>
    <w:p w14:paraId="45D15839">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4.后台管理功能：实现用户管理、角色管理、组织机构管理等后台管理功能。</w:t>
      </w:r>
    </w:p>
    <w:p w14:paraId="2F1D4C6C">
      <w:pPr>
        <w:pStyle w:val="3"/>
        <w:ind w:left="0" w:firstLine="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系统支撑能力需求</w:t>
      </w:r>
    </w:p>
    <w:p w14:paraId="0E595B58">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1.空间数据可视化：支持L1、L2、L3级数据底板的多个数据融合展示能力。</w:t>
      </w:r>
    </w:p>
    <w:p w14:paraId="528CCD27">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2.应用资源管理：支持图片素材统一管理、三维场景的配置与发布、三维模型的分类与导入、地图标号的发布和预览、应用主题的发布与管理功能。</w:t>
      </w:r>
    </w:p>
    <w:p w14:paraId="7A60F2A2">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3.数据资源上图：支持包含经纬度的业务数据上图，包括csv、xls、xlsx格式的数据文件。</w:t>
      </w:r>
    </w:p>
    <w:p w14:paraId="2455F5FE">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4.图层与场景配置：支持对上图的数据以图层的形式进行管理及配置，并且可以通过配置的形式搭建三维场景。</w:t>
      </w:r>
    </w:p>
    <w:p w14:paraId="5058E31B">
      <w:pPr>
        <w:pStyle w:val="3"/>
        <w:pageBreakBefore w:val="0"/>
        <w:widowControl w:val="0"/>
        <w:numPr>
          <w:ilvl w:val="1"/>
          <w:numId w:val="0"/>
        </w:numPr>
        <w:kinsoku/>
        <w:wordWrap/>
        <w:overflowPunct/>
        <w:topLinePunct w:val="0"/>
        <w:autoSpaceDE/>
        <w:autoSpaceDN/>
        <w:bidi w:val="0"/>
        <w:adjustRightInd/>
        <w:snapToGrid/>
        <w:spacing w:before="0" w:beforeLines="0" w:after="0" w:afterLines="0" w:line="360" w:lineRule="auto"/>
        <w:ind w:firstLine="480" w:firstLineChars="200"/>
        <w:textAlignment w:val="auto"/>
        <w:rPr>
          <w:rFonts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5.地图服务发布：支持将接入的基础底图数据、矢量数据、栅格瓦片、三维瓦片等数据通过服务化后发布为矢量地图服务、矢量要素服务、三维瓦片服务等。</w:t>
      </w:r>
    </w:p>
    <w:p w14:paraId="61156897">
      <w:pPr>
        <w:pStyle w:val="3"/>
        <w:pageBreakBefore w:val="0"/>
        <w:widowControl w:val="0"/>
        <w:numPr>
          <w:ilvl w:val="1"/>
          <w:numId w:val="0"/>
        </w:numPr>
        <w:kinsoku/>
        <w:wordWrap/>
        <w:overflowPunct/>
        <w:topLinePunct w:val="0"/>
        <w:autoSpaceDE/>
        <w:autoSpaceDN/>
        <w:bidi w:val="0"/>
        <w:adjustRightInd/>
        <w:snapToGrid/>
        <w:spacing w:before="0" w:beforeLines="0" w:after="0" w:afterLines="0" w:line="360" w:lineRule="auto"/>
        <w:ind w:firstLine="480" w:firstLineChars="200"/>
        <w:textAlignment w:val="auto"/>
        <w:rPr>
          <w:rFonts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6.三维地图渲染：提供点聚合渲染、热力图渲染、线状效果渲染、面状效果渲染、粒子效果渲染、视线分析、剖面分析等空间渲染能力。</w:t>
      </w:r>
    </w:p>
    <w:p w14:paraId="4D15F28F">
      <w:pPr>
        <w:pStyle w:val="3"/>
        <w:numPr>
          <w:ilvl w:val="1"/>
          <w:numId w:val="0"/>
        </w:num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  系统接口需求</w:t>
      </w:r>
    </w:p>
    <w:p w14:paraId="5784EC70">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提供地图相关、图层相关的能力开放接口，能够支持第三方应用针对配置好的主题进行二次开发。</w:t>
      </w:r>
    </w:p>
    <w:p w14:paraId="3E0D29BE">
      <w:pPr>
        <w:spacing w:line="360" w:lineRule="auto"/>
        <w:jc w:val="center"/>
        <w:rPr>
          <w:rFonts w:ascii="宋体" w:hAnsi="宋体" w:cs="宋体"/>
          <w:b/>
          <w:bCs/>
          <w:sz w:val="32"/>
          <w:szCs w:val="32"/>
        </w:rPr>
      </w:pPr>
      <w:r>
        <w:rPr>
          <w:rFonts w:hint="eastAsia" w:ascii="宋体" w:hAnsi="宋体" w:cs="宋体"/>
          <w:spacing w:val="-5"/>
          <w:sz w:val="24"/>
        </w:rPr>
        <w:br w:type="page"/>
      </w:r>
      <w:r>
        <w:rPr>
          <w:rFonts w:hint="eastAsia" w:ascii="宋体" w:hAnsi="宋体" w:cs="宋体"/>
          <w:b/>
          <w:bCs/>
          <w:sz w:val="32"/>
          <w:szCs w:val="32"/>
        </w:rPr>
        <w:t>包二</w:t>
      </w:r>
    </w:p>
    <w:tbl>
      <w:tblPr>
        <w:tblStyle w:val="25"/>
        <w:tblW w:w="1399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796"/>
        <w:gridCol w:w="854"/>
        <w:gridCol w:w="534"/>
        <w:gridCol w:w="1497"/>
        <w:gridCol w:w="7457"/>
        <w:gridCol w:w="1120"/>
        <w:gridCol w:w="1046"/>
      </w:tblGrid>
      <w:tr w14:paraId="6EE3D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3996" w:type="dxa"/>
            <w:gridSpan w:val="8"/>
            <w:vAlign w:val="center"/>
          </w:tcPr>
          <w:p w14:paraId="07DA7E37">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000000"/>
                <w:sz w:val="24"/>
              </w:rPr>
            </w:pPr>
            <w:r>
              <w:rPr>
                <w:rFonts w:hint="eastAsia" w:ascii="宋体" w:hAnsi="宋体" w:cs="宋体"/>
                <w:b/>
                <w:bCs/>
                <w:color w:val="000000"/>
                <w:kern w:val="0"/>
                <w:sz w:val="24"/>
                <w:lang w:bidi="ar"/>
              </w:rPr>
              <w:t>一、城市数字化共性基础平台--大数据融合分节点</w:t>
            </w:r>
          </w:p>
        </w:tc>
      </w:tr>
      <w:tr w14:paraId="6F1D7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692" w:type="dxa"/>
            <w:vAlign w:val="center"/>
          </w:tcPr>
          <w:p w14:paraId="5A24FD35">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000000"/>
                <w:sz w:val="24"/>
              </w:rPr>
            </w:pPr>
            <w:r>
              <w:rPr>
                <w:rFonts w:hint="eastAsia" w:ascii="宋体" w:hAnsi="宋体" w:cs="宋体"/>
                <w:b/>
                <w:bCs/>
                <w:color w:val="000000"/>
                <w:kern w:val="0"/>
                <w:sz w:val="24"/>
                <w:lang w:bidi="ar"/>
              </w:rPr>
              <w:t>序号</w:t>
            </w:r>
          </w:p>
        </w:tc>
        <w:tc>
          <w:tcPr>
            <w:tcW w:w="796" w:type="dxa"/>
            <w:vAlign w:val="center"/>
          </w:tcPr>
          <w:p w14:paraId="305D76E6">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000000"/>
                <w:sz w:val="24"/>
              </w:rPr>
            </w:pPr>
            <w:r>
              <w:rPr>
                <w:rFonts w:hint="eastAsia" w:ascii="宋体" w:hAnsi="宋体" w:cs="宋体"/>
                <w:b/>
                <w:bCs/>
                <w:color w:val="000000"/>
                <w:kern w:val="0"/>
                <w:sz w:val="24"/>
                <w:lang w:bidi="ar"/>
              </w:rPr>
              <w:t>平台名称</w:t>
            </w:r>
          </w:p>
        </w:tc>
        <w:tc>
          <w:tcPr>
            <w:tcW w:w="854" w:type="dxa"/>
            <w:vAlign w:val="center"/>
          </w:tcPr>
          <w:p w14:paraId="1FBA740F">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000000"/>
                <w:sz w:val="24"/>
              </w:rPr>
            </w:pPr>
            <w:r>
              <w:rPr>
                <w:rFonts w:hint="eastAsia" w:ascii="宋体" w:hAnsi="宋体" w:cs="宋体"/>
                <w:b/>
                <w:bCs/>
                <w:color w:val="000000"/>
                <w:kern w:val="0"/>
                <w:sz w:val="24"/>
                <w:lang w:bidi="ar"/>
              </w:rPr>
              <w:t>一级功能</w:t>
            </w:r>
          </w:p>
        </w:tc>
        <w:tc>
          <w:tcPr>
            <w:tcW w:w="2031" w:type="dxa"/>
            <w:gridSpan w:val="2"/>
            <w:vAlign w:val="center"/>
          </w:tcPr>
          <w:p w14:paraId="7B9E8817">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000000"/>
                <w:sz w:val="24"/>
              </w:rPr>
            </w:pPr>
            <w:r>
              <w:rPr>
                <w:rFonts w:hint="eastAsia" w:ascii="宋体" w:hAnsi="宋体" w:cs="宋体"/>
                <w:b/>
                <w:bCs/>
                <w:color w:val="000000"/>
                <w:kern w:val="0"/>
                <w:sz w:val="24"/>
                <w:lang w:bidi="ar"/>
              </w:rPr>
              <w:t>二级功能</w:t>
            </w:r>
          </w:p>
        </w:tc>
        <w:tc>
          <w:tcPr>
            <w:tcW w:w="7457" w:type="dxa"/>
            <w:vAlign w:val="center"/>
          </w:tcPr>
          <w:p w14:paraId="3B76E10F">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000000"/>
                <w:sz w:val="24"/>
              </w:rPr>
            </w:pPr>
            <w:r>
              <w:rPr>
                <w:rFonts w:hint="eastAsia" w:ascii="宋体" w:hAnsi="宋体" w:cs="宋体"/>
                <w:b/>
                <w:bCs/>
                <w:color w:val="000000"/>
                <w:kern w:val="0"/>
                <w:sz w:val="24"/>
                <w:lang w:bidi="ar"/>
              </w:rPr>
              <w:t>具体功能</w:t>
            </w:r>
          </w:p>
        </w:tc>
        <w:tc>
          <w:tcPr>
            <w:tcW w:w="1120" w:type="dxa"/>
            <w:vAlign w:val="center"/>
          </w:tcPr>
          <w:p w14:paraId="4715F2C7">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000000"/>
                <w:sz w:val="24"/>
              </w:rPr>
            </w:pPr>
            <w:r>
              <w:rPr>
                <w:rFonts w:hint="eastAsia" w:ascii="宋体" w:hAnsi="宋体" w:cs="宋体"/>
                <w:b/>
                <w:bCs/>
                <w:color w:val="000000"/>
                <w:kern w:val="0"/>
                <w:sz w:val="24"/>
                <w:lang w:bidi="ar"/>
              </w:rPr>
              <w:t>单位</w:t>
            </w:r>
          </w:p>
        </w:tc>
        <w:tc>
          <w:tcPr>
            <w:tcW w:w="1046" w:type="dxa"/>
            <w:vAlign w:val="center"/>
          </w:tcPr>
          <w:p w14:paraId="64E28AB1">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000000"/>
                <w:sz w:val="24"/>
              </w:rPr>
            </w:pPr>
            <w:r>
              <w:rPr>
                <w:rFonts w:hint="eastAsia" w:ascii="宋体" w:hAnsi="宋体" w:cs="宋体"/>
                <w:b/>
                <w:bCs/>
                <w:color w:val="000000"/>
                <w:kern w:val="0"/>
                <w:sz w:val="24"/>
                <w:lang w:bidi="ar"/>
              </w:rPr>
              <w:t>数量</w:t>
            </w:r>
          </w:p>
        </w:tc>
      </w:tr>
      <w:tr w14:paraId="639D1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0" w:hRule="atLeast"/>
        </w:trPr>
        <w:tc>
          <w:tcPr>
            <w:tcW w:w="692" w:type="dxa"/>
            <w:vAlign w:val="center"/>
          </w:tcPr>
          <w:p w14:paraId="314B4B6B">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w:t>
            </w:r>
          </w:p>
        </w:tc>
        <w:tc>
          <w:tcPr>
            <w:tcW w:w="796" w:type="dxa"/>
            <w:vMerge w:val="restart"/>
            <w:vAlign w:val="center"/>
          </w:tcPr>
          <w:p w14:paraId="480B1B3D">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大数据融合分节点</w:t>
            </w:r>
          </w:p>
        </w:tc>
        <w:tc>
          <w:tcPr>
            <w:tcW w:w="854" w:type="dxa"/>
            <w:vMerge w:val="restart"/>
            <w:vAlign w:val="center"/>
          </w:tcPr>
          <w:p w14:paraId="28378C9C">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大数据平台基础模块</w:t>
            </w:r>
          </w:p>
        </w:tc>
        <w:tc>
          <w:tcPr>
            <w:tcW w:w="2031" w:type="dxa"/>
            <w:gridSpan w:val="2"/>
            <w:vAlign w:val="center"/>
          </w:tcPr>
          <w:p w14:paraId="0B201089">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数据计算平台基础模块</w:t>
            </w:r>
          </w:p>
        </w:tc>
        <w:tc>
          <w:tcPr>
            <w:tcW w:w="7457" w:type="dxa"/>
            <w:vAlign w:val="center"/>
          </w:tcPr>
          <w:p w14:paraId="759DFC4B">
            <w:pPr>
              <w:keepNext w:val="0"/>
              <w:keepLines w:val="0"/>
              <w:widowControl/>
              <w:suppressLineNumbers w:val="0"/>
              <w:spacing w:before="0" w:beforeAutospacing="0" w:after="0" w:afterAutospacing="0"/>
              <w:ind w:left="0" w:right="0"/>
              <w:jc w:val="left"/>
              <w:textAlignment w:val="center"/>
              <w:rPr>
                <w:rFonts w:hint="default" w:ascii="宋体" w:hAnsi="宋体" w:cs="宋体"/>
                <w:kern w:val="0"/>
                <w:sz w:val="24"/>
                <w:lang w:bidi="ar"/>
              </w:rPr>
            </w:pPr>
            <w:r>
              <w:rPr>
                <w:rFonts w:hint="eastAsia" w:ascii="宋体" w:hAnsi="宋体" w:cs="宋体"/>
                <w:color w:val="000000"/>
                <w:kern w:val="0"/>
                <w:sz w:val="24"/>
                <w:lang w:bidi="ar"/>
              </w:rPr>
              <w:t>平台基础软件模块作为计算平台的基础模块，</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1、提供分布式资源协调服务ZooKeeper。提供内存计算框架Spark。提供实时搜索和分析引擎ElasticSearch。提供元数据中心服务，支持Atlas元数据管。</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2、支持多种计算引擎：支持JDBC、Spark计算引擎。</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支持多种数据源：支持ElasticSearch、PostgreSQL、Greenplum等数据源。支持多种分析场景：支持交互式分析、即席查询、统计分析、全文检索等各种数据分析场景。</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3、支持数据安全：支持表级别、字段级别的安全控制，支持列脱敏处理，支持行过滤控制。</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4、集群部署：提供图形化安装部署，支持大数据组件的向导式安装部署、自动化配置，支持用户根据界面指引一步一步完成集群部署。</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节点管理：提供大数据集群的概况管理，包括节点健康状况、资源使用率、服务实例状态。支持集群的在线扩容、重启等服务。服务管理：支持组件服务详情展示，包括服务类型、服务版本、角色实例、运行状态。支持组件服务的启/停、卸载操作。支持新服务添加部署和在线升级。</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告警信息：支持实时告警、历史告警、告警级别，支持自定义告警统计周期及告警刷新频率。</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6、精细化监控：支持仪表盘展示集群精细化监控指标，包括所有组件服务的健康状况以及各类硬件资源负载情况；支持查看组件详细监控信息，包括组件的健康状况、特征指标、资源负载等；支持查看磁盘和网络专题监控信息。支持HA（HighAvailability）高可用: 存储组件（ElasticSearch、Greenplum）高可用，Zookeeper、Kafka等组件实现HA部署，保证系统高可用。</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7、支持脱敏规则的新增、查看详情、启用、停用、编辑、删除操作。支持数据组织展示脱敏、数据地图展示脱敏、离线开发数据分析脱敏、离线开发数据集成脱敏等四种不同脱敏场景。</w:t>
            </w:r>
            <w:r>
              <w:rPr>
                <w:rFonts w:hint="eastAsia" w:ascii="宋体" w:hAnsi="宋体" w:cs="宋体"/>
                <w:color w:val="000000"/>
                <w:kern w:val="0"/>
                <w:sz w:val="24"/>
                <w:lang w:bidi="ar"/>
              </w:rPr>
              <w:br w:type="textWrapping"/>
            </w:r>
            <w:r>
              <w:rPr>
                <w:rFonts w:hint="eastAsia" w:ascii="宋体" w:hAnsi="宋体" w:cs="宋体"/>
                <w:kern w:val="0"/>
                <w:sz w:val="24"/>
                <w:lang w:bidi="ar"/>
              </w:rPr>
              <w:t>8、支持将资源诊断的结果应用到任务中。点击一键优化功能按钮，可以自动的将任务的优化项设置到任务的配置项中。</w:t>
            </w:r>
          </w:p>
          <w:p w14:paraId="718615DE">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kern w:val="0"/>
                <w:sz w:val="24"/>
                <w:lang w:bidi="ar"/>
              </w:rPr>
              <w:t>9、支持可视化图表的方式查看各个维度的数据量条数统计，支持按单任务级别进行处理数据量的统计，包括成功量，失败量，积压量等维度；支持按服务节点级别汇聚所有任务的数据处理量总和，以折线图方式展示不同时段的数据量统计，支持查看成功量、失败量的历史数据统计，查看近一月、近一周、近一天、近一小时内的数据处理量统计图表。</w:t>
            </w:r>
          </w:p>
        </w:tc>
        <w:tc>
          <w:tcPr>
            <w:tcW w:w="1120" w:type="dxa"/>
            <w:vAlign w:val="center"/>
          </w:tcPr>
          <w:p w14:paraId="7EDFC5D2">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项</w:t>
            </w:r>
          </w:p>
        </w:tc>
        <w:tc>
          <w:tcPr>
            <w:tcW w:w="1046" w:type="dxa"/>
            <w:vAlign w:val="center"/>
          </w:tcPr>
          <w:p w14:paraId="186DAC80">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w:t>
            </w:r>
          </w:p>
        </w:tc>
      </w:tr>
      <w:tr w14:paraId="3E524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2" w:type="dxa"/>
            <w:vAlign w:val="center"/>
          </w:tcPr>
          <w:p w14:paraId="2B19A027">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2</w:t>
            </w:r>
          </w:p>
        </w:tc>
        <w:tc>
          <w:tcPr>
            <w:tcW w:w="796" w:type="dxa"/>
            <w:vMerge w:val="continue"/>
            <w:vAlign w:val="center"/>
          </w:tcPr>
          <w:p w14:paraId="62500F41">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854" w:type="dxa"/>
            <w:vMerge w:val="continue"/>
            <w:vAlign w:val="center"/>
          </w:tcPr>
          <w:p w14:paraId="029486E0">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2031" w:type="dxa"/>
            <w:gridSpan w:val="2"/>
            <w:vAlign w:val="center"/>
          </w:tcPr>
          <w:p w14:paraId="5D755C47">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数据计算任务调度引擎</w:t>
            </w:r>
          </w:p>
        </w:tc>
        <w:tc>
          <w:tcPr>
            <w:tcW w:w="7457" w:type="dxa"/>
            <w:vAlign w:val="center"/>
          </w:tcPr>
          <w:p w14:paraId="7F1F964C">
            <w:pPr>
              <w:keepNext w:val="0"/>
              <w:keepLines w:val="0"/>
              <w:widowControl/>
              <w:suppressLineNumbers w:val="0"/>
              <w:spacing w:before="0" w:beforeAutospacing="0" w:after="0" w:afterAutospacing="0"/>
              <w:ind w:left="0" w:right="0"/>
              <w:jc w:val="left"/>
              <w:textAlignment w:val="center"/>
              <w:rPr>
                <w:rFonts w:hint="default" w:ascii="宋体" w:hAnsi="宋体" w:cs="宋体"/>
                <w:kern w:val="0"/>
                <w:sz w:val="24"/>
                <w:lang w:bidi="ar"/>
              </w:rPr>
            </w:pPr>
            <w:r>
              <w:rPr>
                <w:rFonts w:hint="eastAsia" w:ascii="宋体" w:hAnsi="宋体" w:cs="宋体"/>
                <w:kern w:val="0"/>
                <w:sz w:val="24"/>
                <w:lang w:bidi="ar"/>
              </w:rPr>
              <w:t>1、提供通用流处理引擎、实时计算框架Flink。脚本管理：支持自定义创建和管理脚本目录；支持通过SQL、、JAR包方式快速编写和提交流计算应用。</w:t>
            </w:r>
            <w:r>
              <w:rPr>
                <w:rFonts w:hint="eastAsia" w:ascii="宋体" w:hAnsi="宋体" w:cs="宋体"/>
                <w:kern w:val="0"/>
                <w:sz w:val="24"/>
                <w:lang w:bidi="ar"/>
              </w:rPr>
              <w:br w:type="textWrapping"/>
            </w:r>
            <w:r>
              <w:rPr>
                <w:rFonts w:hint="eastAsia" w:ascii="宋体" w:hAnsi="宋体" w:cs="宋体"/>
                <w:kern w:val="0"/>
                <w:sz w:val="24"/>
                <w:lang w:bidi="ar"/>
              </w:rPr>
              <w:t>2、应用管理：支持流应用状态展示及管理；支持流应用作业详情页面查看；支持在线编辑应用；支持流应用的暂停、恢复和删除控制。</w:t>
            </w:r>
            <w:r>
              <w:rPr>
                <w:rFonts w:hint="eastAsia" w:ascii="宋体" w:hAnsi="宋体" w:cs="宋体"/>
                <w:kern w:val="0"/>
                <w:sz w:val="24"/>
                <w:lang w:bidi="ar"/>
              </w:rPr>
              <w:br w:type="textWrapping"/>
            </w:r>
            <w:r>
              <w:rPr>
                <w:rFonts w:hint="eastAsia" w:ascii="宋体" w:hAnsi="宋体" w:cs="宋体"/>
                <w:kern w:val="0"/>
                <w:sz w:val="24"/>
                <w:lang w:bidi="ar"/>
              </w:rPr>
              <w:t>3、在线调试：支持SQL语法在线检查；支持SQL在线调试；支持对应用并行度和TaskManager数量等计算资源配置。日志查询：支持流应用的在线监控；支持日志查询。                                                                                     4、资源管理：支持配置文件和依赖库管理；支持用户自定义Connector（Source和Sink）；支持用户自定义UDX（包括 UDF、UDTF 和 UDAF）。</w:t>
            </w:r>
            <w:r>
              <w:rPr>
                <w:rFonts w:hint="eastAsia" w:ascii="宋体" w:hAnsi="宋体" w:cs="宋体"/>
                <w:kern w:val="0"/>
                <w:sz w:val="24"/>
                <w:lang w:bidi="ar"/>
              </w:rPr>
              <w:br w:type="textWrapping"/>
            </w:r>
            <w:r>
              <w:rPr>
                <w:rFonts w:hint="eastAsia" w:ascii="宋体" w:hAnsi="宋体" w:cs="宋体"/>
                <w:kern w:val="0"/>
                <w:sz w:val="24"/>
                <w:lang w:bidi="ar"/>
              </w:rPr>
              <w:t>5、支持FLINKSQL任务和FLINK JAR任务的资源调优。支持用户自定义配置调优项，如任务监测的频率、任务GC、内存使用率阈值等。支持自动推送的优化建议，支持一键启用优化配置项，调优过程中业务无影响。</w:t>
            </w:r>
          </w:p>
          <w:p w14:paraId="71E75AC6">
            <w:pPr>
              <w:keepNext w:val="0"/>
              <w:keepLines w:val="0"/>
              <w:widowControl/>
              <w:suppressLineNumbers w:val="0"/>
              <w:spacing w:before="0" w:beforeAutospacing="0" w:after="0" w:afterAutospacing="0"/>
              <w:ind w:left="0" w:right="0"/>
              <w:jc w:val="left"/>
              <w:textAlignment w:val="center"/>
              <w:rPr>
                <w:rFonts w:hint="default" w:ascii="宋体" w:hAnsi="宋体" w:cs="宋体"/>
                <w:sz w:val="24"/>
              </w:rPr>
            </w:pPr>
            <w:r>
              <w:rPr>
                <w:rFonts w:hint="eastAsia" w:ascii="宋体" w:hAnsi="宋体" w:cs="宋体"/>
                <w:kern w:val="0"/>
                <w:sz w:val="24"/>
                <w:lang w:bidi="ar"/>
              </w:rPr>
              <w:t>6、支持异构算力融合调度 cpu/内存/gpu；支持通过k8s完成任务的调度，支持任务申请GPU资源并根据申请能正确调度。</w:t>
            </w:r>
          </w:p>
        </w:tc>
        <w:tc>
          <w:tcPr>
            <w:tcW w:w="1120" w:type="dxa"/>
            <w:vAlign w:val="center"/>
          </w:tcPr>
          <w:p w14:paraId="3FD8F13F">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项</w:t>
            </w:r>
          </w:p>
        </w:tc>
        <w:tc>
          <w:tcPr>
            <w:tcW w:w="1046" w:type="dxa"/>
            <w:vAlign w:val="center"/>
          </w:tcPr>
          <w:p w14:paraId="651EF285">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w:t>
            </w:r>
          </w:p>
        </w:tc>
      </w:tr>
      <w:tr w14:paraId="60CD3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92" w:type="dxa"/>
            <w:vAlign w:val="center"/>
          </w:tcPr>
          <w:p w14:paraId="32494069">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3</w:t>
            </w:r>
          </w:p>
        </w:tc>
        <w:tc>
          <w:tcPr>
            <w:tcW w:w="796" w:type="dxa"/>
            <w:vMerge w:val="continue"/>
            <w:vAlign w:val="center"/>
          </w:tcPr>
          <w:p w14:paraId="02EE5AB9">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854" w:type="dxa"/>
            <w:vMerge w:val="continue"/>
            <w:vAlign w:val="center"/>
          </w:tcPr>
          <w:p w14:paraId="5AD935F1">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2031" w:type="dxa"/>
            <w:gridSpan w:val="2"/>
            <w:vAlign w:val="center"/>
          </w:tcPr>
          <w:p w14:paraId="1B1DFA80">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计算存储引擎</w:t>
            </w:r>
          </w:p>
        </w:tc>
        <w:tc>
          <w:tcPr>
            <w:tcW w:w="7457" w:type="dxa"/>
            <w:vAlign w:val="center"/>
          </w:tcPr>
          <w:p w14:paraId="7550D0E0">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1、提供消息发布订阅系统Kafka、分布式并行处理数据库Greenplum、关系型数据库PostgreSQL;存储计算引擎支持线性扩容，扩容后支持Web化管理节点间数据负载均衡 ；</w:t>
            </w:r>
            <w:r>
              <w:rPr>
                <w:rFonts w:hint="eastAsia" w:ascii="宋体" w:hAnsi="宋体" w:cs="宋体"/>
                <w:color w:val="000000"/>
                <w:kern w:val="0"/>
                <w:sz w:val="24"/>
                <w:lang w:bidi="ar"/>
              </w:rPr>
              <w:br w:type="textWrapping"/>
            </w:r>
            <w:r>
              <w:rPr>
                <w:rFonts w:hint="eastAsia" w:ascii="宋体" w:hAnsi="宋体" w:cs="宋体"/>
                <w:kern w:val="0"/>
                <w:sz w:val="24"/>
                <w:lang w:bidi="ar"/>
              </w:rPr>
              <w:t>2、支持对于SPARK、Hive on Spark任务进行资源分析。诊断信息包含最近一次任务运行时间、ExecutorGC情况（GC时间、运行时间）、Executor内存情况（运行最大内存、配置的最大内存）、Driver内存使用情况（运行最大内存、配置的最大内存）。同时标识出某个指标是否存在风险。并结合当前任务的配置项，给出每个配置项相应的优化信息。</w:t>
            </w:r>
          </w:p>
        </w:tc>
        <w:tc>
          <w:tcPr>
            <w:tcW w:w="1120" w:type="dxa"/>
            <w:vAlign w:val="center"/>
          </w:tcPr>
          <w:p w14:paraId="66164D8D">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项</w:t>
            </w:r>
          </w:p>
        </w:tc>
        <w:tc>
          <w:tcPr>
            <w:tcW w:w="1046" w:type="dxa"/>
            <w:vAlign w:val="center"/>
          </w:tcPr>
          <w:p w14:paraId="44E62736">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w:t>
            </w:r>
          </w:p>
        </w:tc>
      </w:tr>
      <w:tr w14:paraId="6817D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2" w:type="dxa"/>
            <w:vAlign w:val="center"/>
          </w:tcPr>
          <w:p w14:paraId="517F9EDE">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4</w:t>
            </w:r>
          </w:p>
        </w:tc>
        <w:tc>
          <w:tcPr>
            <w:tcW w:w="796" w:type="dxa"/>
            <w:vMerge w:val="continue"/>
            <w:vAlign w:val="center"/>
          </w:tcPr>
          <w:p w14:paraId="2C434862">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854" w:type="dxa"/>
            <w:vAlign w:val="center"/>
          </w:tcPr>
          <w:p w14:paraId="1E2E0BCB">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数据集成</w:t>
            </w:r>
          </w:p>
        </w:tc>
        <w:tc>
          <w:tcPr>
            <w:tcW w:w="2031" w:type="dxa"/>
            <w:gridSpan w:val="2"/>
            <w:vAlign w:val="center"/>
          </w:tcPr>
          <w:p w14:paraId="11EE73E8">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数据对接</w:t>
            </w:r>
          </w:p>
        </w:tc>
        <w:tc>
          <w:tcPr>
            <w:tcW w:w="7457" w:type="dxa"/>
            <w:vAlign w:val="center"/>
          </w:tcPr>
          <w:p w14:paraId="61BA83C7">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通过API接口或者其它接口的方式，和现有的各个委办局政务平台如交通运输、水利、城管、文旅、环保、应急、住建、市场监督管理局、林业草原和自然资源局、县教育局等多个委办局平台对接，获取各个委办局平台的数据，实现资源共享；</w:t>
            </w:r>
            <w:r>
              <w:rPr>
                <w:rFonts w:hint="eastAsia" w:ascii="宋体" w:hAnsi="宋体" w:cs="宋体"/>
                <w:kern w:val="0"/>
                <w:sz w:val="24"/>
                <w:lang w:bidi="ar"/>
              </w:rPr>
              <w:t>同时，后期预留API接口和州大数据平台对接，获取州大数据平台数据，实现资源共享。</w:t>
            </w:r>
          </w:p>
        </w:tc>
        <w:tc>
          <w:tcPr>
            <w:tcW w:w="1120" w:type="dxa"/>
            <w:vAlign w:val="center"/>
          </w:tcPr>
          <w:p w14:paraId="39BFE104">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项</w:t>
            </w:r>
          </w:p>
        </w:tc>
        <w:tc>
          <w:tcPr>
            <w:tcW w:w="1046" w:type="dxa"/>
            <w:vAlign w:val="center"/>
          </w:tcPr>
          <w:p w14:paraId="3CADB70D">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w:t>
            </w:r>
          </w:p>
        </w:tc>
      </w:tr>
      <w:tr w14:paraId="1972D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92" w:type="dxa"/>
            <w:vAlign w:val="center"/>
          </w:tcPr>
          <w:p w14:paraId="59B1F65E">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5</w:t>
            </w:r>
          </w:p>
        </w:tc>
        <w:tc>
          <w:tcPr>
            <w:tcW w:w="796" w:type="dxa"/>
            <w:vMerge w:val="continue"/>
            <w:vAlign w:val="center"/>
          </w:tcPr>
          <w:p w14:paraId="5DE253E1">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854" w:type="dxa"/>
            <w:vAlign w:val="center"/>
          </w:tcPr>
          <w:p w14:paraId="279F2383">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数据治理</w:t>
            </w:r>
          </w:p>
        </w:tc>
        <w:tc>
          <w:tcPr>
            <w:tcW w:w="2031" w:type="dxa"/>
            <w:gridSpan w:val="2"/>
            <w:vAlign w:val="center"/>
          </w:tcPr>
          <w:p w14:paraId="7FE84069">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数据内容治理</w:t>
            </w:r>
          </w:p>
        </w:tc>
        <w:tc>
          <w:tcPr>
            <w:tcW w:w="7457" w:type="dxa"/>
            <w:vAlign w:val="center"/>
          </w:tcPr>
          <w:p w14:paraId="20D98D65">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根据需求，对本县交通运输、水利、城管、文旅、环保、应急、住建、市场监督管理局、林业草原和自然资源局、政法委、县教育局等多个委办局数据通过数据平台对接并进行汇聚治理、数据提取 、数据清洗 、数据关联 、数据标识、 数据对比，形成标准化的数据。</w:t>
            </w:r>
          </w:p>
        </w:tc>
        <w:tc>
          <w:tcPr>
            <w:tcW w:w="1120" w:type="dxa"/>
            <w:vAlign w:val="center"/>
          </w:tcPr>
          <w:p w14:paraId="7695AE90">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项</w:t>
            </w:r>
          </w:p>
        </w:tc>
        <w:tc>
          <w:tcPr>
            <w:tcW w:w="1046" w:type="dxa"/>
            <w:vAlign w:val="center"/>
          </w:tcPr>
          <w:p w14:paraId="26086439">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w:t>
            </w:r>
          </w:p>
        </w:tc>
      </w:tr>
      <w:tr w14:paraId="5DD92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0" w:hRule="atLeast"/>
        </w:trPr>
        <w:tc>
          <w:tcPr>
            <w:tcW w:w="692" w:type="dxa"/>
            <w:vAlign w:val="center"/>
          </w:tcPr>
          <w:p w14:paraId="762D9EDC">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6</w:t>
            </w:r>
          </w:p>
        </w:tc>
        <w:tc>
          <w:tcPr>
            <w:tcW w:w="796" w:type="dxa"/>
            <w:vMerge w:val="continue"/>
            <w:vAlign w:val="center"/>
          </w:tcPr>
          <w:p w14:paraId="0284C3D1">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854" w:type="dxa"/>
            <w:vAlign w:val="center"/>
          </w:tcPr>
          <w:p w14:paraId="2DEC12B6">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数据组织</w:t>
            </w:r>
          </w:p>
        </w:tc>
        <w:tc>
          <w:tcPr>
            <w:tcW w:w="2031" w:type="dxa"/>
            <w:gridSpan w:val="2"/>
            <w:vAlign w:val="center"/>
          </w:tcPr>
          <w:p w14:paraId="043A254B">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数据内容开发</w:t>
            </w:r>
          </w:p>
        </w:tc>
        <w:tc>
          <w:tcPr>
            <w:tcW w:w="7457" w:type="dxa"/>
            <w:vAlign w:val="center"/>
          </w:tcPr>
          <w:p w14:paraId="780C3BB1">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支持系统新建工作流的菜单，使用专题库任务、复合专题任务、主题搜索任务、数仓库任务、搜索库任务、标签任务、节点任务、边任务、流计算任务、Spark任务、JDBC-SQL任务、Python任务等任务类型的功能</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支持工作流（DAG有向无环图）的创建、编辑，基本信息包括工作流名称、所属文件夹、失败策略、工作流描述。</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支持模板同步引用，系统选择保存模板，工作流存为模板，同步到模板列表；选择加载模板，调用模板加载的功能</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支持开始、结束、AndOr控制节点。</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支持子任务节点根据不同业务需求选择对应的任务类型，可对任务输入、输出和处理配置进行参数配置</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支持任务目录的新建、删除、编辑、重命名，以及目录多层级的嵌套统计。</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支持多个工作流DAG可视化操作，工作流之间可来回切换编排任务。</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支持快速查看最近5次运行记录，并显示运行状态，可查看更多进入历史工作流实例。</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支持任务节点在模式下连线后，自动形成任务依赖关系，删除连线则自动取消任务依赖关系。</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支持Spark任务组合编排，多个Spark任务组合成一个任务组，以嵌套方式在中展示，并可对任务组内的任务可视化页面自定义配置。</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支持ETL任务、Shell任务、图库任务、跨工作流任务等任务类型的功能</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支持任务输入配置，可指定数据源作为任务的输入，可查看输入的数据源、数据表相关信息，也可对数据表的字段进行映射操作，以及属性配置</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支持任务输出配置，可指定数据源作为任务的输出，可查看输出的数据源、数据表相关信息，也可对数据表的字段进行映射操作，以及属性配置。</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支持任务的优先级设置，可对任务执行设置不同的优先级</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支持任务多版本管理，不同版本的任务记录不同的输入参数、输出参数、任务代码和运行参数。</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支持任务的前置依赖关系Web界面配置，依赖关系的任务在中自动连线，直观显示任务之间上下游关系，可对任务依赖判断条件进行多层嵌套组合配置，包括且、或关联条件的功能。</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支持算子引用模式，支持对Java、SQL算子、Python算子的引用，并可对算子进行参数配置，且python算子引用可设置主入口算子</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支持SQL的智能提示，提供包括关键字、内置函数等提示功能</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支持Python的智能提示，提供包括关键字、内置函数等提示功能</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支持任务处理的变量传参配置，日期格式，日期变量是基于周期任务计划时间进行动态取值</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支持Spark任务组编排，多个Spark任务组合成一个任务组，以嵌套方式在中展示，并可对任务组内的任务可视化页面自定义配置。</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根据需求，对本县各个委办局原始数据通过数据中台分析治理后生成专题库。</w:t>
            </w:r>
          </w:p>
        </w:tc>
        <w:tc>
          <w:tcPr>
            <w:tcW w:w="1120" w:type="dxa"/>
            <w:vAlign w:val="center"/>
          </w:tcPr>
          <w:p w14:paraId="3A45343D">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项</w:t>
            </w:r>
          </w:p>
        </w:tc>
        <w:tc>
          <w:tcPr>
            <w:tcW w:w="1046" w:type="dxa"/>
            <w:vAlign w:val="center"/>
          </w:tcPr>
          <w:p w14:paraId="6FF06D72">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w:t>
            </w:r>
          </w:p>
        </w:tc>
      </w:tr>
      <w:tr w14:paraId="4DC25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692" w:type="dxa"/>
            <w:vAlign w:val="center"/>
          </w:tcPr>
          <w:p w14:paraId="15E77A4F">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7</w:t>
            </w:r>
          </w:p>
        </w:tc>
        <w:tc>
          <w:tcPr>
            <w:tcW w:w="796" w:type="dxa"/>
            <w:vMerge w:val="continue"/>
            <w:vAlign w:val="center"/>
          </w:tcPr>
          <w:p w14:paraId="3B3A6833">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854" w:type="dxa"/>
            <w:vMerge w:val="restart"/>
            <w:vAlign w:val="center"/>
          </w:tcPr>
          <w:p w14:paraId="20B5AB52">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数据服务</w:t>
            </w:r>
          </w:p>
        </w:tc>
        <w:tc>
          <w:tcPr>
            <w:tcW w:w="2031" w:type="dxa"/>
            <w:gridSpan w:val="2"/>
            <w:vAlign w:val="center"/>
          </w:tcPr>
          <w:p w14:paraId="28F1A475">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数据资产</w:t>
            </w:r>
          </w:p>
        </w:tc>
        <w:tc>
          <w:tcPr>
            <w:tcW w:w="7457" w:type="dxa"/>
            <w:vAlign w:val="center"/>
          </w:tcPr>
          <w:p w14:paraId="22F9D5E3">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支持从数据源中选择数据表进行基础接口参数配置</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支持向导方式自定义配置基础接口，包括参数配置、联表配置、条件配置、分组配置、返回值配置、排序配置</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支持系统编写SQL配置基础接口的功能</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SQL方式自定义配置基础接口，可将SQL代码的请求参数、返回值参数解析至参数配置、返回值配置，支持将平台已有的库表资源按照规则配置发布成数据资产，支持配置数据资产的基础信息和开放的信息项，支持导入已有表的字段或者自定义字段进行管理开放。</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支持数据资产分类管理，系统新增、导入数据资产分类的功能</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支持管理员数据资产管理功能，系统管理员对平台内所有数据源表进行选择性分类配置管理。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支持数据资产详情，系统查看数据资产的质量评分、最近更新时间、数据量，并支持对数据的预览、查看数据关联的接口、查看数据量趋势图的功能</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支持不关联已有库表，新建数据资产，自定义信息项后发布，数据资产的状态为未归集。关联表之后状态变为已归集。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支持批量导入数据资产。</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支持按归集状态、发布状态筛选数据资源资产，支持按信息资源名称、信息资源代码搜索数据资产。</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支持将平台已有的接口资源配置成接口资产，发布到平台开放中心，发布后支持撤销发布。</w:t>
            </w:r>
          </w:p>
        </w:tc>
        <w:tc>
          <w:tcPr>
            <w:tcW w:w="1120" w:type="dxa"/>
            <w:vAlign w:val="center"/>
          </w:tcPr>
          <w:p w14:paraId="2AB8135B">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项</w:t>
            </w:r>
          </w:p>
        </w:tc>
        <w:tc>
          <w:tcPr>
            <w:tcW w:w="1046" w:type="dxa"/>
            <w:vAlign w:val="center"/>
          </w:tcPr>
          <w:p w14:paraId="4C19B6A3">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w:t>
            </w:r>
          </w:p>
        </w:tc>
      </w:tr>
      <w:tr w14:paraId="30F85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692" w:type="dxa"/>
            <w:vAlign w:val="center"/>
          </w:tcPr>
          <w:p w14:paraId="46B72376">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8</w:t>
            </w:r>
          </w:p>
        </w:tc>
        <w:tc>
          <w:tcPr>
            <w:tcW w:w="796" w:type="dxa"/>
            <w:vMerge w:val="continue"/>
            <w:vAlign w:val="center"/>
          </w:tcPr>
          <w:p w14:paraId="6A4402FC">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854" w:type="dxa"/>
            <w:vMerge w:val="continue"/>
            <w:vAlign w:val="center"/>
          </w:tcPr>
          <w:p w14:paraId="0183F897">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2031" w:type="dxa"/>
            <w:gridSpan w:val="2"/>
            <w:vAlign w:val="center"/>
          </w:tcPr>
          <w:p w14:paraId="30E44F01">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计算资源调度服务</w:t>
            </w:r>
          </w:p>
        </w:tc>
        <w:tc>
          <w:tcPr>
            <w:tcW w:w="7457" w:type="dxa"/>
            <w:vAlign w:val="center"/>
          </w:tcPr>
          <w:p w14:paraId="6ED6FFE1">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支持跨引擎任务关联调度，通过构建不同引擎任务之间DAG实现任务调度依赖。如Spark任务可依赖JDBC-SQL任务。</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支持工作流调度的跨周期依赖配置，同一工作流不同调度周期的实例，可不依赖上一调度周期运行情况，也可自依赖，等待上一调度周期运行完成，下一周期实例才能开始运行。</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支持集成ETL任务、跨工作流任务、Shell等任务，统一工作流编排与调度能力</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支持工作流的试运行，需指定历史调度时间。</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支持查看工作流下的所有任务详情。包括任务名称、任务类型、任务状态、最新修改时间、最近编辑人、是否共享、查看前置依赖、查看历史实例、查看版本等操作。</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支持任务名称、任务类型、输入表物理名、输出表物理名的关键词查询。</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支持未上线的工作流中的任务试运行范围设置，可任意指定上游任务、下游任务、当前任务的任务范围运行。</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支持已上线的工作流中的任务运行范围设置，指定历史调度时间，指定上游任务、下游任务、当前任务的任务范围运行。</w:t>
            </w:r>
          </w:p>
        </w:tc>
        <w:tc>
          <w:tcPr>
            <w:tcW w:w="1120" w:type="dxa"/>
            <w:vAlign w:val="center"/>
          </w:tcPr>
          <w:p w14:paraId="4D257996">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项</w:t>
            </w:r>
          </w:p>
        </w:tc>
        <w:tc>
          <w:tcPr>
            <w:tcW w:w="1046" w:type="dxa"/>
            <w:vAlign w:val="center"/>
          </w:tcPr>
          <w:p w14:paraId="3F9A59CB">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w:t>
            </w:r>
          </w:p>
        </w:tc>
      </w:tr>
      <w:tr w14:paraId="78E2E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2" w:type="dxa"/>
            <w:vAlign w:val="center"/>
          </w:tcPr>
          <w:p w14:paraId="484B31B3">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9</w:t>
            </w:r>
          </w:p>
        </w:tc>
        <w:tc>
          <w:tcPr>
            <w:tcW w:w="796" w:type="dxa"/>
            <w:vMerge w:val="continue"/>
            <w:vAlign w:val="center"/>
          </w:tcPr>
          <w:p w14:paraId="23EA5E00">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854" w:type="dxa"/>
            <w:vMerge w:val="restart"/>
            <w:vAlign w:val="center"/>
          </w:tcPr>
          <w:p w14:paraId="5A712CAF">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数据采集管理系统</w:t>
            </w:r>
          </w:p>
        </w:tc>
        <w:tc>
          <w:tcPr>
            <w:tcW w:w="2031" w:type="dxa"/>
            <w:gridSpan w:val="2"/>
            <w:vAlign w:val="center"/>
          </w:tcPr>
          <w:p w14:paraId="696E54D8">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新建填报</w:t>
            </w:r>
          </w:p>
        </w:tc>
        <w:tc>
          <w:tcPr>
            <w:tcW w:w="7457" w:type="dxa"/>
            <w:vAlign w:val="center"/>
          </w:tcPr>
          <w:p w14:paraId="7C7B9BE6">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支持通过配置单行文本，数字，日期时间，下拉单选框等组件，配置数据填报（调查问卷）页面。</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通过填报页面的配置，来实现各委办局的数据采集业务。</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支持对填报模板进行编辑、删除，以便针对不同委办局的的临时填报需求进行修改。</w:t>
            </w:r>
          </w:p>
        </w:tc>
        <w:tc>
          <w:tcPr>
            <w:tcW w:w="1120" w:type="dxa"/>
            <w:vAlign w:val="center"/>
          </w:tcPr>
          <w:p w14:paraId="474E6A28">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项</w:t>
            </w:r>
          </w:p>
        </w:tc>
        <w:tc>
          <w:tcPr>
            <w:tcW w:w="1046" w:type="dxa"/>
            <w:vAlign w:val="center"/>
          </w:tcPr>
          <w:p w14:paraId="60CADAD1">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w:t>
            </w:r>
          </w:p>
        </w:tc>
      </w:tr>
      <w:tr w14:paraId="09BE6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692" w:type="dxa"/>
            <w:vAlign w:val="center"/>
          </w:tcPr>
          <w:p w14:paraId="676CA1EC">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10</w:t>
            </w:r>
          </w:p>
        </w:tc>
        <w:tc>
          <w:tcPr>
            <w:tcW w:w="796" w:type="dxa"/>
            <w:vMerge w:val="continue"/>
            <w:vAlign w:val="center"/>
          </w:tcPr>
          <w:p w14:paraId="236E7EDD">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854" w:type="dxa"/>
            <w:vMerge w:val="continue"/>
            <w:vAlign w:val="center"/>
          </w:tcPr>
          <w:p w14:paraId="67223910">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2031" w:type="dxa"/>
            <w:gridSpan w:val="2"/>
            <w:vAlign w:val="center"/>
          </w:tcPr>
          <w:p w14:paraId="0C10D292">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问卷分享</w:t>
            </w:r>
          </w:p>
        </w:tc>
        <w:tc>
          <w:tcPr>
            <w:tcW w:w="7457" w:type="dxa"/>
            <w:vAlign w:val="center"/>
          </w:tcPr>
          <w:p w14:paraId="3A358A68">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支持通过公开/加密方式分享问卷，供用户填写。</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支持各委办局通过电脑端及手机移动端进行快捷填报。同时，针对信息级别较高的填报内容，可通过认证方式进行用户认证后才可进行填报，有效的保证各委办局对于各级别填报信息的保护与分享。</w:t>
            </w:r>
          </w:p>
        </w:tc>
        <w:tc>
          <w:tcPr>
            <w:tcW w:w="1120" w:type="dxa"/>
            <w:vAlign w:val="center"/>
          </w:tcPr>
          <w:p w14:paraId="008CFFB4">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项</w:t>
            </w:r>
          </w:p>
        </w:tc>
        <w:tc>
          <w:tcPr>
            <w:tcW w:w="1046" w:type="dxa"/>
            <w:vAlign w:val="center"/>
          </w:tcPr>
          <w:p w14:paraId="52CCA776">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w:t>
            </w:r>
          </w:p>
        </w:tc>
      </w:tr>
      <w:tr w14:paraId="316FE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692" w:type="dxa"/>
            <w:vAlign w:val="center"/>
          </w:tcPr>
          <w:p w14:paraId="0A527A47">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11</w:t>
            </w:r>
          </w:p>
        </w:tc>
        <w:tc>
          <w:tcPr>
            <w:tcW w:w="796" w:type="dxa"/>
            <w:vMerge w:val="continue"/>
            <w:vAlign w:val="center"/>
          </w:tcPr>
          <w:p w14:paraId="0227165D">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854" w:type="dxa"/>
            <w:vMerge w:val="continue"/>
            <w:vAlign w:val="center"/>
          </w:tcPr>
          <w:p w14:paraId="56BC9329">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2031" w:type="dxa"/>
            <w:gridSpan w:val="2"/>
            <w:vAlign w:val="center"/>
          </w:tcPr>
          <w:p w14:paraId="4DE93337">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数据入库</w:t>
            </w:r>
          </w:p>
        </w:tc>
        <w:tc>
          <w:tcPr>
            <w:tcW w:w="7457" w:type="dxa"/>
            <w:vAlign w:val="center"/>
          </w:tcPr>
          <w:p w14:paraId="5DB73511">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通过各委办局填报收集的数据，系统支持将这些数据直接入库，作为数据源表进行存储，避免了手动统计收集数据的烦恼，并无需其他二次处理工作，大大缩短了用户从数据入库到数据分析的过程。支持直接将这些数据作为数据源表进行后续操作。方便各委办局在进行数据统计时，可根据周期进行统计。</w:t>
            </w:r>
          </w:p>
        </w:tc>
        <w:tc>
          <w:tcPr>
            <w:tcW w:w="1120" w:type="dxa"/>
            <w:vAlign w:val="center"/>
          </w:tcPr>
          <w:p w14:paraId="2372F130">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项</w:t>
            </w:r>
          </w:p>
        </w:tc>
        <w:tc>
          <w:tcPr>
            <w:tcW w:w="1046" w:type="dxa"/>
            <w:vAlign w:val="center"/>
          </w:tcPr>
          <w:p w14:paraId="2B1BB28A">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w:t>
            </w:r>
          </w:p>
        </w:tc>
      </w:tr>
      <w:tr w14:paraId="47C14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2" w:type="dxa"/>
            <w:vAlign w:val="center"/>
          </w:tcPr>
          <w:p w14:paraId="72306786">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12</w:t>
            </w:r>
          </w:p>
        </w:tc>
        <w:tc>
          <w:tcPr>
            <w:tcW w:w="796" w:type="dxa"/>
            <w:vMerge w:val="continue"/>
            <w:vAlign w:val="center"/>
          </w:tcPr>
          <w:p w14:paraId="4AF20133">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854" w:type="dxa"/>
            <w:vMerge w:val="continue"/>
            <w:vAlign w:val="center"/>
          </w:tcPr>
          <w:p w14:paraId="3363B630">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2031" w:type="dxa"/>
            <w:gridSpan w:val="2"/>
            <w:vAlign w:val="center"/>
          </w:tcPr>
          <w:p w14:paraId="1328691D">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模板数据管理</w:t>
            </w:r>
          </w:p>
        </w:tc>
        <w:tc>
          <w:tcPr>
            <w:tcW w:w="7457" w:type="dxa"/>
            <w:vAlign w:val="center"/>
          </w:tcPr>
          <w:p w14:paraId="259D4100">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支持数据批量导入，内嵌现有数据管理表，初始化加载并支持工作表增删改查追加等功能，以及模版下载。</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系统包含默认表单，可用默认表单快捷配置为各类模板，默认表单包含：预警信息表，事件信息表，人员信息表，部门信息表，场所信息表，社区信息表，应急物资信息表，车辆信息表等</w:t>
            </w:r>
          </w:p>
        </w:tc>
        <w:tc>
          <w:tcPr>
            <w:tcW w:w="1120" w:type="dxa"/>
            <w:vAlign w:val="center"/>
          </w:tcPr>
          <w:p w14:paraId="4DA22EC1">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项</w:t>
            </w:r>
          </w:p>
        </w:tc>
        <w:tc>
          <w:tcPr>
            <w:tcW w:w="1046" w:type="dxa"/>
            <w:vAlign w:val="center"/>
          </w:tcPr>
          <w:p w14:paraId="68CDA6D4">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w:t>
            </w:r>
          </w:p>
        </w:tc>
      </w:tr>
      <w:tr w14:paraId="4502E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92" w:type="dxa"/>
            <w:vAlign w:val="center"/>
          </w:tcPr>
          <w:p w14:paraId="6255BCD1">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13</w:t>
            </w:r>
          </w:p>
        </w:tc>
        <w:tc>
          <w:tcPr>
            <w:tcW w:w="796" w:type="dxa"/>
            <w:vMerge w:val="continue"/>
            <w:vAlign w:val="center"/>
          </w:tcPr>
          <w:p w14:paraId="41ECC788">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854" w:type="dxa"/>
            <w:vMerge w:val="continue"/>
            <w:vAlign w:val="center"/>
          </w:tcPr>
          <w:p w14:paraId="5031B706">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2031" w:type="dxa"/>
            <w:gridSpan w:val="2"/>
            <w:vAlign w:val="center"/>
          </w:tcPr>
          <w:p w14:paraId="7A3ADFEA">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数据统计</w:t>
            </w:r>
          </w:p>
        </w:tc>
        <w:tc>
          <w:tcPr>
            <w:tcW w:w="7457" w:type="dxa"/>
            <w:vAlign w:val="center"/>
          </w:tcPr>
          <w:p w14:paraId="69FC1F31">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各委办局收集的填报数据，不仅可以通过为二维表的形式查看详情，同时支持通过各类可视化的形式进行数据统计与展示，帮助用户通过数据看板，实现多维数据查看与统计。支持通过柱状图、饼状图、折线图、雷达图、桑基图、旭日图等图表类型进行数据展示。</w:t>
            </w:r>
          </w:p>
        </w:tc>
        <w:tc>
          <w:tcPr>
            <w:tcW w:w="1120" w:type="dxa"/>
            <w:vAlign w:val="center"/>
          </w:tcPr>
          <w:p w14:paraId="178A03C0">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项</w:t>
            </w:r>
          </w:p>
        </w:tc>
        <w:tc>
          <w:tcPr>
            <w:tcW w:w="1046" w:type="dxa"/>
            <w:vAlign w:val="center"/>
          </w:tcPr>
          <w:p w14:paraId="3B2194E4">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w:t>
            </w:r>
          </w:p>
        </w:tc>
      </w:tr>
      <w:tr w14:paraId="53626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692" w:type="dxa"/>
            <w:vAlign w:val="center"/>
          </w:tcPr>
          <w:p w14:paraId="60FEB22F">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14</w:t>
            </w:r>
          </w:p>
        </w:tc>
        <w:tc>
          <w:tcPr>
            <w:tcW w:w="796" w:type="dxa"/>
            <w:vMerge w:val="continue"/>
            <w:vAlign w:val="center"/>
          </w:tcPr>
          <w:p w14:paraId="7C929449">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854" w:type="dxa"/>
            <w:vMerge w:val="continue"/>
            <w:vAlign w:val="center"/>
          </w:tcPr>
          <w:p w14:paraId="1B1EBE37">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2031" w:type="dxa"/>
            <w:gridSpan w:val="2"/>
            <w:vAlign w:val="center"/>
          </w:tcPr>
          <w:p w14:paraId="1F6A275B">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权限隔离</w:t>
            </w:r>
          </w:p>
        </w:tc>
        <w:tc>
          <w:tcPr>
            <w:tcW w:w="7457" w:type="dxa"/>
            <w:vAlign w:val="center"/>
          </w:tcPr>
          <w:p w14:paraId="088B2A89">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对于填报过程和填报收集的所有数据，支持通过各类型权限隔离手段，实现不同委办局、不同角色甚至不同人员的数据查看权限隔离，实现同一份数据，不同的人看到的内容不一样的效果。支持针对用户角色进行填报权限配置，来实现填报数据来源的权限控制。支持系统内菜单权限的控制，即通过控制角色能访问系统菜单的不同，来控制每个角色在平台内的可操作范围。</w:t>
            </w:r>
          </w:p>
        </w:tc>
        <w:tc>
          <w:tcPr>
            <w:tcW w:w="1120" w:type="dxa"/>
            <w:vAlign w:val="center"/>
          </w:tcPr>
          <w:p w14:paraId="3DA59B7B">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项</w:t>
            </w:r>
          </w:p>
        </w:tc>
        <w:tc>
          <w:tcPr>
            <w:tcW w:w="1046" w:type="dxa"/>
            <w:vAlign w:val="center"/>
          </w:tcPr>
          <w:p w14:paraId="655D12E3">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w:t>
            </w:r>
          </w:p>
        </w:tc>
      </w:tr>
      <w:tr w14:paraId="60FC8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692" w:type="dxa"/>
            <w:vAlign w:val="center"/>
          </w:tcPr>
          <w:p w14:paraId="2FDFAE27">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15</w:t>
            </w:r>
          </w:p>
        </w:tc>
        <w:tc>
          <w:tcPr>
            <w:tcW w:w="796" w:type="dxa"/>
            <w:vMerge w:val="continue"/>
            <w:vAlign w:val="center"/>
          </w:tcPr>
          <w:p w14:paraId="537E3C28">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854" w:type="dxa"/>
            <w:vMerge w:val="restart"/>
            <w:vAlign w:val="center"/>
          </w:tcPr>
          <w:p w14:paraId="113FF25B">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数据服务总线</w:t>
            </w:r>
          </w:p>
        </w:tc>
        <w:tc>
          <w:tcPr>
            <w:tcW w:w="2031" w:type="dxa"/>
            <w:gridSpan w:val="2"/>
            <w:vAlign w:val="center"/>
          </w:tcPr>
          <w:p w14:paraId="740736BF">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数据资源集成开放</w:t>
            </w:r>
          </w:p>
        </w:tc>
        <w:tc>
          <w:tcPr>
            <w:tcW w:w="7457" w:type="dxa"/>
            <w:vAlign w:val="center"/>
          </w:tcPr>
          <w:p w14:paraId="46033F19">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1、支持数据资源编目，编目对象为已集成的数据表（适用于有表编目场景）,完成编目工作后，可进行单个/批量发布，支持数据目录编辑、权限回收、删除等操作。</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（1）针对于有表编目，可基于已接入的数据表进行业务编目。</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2、支持展示所有已发布的数据资源目录信息，提供资源查询、资源申请、资源授权等服务。</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3、面向普通用户，支持查询已授权的数据资源信息，支持查看权限详情、查看回收记录。</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面向运营人员，支持数据资源权限管理，支持查询已授权数据资源的信息，支持查询权限详情，包括数据资源名称、申请授权的应用名称、最近授权时间、资源权限的操作日志等。此外，可查询即将到期或者已到期的资源，并进行快速过滤；可快速添加、修改、回收资源权限，并可查询资源的回收记录。</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5、支持展示数据资源成效报表，从数据资源和应用两个维度统计资源的接入、发布、授权、推送等运营情况。</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6、支持展示数据资源运营大屏，支持统计各类资源近30天的申请趋势、已授权的资源数量、近30天资源的使用情况、热门浏览的资源排名等信息。</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7、支持数据资源预警，包括归集数据量减少预警、编目一致性预警、归集任务异常预警、推送任务异常预警。</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8、支持数据资源目录分类管理，可配置多个维度、多个分类，为数据资源编目提供分类来源。</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9、支持配置数据资源的编目页、详情页、目录页的内容。</w:t>
            </w:r>
          </w:p>
        </w:tc>
        <w:tc>
          <w:tcPr>
            <w:tcW w:w="1120" w:type="dxa"/>
            <w:vAlign w:val="center"/>
          </w:tcPr>
          <w:p w14:paraId="1E167420">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项</w:t>
            </w:r>
          </w:p>
        </w:tc>
        <w:tc>
          <w:tcPr>
            <w:tcW w:w="1046" w:type="dxa"/>
            <w:vAlign w:val="center"/>
          </w:tcPr>
          <w:p w14:paraId="17599162">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w:t>
            </w:r>
          </w:p>
        </w:tc>
      </w:tr>
      <w:tr w14:paraId="66162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2" w:type="dxa"/>
            <w:vAlign w:val="center"/>
          </w:tcPr>
          <w:p w14:paraId="33779810">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16</w:t>
            </w:r>
          </w:p>
        </w:tc>
        <w:tc>
          <w:tcPr>
            <w:tcW w:w="796" w:type="dxa"/>
            <w:vMerge w:val="continue"/>
            <w:vAlign w:val="center"/>
          </w:tcPr>
          <w:p w14:paraId="54891F84">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854" w:type="dxa"/>
            <w:vMerge w:val="continue"/>
            <w:vAlign w:val="center"/>
          </w:tcPr>
          <w:p w14:paraId="3B997105">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2031" w:type="dxa"/>
            <w:gridSpan w:val="2"/>
            <w:vAlign w:val="center"/>
          </w:tcPr>
          <w:p w14:paraId="09BA91B3">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接口资源集成开放</w:t>
            </w:r>
          </w:p>
        </w:tc>
        <w:tc>
          <w:tcPr>
            <w:tcW w:w="7457" w:type="dxa"/>
            <w:vAlign w:val="center"/>
          </w:tcPr>
          <w:p w14:paraId="6ED74DF6">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1、支持接口资源编目管理，编目对象为接口网关为已集成的接口资源，接口编目用以描述接口业务相关的信息，</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2、编目完成后，可进行单个/批量发布，支持接口目录编辑、权限回收、删除等操作。</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3、支持展示所有已发布的接口资源目录信息，提供资源查询、资源申请、资源授权等服务。</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4、面向普通用户，支持查询授权的接口资源信息、权限详情，支持延长有效期申请、下载接口文档等操作。</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面向运营人员，支持接口资源权限管理，可查询所有已授权资源的信息，包括接口资源名称、最近授权时间、授权有效期、资源权限的操作日志、接口的调用次数和趋势、接口调用日志等。此外，可查询即将到期或者已到期的资源，并进行快速过滤；可快速添加、修改、回收资源权限，并可查询资源的回收记录。</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6、支持展示接口资源成效报表，从接口资源和应用两个维度统计资源的发布、授权、调用等运营情况。</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7、支持展示接口资源运营大屏，支持统计各类资源近30天的申请趋势、已授权的资源数量、近30天资源的使用情况、热门浏览的资源排名等信息。</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8、支持接口资源预警，包括调用异常预警、暴力调用预警、总配额不足预警、资源申请不足预警、资源申请过剩预警。</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9、支持接口资源目录分类管理，可配置多个维度、多个分类，为数据资源编目提供分类来源。</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10、支持配置接口资源的编目页、详情页、目录页的内容。</w:t>
            </w:r>
          </w:p>
        </w:tc>
        <w:tc>
          <w:tcPr>
            <w:tcW w:w="1120" w:type="dxa"/>
            <w:vAlign w:val="center"/>
          </w:tcPr>
          <w:p w14:paraId="640224E9">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项</w:t>
            </w:r>
          </w:p>
        </w:tc>
        <w:tc>
          <w:tcPr>
            <w:tcW w:w="1046" w:type="dxa"/>
            <w:vAlign w:val="center"/>
          </w:tcPr>
          <w:p w14:paraId="0D4A8A29">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w:t>
            </w:r>
          </w:p>
        </w:tc>
      </w:tr>
      <w:tr w14:paraId="6DFED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692" w:type="dxa"/>
            <w:vAlign w:val="center"/>
          </w:tcPr>
          <w:p w14:paraId="1853B587">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17</w:t>
            </w:r>
          </w:p>
        </w:tc>
        <w:tc>
          <w:tcPr>
            <w:tcW w:w="796" w:type="dxa"/>
            <w:vMerge w:val="continue"/>
            <w:vAlign w:val="center"/>
          </w:tcPr>
          <w:p w14:paraId="081C69C8">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854" w:type="dxa"/>
            <w:vMerge w:val="continue"/>
            <w:vAlign w:val="center"/>
          </w:tcPr>
          <w:p w14:paraId="1D8EB495">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2031" w:type="dxa"/>
            <w:gridSpan w:val="2"/>
            <w:vAlign w:val="center"/>
          </w:tcPr>
          <w:p w14:paraId="3BDB566F">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数据资源交换引擎</w:t>
            </w:r>
          </w:p>
        </w:tc>
        <w:tc>
          <w:tcPr>
            <w:tcW w:w="7457" w:type="dxa"/>
            <w:vAlign w:val="center"/>
          </w:tcPr>
          <w:p w14:paraId="51B0C91F">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1、支持数据接入管理。针对于预编目的场景，在数据归集审批后，自动创建数据归集任务，可对所有的数据归集任务进行管理。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2、支持数据推送管理，在数据推送申请且审批通过后，支持自动创建数据推送任务，可对所有的数据推送任务进行管理。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3、支持前置交换节点管理，支持关联应用下添加Dameng、Greenplum、MySQL、Oracle、PostgreSQL、SQLServer类型的数据源，支持连接测试。</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支持数据资源集成，支持对接数据库、文件、数据接口、消息队列等在内的14类数据资源，包括Oracle、MySQL、SQLServer、PostgreSQL、Kafka、RabbitMQ、TXT、FTP、Excel、CSV、Hive。在数据集成过程中，提供插件式的数据处理服务。</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5、支持数据任务管理，展示权限内所有任务，可查看任务工作名称、运行状态、实例状态执行时间等信息。</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6、支持数据资源运维，提供运行状况分析、异常监控、可视化仪表盘等查询分析能力。支持查看回溯任务运行情况，提供整体任务监控与统计。</w:t>
            </w:r>
          </w:p>
        </w:tc>
        <w:tc>
          <w:tcPr>
            <w:tcW w:w="1120" w:type="dxa"/>
            <w:vAlign w:val="center"/>
          </w:tcPr>
          <w:p w14:paraId="5DADEFE8">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项</w:t>
            </w:r>
          </w:p>
        </w:tc>
        <w:tc>
          <w:tcPr>
            <w:tcW w:w="1046" w:type="dxa"/>
            <w:vAlign w:val="center"/>
          </w:tcPr>
          <w:p w14:paraId="1B7EA05B">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w:t>
            </w:r>
          </w:p>
        </w:tc>
      </w:tr>
      <w:tr w14:paraId="53E9A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2" w:type="dxa"/>
            <w:vAlign w:val="center"/>
          </w:tcPr>
          <w:p w14:paraId="3A3704D5">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18</w:t>
            </w:r>
          </w:p>
        </w:tc>
        <w:tc>
          <w:tcPr>
            <w:tcW w:w="796" w:type="dxa"/>
            <w:vMerge w:val="continue"/>
            <w:vAlign w:val="center"/>
          </w:tcPr>
          <w:p w14:paraId="0F58E4D8">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854" w:type="dxa"/>
            <w:vMerge w:val="continue"/>
            <w:vAlign w:val="center"/>
          </w:tcPr>
          <w:p w14:paraId="7CD1E716">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2031" w:type="dxa"/>
            <w:gridSpan w:val="2"/>
            <w:vAlign w:val="center"/>
          </w:tcPr>
          <w:p w14:paraId="611EDCA4">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接口资源服务网关</w:t>
            </w:r>
          </w:p>
        </w:tc>
        <w:tc>
          <w:tcPr>
            <w:tcW w:w="7457" w:type="dxa"/>
            <w:vAlign w:val="center"/>
          </w:tcPr>
          <w:p w14:paraId="3E271D81">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1、支持API接口资源集成，提供接口资源的注册、导入、编排、测试、上线、导出、删除等接口全生命周期管理能力，支持配置接口调用超时的策略、限制接口的最大日访问次数，支持通过配置脚本的方式快速处理请求预处理、请求后处理的内容，对原接口响应进行二次处理，不改动原接口的情况下，快速适配第三方要求。支持接口的消息协议转换，支持将JSON转XML、XML转JSON。</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2、支持通过可视化面板拖拽配置的方式进行编排API，支持添加、查询、编辑、上线、测试、删除等操作。</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3、支持应用服务管理，将无法对外暴露的接口以服务方式对外提供调用能力。提供完整的应用服务生命周期管理，覆盖应用服务注册、上线、授权、下线环节。</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4、支持接口运维，包括接口运行态势分析、接口告警规则管理、接口巡检任务、异步接口缓存监测、接口日志查询。</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5、支持接口安全管理，包括多层级的IP黑白名单管理、多维度的接口QPS访问次数控制、接口熔断管理、 API签名认证。</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6、支持接口应用管理。对于每一个应用，可查看获得的授权信息，包括API、API编排、服务的授权信息。</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7、支持插件管理，在接口调用过程中，转发前后的业务逻辑由插件实现。</w:t>
            </w:r>
          </w:p>
        </w:tc>
        <w:tc>
          <w:tcPr>
            <w:tcW w:w="1120" w:type="dxa"/>
            <w:vAlign w:val="center"/>
          </w:tcPr>
          <w:p w14:paraId="071006B6">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项</w:t>
            </w:r>
          </w:p>
        </w:tc>
        <w:tc>
          <w:tcPr>
            <w:tcW w:w="1046" w:type="dxa"/>
            <w:vAlign w:val="center"/>
          </w:tcPr>
          <w:p w14:paraId="6A54BF40">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w:t>
            </w:r>
          </w:p>
        </w:tc>
      </w:tr>
      <w:tr w14:paraId="0B3EC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trPr>
        <w:tc>
          <w:tcPr>
            <w:tcW w:w="692" w:type="dxa"/>
            <w:vAlign w:val="center"/>
          </w:tcPr>
          <w:p w14:paraId="0FDAB8EC">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19</w:t>
            </w:r>
          </w:p>
        </w:tc>
        <w:tc>
          <w:tcPr>
            <w:tcW w:w="796" w:type="dxa"/>
            <w:vMerge w:val="continue"/>
            <w:vAlign w:val="center"/>
          </w:tcPr>
          <w:p w14:paraId="42BCE32B">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854" w:type="dxa"/>
            <w:vMerge w:val="continue"/>
            <w:vAlign w:val="center"/>
          </w:tcPr>
          <w:p w14:paraId="7840AC3D">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2031" w:type="dxa"/>
            <w:gridSpan w:val="2"/>
            <w:vAlign w:val="center"/>
          </w:tcPr>
          <w:p w14:paraId="2CCD71A9">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资源授权管理</w:t>
            </w:r>
          </w:p>
        </w:tc>
        <w:tc>
          <w:tcPr>
            <w:tcW w:w="7457" w:type="dxa"/>
            <w:vAlign w:val="center"/>
          </w:tcPr>
          <w:p w14:paraId="162F6F44">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1、数据推送申请审批通过后，自动生成数据推送工单。支持按申请标题、数源单位、资源名称、工单状态、申请单位、更新时间等条件查询；数据实施人员可对数据推送工单进行接收、完成确认等操作。数据实施人员可对工单进行实施配置，支持数据范围管理、字段映射配置、推送配置、脏数据配置等功能。比对订阅申请审批通过后，自动生成比对订阅工单。支持按申请标题、数源单位、资源名称、工单状态、申请单位、更新时间等条件查询；数据实施人员可对比对订阅工单进行接收、完成确认等操作。数据实施人员可对工单进行实施配置，支持数据范围管理、字段映射配置、订阅配置、脏数据配置等功能</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2、支持统一的流程配置服务，包括配置流程节点、流程条件、审批人、审批页面等，通过拖拽控件的形式配置流程节点，降低操作难度。</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3、支持应用管理，对各部门登记的应用进行全局管理，支持应用注册、上架、下架、编辑、删除等管理操作，并支持查询已授权资源和已发布资源。</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提供运营人员、普通用户两类工作台，帮助用户快速了解当前平台已集成共享的资源统计情况、应用的统计情况、预警信息、资源到期提醒、待办流程、通知公告、常用功能模块入口、待处理的数据推送任务等内容。</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5、提供平台的操作使用手册、开发规范文档、对外API文档等内容的展示、查询、下载等服务，并支持上传、编辑等文档的维护操作。</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6、支持互动交流，为用户提供资源需求申请、问题反馈的入口。</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7、支持工作台、资源运营看板的界面自定义配置，通过拖拽控件部件的方式快速配置页面，支持页面编辑、删除、预览。</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8、支持用户管理，包括人员、菜单、用户、角色管理。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9、支持流程附件的管理，灵活应对不同的附件内容和格式需求。</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10、支持资源提供方管理，包括新增、导入、编辑、删除等操作，支持配置资源提供方的管理负责人，支持添加下级资源提供方。</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11、支持应用详情配置，可通过可视化页面的方式快速配置应用详情的内容。</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12、支持配置的用户登录信息、页面水印、资源一致性巡检定时任务的执行周期、是否开启资源发布审批流程等。</w:t>
            </w:r>
          </w:p>
        </w:tc>
        <w:tc>
          <w:tcPr>
            <w:tcW w:w="1120" w:type="dxa"/>
            <w:vAlign w:val="center"/>
          </w:tcPr>
          <w:p w14:paraId="5FBF0FF3">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项</w:t>
            </w:r>
          </w:p>
        </w:tc>
        <w:tc>
          <w:tcPr>
            <w:tcW w:w="1046" w:type="dxa"/>
            <w:vAlign w:val="center"/>
          </w:tcPr>
          <w:p w14:paraId="04483EF5">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w:t>
            </w:r>
          </w:p>
        </w:tc>
      </w:tr>
      <w:tr w14:paraId="4DBDD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3996" w:type="dxa"/>
            <w:gridSpan w:val="8"/>
            <w:vAlign w:val="center"/>
          </w:tcPr>
          <w:p w14:paraId="1459DEB0">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000000"/>
                <w:sz w:val="24"/>
              </w:rPr>
            </w:pPr>
            <w:r>
              <w:rPr>
                <w:rFonts w:hint="eastAsia" w:ascii="宋体" w:hAnsi="宋体" w:cs="宋体"/>
                <w:b/>
                <w:bCs/>
                <w:color w:val="000000"/>
                <w:kern w:val="0"/>
                <w:sz w:val="24"/>
                <w:lang w:val="en-US" w:eastAsia="zh-CN" w:bidi="ar"/>
              </w:rPr>
              <w:t>二</w:t>
            </w:r>
            <w:r>
              <w:rPr>
                <w:rFonts w:hint="eastAsia" w:ascii="宋体" w:hAnsi="宋体" w:cs="宋体"/>
                <w:b/>
                <w:bCs/>
                <w:color w:val="000000"/>
                <w:kern w:val="0"/>
                <w:sz w:val="24"/>
                <w:lang w:bidi="ar"/>
              </w:rPr>
              <w:t>、城市数字化共性基础平台--地理空间信息平台</w:t>
            </w:r>
          </w:p>
        </w:tc>
      </w:tr>
      <w:tr w14:paraId="13904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692" w:type="dxa"/>
            <w:vAlign w:val="center"/>
          </w:tcPr>
          <w:p w14:paraId="4E3BD0C1">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000000"/>
                <w:sz w:val="24"/>
              </w:rPr>
            </w:pPr>
            <w:r>
              <w:rPr>
                <w:rFonts w:hint="eastAsia" w:ascii="宋体" w:hAnsi="宋体" w:cs="宋体"/>
                <w:b/>
                <w:bCs/>
                <w:color w:val="000000"/>
                <w:kern w:val="0"/>
                <w:sz w:val="24"/>
                <w:lang w:bidi="ar"/>
              </w:rPr>
              <w:t>序号</w:t>
            </w:r>
          </w:p>
        </w:tc>
        <w:tc>
          <w:tcPr>
            <w:tcW w:w="796" w:type="dxa"/>
            <w:vAlign w:val="center"/>
          </w:tcPr>
          <w:p w14:paraId="0D6D06D4">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000000"/>
                <w:sz w:val="24"/>
              </w:rPr>
            </w:pPr>
            <w:r>
              <w:rPr>
                <w:rFonts w:hint="eastAsia" w:ascii="宋体" w:hAnsi="宋体" w:cs="宋体"/>
                <w:b/>
                <w:bCs/>
                <w:color w:val="000000"/>
                <w:kern w:val="0"/>
                <w:sz w:val="24"/>
                <w:lang w:bidi="ar"/>
              </w:rPr>
              <w:t>系统名称</w:t>
            </w:r>
          </w:p>
        </w:tc>
        <w:tc>
          <w:tcPr>
            <w:tcW w:w="854" w:type="dxa"/>
            <w:vAlign w:val="center"/>
          </w:tcPr>
          <w:p w14:paraId="771DF9DC">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000000"/>
                <w:sz w:val="24"/>
              </w:rPr>
            </w:pPr>
            <w:r>
              <w:rPr>
                <w:rFonts w:hint="eastAsia" w:ascii="宋体" w:hAnsi="宋体" w:cs="宋体"/>
                <w:b/>
                <w:bCs/>
                <w:color w:val="000000"/>
                <w:kern w:val="0"/>
                <w:sz w:val="24"/>
                <w:lang w:bidi="ar"/>
              </w:rPr>
              <w:t>一级功能</w:t>
            </w:r>
          </w:p>
        </w:tc>
        <w:tc>
          <w:tcPr>
            <w:tcW w:w="2031" w:type="dxa"/>
            <w:gridSpan w:val="2"/>
            <w:vAlign w:val="center"/>
          </w:tcPr>
          <w:p w14:paraId="53803286">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000000"/>
                <w:sz w:val="24"/>
              </w:rPr>
            </w:pPr>
            <w:r>
              <w:rPr>
                <w:rFonts w:hint="eastAsia" w:ascii="宋体" w:hAnsi="宋体" w:cs="宋体"/>
                <w:b/>
                <w:bCs/>
                <w:color w:val="000000"/>
                <w:kern w:val="0"/>
                <w:sz w:val="24"/>
                <w:lang w:bidi="ar"/>
              </w:rPr>
              <w:t>二级功能</w:t>
            </w:r>
          </w:p>
        </w:tc>
        <w:tc>
          <w:tcPr>
            <w:tcW w:w="7457" w:type="dxa"/>
            <w:vAlign w:val="center"/>
          </w:tcPr>
          <w:p w14:paraId="3197D967">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000000"/>
                <w:sz w:val="24"/>
              </w:rPr>
            </w:pPr>
            <w:r>
              <w:rPr>
                <w:rFonts w:hint="eastAsia" w:ascii="宋体" w:hAnsi="宋体" w:cs="宋体"/>
                <w:b/>
                <w:bCs/>
                <w:color w:val="000000"/>
                <w:kern w:val="0"/>
                <w:sz w:val="24"/>
                <w:lang w:bidi="ar"/>
              </w:rPr>
              <w:t>具体要求</w:t>
            </w:r>
          </w:p>
        </w:tc>
        <w:tc>
          <w:tcPr>
            <w:tcW w:w="1120" w:type="dxa"/>
            <w:vAlign w:val="center"/>
          </w:tcPr>
          <w:p w14:paraId="7BC5F376">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000000"/>
                <w:sz w:val="24"/>
              </w:rPr>
            </w:pPr>
            <w:r>
              <w:rPr>
                <w:rFonts w:hint="eastAsia" w:ascii="宋体" w:hAnsi="宋体" w:cs="宋体"/>
                <w:b/>
                <w:bCs/>
                <w:color w:val="000000"/>
                <w:kern w:val="0"/>
                <w:sz w:val="24"/>
                <w:lang w:bidi="ar"/>
              </w:rPr>
              <w:t>单位</w:t>
            </w:r>
          </w:p>
        </w:tc>
        <w:tc>
          <w:tcPr>
            <w:tcW w:w="1046" w:type="dxa"/>
            <w:vAlign w:val="center"/>
          </w:tcPr>
          <w:p w14:paraId="1A1A69F7">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000000"/>
                <w:sz w:val="24"/>
              </w:rPr>
            </w:pPr>
            <w:r>
              <w:rPr>
                <w:rFonts w:hint="eastAsia" w:ascii="宋体" w:hAnsi="宋体" w:cs="宋体"/>
                <w:b/>
                <w:bCs/>
                <w:color w:val="000000"/>
                <w:kern w:val="0"/>
                <w:sz w:val="24"/>
                <w:lang w:bidi="ar"/>
              </w:rPr>
              <w:t>数量</w:t>
            </w:r>
          </w:p>
        </w:tc>
      </w:tr>
      <w:tr w14:paraId="750AA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92" w:type="dxa"/>
            <w:vAlign w:val="center"/>
          </w:tcPr>
          <w:p w14:paraId="425F2665">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20</w:t>
            </w:r>
          </w:p>
        </w:tc>
        <w:tc>
          <w:tcPr>
            <w:tcW w:w="796" w:type="dxa"/>
            <w:vMerge w:val="restart"/>
            <w:vAlign w:val="center"/>
          </w:tcPr>
          <w:p w14:paraId="5A38BA52">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地理空间信息平台</w:t>
            </w:r>
          </w:p>
        </w:tc>
        <w:tc>
          <w:tcPr>
            <w:tcW w:w="854" w:type="dxa"/>
            <w:vMerge w:val="restart"/>
            <w:vAlign w:val="center"/>
          </w:tcPr>
          <w:p w14:paraId="4F156EFC">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空间数据可视化</w:t>
            </w:r>
          </w:p>
        </w:tc>
        <w:tc>
          <w:tcPr>
            <w:tcW w:w="2031" w:type="dxa"/>
            <w:gridSpan w:val="2"/>
            <w:vAlign w:val="center"/>
          </w:tcPr>
          <w:p w14:paraId="0FBCB7A4">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L1级数字底板</w:t>
            </w:r>
          </w:p>
        </w:tc>
        <w:tc>
          <w:tcPr>
            <w:tcW w:w="7457" w:type="dxa"/>
            <w:vAlign w:val="center"/>
          </w:tcPr>
          <w:p w14:paraId="3FA7AEA0">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支持尖扎县本项目空间数据采集基础部分1558平方千米全域卫星遥感影像或航空摄影等DOM数据、DEM数据、注记数据以及基础地理数据构建L1级别的数据底板，根据行政区划、道路网络等基础信息数据，对多类型数据进行整合处理，实现数据融合展示尖扎县全貌和行政区划等信息。</w:t>
            </w:r>
          </w:p>
        </w:tc>
        <w:tc>
          <w:tcPr>
            <w:tcW w:w="1120" w:type="dxa"/>
            <w:vAlign w:val="center"/>
          </w:tcPr>
          <w:p w14:paraId="70C3E439">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km²</w:t>
            </w:r>
          </w:p>
        </w:tc>
        <w:tc>
          <w:tcPr>
            <w:tcW w:w="1046" w:type="dxa"/>
            <w:vAlign w:val="center"/>
          </w:tcPr>
          <w:p w14:paraId="2921795D">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1558</w:t>
            </w:r>
          </w:p>
        </w:tc>
      </w:tr>
      <w:tr w14:paraId="45346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692" w:type="dxa"/>
            <w:vAlign w:val="center"/>
          </w:tcPr>
          <w:p w14:paraId="3168C70F">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21</w:t>
            </w:r>
          </w:p>
        </w:tc>
        <w:tc>
          <w:tcPr>
            <w:tcW w:w="796" w:type="dxa"/>
            <w:vMerge w:val="continue"/>
            <w:vAlign w:val="center"/>
          </w:tcPr>
          <w:p w14:paraId="1EEFB24D">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854" w:type="dxa"/>
            <w:vMerge w:val="continue"/>
            <w:vAlign w:val="center"/>
          </w:tcPr>
          <w:p w14:paraId="4922F575">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2031" w:type="dxa"/>
            <w:gridSpan w:val="2"/>
            <w:vAlign w:val="center"/>
          </w:tcPr>
          <w:p w14:paraId="6E6C4290">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L2级数据底板</w:t>
            </w:r>
          </w:p>
        </w:tc>
        <w:tc>
          <w:tcPr>
            <w:tcW w:w="7457" w:type="dxa"/>
            <w:vAlign w:val="center"/>
          </w:tcPr>
          <w:p w14:paraId="5BF8BDD5">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支持在L1级数据底板基础上，能够叠加重点乡镇区域已有高精度遥感影像数据，从而构建L2级数据底板，支持更复杂数据分析和专题可视化应用。</w:t>
            </w:r>
          </w:p>
        </w:tc>
        <w:tc>
          <w:tcPr>
            <w:tcW w:w="1120" w:type="dxa"/>
            <w:vAlign w:val="center"/>
          </w:tcPr>
          <w:p w14:paraId="0EAD555A">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km²</w:t>
            </w:r>
          </w:p>
        </w:tc>
        <w:tc>
          <w:tcPr>
            <w:tcW w:w="1046" w:type="dxa"/>
            <w:vAlign w:val="center"/>
          </w:tcPr>
          <w:p w14:paraId="66C99267">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1558</w:t>
            </w:r>
          </w:p>
        </w:tc>
      </w:tr>
      <w:tr w14:paraId="786CF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92" w:type="dxa"/>
            <w:vAlign w:val="center"/>
          </w:tcPr>
          <w:p w14:paraId="250F5B0A">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22</w:t>
            </w:r>
          </w:p>
        </w:tc>
        <w:tc>
          <w:tcPr>
            <w:tcW w:w="796" w:type="dxa"/>
            <w:vMerge w:val="continue"/>
            <w:vAlign w:val="center"/>
          </w:tcPr>
          <w:p w14:paraId="312709A4">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854" w:type="dxa"/>
            <w:vMerge w:val="continue"/>
            <w:vAlign w:val="center"/>
          </w:tcPr>
          <w:p w14:paraId="7678CD25">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2031" w:type="dxa"/>
            <w:gridSpan w:val="2"/>
            <w:vAlign w:val="center"/>
          </w:tcPr>
          <w:p w14:paraId="611637A7">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L３级数据底板</w:t>
            </w:r>
          </w:p>
        </w:tc>
        <w:tc>
          <w:tcPr>
            <w:tcW w:w="7457" w:type="dxa"/>
            <w:vAlign w:val="center"/>
          </w:tcPr>
          <w:p w14:paraId="0BB75409">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基于L1、L2的数据底板，把本项目空间数据采集基础部分10平方公里的倾斜摄影数据（OSGB格式）进行融合处理，同时结合已有140公里地下管线数据进行三维可视化建模，实现尖扎县核心区域内由地下到地上的空间一体化场景呈现。</w:t>
            </w:r>
          </w:p>
        </w:tc>
        <w:tc>
          <w:tcPr>
            <w:tcW w:w="1120" w:type="dxa"/>
            <w:vAlign w:val="center"/>
          </w:tcPr>
          <w:p w14:paraId="0752B5BA">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km²</w:t>
            </w:r>
          </w:p>
        </w:tc>
        <w:tc>
          <w:tcPr>
            <w:tcW w:w="1046" w:type="dxa"/>
            <w:vAlign w:val="center"/>
          </w:tcPr>
          <w:p w14:paraId="011357AF">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10</w:t>
            </w:r>
          </w:p>
        </w:tc>
      </w:tr>
      <w:tr w14:paraId="1ACDE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92" w:type="dxa"/>
            <w:vAlign w:val="center"/>
          </w:tcPr>
          <w:p w14:paraId="2AF080DA">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23</w:t>
            </w:r>
          </w:p>
        </w:tc>
        <w:tc>
          <w:tcPr>
            <w:tcW w:w="796" w:type="dxa"/>
            <w:vMerge w:val="continue"/>
            <w:vAlign w:val="center"/>
          </w:tcPr>
          <w:p w14:paraId="25C8573A">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854" w:type="dxa"/>
            <w:vMerge w:val="restart"/>
            <w:vAlign w:val="center"/>
          </w:tcPr>
          <w:p w14:paraId="1C2B60C0">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应用服务管理</w:t>
            </w:r>
          </w:p>
        </w:tc>
        <w:tc>
          <w:tcPr>
            <w:tcW w:w="534" w:type="dxa"/>
            <w:vMerge w:val="restart"/>
            <w:vAlign w:val="center"/>
          </w:tcPr>
          <w:p w14:paraId="6BE8BCB2">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应用资源管理</w:t>
            </w:r>
          </w:p>
        </w:tc>
        <w:tc>
          <w:tcPr>
            <w:tcW w:w="1497" w:type="dxa"/>
            <w:vAlign w:val="center"/>
          </w:tcPr>
          <w:p w14:paraId="36404DE9">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图表插件管理</w:t>
            </w:r>
          </w:p>
        </w:tc>
        <w:tc>
          <w:tcPr>
            <w:tcW w:w="7457" w:type="dxa"/>
            <w:vAlign w:val="center"/>
          </w:tcPr>
          <w:p w14:paraId="058BBBC6">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支持自定义分类名称实现新建插件分类，新建的插件分类将在资产中心进行展示；支持对插件分类更改名称、删除、更改顺序等操作。</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支持导入Zip格式的插件文件，支持对导入的插件进行发布，即发布到资产中心，对已发布或未发布的插件更改分组、导出、删除等操作</w:t>
            </w:r>
          </w:p>
        </w:tc>
        <w:tc>
          <w:tcPr>
            <w:tcW w:w="1120" w:type="dxa"/>
            <w:vAlign w:val="center"/>
          </w:tcPr>
          <w:p w14:paraId="3FA24127">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项</w:t>
            </w:r>
          </w:p>
        </w:tc>
        <w:tc>
          <w:tcPr>
            <w:tcW w:w="1046" w:type="dxa"/>
            <w:vAlign w:val="center"/>
          </w:tcPr>
          <w:p w14:paraId="1B1809AC">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w:t>
            </w:r>
          </w:p>
        </w:tc>
      </w:tr>
      <w:tr w14:paraId="52857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92" w:type="dxa"/>
            <w:vAlign w:val="center"/>
          </w:tcPr>
          <w:p w14:paraId="0E849CBD">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24</w:t>
            </w:r>
          </w:p>
        </w:tc>
        <w:tc>
          <w:tcPr>
            <w:tcW w:w="796" w:type="dxa"/>
            <w:vMerge w:val="continue"/>
            <w:vAlign w:val="center"/>
          </w:tcPr>
          <w:p w14:paraId="2977EBB2">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854" w:type="dxa"/>
            <w:vMerge w:val="continue"/>
            <w:vAlign w:val="center"/>
          </w:tcPr>
          <w:p w14:paraId="120A657C">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534" w:type="dxa"/>
            <w:vMerge w:val="continue"/>
            <w:vAlign w:val="center"/>
          </w:tcPr>
          <w:p w14:paraId="69416FFE">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1497" w:type="dxa"/>
            <w:vAlign w:val="center"/>
          </w:tcPr>
          <w:p w14:paraId="5B3D7F0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图片素材管理</w:t>
            </w:r>
          </w:p>
        </w:tc>
        <w:tc>
          <w:tcPr>
            <w:tcW w:w="7457" w:type="dxa"/>
            <w:vAlign w:val="center"/>
          </w:tcPr>
          <w:p w14:paraId="690A63E0">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支持提供通用可视化素材，并支持对素材进行统一的管理，支持素材分组功能，支持对素材分组更改名称、删除、导入、更改顺序等操作；支持上传素材，支持的素材格式包括png、jpg、svg、gif、mp4、webp等格式</w:t>
            </w:r>
          </w:p>
        </w:tc>
        <w:tc>
          <w:tcPr>
            <w:tcW w:w="1120" w:type="dxa"/>
            <w:vAlign w:val="center"/>
          </w:tcPr>
          <w:p w14:paraId="7444420D">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项</w:t>
            </w:r>
          </w:p>
        </w:tc>
        <w:tc>
          <w:tcPr>
            <w:tcW w:w="1046" w:type="dxa"/>
            <w:vAlign w:val="center"/>
          </w:tcPr>
          <w:p w14:paraId="32DF1CE1">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w:t>
            </w:r>
          </w:p>
        </w:tc>
      </w:tr>
      <w:tr w14:paraId="0E880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92" w:type="dxa"/>
            <w:vAlign w:val="center"/>
          </w:tcPr>
          <w:p w14:paraId="63B32A90">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25</w:t>
            </w:r>
          </w:p>
        </w:tc>
        <w:tc>
          <w:tcPr>
            <w:tcW w:w="796" w:type="dxa"/>
            <w:vMerge w:val="continue"/>
            <w:vAlign w:val="center"/>
          </w:tcPr>
          <w:p w14:paraId="30C7EDBE">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854" w:type="dxa"/>
            <w:vMerge w:val="continue"/>
            <w:vAlign w:val="center"/>
          </w:tcPr>
          <w:p w14:paraId="163CD2EC">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534" w:type="dxa"/>
            <w:vMerge w:val="continue"/>
            <w:vAlign w:val="center"/>
          </w:tcPr>
          <w:p w14:paraId="06539DFA">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1497" w:type="dxa"/>
            <w:vAlign w:val="center"/>
          </w:tcPr>
          <w:p w14:paraId="29114CBB">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三维场景管理</w:t>
            </w:r>
          </w:p>
        </w:tc>
        <w:tc>
          <w:tcPr>
            <w:tcW w:w="7457" w:type="dxa"/>
            <w:vAlign w:val="center"/>
          </w:tcPr>
          <w:p w14:paraId="53BFD3A8">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支持三维场景管理能力，支持按业务要求编辑三维场景的名称、描述、封面等信息，对三维场景进行导出导入及发布，支持展示已发布或未发布的三维场景，包括三维场景封面、三维场景名称等信息；</w:t>
            </w:r>
          </w:p>
        </w:tc>
        <w:tc>
          <w:tcPr>
            <w:tcW w:w="1120" w:type="dxa"/>
            <w:vAlign w:val="center"/>
          </w:tcPr>
          <w:p w14:paraId="1120D934">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项</w:t>
            </w:r>
          </w:p>
        </w:tc>
        <w:tc>
          <w:tcPr>
            <w:tcW w:w="1046" w:type="dxa"/>
            <w:vAlign w:val="center"/>
          </w:tcPr>
          <w:p w14:paraId="6D68C576">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w:t>
            </w:r>
          </w:p>
        </w:tc>
      </w:tr>
      <w:tr w14:paraId="542A1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92" w:type="dxa"/>
            <w:vAlign w:val="center"/>
          </w:tcPr>
          <w:p w14:paraId="011D2176">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26</w:t>
            </w:r>
          </w:p>
        </w:tc>
        <w:tc>
          <w:tcPr>
            <w:tcW w:w="796" w:type="dxa"/>
            <w:vMerge w:val="continue"/>
            <w:vAlign w:val="center"/>
          </w:tcPr>
          <w:p w14:paraId="7F06BE09">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854" w:type="dxa"/>
            <w:vMerge w:val="continue"/>
            <w:vAlign w:val="center"/>
          </w:tcPr>
          <w:p w14:paraId="72F8F11A">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534" w:type="dxa"/>
            <w:vMerge w:val="continue"/>
            <w:vAlign w:val="center"/>
          </w:tcPr>
          <w:p w14:paraId="0965D84B">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1497" w:type="dxa"/>
            <w:vAlign w:val="center"/>
          </w:tcPr>
          <w:p w14:paraId="17927A7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三维模型管理</w:t>
            </w:r>
          </w:p>
        </w:tc>
        <w:tc>
          <w:tcPr>
            <w:tcW w:w="7457" w:type="dxa"/>
            <w:vAlign w:val="center"/>
          </w:tcPr>
          <w:p w14:paraId="2BF32799">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支持三维模型管理能力，支持按业务要求创建三维模型分类，三维模型分类可在资产中心进行展示。支持导入fbx、obj等格式的三维模型文件，支持编辑三维模型的名称、描述、分类、封面等信息；支持展示已发布或未发布的三维模型，包括三维模型封面、三维模型名称等信息</w:t>
            </w:r>
          </w:p>
        </w:tc>
        <w:tc>
          <w:tcPr>
            <w:tcW w:w="1120" w:type="dxa"/>
            <w:vAlign w:val="center"/>
          </w:tcPr>
          <w:p w14:paraId="47AC1D95">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项</w:t>
            </w:r>
          </w:p>
        </w:tc>
        <w:tc>
          <w:tcPr>
            <w:tcW w:w="1046" w:type="dxa"/>
            <w:vAlign w:val="center"/>
          </w:tcPr>
          <w:p w14:paraId="388BF14A">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w:t>
            </w:r>
          </w:p>
        </w:tc>
      </w:tr>
      <w:tr w14:paraId="0BB1A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2" w:type="dxa"/>
            <w:vAlign w:val="center"/>
          </w:tcPr>
          <w:p w14:paraId="42DA6252">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27</w:t>
            </w:r>
          </w:p>
        </w:tc>
        <w:tc>
          <w:tcPr>
            <w:tcW w:w="796" w:type="dxa"/>
            <w:vMerge w:val="continue"/>
            <w:vAlign w:val="center"/>
          </w:tcPr>
          <w:p w14:paraId="1B7BD119">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854" w:type="dxa"/>
            <w:vMerge w:val="continue"/>
            <w:vAlign w:val="center"/>
          </w:tcPr>
          <w:p w14:paraId="27837954">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534" w:type="dxa"/>
            <w:vMerge w:val="continue"/>
            <w:vAlign w:val="center"/>
          </w:tcPr>
          <w:p w14:paraId="133CB7C9">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1497" w:type="dxa"/>
            <w:vAlign w:val="center"/>
          </w:tcPr>
          <w:p w14:paraId="4275929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地图标号管理</w:t>
            </w:r>
          </w:p>
        </w:tc>
        <w:tc>
          <w:tcPr>
            <w:tcW w:w="7457" w:type="dxa"/>
            <w:vAlign w:val="center"/>
          </w:tcPr>
          <w:p w14:paraId="5228CB7E">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提供地图标号及针对标号的统一管理和标号服务，标号包括：区域、事件、设施、场所、道路、人员等，支撑各类要素在时空中的统一表达，保持标号风格一致性，编码一致性、表达一致性，为各类要素快速上图提供能力支撑。</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支持标号的导入、发布、预览、下载、搜索等功能</w:t>
            </w:r>
          </w:p>
        </w:tc>
        <w:tc>
          <w:tcPr>
            <w:tcW w:w="1120" w:type="dxa"/>
            <w:vAlign w:val="center"/>
          </w:tcPr>
          <w:p w14:paraId="44FE24DA">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项</w:t>
            </w:r>
          </w:p>
        </w:tc>
        <w:tc>
          <w:tcPr>
            <w:tcW w:w="1046" w:type="dxa"/>
            <w:vAlign w:val="center"/>
          </w:tcPr>
          <w:p w14:paraId="1FA7AA3B">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w:t>
            </w:r>
          </w:p>
        </w:tc>
      </w:tr>
      <w:tr w14:paraId="7B2CE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92" w:type="dxa"/>
            <w:vAlign w:val="center"/>
          </w:tcPr>
          <w:p w14:paraId="281F0DC7">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28</w:t>
            </w:r>
          </w:p>
        </w:tc>
        <w:tc>
          <w:tcPr>
            <w:tcW w:w="796" w:type="dxa"/>
            <w:vMerge w:val="continue"/>
            <w:vAlign w:val="center"/>
          </w:tcPr>
          <w:p w14:paraId="7313409B">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854" w:type="dxa"/>
            <w:vMerge w:val="continue"/>
            <w:vAlign w:val="center"/>
          </w:tcPr>
          <w:p w14:paraId="257F55CE">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534" w:type="dxa"/>
            <w:vMerge w:val="continue"/>
            <w:vAlign w:val="center"/>
          </w:tcPr>
          <w:p w14:paraId="313D3F1F">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1497" w:type="dxa"/>
            <w:vAlign w:val="center"/>
          </w:tcPr>
          <w:p w14:paraId="0D986CA9">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数据源／数据管理</w:t>
            </w:r>
          </w:p>
        </w:tc>
        <w:tc>
          <w:tcPr>
            <w:tcW w:w="7457" w:type="dxa"/>
            <w:vAlign w:val="center"/>
          </w:tcPr>
          <w:p w14:paraId="4EA35A28">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1、支持提供可视化业务数据源的接入和管理功能，支持按分类管理各业务数据源。</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2、支持多种异构数据的接入，包括数据库（PostgreSQL、mysql、Oracle）、rest接口（GET/POST）、消息订阅（Kafka、RabbitMQ）、ES（Elasticsearch）等。</w:t>
            </w:r>
          </w:p>
        </w:tc>
        <w:tc>
          <w:tcPr>
            <w:tcW w:w="1120" w:type="dxa"/>
            <w:vAlign w:val="center"/>
          </w:tcPr>
          <w:p w14:paraId="45368A7E">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项</w:t>
            </w:r>
          </w:p>
        </w:tc>
        <w:tc>
          <w:tcPr>
            <w:tcW w:w="1046" w:type="dxa"/>
            <w:vAlign w:val="center"/>
          </w:tcPr>
          <w:p w14:paraId="4ECD1350">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w:t>
            </w:r>
          </w:p>
        </w:tc>
      </w:tr>
      <w:tr w14:paraId="581A8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92" w:type="dxa"/>
            <w:vAlign w:val="center"/>
          </w:tcPr>
          <w:p w14:paraId="040DE4D0">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29</w:t>
            </w:r>
          </w:p>
        </w:tc>
        <w:tc>
          <w:tcPr>
            <w:tcW w:w="796" w:type="dxa"/>
            <w:vMerge w:val="continue"/>
            <w:vAlign w:val="center"/>
          </w:tcPr>
          <w:p w14:paraId="466AE88D">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854" w:type="dxa"/>
            <w:vMerge w:val="continue"/>
            <w:vAlign w:val="center"/>
          </w:tcPr>
          <w:p w14:paraId="3D3A62FF">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534" w:type="dxa"/>
            <w:vMerge w:val="continue"/>
            <w:vAlign w:val="center"/>
          </w:tcPr>
          <w:p w14:paraId="670486D1">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1497" w:type="dxa"/>
            <w:vAlign w:val="center"/>
          </w:tcPr>
          <w:p w14:paraId="42845BAA">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应用主题管理</w:t>
            </w:r>
          </w:p>
        </w:tc>
        <w:tc>
          <w:tcPr>
            <w:tcW w:w="7457" w:type="dxa"/>
            <w:vAlign w:val="center"/>
          </w:tcPr>
          <w:p w14:paraId="693F9EA6">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支持提供应用发布与审核功能，支持对配置完成的应用进行发布申请，申请发布的应用需要管理员进行审核处理。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支持应用下载、应用复用、应用预览、应用详情、应用搜索等功能，帮助用户快速获取应用资源。</w:t>
            </w:r>
          </w:p>
        </w:tc>
        <w:tc>
          <w:tcPr>
            <w:tcW w:w="1120" w:type="dxa"/>
            <w:vAlign w:val="center"/>
          </w:tcPr>
          <w:p w14:paraId="722AE3F9">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项</w:t>
            </w:r>
          </w:p>
        </w:tc>
        <w:tc>
          <w:tcPr>
            <w:tcW w:w="1046" w:type="dxa"/>
            <w:vAlign w:val="center"/>
          </w:tcPr>
          <w:p w14:paraId="75074D23">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w:t>
            </w:r>
          </w:p>
        </w:tc>
      </w:tr>
      <w:tr w14:paraId="5CA9B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2" w:type="dxa"/>
            <w:vAlign w:val="center"/>
          </w:tcPr>
          <w:p w14:paraId="46A91303">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30</w:t>
            </w:r>
          </w:p>
        </w:tc>
        <w:tc>
          <w:tcPr>
            <w:tcW w:w="796" w:type="dxa"/>
            <w:vMerge w:val="continue"/>
            <w:vAlign w:val="center"/>
          </w:tcPr>
          <w:p w14:paraId="5E221DF6">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854" w:type="dxa"/>
            <w:vMerge w:val="continue"/>
            <w:vAlign w:val="center"/>
          </w:tcPr>
          <w:p w14:paraId="7AF0CC49">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534" w:type="dxa"/>
            <w:vMerge w:val="restart"/>
            <w:vAlign w:val="center"/>
          </w:tcPr>
          <w:p w14:paraId="3477FCE1">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应用配置</w:t>
            </w:r>
          </w:p>
        </w:tc>
        <w:tc>
          <w:tcPr>
            <w:tcW w:w="1497" w:type="dxa"/>
            <w:vAlign w:val="center"/>
          </w:tcPr>
          <w:p w14:paraId="2961A356">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主题应用配置</w:t>
            </w:r>
          </w:p>
        </w:tc>
        <w:tc>
          <w:tcPr>
            <w:tcW w:w="7457" w:type="dxa"/>
            <w:vAlign w:val="center"/>
          </w:tcPr>
          <w:p w14:paraId="50E8EAD8">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支持对应用进行创建及基本信息配置管理，支持PC模式（1920×1080）、信息发布屏模式（1080×1920）、大屏模式（3840×2160）、以及支持自定义分辨率模式创建应用，适用于各类应用场景。</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支持设置编排应用的基本信息，包括应用名称、应用封面、预览模式、预载动画等信息。</w:t>
            </w:r>
          </w:p>
        </w:tc>
        <w:tc>
          <w:tcPr>
            <w:tcW w:w="1120" w:type="dxa"/>
            <w:vAlign w:val="center"/>
          </w:tcPr>
          <w:p w14:paraId="1AC0BBE5">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项</w:t>
            </w:r>
          </w:p>
        </w:tc>
        <w:tc>
          <w:tcPr>
            <w:tcW w:w="1046" w:type="dxa"/>
            <w:vAlign w:val="center"/>
          </w:tcPr>
          <w:p w14:paraId="2FAE09D6">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w:t>
            </w:r>
          </w:p>
        </w:tc>
      </w:tr>
      <w:tr w14:paraId="455F5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92" w:type="dxa"/>
            <w:vAlign w:val="center"/>
          </w:tcPr>
          <w:p w14:paraId="1328EA18">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31</w:t>
            </w:r>
          </w:p>
        </w:tc>
        <w:tc>
          <w:tcPr>
            <w:tcW w:w="796" w:type="dxa"/>
            <w:vMerge w:val="continue"/>
            <w:vAlign w:val="center"/>
          </w:tcPr>
          <w:p w14:paraId="275E82C7">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854" w:type="dxa"/>
            <w:vMerge w:val="continue"/>
            <w:vAlign w:val="center"/>
          </w:tcPr>
          <w:p w14:paraId="172CB28E">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534" w:type="dxa"/>
            <w:vMerge w:val="continue"/>
            <w:vAlign w:val="center"/>
          </w:tcPr>
          <w:p w14:paraId="7780D6A8">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1497" w:type="dxa"/>
            <w:vAlign w:val="center"/>
          </w:tcPr>
          <w:p w14:paraId="2DEE6CD9">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数据资源上图</w:t>
            </w:r>
          </w:p>
        </w:tc>
        <w:tc>
          <w:tcPr>
            <w:tcW w:w="7457" w:type="dxa"/>
            <w:vAlign w:val="center"/>
          </w:tcPr>
          <w:p w14:paraId="00462D80">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支持提供针对包含经纬度的业务数据进行快速上图，包括数据集上图、数据文件上图、物联感知数据上图等功能；</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支持上传CSV（.csv）、Excel（.xls，.xlsx）格式的本地数据文件实现数据上图；</w:t>
            </w:r>
          </w:p>
        </w:tc>
        <w:tc>
          <w:tcPr>
            <w:tcW w:w="1120" w:type="dxa"/>
            <w:vAlign w:val="center"/>
          </w:tcPr>
          <w:p w14:paraId="14C7F841">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项</w:t>
            </w:r>
          </w:p>
        </w:tc>
        <w:tc>
          <w:tcPr>
            <w:tcW w:w="1046" w:type="dxa"/>
            <w:vAlign w:val="center"/>
          </w:tcPr>
          <w:p w14:paraId="5E321E77">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w:t>
            </w:r>
          </w:p>
        </w:tc>
      </w:tr>
      <w:tr w14:paraId="05763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692" w:type="dxa"/>
            <w:vAlign w:val="center"/>
          </w:tcPr>
          <w:p w14:paraId="58EAD39C">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32</w:t>
            </w:r>
          </w:p>
        </w:tc>
        <w:tc>
          <w:tcPr>
            <w:tcW w:w="796" w:type="dxa"/>
            <w:vMerge w:val="continue"/>
            <w:vAlign w:val="center"/>
          </w:tcPr>
          <w:p w14:paraId="2E59C8B9">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854" w:type="dxa"/>
            <w:vMerge w:val="continue"/>
            <w:vAlign w:val="center"/>
          </w:tcPr>
          <w:p w14:paraId="2E4CC9C1">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534" w:type="dxa"/>
            <w:vMerge w:val="continue"/>
            <w:vAlign w:val="center"/>
          </w:tcPr>
          <w:p w14:paraId="1603A613">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1497" w:type="dxa"/>
            <w:vAlign w:val="center"/>
          </w:tcPr>
          <w:p w14:paraId="079FCED1">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地图手动标绘</w:t>
            </w:r>
          </w:p>
        </w:tc>
        <w:tc>
          <w:tcPr>
            <w:tcW w:w="7457" w:type="dxa"/>
            <w:vAlign w:val="center"/>
          </w:tcPr>
          <w:p w14:paraId="25CB6C66">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支持在二三维地图或三维场景之上，支持人工手动标注点标号、线标号、面标号、文本标号，支持同时标注多个点标号、线标号、面标号或文本标号；</w:t>
            </w:r>
          </w:p>
        </w:tc>
        <w:tc>
          <w:tcPr>
            <w:tcW w:w="1120" w:type="dxa"/>
            <w:vAlign w:val="center"/>
          </w:tcPr>
          <w:p w14:paraId="5E43BC2F">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项</w:t>
            </w:r>
          </w:p>
        </w:tc>
        <w:tc>
          <w:tcPr>
            <w:tcW w:w="1046" w:type="dxa"/>
            <w:vAlign w:val="center"/>
          </w:tcPr>
          <w:p w14:paraId="24682720">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w:t>
            </w:r>
          </w:p>
        </w:tc>
      </w:tr>
      <w:tr w14:paraId="68455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92" w:type="dxa"/>
            <w:vAlign w:val="center"/>
          </w:tcPr>
          <w:p w14:paraId="15A774DE">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33</w:t>
            </w:r>
          </w:p>
        </w:tc>
        <w:tc>
          <w:tcPr>
            <w:tcW w:w="796" w:type="dxa"/>
            <w:vMerge w:val="continue"/>
            <w:vAlign w:val="center"/>
          </w:tcPr>
          <w:p w14:paraId="7B72286F">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854" w:type="dxa"/>
            <w:vMerge w:val="continue"/>
            <w:vAlign w:val="center"/>
          </w:tcPr>
          <w:p w14:paraId="4B0C7E64">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534" w:type="dxa"/>
            <w:vMerge w:val="continue"/>
            <w:vAlign w:val="center"/>
          </w:tcPr>
          <w:p w14:paraId="4550298B">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1497" w:type="dxa"/>
            <w:vAlign w:val="center"/>
          </w:tcPr>
          <w:p w14:paraId="77D67B46">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标号样式配置</w:t>
            </w:r>
          </w:p>
        </w:tc>
        <w:tc>
          <w:tcPr>
            <w:tcW w:w="7457" w:type="dxa"/>
            <w:vAlign w:val="center"/>
          </w:tcPr>
          <w:p w14:paraId="512B2D21">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支持对数据上图和手动标绘的点、线、面、文本类型的业务图层进行可视化配置；支持点标号的基本形态样式配置、单值形态样式配置、分段形态样式配置、热力图形态样式配置、等级符号形态样式配置</w:t>
            </w:r>
          </w:p>
        </w:tc>
        <w:tc>
          <w:tcPr>
            <w:tcW w:w="1120" w:type="dxa"/>
            <w:vAlign w:val="center"/>
          </w:tcPr>
          <w:p w14:paraId="03C35F67">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项</w:t>
            </w:r>
          </w:p>
        </w:tc>
        <w:tc>
          <w:tcPr>
            <w:tcW w:w="1046" w:type="dxa"/>
            <w:vAlign w:val="center"/>
          </w:tcPr>
          <w:p w14:paraId="413822AE">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w:t>
            </w:r>
          </w:p>
        </w:tc>
      </w:tr>
      <w:tr w14:paraId="09A4A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92" w:type="dxa"/>
            <w:vAlign w:val="center"/>
          </w:tcPr>
          <w:p w14:paraId="3F5753EF">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34</w:t>
            </w:r>
          </w:p>
        </w:tc>
        <w:tc>
          <w:tcPr>
            <w:tcW w:w="796" w:type="dxa"/>
            <w:vMerge w:val="continue"/>
            <w:vAlign w:val="center"/>
          </w:tcPr>
          <w:p w14:paraId="4E8FBA5D">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854" w:type="dxa"/>
            <w:vMerge w:val="continue"/>
            <w:vAlign w:val="center"/>
          </w:tcPr>
          <w:p w14:paraId="17EA92DB">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534" w:type="dxa"/>
            <w:vMerge w:val="continue"/>
            <w:vAlign w:val="center"/>
          </w:tcPr>
          <w:p w14:paraId="16F843B8">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1497" w:type="dxa"/>
            <w:vAlign w:val="center"/>
          </w:tcPr>
          <w:p w14:paraId="63D44A5B">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图层配置管理</w:t>
            </w:r>
          </w:p>
        </w:tc>
        <w:tc>
          <w:tcPr>
            <w:tcW w:w="7457" w:type="dxa"/>
            <w:vAlign w:val="center"/>
          </w:tcPr>
          <w:p w14:paraId="5B7EDF51">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支持对上图的资源数据以图层的形式进行管理及配置，支持图层管理、图层配置等功能。支持对二三维地图或三维场景添加资源图层，支持批量设置具体图层下的标号样式，支持将样式模板复制到同一个图层分组下的其他数据集并同步渲染结果，支持以资源标签的方式将图层进行分组管理。</w:t>
            </w:r>
          </w:p>
        </w:tc>
        <w:tc>
          <w:tcPr>
            <w:tcW w:w="1120" w:type="dxa"/>
            <w:vAlign w:val="center"/>
          </w:tcPr>
          <w:p w14:paraId="57F30B5D">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项</w:t>
            </w:r>
          </w:p>
        </w:tc>
        <w:tc>
          <w:tcPr>
            <w:tcW w:w="1046" w:type="dxa"/>
            <w:vAlign w:val="center"/>
          </w:tcPr>
          <w:p w14:paraId="1F5D676D">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w:t>
            </w:r>
          </w:p>
        </w:tc>
      </w:tr>
      <w:tr w14:paraId="408C9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92" w:type="dxa"/>
            <w:vAlign w:val="center"/>
          </w:tcPr>
          <w:p w14:paraId="13E50A3E">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35</w:t>
            </w:r>
          </w:p>
        </w:tc>
        <w:tc>
          <w:tcPr>
            <w:tcW w:w="796" w:type="dxa"/>
            <w:vMerge w:val="continue"/>
            <w:vAlign w:val="center"/>
          </w:tcPr>
          <w:p w14:paraId="10013D77">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854" w:type="dxa"/>
            <w:vMerge w:val="continue"/>
            <w:vAlign w:val="center"/>
          </w:tcPr>
          <w:p w14:paraId="6881BA6C">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534" w:type="dxa"/>
            <w:vMerge w:val="continue"/>
            <w:vAlign w:val="center"/>
          </w:tcPr>
          <w:p w14:paraId="3827E2A4">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1497" w:type="dxa"/>
            <w:vAlign w:val="center"/>
          </w:tcPr>
          <w:p w14:paraId="057495C7">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应用底图配置</w:t>
            </w:r>
          </w:p>
        </w:tc>
        <w:tc>
          <w:tcPr>
            <w:tcW w:w="7457" w:type="dxa"/>
            <w:vAlign w:val="center"/>
          </w:tcPr>
          <w:p w14:paraId="7ECDAB0D">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支持调用地图服务作为应用的可视化底图进行应用搭建，支持底图添加、底图视角配置、底图预置点配置、底图风格配置等功能。支持通过三维、卫星、矢量或新建地图类型实现地图服务分类添加管理；支持配置底图的初始中心点、显示层级、初始层级、初始俯仰角、初始方位角等视角信息。</w:t>
            </w:r>
          </w:p>
        </w:tc>
        <w:tc>
          <w:tcPr>
            <w:tcW w:w="1120" w:type="dxa"/>
            <w:vAlign w:val="center"/>
          </w:tcPr>
          <w:p w14:paraId="0DBC2FBF">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项</w:t>
            </w:r>
          </w:p>
        </w:tc>
        <w:tc>
          <w:tcPr>
            <w:tcW w:w="1046" w:type="dxa"/>
            <w:vAlign w:val="center"/>
          </w:tcPr>
          <w:p w14:paraId="1A13E3D5">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w:t>
            </w:r>
          </w:p>
        </w:tc>
      </w:tr>
      <w:tr w14:paraId="10421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92" w:type="dxa"/>
            <w:vAlign w:val="center"/>
          </w:tcPr>
          <w:p w14:paraId="303369A4">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36</w:t>
            </w:r>
          </w:p>
        </w:tc>
        <w:tc>
          <w:tcPr>
            <w:tcW w:w="796" w:type="dxa"/>
            <w:vMerge w:val="continue"/>
            <w:vAlign w:val="center"/>
          </w:tcPr>
          <w:p w14:paraId="691954A2">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854" w:type="dxa"/>
            <w:vMerge w:val="continue"/>
            <w:vAlign w:val="center"/>
          </w:tcPr>
          <w:p w14:paraId="7711EFE6">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534" w:type="dxa"/>
            <w:vMerge w:val="continue"/>
            <w:vAlign w:val="center"/>
          </w:tcPr>
          <w:p w14:paraId="1844AD55">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1497" w:type="dxa"/>
            <w:vAlign w:val="center"/>
          </w:tcPr>
          <w:p w14:paraId="24DBFACA">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三维仿真管理</w:t>
            </w:r>
          </w:p>
        </w:tc>
        <w:tc>
          <w:tcPr>
            <w:tcW w:w="7457" w:type="dxa"/>
            <w:vAlign w:val="center"/>
          </w:tcPr>
          <w:p w14:paraId="07E09875">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支持对三维仿真场景的管理，每个场景下可进行底图、模型、视角、坐标校准、天空等配置，是三维可视化应用编排的基础操作。支持三维场景添加、场景底板添加、三维场景调用、三维模型调用、场景环境配置、三维场景管理等功能</w:t>
            </w:r>
          </w:p>
        </w:tc>
        <w:tc>
          <w:tcPr>
            <w:tcW w:w="1120" w:type="dxa"/>
            <w:vAlign w:val="center"/>
          </w:tcPr>
          <w:p w14:paraId="504ED2E9">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项</w:t>
            </w:r>
          </w:p>
        </w:tc>
        <w:tc>
          <w:tcPr>
            <w:tcW w:w="1046" w:type="dxa"/>
            <w:vAlign w:val="center"/>
          </w:tcPr>
          <w:p w14:paraId="6B8D65BD">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w:t>
            </w:r>
          </w:p>
        </w:tc>
      </w:tr>
      <w:tr w14:paraId="0CC10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92" w:type="dxa"/>
            <w:vAlign w:val="center"/>
          </w:tcPr>
          <w:p w14:paraId="3B1062C3">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37</w:t>
            </w:r>
          </w:p>
        </w:tc>
        <w:tc>
          <w:tcPr>
            <w:tcW w:w="796" w:type="dxa"/>
            <w:vMerge w:val="continue"/>
            <w:vAlign w:val="center"/>
          </w:tcPr>
          <w:p w14:paraId="4D428135">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854" w:type="dxa"/>
            <w:vMerge w:val="continue"/>
            <w:vAlign w:val="center"/>
          </w:tcPr>
          <w:p w14:paraId="1A317A44">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534" w:type="dxa"/>
            <w:vMerge w:val="continue"/>
            <w:vAlign w:val="center"/>
          </w:tcPr>
          <w:p w14:paraId="177D300D">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1497" w:type="dxa"/>
            <w:vAlign w:val="center"/>
          </w:tcPr>
          <w:p w14:paraId="74C45410">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三维动画编排</w:t>
            </w:r>
          </w:p>
        </w:tc>
        <w:tc>
          <w:tcPr>
            <w:tcW w:w="7457" w:type="dxa"/>
            <w:vAlign w:val="center"/>
          </w:tcPr>
          <w:p w14:paraId="14A9F279">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支持对场景相机的坐标、旋转、缩放等参数编排并在时间轴打上关键帧或者导入已配置的场景视点，支持将已添加的三维模型在模型时间轴上添加关键帧或者通过模型标签筛选三维模型进行关键帧添加，从而构建三维模拟动画预案。</w:t>
            </w:r>
          </w:p>
        </w:tc>
        <w:tc>
          <w:tcPr>
            <w:tcW w:w="1120" w:type="dxa"/>
            <w:vAlign w:val="center"/>
          </w:tcPr>
          <w:p w14:paraId="3839F234">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项</w:t>
            </w:r>
          </w:p>
        </w:tc>
        <w:tc>
          <w:tcPr>
            <w:tcW w:w="1046" w:type="dxa"/>
            <w:vAlign w:val="center"/>
          </w:tcPr>
          <w:p w14:paraId="2867594F">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w:t>
            </w:r>
          </w:p>
        </w:tc>
      </w:tr>
      <w:tr w14:paraId="6B155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2" w:type="dxa"/>
            <w:vAlign w:val="center"/>
          </w:tcPr>
          <w:p w14:paraId="6F29C4A6">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38</w:t>
            </w:r>
          </w:p>
        </w:tc>
        <w:tc>
          <w:tcPr>
            <w:tcW w:w="796" w:type="dxa"/>
            <w:vMerge w:val="continue"/>
            <w:vAlign w:val="center"/>
          </w:tcPr>
          <w:p w14:paraId="12F34DE6">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854" w:type="dxa"/>
            <w:vMerge w:val="continue"/>
            <w:vAlign w:val="center"/>
          </w:tcPr>
          <w:p w14:paraId="5C0C3646">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534" w:type="dxa"/>
            <w:vMerge w:val="restart"/>
            <w:vAlign w:val="center"/>
          </w:tcPr>
          <w:p w14:paraId="05D70873">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可视化渲染服务</w:t>
            </w:r>
          </w:p>
        </w:tc>
        <w:tc>
          <w:tcPr>
            <w:tcW w:w="1497" w:type="dxa"/>
            <w:vAlign w:val="center"/>
          </w:tcPr>
          <w:p w14:paraId="6D408027">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地图可视化</w:t>
            </w:r>
          </w:p>
        </w:tc>
        <w:tc>
          <w:tcPr>
            <w:tcW w:w="7457" w:type="dxa"/>
            <w:vAlign w:val="center"/>
          </w:tcPr>
          <w:p w14:paraId="0C43C91D">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基于GIS展示尖扎县范围内的栅格地图、遥感卫星地图，标注感知设备、水文监测站、污水处理厂、水资源、罐区重要的等信息，提供地图应具备缩放、平移等基本功能，以便能够自由浏览，以及地图初始化、基础图层、三维LOD图层、3D模型、平移、缩放、旋转点击，以及鼠标位置、比例尺、鹰眼地图控件、测、图层样式可视化渲染等能力。</w:t>
            </w:r>
          </w:p>
        </w:tc>
        <w:tc>
          <w:tcPr>
            <w:tcW w:w="1120" w:type="dxa"/>
            <w:vAlign w:val="center"/>
          </w:tcPr>
          <w:p w14:paraId="587498B0">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项</w:t>
            </w:r>
          </w:p>
        </w:tc>
        <w:tc>
          <w:tcPr>
            <w:tcW w:w="1046" w:type="dxa"/>
            <w:vAlign w:val="center"/>
          </w:tcPr>
          <w:p w14:paraId="321097D0">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w:t>
            </w:r>
          </w:p>
        </w:tc>
      </w:tr>
      <w:tr w14:paraId="56A6E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92" w:type="dxa"/>
            <w:vAlign w:val="center"/>
          </w:tcPr>
          <w:p w14:paraId="203C5BE6">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39</w:t>
            </w:r>
          </w:p>
        </w:tc>
        <w:tc>
          <w:tcPr>
            <w:tcW w:w="796" w:type="dxa"/>
            <w:vMerge w:val="continue"/>
            <w:vAlign w:val="center"/>
          </w:tcPr>
          <w:p w14:paraId="148C24AF">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854" w:type="dxa"/>
            <w:vMerge w:val="continue"/>
            <w:vAlign w:val="center"/>
          </w:tcPr>
          <w:p w14:paraId="07CF581A">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534" w:type="dxa"/>
            <w:vMerge w:val="continue"/>
            <w:vAlign w:val="center"/>
          </w:tcPr>
          <w:p w14:paraId="50766E55">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1497" w:type="dxa"/>
            <w:vAlign w:val="center"/>
          </w:tcPr>
          <w:p w14:paraId="1E1199D8">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图表可视化</w:t>
            </w:r>
          </w:p>
        </w:tc>
        <w:tc>
          <w:tcPr>
            <w:tcW w:w="7457" w:type="dxa"/>
            <w:vAlign w:val="center"/>
          </w:tcPr>
          <w:p w14:paraId="1259F719">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提供编排、图表插件渲染、图表样式参数化抽析、调色器等功能，图表可视化为水资源配置、灾害预防、生态保护监测、安全监测提供实时数据展示、数据整合与处理、多种图表类型支持、交互与探索能力、预警与提示功能以及美观与易读性等关键能力。</w:t>
            </w:r>
          </w:p>
        </w:tc>
        <w:tc>
          <w:tcPr>
            <w:tcW w:w="1120" w:type="dxa"/>
            <w:vAlign w:val="center"/>
          </w:tcPr>
          <w:p w14:paraId="6961F541">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项</w:t>
            </w:r>
          </w:p>
        </w:tc>
        <w:tc>
          <w:tcPr>
            <w:tcW w:w="1046" w:type="dxa"/>
            <w:vAlign w:val="center"/>
          </w:tcPr>
          <w:p w14:paraId="4EE35884">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w:t>
            </w:r>
          </w:p>
        </w:tc>
      </w:tr>
      <w:tr w14:paraId="1BEE8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2" w:type="dxa"/>
            <w:vAlign w:val="center"/>
          </w:tcPr>
          <w:p w14:paraId="1DD148C8">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40</w:t>
            </w:r>
          </w:p>
        </w:tc>
        <w:tc>
          <w:tcPr>
            <w:tcW w:w="796" w:type="dxa"/>
            <w:vMerge w:val="continue"/>
            <w:vAlign w:val="center"/>
          </w:tcPr>
          <w:p w14:paraId="604BF2A3">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854" w:type="dxa"/>
            <w:vMerge w:val="continue"/>
            <w:vAlign w:val="center"/>
          </w:tcPr>
          <w:p w14:paraId="2D46532D">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534" w:type="dxa"/>
            <w:vMerge w:val="continue"/>
            <w:vAlign w:val="center"/>
          </w:tcPr>
          <w:p w14:paraId="216DCB6A">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1497" w:type="dxa"/>
            <w:vAlign w:val="center"/>
          </w:tcPr>
          <w:p w14:paraId="255AA141">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三维可视化</w:t>
            </w:r>
          </w:p>
        </w:tc>
        <w:tc>
          <w:tcPr>
            <w:tcW w:w="7457" w:type="dxa"/>
            <w:vAlign w:val="center"/>
          </w:tcPr>
          <w:p w14:paraId="647CC583">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提供包括三维模型渲染、应用配置、动画配置、天气环境系统等能力，以及提供基于三维倾斜摄影和三维模型，结合三维渲染引擎服务，通过三维可视化和视频融合整合来自不同来源的数据，如卫星遥感数据、地面观测数据等，通过多源数据在三维场景中综合展示，为监测人员提供全面、丰富的信息，有助于更加深入地了解资源分布、变化趋势及潜在风险。</w:t>
            </w:r>
          </w:p>
        </w:tc>
        <w:tc>
          <w:tcPr>
            <w:tcW w:w="1120" w:type="dxa"/>
            <w:vAlign w:val="center"/>
          </w:tcPr>
          <w:p w14:paraId="4BEFDC12">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项</w:t>
            </w:r>
          </w:p>
        </w:tc>
        <w:tc>
          <w:tcPr>
            <w:tcW w:w="1046" w:type="dxa"/>
            <w:vAlign w:val="center"/>
          </w:tcPr>
          <w:p w14:paraId="71F652C8">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w:t>
            </w:r>
          </w:p>
        </w:tc>
      </w:tr>
      <w:tr w14:paraId="76FBD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692" w:type="dxa"/>
            <w:vAlign w:val="center"/>
          </w:tcPr>
          <w:p w14:paraId="12398F12">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41</w:t>
            </w:r>
          </w:p>
        </w:tc>
        <w:tc>
          <w:tcPr>
            <w:tcW w:w="796" w:type="dxa"/>
            <w:vMerge w:val="continue"/>
            <w:vAlign w:val="center"/>
          </w:tcPr>
          <w:p w14:paraId="61A134E7">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854" w:type="dxa"/>
            <w:vMerge w:val="continue"/>
            <w:vAlign w:val="center"/>
          </w:tcPr>
          <w:p w14:paraId="23AEF200">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534" w:type="dxa"/>
            <w:vMerge w:val="restart"/>
            <w:vAlign w:val="center"/>
          </w:tcPr>
          <w:p w14:paraId="72C611FD">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交互配置服务</w:t>
            </w:r>
          </w:p>
        </w:tc>
        <w:tc>
          <w:tcPr>
            <w:tcW w:w="1497" w:type="dxa"/>
            <w:vAlign w:val="center"/>
          </w:tcPr>
          <w:p w14:paraId="4370CC71">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地图交互配置</w:t>
            </w:r>
          </w:p>
        </w:tc>
        <w:tc>
          <w:tcPr>
            <w:tcW w:w="7457" w:type="dxa"/>
            <w:vAlign w:val="center"/>
          </w:tcPr>
          <w:p w14:paraId="7226188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支持地图可视化和三维可视化的旋转、缩小、放大和移动的交互控制。</w:t>
            </w:r>
          </w:p>
        </w:tc>
        <w:tc>
          <w:tcPr>
            <w:tcW w:w="1120" w:type="dxa"/>
            <w:vAlign w:val="center"/>
          </w:tcPr>
          <w:p w14:paraId="21AECB68">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项</w:t>
            </w:r>
          </w:p>
        </w:tc>
        <w:tc>
          <w:tcPr>
            <w:tcW w:w="1046" w:type="dxa"/>
            <w:vAlign w:val="center"/>
          </w:tcPr>
          <w:p w14:paraId="1B56BFA7">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w:t>
            </w:r>
          </w:p>
        </w:tc>
      </w:tr>
      <w:tr w14:paraId="49CC3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692" w:type="dxa"/>
            <w:vAlign w:val="center"/>
          </w:tcPr>
          <w:p w14:paraId="18756B22">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42</w:t>
            </w:r>
          </w:p>
        </w:tc>
        <w:tc>
          <w:tcPr>
            <w:tcW w:w="796" w:type="dxa"/>
            <w:vMerge w:val="continue"/>
            <w:vAlign w:val="center"/>
          </w:tcPr>
          <w:p w14:paraId="1E0037AD">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854" w:type="dxa"/>
            <w:vMerge w:val="continue"/>
            <w:vAlign w:val="center"/>
          </w:tcPr>
          <w:p w14:paraId="3D5B2CAE">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534" w:type="dxa"/>
            <w:vMerge w:val="continue"/>
            <w:vAlign w:val="center"/>
          </w:tcPr>
          <w:p w14:paraId="4A6F5F8C">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1497" w:type="dxa"/>
            <w:vAlign w:val="center"/>
          </w:tcPr>
          <w:p w14:paraId="01D85F38">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图表交互配置</w:t>
            </w:r>
          </w:p>
        </w:tc>
        <w:tc>
          <w:tcPr>
            <w:tcW w:w="7457" w:type="dxa"/>
            <w:vAlign w:val="center"/>
          </w:tcPr>
          <w:p w14:paraId="0B4C0867">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支持图/表、地图和数据的交互动作配置，实现显示/隐藏、标号样式切换、视野中心点加交互配置。</w:t>
            </w:r>
          </w:p>
        </w:tc>
        <w:tc>
          <w:tcPr>
            <w:tcW w:w="1120" w:type="dxa"/>
            <w:vAlign w:val="center"/>
          </w:tcPr>
          <w:p w14:paraId="4DD3991D">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项</w:t>
            </w:r>
          </w:p>
        </w:tc>
        <w:tc>
          <w:tcPr>
            <w:tcW w:w="1046" w:type="dxa"/>
            <w:vAlign w:val="center"/>
          </w:tcPr>
          <w:p w14:paraId="33E89890">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w:t>
            </w:r>
          </w:p>
        </w:tc>
      </w:tr>
      <w:tr w14:paraId="52E9B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692" w:type="dxa"/>
            <w:vAlign w:val="center"/>
          </w:tcPr>
          <w:p w14:paraId="09CAF2E9">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43</w:t>
            </w:r>
          </w:p>
        </w:tc>
        <w:tc>
          <w:tcPr>
            <w:tcW w:w="796" w:type="dxa"/>
            <w:vMerge w:val="continue"/>
            <w:vAlign w:val="center"/>
          </w:tcPr>
          <w:p w14:paraId="1E6209F6">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854" w:type="dxa"/>
            <w:vMerge w:val="continue"/>
            <w:vAlign w:val="center"/>
          </w:tcPr>
          <w:p w14:paraId="3F27DFB5">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534" w:type="dxa"/>
            <w:vMerge w:val="continue"/>
            <w:vAlign w:val="center"/>
          </w:tcPr>
          <w:p w14:paraId="516D2858">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1497" w:type="dxa"/>
            <w:vAlign w:val="center"/>
          </w:tcPr>
          <w:p w14:paraId="16B36FE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弹窗交互配置</w:t>
            </w:r>
          </w:p>
        </w:tc>
        <w:tc>
          <w:tcPr>
            <w:tcW w:w="7457" w:type="dxa"/>
            <w:vAlign w:val="center"/>
          </w:tcPr>
          <w:p w14:paraId="1B84293D">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支持打开页面、打开链接、标号弹窗、信息弹窗交互配置。</w:t>
            </w:r>
          </w:p>
        </w:tc>
        <w:tc>
          <w:tcPr>
            <w:tcW w:w="1120" w:type="dxa"/>
            <w:vAlign w:val="center"/>
          </w:tcPr>
          <w:p w14:paraId="134BD4E7">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项</w:t>
            </w:r>
          </w:p>
        </w:tc>
        <w:tc>
          <w:tcPr>
            <w:tcW w:w="1046" w:type="dxa"/>
            <w:vAlign w:val="center"/>
          </w:tcPr>
          <w:p w14:paraId="3DD95D9A">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w:t>
            </w:r>
          </w:p>
        </w:tc>
      </w:tr>
      <w:tr w14:paraId="02629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692" w:type="dxa"/>
            <w:vAlign w:val="center"/>
          </w:tcPr>
          <w:p w14:paraId="1EDF2F95">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44</w:t>
            </w:r>
          </w:p>
        </w:tc>
        <w:tc>
          <w:tcPr>
            <w:tcW w:w="796" w:type="dxa"/>
            <w:vMerge w:val="continue"/>
            <w:vAlign w:val="center"/>
          </w:tcPr>
          <w:p w14:paraId="0B5F1254">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854" w:type="dxa"/>
            <w:vMerge w:val="continue"/>
            <w:vAlign w:val="center"/>
          </w:tcPr>
          <w:p w14:paraId="4B7C6CB0">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534" w:type="dxa"/>
            <w:vMerge w:val="continue"/>
            <w:vAlign w:val="center"/>
          </w:tcPr>
          <w:p w14:paraId="67772922">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1497" w:type="dxa"/>
            <w:vAlign w:val="center"/>
          </w:tcPr>
          <w:p w14:paraId="28C26100">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数据过滤配置</w:t>
            </w:r>
          </w:p>
        </w:tc>
        <w:tc>
          <w:tcPr>
            <w:tcW w:w="7457" w:type="dxa"/>
            <w:vAlign w:val="center"/>
          </w:tcPr>
          <w:p w14:paraId="6BF1C5EF">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支持数据联动、表单提交、消息派发等交互事件配置。</w:t>
            </w:r>
          </w:p>
        </w:tc>
        <w:tc>
          <w:tcPr>
            <w:tcW w:w="1120" w:type="dxa"/>
            <w:vAlign w:val="center"/>
          </w:tcPr>
          <w:p w14:paraId="5DE63634">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项</w:t>
            </w:r>
          </w:p>
        </w:tc>
        <w:tc>
          <w:tcPr>
            <w:tcW w:w="1046" w:type="dxa"/>
            <w:vAlign w:val="center"/>
          </w:tcPr>
          <w:p w14:paraId="0826AA5B">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w:t>
            </w:r>
          </w:p>
        </w:tc>
      </w:tr>
      <w:tr w14:paraId="42F87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92" w:type="dxa"/>
            <w:vAlign w:val="center"/>
          </w:tcPr>
          <w:p w14:paraId="6FB0E304">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45</w:t>
            </w:r>
          </w:p>
        </w:tc>
        <w:tc>
          <w:tcPr>
            <w:tcW w:w="796" w:type="dxa"/>
            <w:vMerge w:val="continue"/>
            <w:vAlign w:val="center"/>
          </w:tcPr>
          <w:p w14:paraId="021E37BA">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854" w:type="dxa"/>
            <w:vMerge w:val="continue"/>
            <w:vAlign w:val="center"/>
          </w:tcPr>
          <w:p w14:paraId="4ED11E5A">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534" w:type="dxa"/>
            <w:vMerge w:val="restart"/>
            <w:vAlign w:val="center"/>
          </w:tcPr>
          <w:p w14:paraId="68DA12D6">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地图管理服务</w:t>
            </w:r>
          </w:p>
        </w:tc>
        <w:tc>
          <w:tcPr>
            <w:tcW w:w="1497" w:type="dxa"/>
            <w:vAlign w:val="center"/>
          </w:tcPr>
          <w:p w14:paraId="0A83FF2A">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地图服务代理</w:t>
            </w:r>
          </w:p>
        </w:tc>
        <w:tc>
          <w:tcPr>
            <w:tcW w:w="7457" w:type="dxa"/>
            <w:vAlign w:val="center"/>
          </w:tcPr>
          <w:p w14:paraId="11C77089">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支持提供代理坐标系为WGS84（EPSG:4326）或 CGCS2000（EPSG:4490）的TMS、WMTS、WMS、S3M等类型的地图服务，支持代理服务的添加、编辑、发布以及服务端缓存等功能</w:t>
            </w:r>
          </w:p>
        </w:tc>
        <w:tc>
          <w:tcPr>
            <w:tcW w:w="1120" w:type="dxa"/>
            <w:vAlign w:val="center"/>
          </w:tcPr>
          <w:p w14:paraId="2364DCD6">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项</w:t>
            </w:r>
          </w:p>
        </w:tc>
        <w:tc>
          <w:tcPr>
            <w:tcW w:w="1046" w:type="dxa"/>
            <w:vAlign w:val="center"/>
          </w:tcPr>
          <w:p w14:paraId="7F337BC4">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w:t>
            </w:r>
          </w:p>
        </w:tc>
      </w:tr>
      <w:tr w14:paraId="0A535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92" w:type="dxa"/>
            <w:vAlign w:val="center"/>
          </w:tcPr>
          <w:p w14:paraId="12CE68D8">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46</w:t>
            </w:r>
          </w:p>
        </w:tc>
        <w:tc>
          <w:tcPr>
            <w:tcW w:w="796" w:type="dxa"/>
            <w:vMerge w:val="continue"/>
            <w:vAlign w:val="center"/>
          </w:tcPr>
          <w:p w14:paraId="3B3F5972">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854" w:type="dxa"/>
            <w:vMerge w:val="continue"/>
            <w:vAlign w:val="center"/>
          </w:tcPr>
          <w:p w14:paraId="58BEF28B">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534" w:type="dxa"/>
            <w:vMerge w:val="continue"/>
            <w:vAlign w:val="center"/>
          </w:tcPr>
          <w:p w14:paraId="2834A0BD">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1497" w:type="dxa"/>
            <w:vAlign w:val="center"/>
          </w:tcPr>
          <w:p w14:paraId="3BE6FDB5">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地图服务发布</w:t>
            </w:r>
          </w:p>
        </w:tc>
        <w:tc>
          <w:tcPr>
            <w:tcW w:w="7457" w:type="dxa"/>
            <w:vAlign w:val="center"/>
          </w:tcPr>
          <w:p w14:paraId="01CC3443">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支持提供将接入的基础地图数据、矢量数据、矢量瓦片数据、栅格瓦片、图片数据、三维瓦片数据等数据通过数据服务化后发布成矢量地图服务、WMTS、TMS、矢量要素服务、自定义矢量瓦片服务、S3M服务、地形地貌服务、集束式三维瓦片服务等，为地图应用提供多种底图数据支撑。</w:t>
            </w:r>
          </w:p>
        </w:tc>
        <w:tc>
          <w:tcPr>
            <w:tcW w:w="1120" w:type="dxa"/>
            <w:vAlign w:val="center"/>
          </w:tcPr>
          <w:p w14:paraId="22AE81FD">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项</w:t>
            </w:r>
          </w:p>
        </w:tc>
        <w:tc>
          <w:tcPr>
            <w:tcW w:w="1046" w:type="dxa"/>
            <w:vAlign w:val="center"/>
          </w:tcPr>
          <w:p w14:paraId="30327ECC">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w:t>
            </w:r>
          </w:p>
        </w:tc>
      </w:tr>
      <w:tr w14:paraId="02BB1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92" w:type="dxa"/>
            <w:vAlign w:val="center"/>
          </w:tcPr>
          <w:p w14:paraId="2B89FC21">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47</w:t>
            </w:r>
          </w:p>
        </w:tc>
        <w:tc>
          <w:tcPr>
            <w:tcW w:w="796" w:type="dxa"/>
            <w:vMerge w:val="continue"/>
            <w:vAlign w:val="center"/>
          </w:tcPr>
          <w:p w14:paraId="37D024E3">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854" w:type="dxa"/>
            <w:vMerge w:val="continue"/>
            <w:vAlign w:val="center"/>
          </w:tcPr>
          <w:p w14:paraId="2FDB7007">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534" w:type="dxa"/>
            <w:vMerge w:val="continue"/>
            <w:vAlign w:val="center"/>
          </w:tcPr>
          <w:p w14:paraId="17F3FF9B">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1497" w:type="dxa"/>
            <w:vAlign w:val="center"/>
          </w:tcPr>
          <w:p w14:paraId="43E8C31D">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地图风格配置</w:t>
            </w:r>
          </w:p>
        </w:tc>
        <w:tc>
          <w:tcPr>
            <w:tcW w:w="7457" w:type="dxa"/>
            <w:vAlign w:val="center"/>
          </w:tcPr>
          <w:p w14:paraId="51EE2C77">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支持提供高性能矢量瓦片地图服务，支持地图风格切换，提供默认的基础地图主题模板样式，同时支持普通屏、高分屏配置默认的基础地图风格主题模板。支持创建新的底图主题风格，支持对基础地理POI数据进行样式配置、显示层级配置、显影状态配置等多种风格配置。</w:t>
            </w:r>
          </w:p>
        </w:tc>
        <w:tc>
          <w:tcPr>
            <w:tcW w:w="1120" w:type="dxa"/>
            <w:vAlign w:val="center"/>
          </w:tcPr>
          <w:p w14:paraId="437D80C7">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项</w:t>
            </w:r>
          </w:p>
        </w:tc>
        <w:tc>
          <w:tcPr>
            <w:tcW w:w="1046" w:type="dxa"/>
            <w:vAlign w:val="center"/>
          </w:tcPr>
          <w:p w14:paraId="71E32EF8">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w:t>
            </w:r>
          </w:p>
        </w:tc>
      </w:tr>
      <w:tr w14:paraId="7FA85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92" w:type="dxa"/>
            <w:vAlign w:val="center"/>
          </w:tcPr>
          <w:p w14:paraId="7C268DAA">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48</w:t>
            </w:r>
          </w:p>
        </w:tc>
        <w:tc>
          <w:tcPr>
            <w:tcW w:w="796" w:type="dxa"/>
            <w:vMerge w:val="continue"/>
            <w:vAlign w:val="center"/>
          </w:tcPr>
          <w:p w14:paraId="0FA17AF3">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854" w:type="dxa"/>
            <w:vMerge w:val="continue"/>
            <w:vAlign w:val="center"/>
          </w:tcPr>
          <w:p w14:paraId="2D829402">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534" w:type="dxa"/>
            <w:vMerge w:val="restart"/>
            <w:vAlign w:val="center"/>
          </w:tcPr>
          <w:p w14:paraId="6130C0BB">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地理信息服务</w:t>
            </w:r>
          </w:p>
        </w:tc>
        <w:tc>
          <w:tcPr>
            <w:tcW w:w="1497" w:type="dxa"/>
            <w:vAlign w:val="center"/>
          </w:tcPr>
          <w:p w14:paraId="53C81FB6">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统一时空基准服务</w:t>
            </w:r>
          </w:p>
        </w:tc>
        <w:tc>
          <w:tcPr>
            <w:tcW w:w="7457" w:type="dxa"/>
            <w:vAlign w:val="center"/>
          </w:tcPr>
          <w:p w14:paraId="0F234CBD">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时空格式标准化：提供集成时空数据标准化处理，通过将各类监测数据和时空基础数据中的时间属性和空间属性进行标准化处理，保障各个应用在可视化展示、分析计算等使用过程中的数据一致性和可用性。</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空间坐标系转换：空间坐标系转换服务，在接入时将各类空间数据坐标系统一转换为WGS84坐标系，基于统一的坐标系实现跨系统的空间数据应用。</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数据空间化处理：数据空间化处理服务，将不符合GIS标准的数据字段转换成符合GIS标准的数据字段。</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实体关系映射：提供实体关系映射服务，将物理世界中真实存在的物体与二三维地图中的数据实体关系映射。</w:t>
            </w:r>
          </w:p>
        </w:tc>
        <w:tc>
          <w:tcPr>
            <w:tcW w:w="1120" w:type="dxa"/>
            <w:vAlign w:val="center"/>
          </w:tcPr>
          <w:p w14:paraId="7006C753">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项</w:t>
            </w:r>
          </w:p>
        </w:tc>
        <w:tc>
          <w:tcPr>
            <w:tcW w:w="1046" w:type="dxa"/>
            <w:vAlign w:val="center"/>
          </w:tcPr>
          <w:p w14:paraId="393F6BBC">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w:t>
            </w:r>
          </w:p>
        </w:tc>
      </w:tr>
      <w:tr w14:paraId="1A4F3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92" w:type="dxa"/>
            <w:vAlign w:val="center"/>
          </w:tcPr>
          <w:p w14:paraId="3BE67054">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49</w:t>
            </w:r>
          </w:p>
        </w:tc>
        <w:tc>
          <w:tcPr>
            <w:tcW w:w="796" w:type="dxa"/>
            <w:vMerge w:val="continue"/>
            <w:vAlign w:val="center"/>
          </w:tcPr>
          <w:p w14:paraId="31E02DCA">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854" w:type="dxa"/>
            <w:vMerge w:val="continue"/>
            <w:vAlign w:val="center"/>
          </w:tcPr>
          <w:p w14:paraId="659BD447">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534" w:type="dxa"/>
            <w:vMerge w:val="continue"/>
            <w:vAlign w:val="center"/>
          </w:tcPr>
          <w:p w14:paraId="7B0C6145">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1497" w:type="dxa"/>
            <w:vAlign w:val="center"/>
          </w:tcPr>
          <w:p w14:paraId="08E90AB6">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空间分析计算服务</w:t>
            </w:r>
          </w:p>
        </w:tc>
        <w:tc>
          <w:tcPr>
            <w:tcW w:w="7457" w:type="dxa"/>
            <w:vAlign w:val="center"/>
          </w:tcPr>
          <w:p w14:paraId="40DF9E58">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提供路径分析、空间关联分析、轨迹分析、空间统计、地理处理、位置计算等空间分析计算服务，通过空间分析计算服务，也可以分析不同区域的水资源分布及其利用情况，为环境保护和资源管理提供决策依据</w:t>
            </w:r>
          </w:p>
        </w:tc>
        <w:tc>
          <w:tcPr>
            <w:tcW w:w="1120" w:type="dxa"/>
            <w:vAlign w:val="center"/>
          </w:tcPr>
          <w:p w14:paraId="52C57802">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项</w:t>
            </w:r>
          </w:p>
        </w:tc>
        <w:tc>
          <w:tcPr>
            <w:tcW w:w="1046" w:type="dxa"/>
            <w:vAlign w:val="center"/>
          </w:tcPr>
          <w:p w14:paraId="272B1FE5">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w:t>
            </w:r>
          </w:p>
        </w:tc>
      </w:tr>
      <w:tr w14:paraId="62775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92" w:type="dxa"/>
            <w:vAlign w:val="center"/>
          </w:tcPr>
          <w:p w14:paraId="746CE4ED">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50</w:t>
            </w:r>
          </w:p>
        </w:tc>
        <w:tc>
          <w:tcPr>
            <w:tcW w:w="796" w:type="dxa"/>
            <w:vMerge w:val="continue"/>
            <w:vAlign w:val="center"/>
          </w:tcPr>
          <w:p w14:paraId="193817EC">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854" w:type="dxa"/>
            <w:vMerge w:val="continue"/>
            <w:vAlign w:val="center"/>
          </w:tcPr>
          <w:p w14:paraId="543435C1">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534" w:type="dxa"/>
            <w:vMerge w:val="continue"/>
            <w:vAlign w:val="center"/>
          </w:tcPr>
          <w:p w14:paraId="6C839889">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1497" w:type="dxa"/>
            <w:vAlign w:val="center"/>
          </w:tcPr>
          <w:p w14:paraId="5A5544F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地理信息检索服务</w:t>
            </w:r>
          </w:p>
        </w:tc>
        <w:tc>
          <w:tcPr>
            <w:tcW w:w="7457" w:type="dxa"/>
            <w:vAlign w:val="center"/>
          </w:tcPr>
          <w:p w14:paraId="3CB00BF2">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提供基于ECQL语言的通用地理信息检索服务、基于基础底图数据的地理信息检索服务、基于兴趣点细分类别的地理信息检索服务，方便基于地图实现快速的资源查询应用，如通过地理信息检索服务，监测人员可以快速定位并获谁资源的关键区域信息，能够帮助精确识别风险信息，从而更有效地进行监测和预警。</w:t>
            </w:r>
          </w:p>
        </w:tc>
        <w:tc>
          <w:tcPr>
            <w:tcW w:w="1120" w:type="dxa"/>
            <w:vAlign w:val="center"/>
          </w:tcPr>
          <w:p w14:paraId="58D64BD0">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项</w:t>
            </w:r>
          </w:p>
        </w:tc>
        <w:tc>
          <w:tcPr>
            <w:tcW w:w="1046" w:type="dxa"/>
            <w:vAlign w:val="center"/>
          </w:tcPr>
          <w:p w14:paraId="72BCFF57">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w:t>
            </w:r>
          </w:p>
        </w:tc>
      </w:tr>
      <w:tr w14:paraId="610C8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92" w:type="dxa"/>
            <w:vAlign w:val="center"/>
          </w:tcPr>
          <w:p w14:paraId="78C0D86A">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51</w:t>
            </w:r>
          </w:p>
        </w:tc>
        <w:tc>
          <w:tcPr>
            <w:tcW w:w="796" w:type="dxa"/>
            <w:vMerge w:val="continue"/>
            <w:vAlign w:val="center"/>
          </w:tcPr>
          <w:p w14:paraId="2874C446">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854" w:type="dxa"/>
            <w:vMerge w:val="continue"/>
            <w:vAlign w:val="center"/>
          </w:tcPr>
          <w:p w14:paraId="0A99F0D3">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534" w:type="dxa"/>
            <w:vMerge w:val="continue"/>
            <w:vAlign w:val="center"/>
          </w:tcPr>
          <w:p w14:paraId="3F33C4D4">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1497" w:type="dxa"/>
            <w:vAlign w:val="center"/>
          </w:tcPr>
          <w:p w14:paraId="1B4FEC63">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空间数据管理服务</w:t>
            </w:r>
          </w:p>
        </w:tc>
        <w:tc>
          <w:tcPr>
            <w:tcW w:w="7457" w:type="dxa"/>
            <w:vAlign w:val="center"/>
          </w:tcPr>
          <w:p w14:paraId="72668A59">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提供基础底图数据、矢量数据、栅格瓦片、地理标记文件、平面地图、实景三维、地形地貌数据、遥感影像、全景地图的管理服务，以及监测涉及到相关空间数据。</w:t>
            </w:r>
          </w:p>
        </w:tc>
        <w:tc>
          <w:tcPr>
            <w:tcW w:w="1120" w:type="dxa"/>
            <w:vAlign w:val="center"/>
          </w:tcPr>
          <w:p w14:paraId="71992772">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项</w:t>
            </w:r>
          </w:p>
        </w:tc>
        <w:tc>
          <w:tcPr>
            <w:tcW w:w="1046" w:type="dxa"/>
            <w:vAlign w:val="center"/>
          </w:tcPr>
          <w:p w14:paraId="599BF02B">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w:t>
            </w:r>
          </w:p>
        </w:tc>
      </w:tr>
      <w:tr w14:paraId="657E2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92" w:type="dxa"/>
            <w:vAlign w:val="center"/>
          </w:tcPr>
          <w:p w14:paraId="580298DE">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52</w:t>
            </w:r>
          </w:p>
        </w:tc>
        <w:tc>
          <w:tcPr>
            <w:tcW w:w="796" w:type="dxa"/>
            <w:vMerge w:val="continue"/>
            <w:vAlign w:val="center"/>
          </w:tcPr>
          <w:p w14:paraId="2276A249">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854" w:type="dxa"/>
            <w:vMerge w:val="continue"/>
            <w:vAlign w:val="center"/>
          </w:tcPr>
          <w:p w14:paraId="2AEF7930">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534" w:type="dxa"/>
            <w:vMerge w:val="continue"/>
            <w:vAlign w:val="center"/>
          </w:tcPr>
          <w:p w14:paraId="1FCE9004">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1497" w:type="dxa"/>
            <w:vAlign w:val="center"/>
          </w:tcPr>
          <w:p w14:paraId="7A292524">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地图实时渲染引擎</w:t>
            </w:r>
          </w:p>
        </w:tc>
        <w:tc>
          <w:tcPr>
            <w:tcW w:w="7457" w:type="dxa"/>
            <w:vAlign w:val="center"/>
          </w:tcPr>
          <w:p w14:paraId="7EF1BAD0">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提供地图渲染库，适用于不同的场景，同时并提供图表渲染、点聚合渲染、热力图渲染、线状效果渲染、面状效果渲染、粒子渲染、现象模拟、视线分析、剖面分析、方量分析等空间渲染能力，地图实时渲染引擎能够实时显示预警信息，为监测人员提供实时的动态数据。</w:t>
            </w:r>
          </w:p>
        </w:tc>
        <w:tc>
          <w:tcPr>
            <w:tcW w:w="1120" w:type="dxa"/>
            <w:vAlign w:val="center"/>
          </w:tcPr>
          <w:p w14:paraId="1C3C3563">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项</w:t>
            </w:r>
          </w:p>
        </w:tc>
        <w:tc>
          <w:tcPr>
            <w:tcW w:w="1046" w:type="dxa"/>
            <w:vAlign w:val="center"/>
          </w:tcPr>
          <w:p w14:paraId="4E877470">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w:t>
            </w:r>
          </w:p>
        </w:tc>
      </w:tr>
      <w:tr w14:paraId="55AF1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692" w:type="dxa"/>
            <w:vAlign w:val="center"/>
          </w:tcPr>
          <w:p w14:paraId="7B189CC4">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53</w:t>
            </w:r>
          </w:p>
        </w:tc>
        <w:tc>
          <w:tcPr>
            <w:tcW w:w="796" w:type="dxa"/>
            <w:vMerge w:val="continue"/>
            <w:vAlign w:val="center"/>
          </w:tcPr>
          <w:p w14:paraId="1EAB4F2F">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854" w:type="dxa"/>
            <w:vMerge w:val="continue"/>
            <w:vAlign w:val="center"/>
          </w:tcPr>
          <w:p w14:paraId="1B4CDFA8">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534" w:type="dxa"/>
            <w:vMerge w:val="restart"/>
            <w:vAlign w:val="center"/>
          </w:tcPr>
          <w:p w14:paraId="13D83FC2">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能力开放服务</w:t>
            </w:r>
          </w:p>
        </w:tc>
        <w:tc>
          <w:tcPr>
            <w:tcW w:w="1497" w:type="dxa"/>
            <w:vAlign w:val="center"/>
          </w:tcPr>
          <w:p w14:paraId="25052FB8">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配置能力开放</w:t>
            </w:r>
          </w:p>
        </w:tc>
        <w:tc>
          <w:tcPr>
            <w:tcW w:w="7457" w:type="dxa"/>
            <w:vAlign w:val="center"/>
          </w:tcPr>
          <w:p w14:paraId="193DB582">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提供地图相关、图层相关的能力开放接口，能够支持第三方应用或平台基于开放能力针对配置好的应用主题进行二次开发。</w:t>
            </w:r>
          </w:p>
        </w:tc>
        <w:tc>
          <w:tcPr>
            <w:tcW w:w="1120" w:type="dxa"/>
            <w:vAlign w:val="center"/>
          </w:tcPr>
          <w:p w14:paraId="7B19DA54">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项</w:t>
            </w:r>
          </w:p>
        </w:tc>
        <w:tc>
          <w:tcPr>
            <w:tcW w:w="1046" w:type="dxa"/>
            <w:vAlign w:val="center"/>
          </w:tcPr>
          <w:p w14:paraId="0AA427F1">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w:t>
            </w:r>
          </w:p>
        </w:tc>
      </w:tr>
      <w:tr w14:paraId="60618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92" w:type="dxa"/>
            <w:vAlign w:val="center"/>
          </w:tcPr>
          <w:p w14:paraId="25AE37FF">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54</w:t>
            </w:r>
          </w:p>
        </w:tc>
        <w:tc>
          <w:tcPr>
            <w:tcW w:w="796" w:type="dxa"/>
            <w:vMerge w:val="continue"/>
            <w:vAlign w:val="center"/>
          </w:tcPr>
          <w:p w14:paraId="421ECE4D">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854" w:type="dxa"/>
            <w:vMerge w:val="continue"/>
            <w:vAlign w:val="center"/>
          </w:tcPr>
          <w:p w14:paraId="05F98138">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534" w:type="dxa"/>
            <w:vMerge w:val="continue"/>
            <w:vAlign w:val="center"/>
          </w:tcPr>
          <w:p w14:paraId="44183B2A">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1497" w:type="dxa"/>
            <w:vAlign w:val="center"/>
          </w:tcPr>
          <w:p w14:paraId="3ABBCE5A">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插件能力开放</w:t>
            </w:r>
          </w:p>
        </w:tc>
        <w:tc>
          <w:tcPr>
            <w:tcW w:w="7457" w:type="dxa"/>
            <w:vAlign w:val="center"/>
          </w:tcPr>
          <w:p w14:paraId="2165F1C3">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提供插件开发工具，以及插件范例可进行图表插件二次开发调试，支持软件生态服务商自定义开发业务图表插件。支持图表插件开发模版示例，可基于示例进行具体插件开发工作开展。</w:t>
            </w:r>
          </w:p>
        </w:tc>
        <w:tc>
          <w:tcPr>
            <w:tcW w:w="1120" w:type="dxa"/>
            <w:vAlign w:val="center"/>
          </w:tcPr>
          <w:p w14:paraId="3803DF8A">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项</w:t>
            </w:r>
          </w:p>
        </w:tc>
        <w:tc>
          <w:tcPr>
            <w:tcW w:w="1046" w:type="dxa"/>
            <w:vAlign w:val="center"/>
          </w:tcPr>
          <w:p w14:paraId="61D60B0E">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w:t>
            </w:r>
          </w:p>
        </w:tc>
      </w:tr>
      <w:tr w14:paraId="3451B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3996" w:type="dxa"/>
            <w:gridSpan w:val="8"/>
            <w:vAlign w:val="center"/>
          </w:tcPr>
          <w:p w14:paraId="008F403E">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000000"/>
                <w:sz w:val="24"/>
              </w:rPr>
            </w:pPr>
            <w:r>
              <w:rPr>
                <w:rFonts w:hint="eastAsia" w:ascii="宋体" w:hAnsi="宋体" w:cs="宋体"/>
                <w:b/>
                <w:bCs/>
                <w:color w:val="000000"/>
                <w:kern w:val="0"/>
                <w:sz w:val="24"/>
                <w:lang w:val="en-US" w:eastAsia="zh-CN" w:bidi="ar"/>
              </w:rPr>
              <w:t>三</w:t>
            </w:r>
            <w:r>
              <w:rPr>
                <w:rFonts w:hint="eastAsia" w:ascii="宋体" w:hAnsi="宋体" w:cs="宋体"/>
                <w:b/>
                <w:bCs/>
                <w:color w:val="000000"/>
                <w:kern w:val="0"/>
                <w:sz w:val="24"/>
                <w:lang w:bidi="ar"/>
              </w:rPr>
              <w:t>、运营指挥中心--信息化建设</w:t>
            </w:r>
          </w:p>
        </w:tc>
      </w:tr>
      <w:tr w14:paraId="5A144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692" w:type="dxa"/>
            <w:vAlign w:val="center"/>
          </w:tcPr>
          <w:p w14:paraId="0C965116">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000000"/>
                <w:sz w:val="24"/>
              </w:rPr>
            </w:pPr>
            <w:r>
              <w:rPr>
                <w:rFonts w:hint="eastAsia" w:ascii="宋体" w:hAnsi="宋体" w:cs="宋体"/>
                <w:b/>
                <w:bCs/>
                <w:color w:val="000000"/>
                <w:kern w:val="0"/>
                <w:sz w:val="24"/>
                <w:lang w:bidi="ar"/>
              </w:rPr>
              <w:t>序号</w:t>
            </w:r>
          </w:p>
        </w:tc>
        <w:tc>
          <w:tcPr>
            <w:tcW w:w="2184" w:type="dxa"/>
            <w:gridSpan w:val="3"/>
            <w:vAlign w:val="center"/>
          </w:tcPr>
          <w:p w14:paraId="02E42873">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000000"/>
                <w:sz w:val="24"/>
              </w:rPr>
            </w:pPr>
            <w:r>
              <w:rPr>
                <w:rFonts w:hint="eastAsia" w:ascii="宋体" w:hAnsi="宋体" w:cs="宋体"/>
                <w:b/>
                <w:bCs/>
                <w:color w:val="000000"/>
                <w:kern w:val="0"/>
                <w:sz w:val="24"/>
                <w:lang w:bidi="ar"/>
              </w:rPr>
              <w:t>系统名称</w:t>
            </w:r>
          </w:p>
        </w:tc>
        <w:tc>
          <w:tcPr>
            <w:tcW w:w="1497" w:type="dxa"/>
            <w:vAlign w:val="center"/>
          </w:tcPr>
          <w:p w14:paraId="1B44C9EC">
            <w:pPr>
              <w:keepNext w:val="0"/>
              <w:keepLines w:val="0"/>
              <w:widowControl/>
              <w:suppressLineNumbers w:val="0"/>
              <w:spacing w:before="0" w:beforeAutospacing="0" w:after="0" w:afterAutospacing="0"/>
              <w:ind w:left="0" w:right="0"/>
              <w:jc w:val="left"/>
              <w:textAlignment w:val="center"/>
              <w:rPr>
                <w:rFonts w:hint="default" w:ascii="宋体" w:hAnsi="宋体" w:cs="宋体"/>
                <w:b/>
                <w:bCs/>
                <w:color w:val="000000"/>
                <w:sz w:val="24"/>
              </w:rPr>
            </w:pPr>
            <w:r>
              <w:rPr>
                <w:rFonts w:hint="eastAsia" w:ascii="宋体" w:hAnsi="宋体" w:cs="宋体"/>
                <w:b/>
                <w:bCs/>
                <w:color w:val="000000"/>
                <w:kern w:val="0"/>
                <w:sz w:val="24"/>
                <w:lang w:bidi="ar"/>
              </w:rPr>
              <w:t>设备名称</w:t>
            </w:r>
          </w:p>
        </w:tc>
        <w:tc>
          <w:tcPr>
            <w:tcW w:w="7457" w:type="dxa"/>
            <w:vAlign w:val="center"/>
          </w:tcPr>
          <w:p w14:paraId="23FAF54B">
            <w:pPr>
              <w:keepNext w:val="0"/>
              <w:keepLines w:val="0"/>
              <w:widowControl/>
              <w:suppressLineNumbers w:val="0"/>
              <w:spacing w:before="0" w:beforeAutospacing="0" w:after="0" w:afterAutospacing="0"/>
              <w:ind w:left="0" w:right="0"/>
              <w:jc w:val="left"/>
              <w:textAlignment w:val="center"/>
              <w:rPr>
                <w:rFonts w:hint="default" w:ascii="宋体" w:hAnsi="宋体" w:cs="宋体"/>
                <w:b/>
                <w:bCs/>
                <w:color w:val="000000"/>
                <w:sz w:val="24"/>
              </w:rPr>
            </w:pPr>
            <w:r>
              <w:rPr>
                <w:rFonts w:hint="eastAsia" w:ascii="宋体" w:hAnsi="宋体" w:cs="宋体"/>
                <w:b/>
                <w:bCs/>
                <w:color w:val="000000"/>
                <w:kern w:val="0"/>
                <w:sz w:val="24"/>
                <w:lang w:bidi="ar"/>
              </w:rPr>
              <w:t>配置要求</w:t>
            </w:r>
          </w:p>
        </w:tc>
        <w:tc>
          <w:tcPr>
            <w:tcW w:w="1120" w:type="dxa"/>
            <w:vAlign w:val="center"/>
          </w:tcPr>
          <w:p w14:paraId="7530B09C">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000000"/>
                <w:sz w:val="24"/>
              </w:rPr>
            </w:pPr>
            <w:r>
              <w:rPr>
                <w:rFonts w:hint="eastAsia" w:ascii="宋体" w:hAnsi="宋体" w:cs="宋体"/>
                <w:b/>
                <w:bCs/>
                <w:color w:val="000000"/>
                <w:kern w:val="0"/>
                <w:sz w:val="24"/>
                <w:lang w:bidi="ar"/>
              </w:rPr>
              <w:t>单位</w:t>
            </w:r>
          </w:p>
        </w:tc>
        <w:tc>
          <w:tcPr>
            <w:tcW w:w="1046" w:type="dxa"/>
            <w:vAlign w:val="center"/>
          </w:tcPr>
          <w:p w14:paraId="6028B3B6">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000000"/>
                <w:sz w:val="24"/>
              </w:rPr>
            </w:pPr>
            <w:r>
              <w:rPr>
                <w:rFonts w:hint="eastAsia" w:ascii="宋体" w:hAnsi="宋体" w:cs="宋体"/>
                <w:b/>
                <w:bCs/>
                <w:color w:val="000000"/>
                <w:kern w:val="0"/>
                <w:sz w:val="24"/>
                <w:lang w:bidi="ar"/>
              </w:rPr>
              <w:t>数量</w:t>
            </w:r>
          </w:p>
        </w:tc>
      </w:tr>
      <w:tr w14:paraId="7D577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2" w:type="dxa"/>
            <w:vAlign w:val="center"/>
          </w:tcPr>
          <w:p w14:paraId="0D037227">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55</w:t>
            </w:r>
          </w:p>
        </w:tc>
        <w:tc>
          <w:tcPr>
            <w:tcW w:w="2184" w:type="dxa"/>
            <w:gridSpan w:val="3"/>
            <w:vMerge w:val="restart"/>
            <w:vAlign w:val="center"/>
          </w:tcPr>
          <w:p w14:paraId="58C92746">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LED显示系统</w:t>
            </w:r>
          </w:p>
        </w:tc>
        <w:tc>
          <w:tcPr>
            <w:tcW w:w="1497" w:type="dxa"/>
            <w:vAlign w:val="center"/>
          </w:tcPr>
          <w:p w14:paraId="6E91C39A">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LED显示屏</w:t>
            </w:r>
          </w:p>
        </w:tc>
        <w:tc>
          <w:tcPr>
            <w:tcW w:w="7457" w:type="dxa"/>
            <w:vAlign w:val="center"/>
          </w:tcPr>
          <w:p w14:paraId="60FC3351">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1、小间距LED全彩显示屏，分辨率：≥4800*1890。</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2、像素间距：≤1.25mm。</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3、箱体比例：1:1，箱体结构采用压铸铝材质，全金属自然散热结构，无风扇，防尘和静音设计。</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4、封装类型：COB 3in1 （全倒装）。</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5、箱体分辨率：分辨率：≥480×270dots。</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6、像素密度：≥640000点/㎡。</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7、光学参数：显示屏亮度≥500cd/㎡，色温：≥2000K-9500K可调，水平、垂直视角≥160°，亮度均匀性≥97%，最大对比度≥20000:1；刷新率：≥3840Hz。</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8、箱体平整度：≤0.1mm。</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9、电气参数：峰值功耗≤305W/㎡，平均功耗≤100W/㎡，供电要求110-220VAC±15%。</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10、工作温度范围0—40℃、存储温度范围-10—50℃、工作湿度范围（RH）无结露10-60%。</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11、维护方式：完全前维护，灯板电源和接收卡均在前面维护。</w:t>
            </w:r>
          </w:p>
        </w:tc>
        <w:tc>
          <w:tcPr>
            <w:tcW w:w="1120" w:type="dxa"/>
            <w:vAlign w:val="center"/>
          </w:tcPr>
          <w:p w14:paraId="771BA5C1">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平方米</w:t>
            </w:r>
          </w:p>
        </w:tc>
        <w:tc>
          <w:tcPr>
            <w:tcW w:w="1046" w:type="dxa"/>
            <w:vAlign w:val="center"/>
          </w:tcPr>
          <w:p w14:paraId="65F8C500">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14.18</w:t>
            </w:r>
          </w:p>
        </w:tc>
      </w:tr>
      <w:tr w14:paraId="2CA3E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92" w:type="dxa"/>
            <w:vAlign w:val="center"/>
          </w:tcPr>
          <w:p w14:paraId="2940CED2">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56</w:t>
            </w:r>
          </w:p>
        </w:tc>
        <w:tc>
          <w:tcPr>
            <w:tcW w:w="2184" w:type="dxa"/>
            <w:gridSpan w:val="3"/>
            <w:vMerge w:val="continue"/>
            <w:vAlign w:val="center"/>
          </w:tcPr>
          <w:p w14:paraId="291D9135">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1497" w:type="dxa"/>
            <w:vAlign w:val="center"/>
          </w:tcPr>
          <w:p w14:paraId="16BBA5C7">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发送卡</w:t>
            </w:r>
          </w:p>
        </w:tc>
        <w:tc>
          <w:tcPr>
            <w:tcW w:w="7457" w:type="dxa"/>
            <w:vAlign w:val="center"/>
          </w:tcPr>
          <w:p w14:paraId="0D5BD2FF">
            <w:pPr>
              <w:keepNext w:val="0"/>
              <w:keepLines w:val="0"/>
              <w:widowControl/>
              <w:numPr>
                <w:ilvl w:val="0"/>
                <w:numId w:val="8"/>
              </w:numPr>
              <w:suppressLineNumbers w:val="0"/>
              <w:spacing w:before="0" w:beforeAutospacing="0" w:after="0" w:afterAutospacing="0"/>
              <w:ind w:left="0" w:right="0"/>
              <w:jc w:val="left"/>
              <w:textAlignment w:val="center"/>
              <w:rPr>
                <w:rFonts w:hint="default" w:ascii="宋体" w:hAnsi="宋体" w:cs="宋体"/>
                <w:color w:val="000000"/>
                <w:kern w:val="0"/>
                <w:sz w:val="24"/>
                <w:lang w:bidi="ar"/>
              </w:rPr>
            </w:pPr>
            <w:r>
              <w:rPr>
                <w:rFonts w:hint="eastAsia" w:ascii="宋体" w:hAnsi="宋体" w:cs="宋体"/>
                <w:color w:val="000000"/>
                <w:kern w:val="0"/>
                <w:sz w:val="24"/>
                <w:lang w:bidi="ar"/>
              </w:rPr>
              <w:t>支持≥1路4K@60和≥1路1080P@60视频源同时采集及输出；</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2、支持极限带载宽≥8192，高≥4320；单网口最大带载≥65万像素，共≥8个输出网口，最大带载≥520万像素；</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3、支持8bit采集及输出显示；支持RGB888、YUV444、YUV422采集；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4、支持≥2个HDMI2.0、≥1个HDMI1.4、≥1个DP1.2接口输入；≥8个千兆以太输出网口；≥1个百兆以太控制网口；≥1个USB2.0接口；≥1个RS232接口；≥1个RS485接口；≥1个光探头接口；≥4个按键或按键灯；</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5、支持多台设备同步显示；</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6、支持LED色度、亮度联机校正；支持校正系数管理；支持亮暗线调节。</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7、支持跑马屏，包括跑马屏内容、字体、字体大小、字体颜色、背景颜色、滚动速度、滚动方向的设置。（提供第三方检测机构出具的检测报告）</w:t>
            </w:r>
          </w:p>
          <w:p w14:paraId="21DBDD8B">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8、支持手动和自动智能除湿，除湿过程中有明确的除湿进度信息。（提供第三方检测机构出具的检测报告）</w:t>
            </w:r>
          </w:p>
        </w:tc>
        <w:tc>
          <w:tcPr>
            <w:tcW w:w="1120" w:type="dxa"/>
            <w:vAlign w:val="center"/>
          </w:tcPr>
          <w:p w14:paraId="14177F42">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块</w:t>
            </w:r>
          </w:p>
        </w:tc>
        <w:tc>
          <w:tcPr>
            <w:tcW w:w="1046" w:type="dxa"/>
            <w:vAlign w:val="center"/>
          </w:tcPr>
          <w:p w14:paraId="3C9A459F">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6</w:t>
            </w:r>
          </w:p>
        </w:tc>
      </w:tr>
      <w:tr w14:paraId="5FE5F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2" w:type="dxa"/>
            <w:vAlign w:val="center"/>
          </w:tcPr>
          <w:p w14:paraId="39688627">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57</w:t>
            </w:r>
          </w:p>
        </w:tc>
        <w:tc>
          <w:tcPr>
            <w:tcW w:w="2184" w:type="dxa"/>
            <w:gridSpan w:val="3"/>
            <w:vMerge w:val="continue"/>
            <w:vAlign w:val="center"/>
          </w:tcPr>
          <w:p w14:paraId="7FC1231C">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1497" w:type="dxa"/>
            <w:vAlign w:val="center"/>
          </w:tcPr>
          <w:p w14:paraId="08DA0BCA">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安装结构</w:t>
            </w:r>
          </w:p>
        </w:tc>
        <w:tc>
          <w:tcPr>
            <w:tcW w:w="7457" w:type="dxa"/>
            <w:vAlign w:val="center"/>
          </w:tcPr>
          <w:p w14:paraId="4F8B60FE">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钢结构制作和钢材均符合国家标准，焊点做防腐处理；</w:t>
            </w:r>
          </w:p>
        </w:tc>
        <w:tc>
          <w:tcPr>
            <w:tcW w:w="1120" w:type="dxa"/>
            <w:vAlign w:val="center"/>
          </w:tcPr>
          <w:p w14:paraId="03B0ABCE">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平方米</w:t>
            </w:r>
          </w:p>
        </w:tc>
        <w:tc>
          <w:tcPr>
            <w:tcW w:w="1046" w:type="dxa"/>
            <w:vAlign w:val="center"/>
          </w:tcPr>
          <w:p w14:paraId="301D0B05">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18.98</w:t>
            </w:r>
          </w:p>
        </w:tc>
      </w:tr>
      <w:tr w14:paraId="3FD08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92" w:type="dxa"/>
            <w:vAlign w:val="center"/>
          </w:tcPr>
          <w:p w14:paraId="4A38E628">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58</w:t>
            </w:r>
          </w:p>
        </w:tc>
        <w:tc>
          <w:tcPr>
            <w:tcW w:w="2184" w:type="dxa"/>
            <w:gridSpan w:val="3"/>
            <w:vMerge w:val="continue"/>
            <w:vAlign w:val="center"/>
          </w:tcPr>
          <w:p w14:paraId="69D87048">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1497" w:type="dxa"/>
            <w:vAlign w:val="center"/>
          </w:tcPr>
          <w:p w14:paraId="6F4C483E">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配电箱</w:t>
            </w:r>
          </w:p>
        </w:tc>
        <w:tc>
          <w:tcPr>
            <w:tcW w:w="7457" w:type="dxa"/>
            <w:vAlign w:val="center"/>
          </w:tcPr>
          <w:p w14:paraId="40BCA649">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1、≥20(KW)，带漏电保护功能；</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2、柜体材质：加厚冷轧钢板；防水等级：≥IP65。</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3、配电箱内主要设备为空气开关（总开关）、汇流排、配电继电器、电源防雷、保护接地和漏电保护地等。</w:t>
            </w:r>
          </w:p>
        </w:tc>
        <w:tc>
          <w:tcPr>
            <w:tcW w:w="1120" w:type="dxa"/>
            <w:vAlign w:val="center"/>
          </w:tcPr>
          <w:p w14:paraId="7690DE7C">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套</w:t>
            </w:r>
          </w:p>
        </w:tc>
        <w:tc>
          <w:tcPr>
            <w:tcW w:w="1046" w:type="dxa"/>
            <w:vAlign w:val="center"/>
          </w:tcPr>
          <w:p w14:paraId="0C47A75C">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w:t>
            </w:r>
          </w:p>
        </w:tc>
      </w:tr>
      <w:tr w14:paraId="20E01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92" w:type="dxa"/>
            <w:vAlign w:val="center"/>
          </w:tcPr>
          <w:p w14:paraId="29B38D64">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59</w:t>
            </w:r>
          </w:p>
        </w:tc>
        <w:tc>
          <w:tcPr>
            <w:tcW w:w="2184" w:type="dxa"/>
            <w:gridSpan w:val="3"/>
            <w:vMerge w:val="continue"/>
            <w:vAlign w:val="center"/>
          </w:tcPr>
          <w:p w14:paraId="53F6CDB3">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1497" w:type="dxa"/>
            <w:vAlign w:val="center"/>
          </w:tcPr>
          <w:p w14:paraId="65711458">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分布式坐席输入节点</w:t>
            </w:r>
          </w:p>
        </w:tc>
        <w:tc>
          <w:tcPr>
            <w:tcW w:w="7457" w:type="dxa"/>
            <w:vAlign w:val="center"/>
          </w:tcPr>
          <w:p w14:paraId="34F8BD66">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1、支持≥1路HDMI或1路DP接口输入，≥1路HDMI环通输出，≥1路HDMI输出；≥1个3.5mm音频输出接口、≥1个3.5mm音频输入接口；≥2个 USB；≥1个RS232接口、 ≥1个USB2.0 、≥1个USB HID接PC、≥1个 RS485接口、≥1个 复位按钮、≥1个 电源灯、≥1个运行状态灯、≥1个光口链接指示灯、≥1个 千兆电口（RJ45）、≥1个 千兆光口、≥1个 TF卡插槽；≥ 2个开关量输入、≥ 2个继电器输出；</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2、支持H.264和H.265编码，并支持在浏览器端对编码码流进行设置；</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3、支持供电热备，支持POE与12V适配器双供电使用；</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4、输入节点视频转发不少于100路1080P@60Hz；</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5、支持RTSP标准协议对接三方设备</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6、支持在输入信号叠加中英文字幕、时间信息，可设置字体颜色、大小、坐标位置等；</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7、支持自定义分辨率采集编码，最大支持3840x2160@30信号分辨率采集和编码。支持≥48KHz 16bits音频采集编码。</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8、支持图像裁剪；</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9、支持网络光电热备,自动切换；</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10、自带一键复位IP，支持IP动态分配。</w:t>
            </w:r>
          </w:p>
        </w:tc>
        <w:tc>
          <w:tcPr>
            <w:tcW w:w="1120" w:type="dxa"/>
            <w:vAlign w:val="center"/>
          </w:tcPr>
          <w:p w14:paraId="77459B50">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台</w:t>
            </w:r>
          </w:p>
        </w:tc>
        <w:tc>
          <w:tcPr>
            <w:tcW w:w="1046" w:type="dxa"/>
            <w:vAlign w:val="center"/>
          </w:tcPr>
          <w:p w14:paraId="66479511">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12</w:t>
            </w:r>
          </w:p>
        </w:tc>
      </w:tr>
      <w:tr w14:paraId="4F271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rPr>
        <w:tc>
          <w:tcPr>
            <w:tcW w:w="692" w:type="dxa"/>
            <w:vAlign w:val="center"/>
          </w:tcPr>
          <w:p w14:paraId="330186F8">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60</w:t>
            </w:r>
          </w:p>
        </w:tc>
        <w:tc>
          <w:tcPr>
            <w:tcW w:w="2184" w:type="dxa"/>
            <w:gridSpan w:val="3"/>
            <w:vMerge w:val="continue"/>
            <w:vAlign w:val="center"/>
          </w:tcPr>
          <w:p w14:paraId="3080340B">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1497" w:type="dxa"/>
            <w:vAlign w:val="center"/>
          </w:tcPr>
          <w:p w14:paraId="6C47E415">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分布式4K60坐席输入节点</w:t>
            </w:r>
          </w:p>
        </w:tc>
        <w:tc>
          <w:tcPr>
            <w:tcW w:w="7457" w:type="dxa"/>
            <w:vAlign w:val="center"/>
          </w:tcPr>
          <w:p w14:paraId="2161BABD">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1、支持≥1路HDMI或1路DP接口输入，≥1路HDMI环通输出；≥1个3.5mm音频输出接口、≥2个3.5mm音频输入接口；≥3个 USB 、1个RS232接口；≥1个 RS485接口、≥1个 复位按钮、≥1个 电源灯、≥1个 运行状态灯、≥1个 光口链接指示灯、≥1个 485状态灯、≥1个 VI信号锁位灯、≥1个sys预留灯、≥1个 TF卡插槽；≥ 2个报警输入，≥2个报警输出，≥2个红外IR接口；</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2、支持液晶面板显示设备名称和IP信息，可通过物理按键进行配置；</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3、支持H.264和H.265编码，并支持在浏览器端对编码码流进行设置；</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4、支持供电热备，支持POE与12V适配器双供电使用；</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5、输入节点视频转发不少于100路1080P@60Hz；</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6、支持RTSP标准协议对接三方设备；</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7、支持在输入信号叠加中英文字幕、时间信息，可设置字体颜色、大小、坐标位置等；</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8、支持自定义分辨率采集编码，最大支持4096x2160@60信号分辨率采集和编码。支持≥48KHz 16bits音频采集编码；</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9、仅显示用户选定区域画面；</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10、支持网络光电热备，自动切换；</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11、自带一键复位IP，支持IP动态分配。</w:t>
            </w:r>
          </w:p>
        </w:tc>
        <w:tc>
          <w:tcPr>
            <w:tcW w:w="1120" w:type="dxa"/>
            <w:vAlign w:val="center"/>
          </w:tcPr>
          <w:p w14:paraId="5F2C53F7">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台</w:t>
            </w:r>
          </w:p>
        </w:tc>
        <w:tc>
          <w:tcPr>
            <w:tcW w:w="1046" w:type="dxa"/>
            <w:vAlign w:val="center"/>
          </w:tcPr>
          <w:p w14:paraId="481E0D52">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w:t>
            </w:r>
          </w:p>
        </w:tc>
      </w:tr>
      <w:tr w14:paraId="449AA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692" w:type="dxa"/>
            <w:vAlign w:val="center"/>
          </w:tcPr>
          <w:p w14:paraId="518E3235">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61</w:t>
            </w:r>
          </w:p>
        </w:tc>
        <w:tc>
          <w:tcPr>
            <w:tcW w:w="2184" w:type="dxa"/>
            <w:gridSpan w:val="3"/>
            <w:vMerge w:val="continue"/>
            <w:vAlign w:val="center"/>
          </w:tcPr>
          <w:p w14:paraId="00985C52">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1497" w:type="dxa"/>
            <w:vAlign w:val="center"/>
          </w:tcPr>
          <w:p w14:paraId="24CBD3A7">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分布式坐席输出节点</w:t>
            </w:r>
          </w:p>
        </w:tc>
        <w:tc>
          <w:tcPr>
            <w:tcW w:w="7457" w:type="dxa"/>
            <w:vAlign w:val="center"/>
          </w:tcPr>
          <w:p w14:paraId="433DBAD9">
            <w:pPr>
              <w:keepNext w:val="0"/>
              <w:keepLines w:val="0"/>
              <w:widowControl/>
              <w:numPr>
                <w:ilvl w:val="0"/>
                <w:numId w:val="8"/>
              </w:numPr>
              <w:suppressLineNumbers w:val="0"/>
              <w:spacing w:before="0" w:beforeAutospacing="0" w:after="0" w:afterAutospacing="0"/>
              <w:ind w:left="0" w:right="0"/>
              <w:jc w:val="left"/>
              <w:textAlignment w:val="center"/>
              <w:rPr>
                <w:rFonts w:hint="default" w:ascii="宋体" w:hAnsi="宋体" w:cs="宋体"/>
                <w:color w:val="000000"/>
                <w:kern w:val="0"/>
                <w:sz w:val="24"/>
                <w:lang w:bidi="ar"/>
              </w:rPr>
            </w:pPr>
            <w:r>
              <w:rPr>
                <w:rFonts w:hint="eastAsia" w:ascii="宋体" w:hAnsi="宋体" w:cs="宋体"/>
                <w:color w:val="000000"/>
                <w:kern w:val="0"/>
                <w:sz w:val="24"/>
                <w:lang w:bidi="ar"/>
              </w:rPr>
              <w:t xml:space="preserve">≥2个HDMI输出接口备份输出；≥1个3.5mm音频输出接口；≥2个USB2.0，≥2个USB3.0；支持1路RS232接口、1路RS485接口、≥1个 复位按钮、≥1个 电源灯、≥1个 运行状态灯、≥1个 光口链接指示灯、≥1个 千兆电口（RJ45）、≥1个 千兆光口；≥1个液晶显示板，用于显示IP地址+设备名称 ≥2个开关量输入、 ≥2个继电器输出；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2、输出接口HDMI 2.0 最大支持4K@60分辨率输出显示；</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3、支持画面备份功能，每个输出口的画面都有一个备份口实时显示同样的画面。输出口异常后，直接切到备份口即可把整套系统的画面恢复到正常状态；</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4、支持液晶面板显示设备名称和IP信息，可通过物理按键进行配置；</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5、内置音频输出解码模块，支持模拟音频接出、HDMI音频解嵌；确保音视频能够同步/异步处理切换；每路音频可通过指令控制音量大小；自带混音功能，混音不少于18路。</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6、可在坐席上通过RTSP、onvif协议接入前端设备进行解码显示。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7、设备具备解码能力，支持H.264/H.265等码流解码，单节点支持≥1路7680×3840@25fps或3路4000×3000@25fps或5路3840×2160@25fps或9路2506×1920@25fps或10路2688×1520@25fps或14路2048×1536@25fps或18路1920×1080@30fps网络视频实时解码。</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8、支持≥1280×720@60fps、1024×768@60fps、1280×1024@60fps、1920×1080@60fps、2560×1440@60fps、3440×1440@60fps、3840×2160@30fps、3840×2160@60fps分辨率输出显示。</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9、支持网络光电热备，自动切换。</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10、自带一键复位IP，支持IP动态分配。</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11、支持席位端分屏操作，支持1、2、4、9、16分割，最大可支持64分割。支持自由分割，可实现画中画显示，鼠标移到窗口，即可对画面内容进行操作。可以在各个分割间来回切换。（提供第三方检测机构出具的检测报告）</w:t>
            </w:r>
          </w:p>
          <w:p w14:paraId="0A5663F7">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12、支持画面备份功能，每个输出口的画面都有一个备份口实时显示同样的画面。输出口异常后，直接切到备份口即可把整套系统的画面恢复到正常状态。（提供第三方检测机构出具的检测报告）</w:t>
            </w:r>
          </w:p>
        </w:tc>
        <w:tc>
          <w:tcPr>
            <w:tcW w:w="1120" w:type="dxa"/>
            <w:vAlign w:val="center"/>
          </w:tcPr>
          <w:p w14:paraId="74A0D4FD">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台</w:t>
            </w:r>
          </w:p>
        </w:tc>
        <w:tc>
          <w:tcPr>
            <w:tcW w:w="1046" w:type="dxa"/>
            <w:vAlign w:val="center"/>
          </w:tcPr>
          <w:p w14:paraId="21FFB4F0">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3</w:t>
            </w:r>
          </w:p>
        </w:tc>
      </w:tr>
      <w:tr w14:paraId="1819B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trPr>
        <w:tc>
          <w:tcPr>
            <w:tcW w:w="692" w:type="dxa"/>
            <w:vAlign w:val="center"/>
          </w:tcPr>
          <w:p w14:paraId="04869744">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62</w:t>
            </w:r>
          </w:p>
        </w:tc>
        <w:tc>
          <w:tcPr>
            <w:tcW w:w="2184" w:type="dxa"/>
            <w:gridSpan w:val="3"/>
            <w:vMerge w:val="continue"/>
            <w:vAlign w:val="center"/>
          </w:tcPr>
          <w:p w14:paraId="3FA5E21A">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1497" w:type="dxa"/>
            <w:vAlign w:val="center"/>
          </w:tcPr>
          <w:p w14:paraId="3633A434">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分布式拼接节点</w:t>
            </w:r>
          </w:p>
        </w:tc>
        <w:tc>
          <w:tcPr>
            <w:tcW w:w="7457" w:type="dxa"/>
            <w:vAlign w:val="center"/>
          </w:tcPr>
          <w:p w14:paraId="53165B25">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1、≥2个HDMI输出接口；≥1个3.5mm音频输出接口；≥2个USB2.0，≥2个USB3.0；支持≥1路RS232接口、≥1路RS485接口、≥1个 复位按钮、≥1个 电源灯、≥1个 运行状态灯、≥1个 光口链接指示灯、≥1个 千兆电口（RJ45）、≥1个千兆光口；≥1个液晶显示板，用于显示IP地址+设备名称 ≥2个开关量输入、≥ 2个继电器输出；</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2、支持≥3840X2160@60Hz全高清输出，支持VESA标准显示分辨率，可进行自定义分辨率输出；</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3、支持双供电模式，外接适配器或POE+IEEE802.3at class4 25.5W；</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4、支持RTSP等标准流媒体协议，系统可支持IPC网络摄像头信号接入直接输出显示到大屏；</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5、分布式架构；</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6、支持精准同步；</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7、支持LCD、DLP以及LED直接拼接；</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8、单节点最大支持64开窗，同时支持≥32路1080p@30fps解码显示，最大支持3200W 8K前端码流解码；</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9、实现实时获取显示受控设备状态、信号实时画面预览、模拟输入信号上墙、拼接、漫游、开窗等；</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10、系统支持多个控制端对系统进行控制，并且实时反馈到各个控制端；</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11、系统具备高清底图功能；</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12、支持虚拟LED功能，多种字体可选，字体大小，颜色，任意布局；</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13、每个节点具备音频处理能力，实现音频切换以及音频同步异步的设置；</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14、系统具备场景保存调用功能，可预先进行场景排布保存，调用时可进行一键切换，将保存的场景一键调用，实现多种工作场景快速切换；</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15、自带一键复位IP，支持IP动态分配。</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16、设备自带液晶显示屏和物理按键，无需外接显示器在自带液晶屏上可以显示设备的ip、名称，通过按键可以直接修改设备的ip。（提供第三方检测机构出具的检测报告）</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17、设备支持预案轮巡和窗口轮巡，可以对添加好的任意预案添加到轮巡组进行轮巡，也可以任意多个信号源在选中的窗口进行信号源的轮巡。轮巡间隔时间可调节。（提供第三方检测机构出具的检测报告）</w:t>
            </w:r>
          </w:p>
        </w:tc>
        <w:tc>
          <w:tcPr>
            <w:tcW w:w="1120" w:type="dxa"/>
            <w:vAlign w:val="center"/>
          </w:tcPr>
          <w:p w14:paraId="4EFCB39F">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台</w:t>
            </w:r>
          </w:p>
        </w:tc>
        <w:tc>
          <w:tcPr>
            <w:tcW w:w="1046" w:type="dxa"/>
            <w:vAlign w:val="center"/>
          </w:tcPr>
          <w:p w14:paraId="3034F32A">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3</w:t>
            </w:r>
          </w:p>
        </w:tc>
      </w:tr>
      <w:tr w14:paraId="797B3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92" w:type="dxa"/>
            <w:vAlign w:val="center"/>
          </w:tcPr>
          <w:p w14:paraId="66E55658">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63</w:t>
            </w:r>
          </w:p>
        </w:tc>
        <w:tc>
          <w:tcPr>
            <w:tcW w:w="2184" w:type="dxa"/>
            <w:gridSpan w:val="3"/>
            <w:vMerge w:val="continue"/>
            <w:vAlign w:val="center"/>
          </w:tcPr>
          <w:p w14:paraId="0F009F29">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1497" w:type="dxa"/>
            <w:vAlign w:val="center"/>
          </w:tcPr>
          <w:p w14:paraId="41AC1776">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分布式坐席控制软件</w:t>
            </w:r>
          </w:p>
        </w:tc>
        <w:tc>
          <w:tcPr>
            <w:tcW w:w="7457" w:type="dxa"/>
            <w:vAlign w:val="center"/>
          </w:tcPr>
          <w:p w14:paraId="409B91B3">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1、去中心化架构，任意节点故障不会影响系统，只需更换单节点，更改对应IP。入网即可恢复业务，无需额外配置。</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2、支持USB鼠标、键盘，实现一台终端控制所有输入节点的KVM功能。</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3、可通过键盘热键调取OSD菜单，热键支持自定义。坐席PC接管、席位及大屏推送等操作可通过鼠标完成。</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4、支持OSD接管前预览功能，通过OSD菜单，可预览坐席系统内所有有权限接管的节点画面，便于准确直观操作，可获取当前信号。</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5、支持在OSD菜单进行权限的配置，包括增加、删除、修改。并且可对各个账号细化到账号的管理，OSD菜单支持图层透明。</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6、支持用户通过快捷键，将本地信号进行画面推送至其他席位或大屏，可在OSD菜单中可视化的虚拟出电视墙实际布局，根据需要可直观选择窗口推送，单屏幕可推送的画面≥64个。</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7、支持KVM操作功能，并支持一人多机、一机多屏、人机分离等坐席应用场景；</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8、支持坐席分屏操作，支持1、2、4、9、16、任意分割，最大可支持64分割。支持自由分割，可实现画中画显示，鼠标移到窗口，即可对画面内容进行操作。可以在各个分割间来回切换。</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9、支持将多个信号源设置为一组，一键接管多个画面，避免重复操作，也可直接通过设置好的热键调用。</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10、支持USB 数据透传功能，可对U盘等设备进行数据拷贝及授权功能；</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11、支持节点OSD菜单进行权限的配置，可对各个账号细化到账号的管理，OSD菜单支持图层透明。</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12、支持将多个独立计算机按照需要进行场景编组，实现一键场景接管，并且支持坐席间语音通话；</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13、支持任意座位OSD登录后分配节点组成席位、拼接屏功能，无需借助任何软件或者登录服务器，随时应变坐席布局、工位调整、节点临时更换。</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14、操作员席位采取其中一个屏幕用于场景调取，接到指令时，支持热键调出对应的场景（8种），允许操作员根据使用习惯随时自定义画面的数量、大小、位置，任意场景下切换信号。</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15、支持1套鼠标键盘控制多个不同业务平台系统，实现跨网段、跨系统编辑操作，输出节点具备单台显示器同时查看并跨屏操控64个不同业务系统的画面功能，单屏64画面模式下支持鼠标滑屏，鼠标滑动到任意一个分割区域都可对相应的主机进行KVM控制。</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16、支持对电视墙默认底图的管理和显示,支持上传自定义图片作为底图,底图最大分辨率支持≥15765×8868。（提供第三方检测机构出具的检测报告）</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17、支持将网页、程序包、图片、视频、PPT、Word文档、Excel、PDF、文本等内容窗口拖动到大屏中,每种类型窗口可添加多个文件,可设置内容文件播放时长、内容播放顺序等属性。（提供第三方检测机构出具的检测报告）</w:t>
            </w:r>
          </w:p>
        </w:tc>
        <w:tc>
          <w:tcPr>
            <w:tcW w:w="1120" w:type="dxa"/>
            <w:vAlign w:val="center"/>
          </w:tcPr>
          <w:p w14:paraId="58188A98">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套</w:t>
            </w:r>
          </w:p>
        </w:tc>
        <w:tc>
          <w:tcPr>
            <w:tcW w:w="1046" w:type="dxa"/>
            <w:vAlign w:val="center"/>
          </w:tcPr>
          <w:p w14:paraId="05E43618">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w:t>
            </w:r>
          </w:p>
        </w:tc>
      </w:tr>
      <w:tr w14:paraId="36B37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692" w:type="dxa"/>
            <w:vAlign w:val="center"/>
          </w:tcPr>
          <w:p w14:paraId="2ED7C007">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64</w:t>
            </w:r>
          </w:p>
        </w:tc>
        <w:tc>
          <w:tcPr>
            <w:tcW w:w="2184" w:type="dxa"/>
            <w:gridSpan w:val="3"/>
            <w:vMerge w:val="continue"/>
            <w:vAlign w:val="center"/>
          </w:tcPr>
          <w:p w14:paraId="4F8C2D72">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1497" w:type="dxa"/>
            <w:vAlign w:val="center"/>
          </w:tcPr>
          <w:p w14:paraId="7D110F4F">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拼接节点供电模块</w:t>
            </w:r>
          </w:p>
        </w:tc>
        <w:tc>
          <w:tcPr>
            <w:tcW w:w="7457" w:type="dxa"/>
            <w:vAlign w:val="center"/>
          </w:tcPr>
          <w:p w14:paraId="2626484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分布式拼接节点供电模块，标准19英寸的1U机架设计，单台设备支持≥8个拼接节点供电。</w:t>
            </w:r>
          </w:p>
        </w:tc>
        <w:tc>
          <w:tcPr>
            <w:tcW w:w="1120" w:type="dxa"/>
            <w:vAlign w:val="center"/>
          </w:tcPr>
          <w:p w14:paraId="33506EA6">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台</w:t>
            </w:r>
          </w:p>
        </w:tc>
        <w:tc>
          <w:tcPr>
            <w:tcW w:w="1046" w:type="dxa"/>
            <w:vAlign w:val="center"/>
          </w:tcPr>
          <w:p w14:paraId="6DAC5E98">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w:t>
            </w:r>
          </w:p>
        </w:tc>
      </w:tr>
      <w:tr w14:paraId="1A01F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692" w:type="dxa"/>
            <w:vAlign w:val="center"/>
          </w:tcPr>
          <w:p w14:paraId="412D5DA4">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65</w:t>
            </w:r>
          </w:p>
        </w:tc>
        <w:tc>
          <w:tcPr>
            <w:tcW w:w="2184" w:type="dxa"/>
            <w:gridSpan w:val="3"/>
            <w:vMerge w:val="continue"/>
            <w:vAlign w:val="center"/>
          </w:tcPr>
          <w:p w14:paraId="7D6B4647">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1497" w:type="dxa"/>
            <w:vAlign w:val="center"/>
          </w:tcPr>
          <w:p w14:paraId="419D335A">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拼接节点机框</w:t>
            </w:r>
          </w:p>
        </w:tc>
        <w:tc>
          <w:tcPr>
            <w:tcW w:w="7457" w:type="dxa"/>
            <w:vAlign w:val="center"/>
          </w:tcPr>
          <w:p w14:paraId="6937BF02">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分布式配套竖排机框，标准19英寸的6U机架设计。单个机框可以安装≥8个拼接节点。</w:t>
            </w:r>
          </w:p>
        </w:tc>
        <w:tc>
          <w:tcPr>
            <w:tcW w:w="1120" w:type="dxa"/>
            <w:vAlign w:val="center"/>
          </w:tcPr>
          <w:p w14:paraId="12B26D04">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台</w:t>
            </w:r>
          </w:p>
        </w:tc>
        <w:tc>
          <w:tcPr>
            <w:tcW w:w="1046" w:type="dxa"/>
            <w:vAlign w:val="center"/>
          </w:tcPr>
          <w:p w14:paraId="3670B007">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w:t>
            </w:r>
          </w:p>
        </w:tc>
      </w:tr>
      <w:tr w14:paraId="29FC1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692" w:type="dxa"/>
            <w:vAlign w:val="center"/>
          </w:tcPr>
          <w:p w14:paraId="1E45E8C6">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66</w:t>
            </w:r>
          </w:p>
        </w:tc>
        <w:tc>
          <w:tcPr>
            <w:tcW w:w="2184" w:type="dxa"/>
            <w:gridSpan w:val="3"/>
            <w:vMerge w:val="continue"/>
            <w:vAlign w:val="center"/>
          </w:tcPr>
          <w:p w14:paraId="35D58B16">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1497" w:type="dxa"/>
            <w:vAlign w:val="center"/>
          </w:tcPr>
          <w:p w14:paraId="1E877021">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供电交换机</w:t>
            </w:r>
          </w:p>
        </w:tc>
        <w:tc>
          <w:tcPr>
            <w:tcW w:w="7457" w:type="dxa"/>
            <w:vAlign w:val="center"/>
          </w:tcPr>
          <w:p w14:paraId="7C4C8D8E">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三层管理型PoE交换机</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1、≥48个千兆电口，≥4个万兆SFP+光口（满配光模块）；</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2、交换容量：≥432Gbps/4.32Tbps，包转发率：≥166Mpps/252Mpps；</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3、支持PoE供电，符合IEEE 802.3af、IEEE 802.3at标准，整机最大PoE输出功率≥600W；</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4、支持生成树STP/RSTP/MSTP协议，支持RRPP/ERPS；</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5、支持虚拟化堆叠技术；</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6、支持IGMP Snooping v1/v2/v3、PIM Snooping、Multicast VLAN、IGMP v1/v2/v3；</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7、支持DHCP Client、DHCP Snooping、DHCP Relay、DHCP Server、DHCP Snooping、DHCP Relay；</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8、支持802.1p/DSCP协议，支持包过滤，支持SP/WRR/SP+WRR队列；</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9、 支持SNMPv1/v2/v3；</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10、提供双模块化电源槽位，标配两个模块化电源；</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11、1U高度，支持桌面、机架式安装方式。</w:t>
            </w:r>
          </w:p>
        </w:tc>
        <w:tc>
          <w:tcPr>
            <w:tcW w:w="1120" w:type="dxa"/>
            <w:vAlign w:val="center"/>
          </w:tcPr>
          <w:p w14:paraId="1F0E46AD">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台</w:t>
            </w:r>
          </w:p>
        </w:tc>
        <w:tc>
          <w:tcPr>
            <w:tcW w:w="1046" w:type="dxa"/>
            <w:vAlign w:val="center"/>
          </w:tcPr>
          <w:p w14:paraId="4813879D">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w:t>
            </w:r>
          </w:p>
        </w:tc>
      </w:tr>
      <w:tr w14:paraId="3D749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92" w:type="dxa"/>
            <w:vAlign w:val="center"/>
          </w:tcPr>
          <w:p w14:paraId="3C8CE7FD">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67</w:t>
            </w:r>
          </w:p>
        </w:tc>
        <w:tc>
          <w:tcPr>
            <w:tcW w:w="2184" w:type="dxa"/>
            <w:gridSpan w:val="3"/>
            <w:vMerge w:val="continue"/>
            <w:vAlign w:val="center"/>
          </w:tcPr>
          <w:p w14:paraId="1CD0D19C">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1497" w:type="dxa"/>
            <w:vAlign w:val="center"/>
          </w:tcPr>
          <w:p w14:paraId="606F2863">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超高分处理器</w:t>
            </w:r>
          </w:p>
        </w:tc>
        <w:tc>
          <w:tcPr>
            <w:tcW w:w="7457" w:type="dxa"/>
            <w:vAlign w:val="center"/>
          </w:tcPr>
          <w:p w14:paraId="3E412EB4">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1、≥8核16线程，频率≥2.5GHz；</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2、内存≥16GB，可扩展至64GB；</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3、≥1个1TB SDD硬盘；</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w:t>
            </w:r>
            <w:r>
              <w:rPr>
                <w:rFonts w:hint="eastAsia" w:ascii="宋体" w:hAnsi="宋体" w:cs="宋体"/>
                <w:kern w:val="0"/>
                <w:sz w:val="24"/>
                <w:lang w:bidi="ar"/>
              </w:rPr>
              <w:t>≥6GB独立显卡；</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接口：≥1 x HDMI 、≥ 3 x DP、≥USBx2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含正版操作系统</w:t>
            </w:r>
          </w:p>
        </w:tc>
        <w:tc>
          <w:tcPr>
            <w:tcW w:w="1120" w:type="dxa"/>
            <w:vAlign w:val="center"/>
          </w:tcPr>
          <w:p w14:paraId="46DA3575">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台</w:t>
            </w:r>
          </w:p>
        </w:tc>
        <w:tc>
          <w:tcPr>
            <w:tcW w:w="1046" w:type="dxa"/>
            <w:vAlign w:val="center"/>
          </w:tcPr>
          <w:p w14:paraId="3EE24566">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w:t>
            </w:r>
          </w:p>
        </w:tc>
      </w:tr>
      <w:tr w14:paraId="1C385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692" w:type="dxa"/>
            <w:vAlign w:val="center"/>
          </w:tcPr>
          <w:p w14:paraId="00FE6E43">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68</w:t>
            </w:r>
          </w:p>
        </w:tc>
        <w:tc>
          <w:tcPr>
            <w:tcW w:w="2184" w:type="dxa"/>
            <w:gridSpan w:val="3"/>
            <w:vMerge w:val="continue"/>
            <w:vAlign w:val="center"/>
          </w:tcPr>
          <w:p w14:paraId="3ADE9D60">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1497" w:type="dxa"/>
            <w:vAlign w:val="center"/>
          </w:tcPr>
          <w:p w14:paraId="59632DAA">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三维渲染工作站</w:t>
            </w:r>
          </w:p>
        </w:tc>
        <w:tc>
          <w:tcPr>
            <w:tcW w:w="7457" w:type="dxa"/>
            <w:vAlign w:val="center"/>
          </w:tcPr>
          <w:p w14:paraId="0C05E23F">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1、处理器：≥12核，主频≥2.1GHz；</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2、硬盘：≥1块1T SATA硬盘；</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3、内存：≥32G内存；</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4、网口：≥2个千兆网口；</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5、独立显卡：DDR6，内存≥12GB；频率：≥2.6GHz；分辨力≥4K 240Hz；显卡接口：≥DP*3、≥HDMI*1；</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6、含正版操作系统</w:t>
            </w:r>
          </w:p>
        </w:tc>
        <w:tc>
          <w:tcPr>
            <w:tcW w:w="1120" w:type="dxa"/>
            <w:vAlign w:val="center"/>
          </w:tcPr>
          <w:p w14:paraId="65D8844D">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台</w:t>
            </w:r>
          </w:p>
        </w:tc>
        <w:tc>
          <w:tcPr>
            <w:tcW w:w="1046" w:type="dxa"/>
            <w:vAlign w:val="center"/>
          </w:tcPr>
          <w:p w14:paraId="72369547">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2</w:t>
            </w:r>
          </w:p>
        </w:tc>
      </w:tr>
      <w:tr w14:paraId="734F2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692" w:type="dxa"/>
            <w:vAlign w:val="center"/>
          </w:tcPr>
          <w:p w14:paraId="5425FF21">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69</w:t>
            </w:r>
          </w:p>
        </w:tc>
        <w:tc>
          <w:tcPr>
            <w:tcW w:w="2184" w:type="dxa"/>
            <w:gridSpan w:val="3"/>
            <w:vMerge w:val="restart"/>
            <w:vAlign w:val="center"/>
          </w:tcPr>
          <w:p w14:paraId="445DF1AB">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扩声系统</w:t>
            </w:r>
          </w:p>
        </w:tc>
        <w:tc>
          <w:tcPr>
            <w:tcW w:w="1497" w:type="dxa"/>
            <w:vAlign w:val="center"/>
          </w:tcPr>
          <w:p w14:paraId="4D48483F">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反馈抑制器</w:t>
            </w:r>
          </w:p>
        </w:tc>
        <w:tc>
          <w:tcPr>
            <w:tcW w:w="7457" w:type="dxa"/>
            <w:vAlign w:val="center"/>
          </w:tcPr>
          <w:p w14:paraId="5AE01483">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1.≥2寸液晶真彩显示，中英文可选；</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2.≥24BIT高性能A/D及D/A转换；</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3.双通道≥18点独立高速自动陷波，快速抑制啸叫点；</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4.支持自动/手动扫描啸叫点，频率精确到1Hz；</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5.支持PC调试软件，USB免驱通迅方式；</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6.支持噪声门功能可抑制系统微弱噪声干扰；</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7.支持输入压缩功能，消除反馈同时更可扩展人声动态；</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8.每通道，增益-80dB到0dB；</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9.支持移频工作模式；</w:t>
            </w:r>
          </w:p>
        </w:tc>
        <w:tc>
          <w:tcPr>
            <w:tcW w:w="1120" w:type="dxa"/>
            <w:vAlign w:val="center"/>
          </w:tcPr>
          <w:p w14:paraId="521D80DF">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台</w:t>
            </w:r>
          </w:p>
        </w:tc>
        <w:tc>
          <w:tcPr>
            <w:tcW w:w="1046" w:type="dxa"/>
            <w:vAlign w:val="center"/>
          </w:tcPr>
          <w:p w14:paraId="60A23FC9">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w:t>
            </w:r>
          </w:p>
        </w:tc>
      </w:tr>
      <w:tr w14:paraId="006F3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2" w:type="dxa"/>
            <w:vAlign w:val="center"/>
          </w:tcPr>
          <w:p w14:paraId="1C0CDE72">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70</w:t>
            </w:r>
          </w:p>
        </w:tc>
        <w:tc>
          <w:tcPr>
            <w:tcW w:w="2184" w:type="dxa"/>
            <w:gridSpan w:val="3"/>
            <w:vMerge w:val="continue"/>
            <w:vAlign w:val="center"/>
          </w:tcPr>
          <w:p w14:paraId="5A436E56">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1497" w:type="dxa"/>
            <w:vAlign w:val="center"/>
          </w:tcPr>
          <w:p w14:paraId="245FB467">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电源时序器</w:t>
            </w:r>
          </w:p>
        </w:tc>
        <w:tc>
          <w:tcPr>
            <w:tcW w:w="7457" w:type="dxa"/>
            <w:vAlign w:val="center"/>
          </w:tcPr>
          <w:p w14:paraId="2CE57A6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≥8路电源时序器，每个电源插座支持≥1</w:t>
            </w:r>
            <w:r>
              <w:rPr>
                <w:rFonts w:hint="default" w:ascii="宋体" w:hAnsi="宋体" w:cs="宋体"/>
                <w:color w:val="000000"/>
                <w:kern w:val="0"/>
                <w:sz w:val="24"/>
                <w:lang w:bidi="ar"/>
              </w:rPr>
              <w:t>0A</w:t>
            </w:r>
            <w:r>
              <w:rPr>
                <w:rFonts w:hint="eastAsia" w:ascii="宋体" w:hAnsi="宋体" w:cs="宋体"/>
                <w:color w:val="000000"/>
                <w:kern w:val="0"/>
                <w:sz w:val="24"/>
                <w:lang w:bidi="ar"/>
              </w:rPr>
              <w:t>；≥2×24 LCD蓝色背光液晶显示，内置万年历，可以对设备进行日、周设备定时，可通过软件对设备进行编程控制的PC软件，远程控制接口：RS485、RS232、TCP/IP、USB3.0/USB2.0、线控，支持欠压、超压自动检测并报警自动关闭电源，具有过载，短路保护功能，输出通道：≥8通道独立控制的时序通道、≥2路直通输出。工作电压：单相AC220V(±20%)。</w:t>
            </w:r>
          </w:p>
        </w:tc>
        <w:tc>
          <w:tcPr>
            <w:tcW w:w="1120" w:type="dxa"/>
            <w:vAlign w:val="center"/>
          </w:tcPr>
          <w:p w14:paraId="68174FBC">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台</w:t>
            </w:r>
          </w:p>
        </w:tc>
        <w:tc>
          <w:tcPr>
            <w:tcW w:w="1046" w:type="dxa"/>
            <w:vAlign w:val="center"/>
          </w:tcPr>
          <w:p w14:paraId="612A9E49">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w:t>
            </w:r>
          </w:p>
        </w:tc>
      </w:tr>
      <w:tr w14:paraId="6B9D1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692" w:type="dxa"/>
            <w:vAlign w:val="center"/>
          </w:tcPr>
          <w:p w14:paraId="10EABC20">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71</w:t>
            </w:r>
          </w:p>
        </w:tc>
        <w:tc>
          <w:tcPr>
            <w:tcW w:w="2184" w:type="dxa"/>
            <w:gridSpan w:val="3"/>
            <w:vMerge w:val="continue"/>
            <w:vAlign w:val="center"/>
          </w:tcPr>
          <w:p w14:paraId="44EAFF68">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1497" w:type="dxa"/>
            <w:vAlign w:val="center"/>
          </w:tcPr>
          <w:p w14:paraId="7D71D853">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音频处理器</w:t>
            </w:r>
          </w:p>
        </w:tc>
        <w:tc>
          <w:tcPr>
            <w:tcW w:w="7457" w:type="dxa"/>
            <w:vAlign w:val="center"/>
          </w:tcPr>
          <w:p w14:paraId="16B43DAD">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 xml:space="preserve"> 1. 数字音频处理器，支持机架式安装，内置信号发生器、自动混音（AM）、自动增益控制（AGC）、反馈消除（AFC）、回声消除（AEC）、噪声消除（ANC）等，配置显示屏，支持全功能矩阵混音功能，内置分量式矩阵调节功能；支持场景预设功能；支持断电自动保护记忆功能；配置RS-485双向串行控制接口；可控制外部其它设备如：视频矩阵、摄像机等RS-485设备，或接收第三方RS-485控制，</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每个输入提供 + 48 VDC10 mA幻象电源、支持通过USB、WiFi、TCP/IP接口和控制设备连接，支持≥8路输入/输出，≥4路电压输入控制（可接继电器或模拟可调电位器）的GPIO控制接口；输入共模拟制比：≥78dB(1KHz)， 输出动态范围</w:t>
            </w:r>
            <w:r>
              <w:rPr>
                <w:rFonts w:hint="eastAsia" w:ascii="宋体" w:hAnsi="宋体" w:cs="宋体"/>
                <w:kern w:val="0"/>
                <w:sz w:val="24"/>
                <w:lang w:bidi="ar"/>
              </w:rPr>
              <w:t>：112dBu，</w:t>
            </w:r>
            <w:r>
              <w:rPr>
                <w:rFonts w:hint="eastAsia" w:ascii="宋体" w:hAnsi="宋体" w:cs="宋体"/>
                <w:color w:val="000000"/>
                <w:kern w:val="0"/>
                <w:sz w:val="24"/>
                <w:lang w:bidi="ar"/>
              </w:rPr>
              <w:t xml:space="preserve"> 频率响应：≥20Hz-20KHz(±0.5dB) ，信噪比：&gt;90dB@1KHz 0dBu，失真度：﹤0.002%；  信道分离度：&gt;100dB（1KHz）。</w:t>
            </w:r>
          </w:p>
        </w:tc>
        <w:tc>
          <w:tcPr>
            <w:tcW w:w="1120" w:type="dxa"/>
            <w:vAlign w:val="center"/>
          </w:tcPr>
          <w:p w14:paraId="6FF7F0CB">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台</w:t>
            </w:r>
          </w:p>
        </w:tc>
        <w:tc>
          <w:tcPr>
            <w:tcW w:w="1046" w:type="dxa"/>
            <w:vAlign w:val="center"/>
          </w:tcPr>
          <w:p w14:paraId="4FA88D99">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w:t>
            </w:r>
          </w:p>
        </w:tc>
      </w:tr>
      <w:tr w14:paraId="4831C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2" w:type="dxa"/>
            <w:vAlign w:val="center"/>
          </w:tcPr>
          <w:p w14:paraId="5D96FB42">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72</w:t>
            </w:r>
          </w:p>
        </w:tc>
        <w:tc>
          <w:tcPr>
            <w:tcW w:w="2184" w:type="dxa"/>
            <w:gridSpan w:val="3"/>
            <w:vMerge w:val="continue"/>
            <w:vAlign w:val="center"/>
          </w:tcPr>
          <w:p w14:paraId="2BB44065">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1497" w:type="dxa"/>
            <w:vAlign w:val="center"/>
          </w:tcPr>
          <w:p w14:paraId="52D33980">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音频调音台</w:t>
            </w:r>
          </w:p>
        </w:tc>
        <w:tc>
          <w:tcPr>
            <w:tcW w:w="7457" w:type="dxa"/>
            <w:vAlign w:val="center"/>
          </w:tcPr>
          <w:p w14:paraId="476324A8">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1.≥8路输入调音台；</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2.≥2个编组独立输出端；</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3.内置≥16种DSP效果；</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4.支持单独+48v幻想电源开关；</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5.支持无线蓝牙接收；</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6.输入灵敏度：麦克风：-60dB；</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7.立体声通道输入：-40dB；</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8.效果发送：-20dB；</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9.效果返回：-20dB；</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10.输出：最大4V；</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11.信噪比S/N：≥80dB；</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12.均衡：±15dB；</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13.高频：±15dB/10KHZ；</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14.中频：±15dB/250KHZ~6KHZ；</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15.低频：±15dB/60HZ；</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16.输出电平：≤20dBm；</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17.总谐波失真度：0.02%@ 0dB1KHz；</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18.频率相应：20Hz-20KHz；</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19.电源电压：100V-240V/50Hz。</w:t>
            </w:r>
          </w:p>
        </w:tc>
        <w:tc>
          <w:tcPr>
            <w:tcW w:w="1120" w:type="dxa"/>
            <w:vAlign w:val="center"/>
          </w:tcPr>
          <w:p w14:paraId="2D2F65FC">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台</w:t>
            </w:r>
          </w:p>
        </w:tc>
        <w:tc>
          <w:tcPr>
            <w:tcW w:w="1046" w:type="dxa"/>
            <w:vAlign w:val="center"/>
          </w:tcPr>
          <w:p w14:paraId="3DE54602">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w:t>
            </w:r>
          </w:p>
        </w:tc>
      </w:tr>
      <w:tr w14:paraId="1324C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692" w:type="dxa"/>
            <w:vAlign w:val="center"/>
          </w:tcPr>
          <w:p w14:paraId="0DB5D961">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73</w:t>
            </w:r>
          </w:p>
        </w:tc>
        <w:tc>
          <w:tcPr>
            <w:tcW w:w="2184" w:type="dxa"/>
            <w:gridSpan w:val="3"/>
            <w:vMerge w:val="continue"/>
            <w:vAlign w:val="center"/>
          </w:tcPr>
          <w:p w14:paraId="65EC4128">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1497" w:type="dxa"/>
            <w:vAlign w:val="center"/>
          </w:tcPr>
          <w:p w14:paraId="49191820">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吸顶音箱</w:t>
            </w:r>
          </w:p>
        </w:tc>
        <w:tc>
          <w:tcPr>
            <w:tcW w:w="7457" w:type="dxa"/>
            <w:vAlign w:val="center"/>
          </w:tcPr>
          <w:p w14:paraId="7BDF3BAF">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1.≥1英寸丝膜球顶高音单元，≥6.5英寸双音圈橡皮边聚丙烯中低音单元</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2.额定功率：≥40W，</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3.阻抗：≤8Ω</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4.灵敏度（1W@1m）：≥87±3dB；</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5.最大声压级：≥103dB；</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6.频响范围：≥65Hz~20kHz(-6dB)；</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7.指向特性(-6dB)：90°H×90°V</w:t>
            </w:r>
          </w:p>
        </w:tc>
        <w:tc>
          <w:tcPr>
            <w:tcW w:w="1120" w:type="dxa"/>
            <w:vAlign w:val="center"/>
          </w:tcPr>
          <w:p w14:paraId="7B58AE11">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只</w:t>
            </w:r>
          </w:p>
        </w:tc>
        <w:tc>
          <w:tcPr>
            <w:tcW w:w="1046" w:type="dxa"/>
            <w:vAlign w:val="center"/>
          </w:tcPr>
          <w:p w14:paraId="64B8667C">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4</w:t>
            </w:r>
          </w:p>
        </w:tc>
      </w:tr>
      <w:tr w14:paraId="0B974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2" w:type="dxa"/>
            <w:vAlign w:val="center"/>
          </w:tcPr>
          <w:p w14:paraId="022D255E">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74</w:t>
            </w:r>
          </w:p>
        </w:tc>
        <w:tc>
          <w:tcPr>
            <w:tcW w:w="2184" w:type="dxa"/>
            <w:gridSpan w:val="3"/>
            <w:vMerge w:val="continue"/>
            <w:vAlign w:val="center"/>
          </w:tcPr>
          <w:p w14:paraId="0253FA63">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1497" w:type="dxa"/>
            <w:vAlign w:val="center"/>
          </w:tcPr>
          <w:p w14:paraId="332C13B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功率放大器</w:t>
            </w:r>
          </w:p>
        </w:tc>
        <w:tc>
          <w:tcPr>
            <w:tcW w:w="7457" w:type="dxa"/>
            <w:vAlign w:val="center"/>
          </w:tcPr>
          <w:p w14:paraId="42826F92">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1.输入灵敏度：0.775V/1.0V/1.2V/1.4V 四档输入选择；</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2.输入阻抗：20KΩ平衡/ 10KΩ非平衡；</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3.阻尼系数：≥ 300(1kHz,8Ω)；</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4.电压增益：30dB；</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5.动态范围：＞90dB；</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6.转换速率：35V/us；</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7.额定功率：≥8Ω立体声300W×2，≥4Ω立体声450W×2；</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8.总谐波失真：&lt;0.1%；</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9.频率响应：20Hz-20kHz:  +/-1dB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10.信噪比：≥100dB(A计权）；</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11.支持软启动、直流保护、过热和过载保护、电源欠压保护、防冲击、限幅；</w:t>
            </w:r>
          </w:p>
        </w:tc>
        <w:tc>
          <w:tcPr>
            <w:tcW w:w="1120" w:type="dxa"/>
            <w:vAlign w:val="center"/>
          </w:tcPr>
          <w:p w14:paraId="1F1437F5">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台</w:t>
            </w:r>
          </w:p>
        </w:tc>
        <w:tc>
          <w:tcPr>
            <w:tcW w:w="1046" w:type="dxa"/>
            <w:vAlign w:val="center"/>
          </w:tcPr>
          <w:p w14:paraId="40CB921A">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2</w:t>
            </w:r>
          </w:p>
        </w:tc>
      </w:tr>
      <w:tr w14:paraId="5C8C6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692" w:type="dxa"/>
            <w:vAlign w:val="center"/>
          </w:tcPr>
          <w:p w14:paraId="44939D13">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75</w:t>
            </w:r>
          </w:p>
        </w:tc>
        <w:tc>
          <w:tcPr>
            <w:tcW w:w="2184" w:type="dxa"/>
            <w:gridSpan w:val="3"/>
            <w:vMerge w:val="continue"/>
            <w:vAlign w:val="center"/>
          </w:tcPr>
          <w:p w14:paraId="1B8DDB4B">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1497" w:type="dxa"/>
            <w:vAlign w:val="center"/>
          </w:tcPr>
          <w:p w14:paraId="2ABEEBB7">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线性音柱阵列音箱</w:t>
            </w:r>
          </w:p>
        </w:tc>
        <w:tc>
          <w:tcPr>
            <w:tcW w:w="7457" w:type="dxa"/>
            <w:vAlign w:val="center"/>
          </w:tcPr>
          <w:p w14:paraId="3F64327B">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1.系统类型：4单元密闭式全频箱，4x4"全频驱动器；</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2.额定功率：≤150W，峰值功率：≤600W；</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3.阻抗：≤8Ω；</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4.灵敏度（1W@1m）：97dB；</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5.最大连续声压级： 119dB@150W(122dB@300W)；</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6.频率范围（-6 dB）：100Hz—20KHz；</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7.指向性(-6dB)：H100°×V30°；</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8.含音响壁挂架及相关配件材料。</w:t>
            </w:r>
          </w:p>
        </w:tc>
        <w:tc>
          <w:tcPr>
            <w:tcW w:w="1120" w:type="dxa"/>
            <w:vAlign w:val="center"/>
          </w:tcPr>
          <w:p w14:paraId="5CD78129">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台</w:t>
            </w:r>
          </w:p>
        </w:tc>
        <w:tc>
          <w:tcPr>
            <w:tcW w:w="1046" w:type="dxa"/>
            <w:vAlign w:val="center"/>
          </w:tcPr>
          <w:p w14:paraId="48B8C798">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2</w:t>
            </w:r>
          </w:p>
        </w:tc>
      </w:tr>
      <w:tr w14:paraId="7EC22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2" w:type="dxa"/>
            <w:vAlign w:val="center"/>
          </w:tcPr>
          <w:p w14:paraId="65DD5022">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76</w:t>
            </w:r>
          </w:p>
        </w:tc>
        <w:tc>
          <w:tcPr>
            <w:tcW w:w="2184" w:type="dxa"/>
            <w:gridSpan w:val="3"/>
            <w:vMerge w:val="continue"/>
            <w:vAlign w:val="center"/>
          </w:tcPr>
          <w:p w14:paraId="5532D090">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1497" w:type="dxa"/>
            <w:vAlign w:val="center"/>
          </w:tcPr>
          <w:p w14:paraId="32B40243">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主席话筒</w:t>
            </w:r>
          </w:p>
        </w:tc>
        <w:tc>
          <w:tcPr>
            <w:tcW w:w="7457" w:type="dxa"/>
            <w:vAlign w:val="center"/>
          </w:tcPr>
          <w:p w14:paraId="05AA1BE9">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Style w:val="58"/>
                <w:rFonts w:hint="default"/>
                <w:sz w:val="24"/>
                <w:szCs w:val="24"/>
                <w:lang w:bidi="ar"/>
              </w:rPr>
              <w:t>数字会议话筒，手拉手主席单元</w:t>
            </w:r>
            <w:r>
              <w:rPr>
                <w:rStyle w:val="58"/>
                <w:rFonts w:hint="default"/>
                <w:sz w:val="24"/>
                <w:szCs w:val="24"/>
                <w:lang w:bidi="ar"/>
              </w:rPr>
              <w:br w:type="textWrapping"/>
            </w:r>
            <w:r>
              <w:rPr>
                <w:rStyle w:val="58"/>
                <w:rFonts w:hint="default"/>
                <w:sz w:val="24"/>
                <w:szCs w:val="24"/>
                <w:lang w:bidi="ar"/>
              </w:rPr>
              <w:t>咪芯方式：≥1×9.7毫米高保真镀金电容式咪芯</w:t>
            </w:r>
            <w:r>
              <w:rPr>
                <w:rStyle w:val="58"/>
                <w:rFonts w:hint="default"/>
                <w:sz w:val="24"/>
                <w:szCs w:val="24"/>
                <w:lang w:bidi="ar"/>
              </w:rPr>
              <w:br w:type="textWrapping"/>
            </w:r>
            <w:r>
              <w:rPr>
                <w:rStyle w:val="58"/>
                <w:rFonts w:hint="default"/>
                <w:sz w:val="24"/>
                <w:szCs w:val="24"/>
                <w:lang w:bidi="ar"/>
              </w:rPr>
              <w:t>指向特性：心形指向性驻极体</w:t>
            </w:r>
            <w:r>
              <w:rPr>
                <w:rStyle w:val="58"/>
                <w:rFonts w:hint="default"/>
                <w:sz w:val="24"/>
                <w:szCs w:val="24"/>
                <w:lang w:bidi="ar"/>
              </w:rPr>
              <w:br w:type="textWrapping"/>
            </w:r>
            <w:r>
              <w:rPr>
                <w:rStyle w:val="58"/>
                <w:rFonts w:hint="default"/>
                <w:sz w:val="24"/>
                <w:szCs w:val="24"/>
                <w:lang w:bidi="ar"/>
              </w:rPr>
              <w:t>显示屏：≥2.0"LCD彩色显示屏</w:t>
            </w:r>
            <w:r>
              <w:rPr>
                <w:rStyle w:val="58"/>
                <w:rFonts w:hint="default"/>
                <w:sz w:val="24"/>
                <w:szCs w:val="24"/>
                <w:lang w:bidi="ar"/>
              </w:rPr>
              <w:br w:type="textWrapping"/>
            </w:r>
            <w:r>
              <w:rPr>
                <w:rStyle w:val="58"/>
                <w:rFonts w:hint="default"/>
                <w:sz w:val="24"/>
                <w:szCs w:val="24"/>
                <w:lang w:bidi="ar"/>
              </w:rPr>
              <w:t>分辨率：≥320*240</w:t>
            </w:r>
            <w:r>
              <w:rPr>
                <w:rStyle w:val="58"/>
                <w:rFonts w:hint="default"/>
                <w:sz w:val="24"/>
                <w:szCs w:val="24"/>
                <w:lang w:bidi="ar"/>
              </w:rPr>
              <w:br w:type="textWrapping"/>
            </w:r>
            <w:r>
              <w:rPr>
                <w:rStyle w:val="58"/>
                <w:rFonts w:hint="default"/>
                <w:sz w:val="24"/>
                <w:szCs w:val="24"/>
                <w:lang w:bidi="ar"/>
              </w:rPr>
              <w:t>频率响应：20Hz-20KHz</w:t>
            </w:r>
            <w:r>
              <w:rPr>
                <w:rStyle w:val="58"/>
                <w:rFonts w:hint="default"/>
                <w:sz w:val="24"/>
                <w:szCs w:val="24"/>
                <w:lang w:bidi="ar"/>
              </w:rPr>
              <w:br w:type="textWrapping"/>
            </w:r>
            <w:r>
              <w:rPr>
                <w:rStyle w:val="58"/>
                <w:rFonts w:hint="default"/>
                <w:sz w:val="24"/>
                <w:szCs w:val="24"/>
                <w:lang w:bidi="ar"/>
              </w:rPr>
              <w:t>灵敏度：-37dB±2dB</w:t>
            </w:r>
            <w:r>
              <w:rPr>
                <w:rStyle w:val="58"/>
                <w:rFonts w:hint="default"/>
                <w:sz w:val="24"/>
                <w:szCs w:val="24"/>
                <w:lang w:bidi="ar"/>
              </w:rPr>
              <w:br w:type="textWrapping"/>
            </w:r>
            <w:r>
              <w:rPr>
                <w:rStyle w:val="58"/>
                <w:rFonts w:hint="default"/>
                <w:sz w:val="24"/>
                <w:szCs w:val="24"/>
                <w:lang w:bidi="ar"/>
              </w:rPr>
              <w:t>输出阻抗：&lt;200</w:t>
            </w:r>
            <w:r>
              <w:rPr>
                <w:rStyle w:val="72"/>
                <w:rFonts w:hint="eastAsia" w:ascii="宋体" w:hAnsi="宋体" w:eastAsia="宋体" w:cs="宋体"/>
                <w:sz w:val="24"/>
                <w:szCs w:val="24"/>
                <w:lang w:bidi="ar"/>
              </w:rPr>
              <w:t>Ω</w:t>
            </w:r>
            <w:r>
              <w:rPr>
                <w:rStyle w:val="72"/>
                <w:rFonts w:hint="eastAsia" w:ascii="宋体" w:hAnsi="宋体" w:eastAsia="宋体" w:cs="宋体"/>
                <w:sz w:val="24"/>
                <w:szCs w:val="24"/>
                <w:lang w:bidi="ar"/>
              </w:rPr>
              <w:br w:type="textWrapping"/>
            </w:r>
            <w:r>
              <w:rPr>
                <w:rStyle w:val="58"/>
                <w:rFonts w:hint="default"/>
                <w:sz w:val="24"/>
                <w:szCs w:val="24"/>
                <w:lang w:bidi="ar"/>
              </w:rPr>
              <w:t>拾音距离：50-60cm；</w:t>
            </w:r>
            <w:r>
              <w:rPr>
                <w:rStyle w:val="58"/>
                <w:rFonts w:hint="default"/>
                <w:sz w:val="24"/>
                <w:szCs w:val="24"/>
                <w:lang w:bidi="ar"/>
              </w:rPr>
              <w:br w:type="textWrapping"/>
            </w:r>
            <w:r>
              <w:rPr>
                <w:rStyle w:val="58"/>
                <w:rFonts w:hint="default"/>
                <w:sz w:val="24"/>
                <w:szCs w:val="24"/>
                <w:lang w:bidi="ar"/>
              </w:rPr>
              <w:t>最大承受声压：125dB(1%T.H.D.1kHz，0dB SPL=2x10Pa)</w:t>
            </w:r>
            <w:r>
              <w:rPr>
                <w:rStyle w:val="58"/>
                <w:rFonts w:hint="default"/>
                <w:sz w:val="24"/>
                <w:szCs w:val="24"/>
                <w:lang w:bidi="ar"/>
              </w:rPr>
              <w:br w:type="textWrapping"/>
            </w:r>
            <w:r>
              <w:rPr>
                <w:rStyle w:val="58"/>
                <w:rFonts w:hint="default"/>
                <w:sz w:val="24"/>
                <w:szCs w:val="24"/>
                <w:lang w:bidi="ar"/>
              </w:rPr>
              <w:t>信噪比：&gt;90dB</w:t>
            </w:r>
            <w:r>
              <w:rPr>
                <w:rStyle w:val="58"/>
                <w:rFonts w:hint="default"/>
                <w:sz w:val="24"/>
                <w:szCs w:val="24"/>
                <w:lang w:bidi="ar"/>
              </w:rPr>
              <w:br w:type="textWrapping"/>
            </w:r>
            <w:r>
              <w:rPr>
                <w:rStyle w:val="58"/>
                <w:rFonts w:hint="default"/>
                <w:sz w:val="24"/>
                <w:szCs w:val="24"/>
                <w:lang w:bidi="ar"/>
              </w:rPr>
              <w:t>动态范围：&gt;96dB</w:t>
            </w:r>
            <w:r>
              <w:rPr>
                <w:rStyle w:val="58"/>
                <w:rFonts w:hint="default"/>
                <w:sz w:val="24"/>
                <w:szCs w:val="24"/>
                <w:lang w:bidi="ar"/>
              </w:rPr>
              <w:br w:type="textWrapping"/>
            </w:r>
            <w:r>
              <w:rPr>
                <w:rStyle w:val="58"/>
                <w:rFonts w:hint="default"/>
                <w:sz w:val="24"/>
                <w:szCs w:val="24"/>
                <w:lang w:bidi="ar"/>
              </w:rPr>
              <w:t>USB接口：≥1个USB接口</w:t>
            </w:r>
            <w:r>
              <w:rPr>
                <w:rStyle w:val="58"/>
                <w:rFonts w:hint="default"/>
                <w:sz w:val="24"/>
                <w:szCs w:val="24"/>
                <w:lang w:bidi="ar"/>
              </w:rPr>
              <w:br w:type="textWrapping"/>
            </w:r>
            <w:r>
              <w:rPr>
                <w:rStyle w:val="58"/>
                <w:rFonts w:hint="default"/>
                <w:sz w:val="24"/>
                <w:szCs w:val="24"/>
                <w:lang w:bidi="ar"/>
              </w:rPr>
              <w:t>连接方式：8芯DIN接口或RJ45接口（可选）</w:t>
            </w:r>
            <w:r>
              <w:rPr>
                <w:rStyle w:val="58"/>
                <w:rFonts w:hint="default"/>
                <w:sz w:val="24"/>
                <w:szCs w:val="24"/>
                <w:lang w:bidi="ar"/>
              </w:rPr>
              <w:br w:type="textWrapping"/>
            </w:r>
            <w:r>
              <w:rPr>
                <w:rStyle w:val="58"/>
                <w:rFonts w:hint="default"/>
                <w:sz w:val="24"/>
                <w:szCs w:val="24"/>
                <w:lang w:bidi="ar"/>
              </w:rPr>
              <w:t>支持自动增益AGC、数字均衡EQ、环境噪音消除AEC功能，</w:t>
            </w:r>
            <w:r>
              <w:rPr>
                <w:rStyle w:val="58"/>
                <w:rFonts w:hint="default"/>
                <w:sz w:val="24"/>
                <w:szCs w:val="24"/>
                <w:lang w:bidi="ar"/>
              </w:rPr>
              <w:br w:type="textWrapping"/>
            </w:r>
            <w:r>
              <w:rPr>
                <w:rStyle w:val="58"/>
                <w:rFonts w:hint="default"/>
                <w:sz w:val="24"/>
                <w:szCs w:val="24"/>
                <w:lang w:bidi="ar"/>
              </w:rPr>
              <w:t>支持发言计时及定时发言功能，</w:t>
            </w:r>
            <w:r>
              <w:rPr>
                <w:rStyle w:val="58"/>
                <w:rFonts w:hint="default"/>
                <w:sz w:val="24"/>
                <w:szCs w:val="24"/>
                <w:lang w:bidi="ar"/>
              </w:rPr>
              <w:br w:type="textWrapping"/>
            </w:r>
            <w:r>
              <w:rPr>
                <w:rStyle w:val="58"/>
                <w:rFonts w:hint="default"/>
                <w:sz w:val="24"/>
                <w:szCs w:val="24"/>
                <w:lang w:bidi="ar"/>
              </w:rPr>
              <w:t>支持智能音频检测功能，</w:t>
            </w:r>
            <w:r>
              <w:rPr>
                <w:rStyle w:val="58"/>
                <w:rFonts w:hint="default"/>
                <w:sz w:val="24"/>
                <w:szCs w:val="24"/>
                <w:lang w:bidi="ar"/>
              </w:rPr>
              <w:br w:type="textWrapping"/>
            </w:r>
            <w:r>
              <w:rPr>
                <w:rStyle w:val="58"/>
                <w:rFonts w:hint="default"/>
                <w:sz w:val="24"/>
                <w:szCs w:val="24"/>
                <w:lang w:bidi="ar"/>
              </w:rPr>
              <w:t>支持数量限制、先进先出、后进先出、主席允许(申请发言)、声控启动、限时发言、排队发言、自由讨论八种会议模式；</w:t>
            </w:r>
            <w:r>
              <w:rPr>
                <w:rStyle w:val="58"/>
                <w:rFonts w:hint="default"/>
                <w:sz w:val="24"/>
                <w:szCs w:val="24"/>
                <w:lang w:bidi="ar"/>
              </w:rPr>
              <w:br w:type="textWrapping"/>
            </w:r>
            <w:r>
              <w:rPr>
                <w:rStyle w:val="58"/>
                <w:rFonts w:hint="default"/>
                <w:sz w:val="24"/>
                <w:szCs w:val="24"/>
                <w:lang w:bidi="ar"/>
              </w:rPr>
              <w:t>支持线路带电“热插拔”功能，支持自动修复与快速定位系统故障；</w:t>
            </w:r>
            <w:r>
              <w:rPr>
                <w:rStyle w:val="58"/>
                <w:rFonts w:hint="default"/>
                <w:sz w:val="24"/>
                <w:szCs w:val="24"/>
                <w:lang w:bidi="ar"/>
              </w:rPr>
              <w:br w:type="textWrapping"/>
            </w:r>
            <w:r>
              <w:rPr>
                <w:rStyle w:val="58"/>
                <w:rFonts w:hint="default"/>
                <w:sz w:val="24"/>
                <w:szCs w:val="24"/>
                <w:lang w:bidi="ar"/>
              </w:rPr>
              <w:t>含话筒底座及其他配件等。</w:t>
            </w:r>
          </w:p>
        </w:tc>
        <w:tc>
          <w:tcPr>
            <w:tcW w:w="1120" w:type="dxa"/>
            <w:vAlign w:val="center"/>
          </w:tcPr>
          <w:p w14:paraId="5430A993">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台</w:t>
            </w:r>
          </w:p>
        </w:tc>
        <w:tc>
          <w:tcPr>
            <w:tcW w:w="1046" w:type="dxa"/>
            <w:vAlign w:val="center"/>
          </w:tcPr>
          <w:p w14:paraId="5C5E31F9">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w:t>
            </w:r>
          </w:p>
        </w:tc>
      </w:tr>
      <w:tr w14:paraId="0F677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2" w:type="dxa"/>
            <w:vAlign w:val="center"/>
          </w:tcPr>
          <w:p w14:paraId="41BA4748">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77</w:t>
            </w:r>
          </w:p>
        </w:tc>
        <w:tc>
          <w:tcPr>
            <w:tcW w:w="2184" w:type="dxa"/>
            <w:gridSpan w:val="3"/>
            <w:vMerge w:val="continue"/>
            <w:vAlign w:val="center"/>
          </w:tcPr>
          <w:p w14:paraId="62A1D2F2">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1497" w:type="dxa"/>
            <w:vAlign w:val="center"/>
          </w:tcPr>
          <w:p w14:paraId="66DA494B">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客席话筒</w:t>
            </w:r>
          </w:p>
        </w:tc>
        <w:tc>
          <w:tcPr>
            <w:tcW w:w="7457" w:type="dxa"/>
            <w:vAlign w:val="center"/>
          </w:tcPr>
          <w:p w14:paraId="3BCABD35">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Style w:val="58"/>
                <w:rFonts w:hint="default"/>
                <w:sz w:val="24"/>
                <w:szCs w:val="24"/>
                <w:lang w:bidi="ar"/>
              </w:rPr>
              <w:t>手拉手客席单元</w:t>
            </w:r>
            <w:r>
              <w:rPr>
                <w:rStyle w:val="58"/>
                <w:rFonts w:hint="default"/>
                <w:sz w:val="24"/>
                <w:szCs w:val="24"/>
                <w:lang w:bidi="ar"/>
              </w:rPr>
              <w:br w:type="textWrapping"/>
            </w:r>
            <w:r>
              <w:rPr>
                <w:rStyle w:val="58"/>
                <w:rFonts w:hint="default"/>
                <w:sz w:val="24"/>
                <w:szCs w:val="24"/>
                <w:lang w:bidi="ar"/>
              </w:rPr>
              <w:t>咪芯方式：≥1×9.7毫米高保真镀金电容式咪芯</w:t>
            </w:r>
            <w:r>
              <w:rPr>
                <w:rStyle w:val="58"/>
                <w:rFonts w:hint="default"/>
                <w:sz w:val="24"/>
                <w:szCs w:val="24"/>
                <w:lang w:bidi="ar"/>
              </w:rPr>
              <w:br w:type="textWrapping"/>
            </w:r>
            <w:r>
              <w:rPr>
                <w:rStyle w:val="58"/>
                <w:rFonts w:hint="default"/>
                <w:sz w:val="24"/>
                <w:szCs w:val="24"/>
                <w:lang w:bidi="ar"/>
              </w:rPr>
              <w:t>指向特性：心形指向性驻极体</w:t>
            </w:r>
            <w:r>
              <w:rPr>
                <w:rStyle w:val="58"/>
                <w:rFonts w:hint="default"/>
                <w:sz w:val="24"/>
                <w:szCs w:val="24"/>
                <w:lang w:bidi="ar"/>
              </w:rPr>
              <w:br w:type="textWrapping"/>
            </w:r>
            <w:r>
              <w:rPr>
                <w:rStyle w:val="58"/>
                <w:rFonts w:hint="default"/>
                <w:sz w:val="24"/>
                <w:szCs w:val="24"/>
                <w:lang w:bidi="ar"/>
              </w:rPr>
              <w:t>显示屏：≥2.0"LCD彩色显示屏</w:t>
            </w:r>
            <w:r>
              <w:rPr>
                <w:rStyle w:val="58"/>
                <w:rFonts w:hint="default"/>
                <w:sz w:val="24"/>
                <w:szCs w:val="24"/>
                <w:lang w:bidi="ar"/>
              </w:rPr>
              <w:br w:type="textWrapping"/>
            </w:r>
            <w:r>
              <w:rPr>
                <w:rStyle w:val="58"/>
                <w:rFonts w:hint="default"/>
                <w:sz w:val="24"/>
                <w:szCs w:val="24"/>
                <w:lang w:bidi="ar"/>
              </w:rPr>
              <w:t>分辨率：≥320*240</w:t>
            </w:r>
            <w:r>
              <w:rPr>
                <w:rStyle w:val="58"/>
                <w:rFonts w:hint="default"/>
                <w:sz w:val="24"/>
                <w:szCs w:val="24"/>
                <w:lang w:bidi="ar"/>
              </w:rPr>
              <w:br w:type="textWrapping"/>
            </w:r>
            <w:r>
              <w:rPr>
                <w:rStyle w:val="58"/>
                <w:rFonts w:hint="default"/>
                <w:sz w:val="24"/>
                <w:szCs w:val="24"/>
                <w:lang w:bidi="ar"/>
              </w:rPr>
              <w:t>频率响应：20Hz-20KHz</w:t>
            </w:r>
            <w:r>
              <w:rPr>
                <w:rStyle w:val="58"/>
                <w:rFonts w:hint="default"/>
                <w:sz w:val="24"/>
                <w:szCs w:val="24"/>
                <w:lang w:bidi="ar"/>
              </w:rPr>
              <w:br w:type="textWrapping"/>
            </w:r>
            <w:r>
              <w:rPr>
                <w:rStyle w:val="58"/>
                <w:rFonts w:hint="default"/>
                <w:sz w:val="24"/>
                <w:szCs w:val="24"/>
                <w:lang w:bidi="ar"/>
              </w:rPr>
              <w:t>灵敏度：-37dB±2dB</w:t>
            </w:r>
            <w:r>
              <w:rPr>
                <w:rStyle w:val="58"/>
                <w:rFonts w:hint="default"/>
                <w:sz w:val="24"/>
                <w:szCs w:val="24"/>
                <w:lang w:bidi="ar"/>
              </w:rPr>
              <w:br w:type="textWrapping"/>
            </w:r>
            <w:r>
              <w:rPr>
                <w:rStyle w:val="58"/>
                <w:rFonts w:hint="default"/>
                <w:sz w:val="24"/>
                <w:szCs w:val="24"/>
                <w:lang w:bidi="ar"/>
              </w:rPr>
              <w:t>输出阻抗：&lt;200</w:t>
            </w:r>
            <w:r>
              <w:rPr>
                <w:rStyle w:val="72"/>
                <w:rFonts w:hint="eastAsia" w:ascii="宋体" w:hAnsi="宋体" w:eastAsia="宋体" w:cs="宋体"/>
                <w:sz w:val="24"/>
                <w:szCs w:val="24"/>
                <w:lang w:bidi="ar"/>
              </w:rPr>
              <w:t>Ω</w:t>
            </w:r>
            <w:r>
              <w:rPr>
                <w:rStyle w:val="72"/>
                <w:rFonts w:hint="eastAsia" w:ascii="宋体" w:hAnsi="宋体" w:eastAsia="宋体" w:cs="宋体"/>
                <w:sz w:val="24"/>
                <w:szCs w:val="24"/>
                <w:lang w:bidi="ar"/>
              </w:rPr>
              <w:br w:type="textWrapping"/>
            </w:r>
            <w:r>
              <w:rPr>
                <w:rStyle w:val="58"/>
                <w:rFonts w:hint="default"/>
                <w:sz w:val="24"/>
                <w:szCs w:val="24"/>
                <w:lang w:bidi="ar"/>
              </w:rPr>
              <w:t>拾音距离：50-60cm；</w:t>
            </w:r>
            <w:r>
              <w:rPr>
                <w:rStyle w:val="58"/>
                <w:rFonts w:hint="default"/>
                <w:sz w:val="24"/>
                <w:szCs w:val="24"/>
                <w:lang w:bidi="ar"/>
              </w:rPr>
              <w:br w:type="textWrapping"/>
            </w:r>
            <w:r>
              <w:rPr>
                <w:rStyle w:val="58"/>
                <w:rFonts w:hint="default"/>
                <w:sz w:val="24"/>
                <w:szCs w:val="24"/>
                <w:lang w:bidi="ar"/>
              </w:rPr>
              <w:t>最大承受声压：125dB(1%T.H.D.1kHz，0dB SPL=2x10Pa)</w:t>
            </w:r>
            <w:r>
              <w:rPr>
                <w:rStyle w:val="58"/>
                <w:rFonts w:hint="default"/>
                <w:sz w:val="24"/>
                <w:szCs w:val="24"/>
                <w:lang w:bidi="ar"/>
              </w:rPr>
              <w:br w:type="textWrapping"/>
            </w:r>
            <w:r>
              <w:rPr>
                <w:rStyle w:val="58"/>
                <w:rFonts w:hint="default"/>
                <w:sz w:val="24"/>
                <w:szCs w:val="24"/>
                <w:lang w:bidi="ar"/>
              </w:rPr>
              <w:t>信噪比：&gt;90dB</w:t>
            </w:r>
            <w:r>
              <w:rPr>
                <w:rStyle w:val="58"/>
                <w:rFonts w:hint="default"/>
                <w:sz w:val="24"/>
                <w:szCs w:val="24"/>
                <w:lang w:bidi="ar"/>
              </w:rPr>
              <w:br w:type="textWrapping"/>
            </w:r>
            <w:r>
              <w:rPr>
                <w:rStyle w:val="58"/>
                <w:rFonts w:hint="default"/>
                <w:sz w:val="24"/>
                <w:szCs w:val="24"/>
                <w:lang w:bidi="ar"/>
              </w:rPr>
              <w:t>动态范围：&gt;96dB</w:t>
            </w:r>
            <w:r>
              <w:rPr>
                <w:rStyle w:val="58"/>
                <w:rFonts w:hint="default"/>
                <w:sz w:val="24"/>
                <w:szCs w:val="24"/>
                <w:lang w:bidi="ar"/>
              </w:rPr>
              <w:br w:type="textWrapping"/>
            </w:r>
            <w:r>
              <w:rPr>
                <w:rStyle w:val="58"/>
                <w:rFonts w:hint="default"/>
                <w:sz w:val="24"/>
                <w:szCs w:val="24"/>
                <w:lang w:bidi="ar"/>
              </w:rPr>
              <w:t>USB接口：≥1个 USB接口</w:t>
            </w:r>
            <w:r>
              <w:rPr>
                <w:rStyle w:val="58"/>
                <w:rFonts w:hint="default"/>
                <w:sz w:val="24"/>
                <w:szCs w:val="24"/>
                <w:lang w:bidi="ar"/>
              </w:rPr>
              <w:br w:type="textWrapping"/>
            </w:r>
            <w:r>
              <w:rPr>
                <w:rStyle w:val="58"/>
                <w:rFonts w:hint="default"/>
                <w:sz w:val="24"/>
                <w:szCs w:val="24"/>
                <w:lang w:bidi="ar"/>
              </w:rPr>
              <w:t>连接方式：8芯DIN接口或RJ45接口（可选）</w:t>
            </w:r>
            <w:r>
              <w:rPr>
                <w:rStyle w:val="58"/>
                <w:rFonts w:hint="default"/>
                <w:sz w:val="24"/>
                <w:szCs w:val="24"/>
                <w:lang w:bidi="ar"/>
              </w:rPr>
              <w:br w:type="textWrapping"/>
            </w:r>
            <w:r>
              <w:rPr>
                <w:rStyle w:val="58"/>
                <w:rFonts w:hint="default"/>
                <w:sz w:val="24"/>
                <w:szCs w:val="24"/>
                <w:lang w:bidi="ar"/>
              </w:rPr>
              <w:t>支持自动增益AGC、数字均衡EQ、环境噪音消除AEC功能，</w:t>
            </w:r>
            <w:r>
              <w:rPr>
                <w:rStyle w:val="58"/>
                <w:rFonts w:hint="default"/>
                <w:sz w:val="24"/>
                <w:szCs w:val="24"/>
                <w:lang w:bidi="ar"/>
              </w:rPr>
              <w:br w:type="textWrapping"/>
            </w:r>
            <w:r>
              <w:rPr>
                <w:rStyle w:val="58"/>
                <w:rFonts w:hint="default"/>
                <w:sz w:val="24"/>
                <w:szCs w:val="24"/>
                <w:lang w:bidi="ar"/>
              </w:rPr>
              <w:t>支持发言计时及定时发言功能，</w:t>
            </w:r>
            <w:r>
              <w:rPr>
                <w:rStyle w:val="58"/>
                <w:rFonts w:hint="default"/>
                <w:sz w:val="24"/>
                <w:szCs w:val="24"/>
                <w:lang w:bidi="ar"/>
              </w:rPr>
              <w:br w:type="textWrapping"/>
            </w:r>
            <w:r>
              <w:rPr>
                <w:rStyle w:val="58"/>
                <w:rFonts w:hint="default"/>
                <w:sz w:val="24"/>
                <w:szCs w:val="24"/>
                <w:lang w:bidi="ar"/>
              </w:rPr>
              <w:t>支持智能音频检测功能，</w:t>
            </w:r>
            <w:r>
              <w:rPr>
                <w:rStyle w:val="58"/>
                <w:rFonts w:hint="default"/>
                <w:sz w:val="24"/>
                <w:szCs w:val="24"/>
                <w:lang w:bidi="ar"/>
              </w:rPr>
              <w:br w:type="textWrapping"/>
            </w:r>
            <w:r>
              <w:rPr>
                <w:rStyle w:val="58"/>
                <w:rFonts w:hint="default"/>
                <w:sz w:val="24"/>
                <w:szCs w:val="24"/>
                <w:lang w:bidi="ar"/>
              </w:rPr>
              <w:t>支持数量限制、先进先出、后进先出、主席允许(申请发言)、声控启动、限时发言、排队发言、自由讨论八种会议模式；</w:t>
            </w:r>
            <w:r>
              <w:rPr>
                <w:rStyle w:val="58"/>
                <w:rFonts w:hint="default"/>
                <w:sz w:val="24"/>
                <w:szCs w:val="24"/>
                <w:lang w:bidi="ar"/>
              </w:rPr>
              <w:br w:type="textWrapping"/>
            </w:r>
            <w:r>
              <w:rPr>
                <w:rStyle w:val="58"/>
                <w:rFonts w:hint="default"/>
                <w:sz w:val="24"/>
                <w:szCs w:val="24"/>
                <w:lang w:bidi="ar"/>
              </w:rPr>
              <w:t>具备线路带电“热插拔”功能，支持自动修复与快速定位系统故障；</w:t>
            </w:r>
            <w:r>
              <w:rPr>
                <w:rStyle w:val="58"/>
                <w:rFonts w:hint="default"/>
                <w:sz w:val="24"/>
                <w:szCs w:val="24"/>
                <w:lang w:bidi="ar"/>
              </w:rPr>
              <w:br w:type="textWrapping"/>
            </w:r>
            <w:r>
              <w:rPr>
                <w:rStyle w:val="58"/>
                <w:rFonts w:hint="default"/>
                <w:sz w:val="24"/>
                <w:szCs w:val="24"/>
                <w:lang w:bidi="ar"/>
              </w:rPr>
              <w:t>含话筒底座及其他配件等。</w:t>
            </w:r>
          </w:p>
        </w:tc>
        <w:tc>
          <w:tcPr>
            <w:tcW w:w="1120" w:type="dxa"/>
            <w:vAlign w:val="center"/>
          </w:tcPr>
          <w:p w14:paraId="7A557B0B">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台</w:t>
            </w:r>
          </w:p>
        </w:tc>
        <w:tc>
          <w:tcPr>
            <w:tcW w:w="1046" w:type="dxa"/>
            <w:vAlign w:val="center"/>
          </w:tcPr>
          <w:p w14:paraId="6A16CC09">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4</w:t>
            </w:r>
          </w:p>
        </w:tc>
      </w:tr>
      <w:tr w14:paraId="449B5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2" w:type="dxa"/>
            <w:vAlign w:val="center"/>
          </w:tcPr>
          <w:p w14:paraId="0E426DF7">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78</w:t>
            </w:r>
          </w:p>
        </w:tc>
        <w:tc>
          <w:tcPr>
            <w:tcW w:w="2184" w:type="dxa"/>
            <w:gridSpan w:val="3"/>
            <w:vMerge w:val="continue"/>
            <w:vAlign w:val="center"/>
          </w:tcPr>
          <w:p w14:paraId="70D2E9EB">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1497" w:type="dxa"/>
            <w:vAlign w:val="center"/>
          </w:tcPr>
          <w:p w14:paraId="48584F84">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数字会议主机</w:t>
            </w:r>
          </w:p>
        </w:tc>
        <w:tc>
          <w:tcPr>
            <w:tcW w:w="7457" w:type="dxa"/>
            <w:vAlign w:val="center"/>
          </w:tcPr>
          <w:p w14:paraId="416C9CF5">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数字会议主机；</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工作电源:AC100-240V  50/60Hz</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功耗:≤10W，最大≤200W</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系统容量:单机≥140台</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单元接口：≥8路单元输出接口，6路8芯口与2路网口或8路RJ45</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显示屏：≥4.5"电容触摸屏</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显示菜单：简体中文、繁体、英文</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频率响应：20Hz-20KHz</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信噪比：&gt;96 dB</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动态范围：106dB</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总谐波失真：&lt; 0.05%</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输出阻抗：47 KΩ</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音频输入：RCA×2   +20dB、 XLR×1   +10dB</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音频输出：平衡输出XLR×1   +10dB、主输出 RCA×2  +20dB</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辅助输出 RCA×2  +20dB、大三芯输出 6.35×1  +20dB</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视频控制：RS-485凤凰端/RS-232</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投票表决功能：具备</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同声传译功能：具备</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控制接口：RS-232</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双机热备份：具备</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支持自适应反馈抑制、数字均衡器、自动增益功能；</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内置多路内部通讯及会议服务功能；</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内置万年历，具备发言计时功能；</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具备自动检测功能。</w:t>
            </w:r>
          </w:p>
        </w:tc>
        <w:tc>
          <w:tcPr>
            <w:tcW w:w="1120" w:type="dxa"/>
            <w:vAlign w:val="center"/>
          </w:tcPr>
          <w:p w14:paraId="7C2C6F50">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台</w:t>
            </w:r>
          </w:p>
        </w:tc>
        <w:tc>
          <w:tcPr>
            <w:tcW w:w="1046" w:type="dxa"/>
            <w:vAlign w:val="center"/>
          </w:tcPr>
          <w:p w14:paraId="3E711D20">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w:t>
            </w:r>
          </w:p>
        </w:tc>
      </w:tr>
      <w:tr w14:paraId="6ED63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trPr>
        <w:tc>
          <w:tcPr>
            <w:tcW w:w="692" w:type="dxa"/>
            <w:vAlign w:val="center"/>
          </w:tcPr>
          <w:p w14:paraId="515C9FEB">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79</w:t>
            </w:r>
          </w:p>
        </w:tc>
        <w:tc>
          <w:tcPr>
            <w:tcW w:w="2184" w:type="dxa"/>
            <w:gridSpan w:val="3"/>
            <w:vMerge w:val="continue"/>
            <w:vAlign w:val="center"/>
          </w:tcPr>
          <w:p w14:paraId="19B221B0">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1497" w:type="dxa"/>
            <w:vAlign w:val="center"/>
          </w:tcPr>
          <w:p w14:paraId="0CA38DB9">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无线一拖四手持话筒</w:t>
            </w:r>
          </w:p>
        </w:tc>
        <w:tc>
          <w:tcPr>
            <w:tcW w:w="7457" w:type="dxa"/>
            <w:vAlign w:val="center"/>
          </w:tcPr>
          <w:p w14:paraId="5018977E">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一拖四手持式话筒，配置≥1台主机*1（含天线）、≥4台手持话筒。</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1. </w:t>
            </w:r>
            <w:r>
              <w:rPr>
                <w:rFonts w:hint="eastAsia" w:ascii="宋体" w:hAnsi="宋体" w:cs="宋体"/>
                <w:kern w:val="0"/>
                <w:sz w:val="24"/>
                <w:lang w:bidi="ar"/>
              </w:rPr>
              <w:t>工作频率：610-669.7MHz；</w:t>
            </w:r>
            <w:r>
              <w:rPr>
                <w:rFonts w:hint="eastAsia" w:ascii="宋体" w:hAnsi="宋体" w:cs="宋体"/>
                <w:kern w:val="0"/>
                <w:sz w:val="24"/>
                <w:lang w:bidi="ar"/>
              </w:rPr>
              <w:br w:type="textWrapping"/>
            </w:r>
            <w:r>
              <w:rPr>
                <w:rFonts w:hint="eastAsia" w:ascii="宋体" w:hAnsi="宋体" w:cs="宋体"/>
                <w:kern w:val="0"/>
                <w:sz w:val="24"/>
                <w:lang w:bidi="ar"/>
              </w:rPr>
              <w:t>2. 调制方式：宽带FM</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 信道数目：≥100</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 信道间隔：≥300kHz</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 频率稳定度：±0.005%</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6. 动态范围：≥100dB</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7. 最大偏移：±45kHz</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8. 音频频率响应：≥60Hz-16kHz（±3dB）</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9. 信噪比：＞95dB</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10. 失真：≤0.5%</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11. 工作距离：≥60m</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12. 含话筒桌面安装底座。</w:t>
            </w:r>
          </w:p>
        </w:tc>
        <w:tc>
          <w:tcPr>
            <w:tcW w:w="1120" w:type="dxa"/>
            <w:vAlign w:val="center"/>
          </w:tcPr>
          <w:p w14:paraId="7364C1DE">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套</w:t>
            </w:r>
          </w:p>
        </w:tc>
        <w:tc>
          <w:tcPr>
            <w:tcW w:w="1046" w:type="dxa"/>
            <w:vAlign w:val="center"/>
          </w:tcPr>
          <w:p w14:paraId="534815C6">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w:t>
            </w:r>
          </w:p>
        </w:tc>
      </w:tr>
      <w:tr w14:paraId="64DF4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692" w:type="dxa"/>
            <w:vAlign w:val="center"/>
          </w:tcPr>
          <w:p w14:paraId="05D1194C">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80</w:t>
            </w:r>
          </w:p>
        </w:tc>
        <w:tc>
          <w:tcPr>
            <w:tcW w:w="2184" w:type="dxa"/>
            <w:gridSpan w:val="3"/>
            <w:vMerge w:val="restart"/>
            <w:vAlign w:val="center"/>
          </w:tcPr>
          <w:p w14:paraId="54D738E5">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综合安防系统</w:t>
            </w:r>
          </w:p>
        </w:tc>
        <w:tc>
          <w:tcPr>
            <w:tcW w:w="1497" w:type="dxa"/>
            <w:vAlign w:val="center"/>
          </w:tcPr>
          <w:p w14:paraId="5DBFA9D5">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人脸门禁一体主机</w:t>
            </w:r>
          </w:p>
        </w:tc>
        <w:tc>
          <w:tcPr>
            <w:tcW w:w="7457" w:type="dxa"/>
            <w:vAlign w:val="center"/>
          </w:tcPr>
          <w:p w14:paraId="4C0D6053">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1、≥7英寸触摸液晶屏，支持多点触控。支持双目摄像头，一路为可见光摄像头，一路为红外摄像头。</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2、人脸、IC卡、指纹密码等多种识别方式，并支持多种识读方式的组合识读。</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3、活体检测功能：对视频、电子照片、打印照片中的人脸、3D人脸面具不能进行人脸识别。</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4、双重防拆功能：支持≥1路机身防拆报警功能和1路离墙报警功能。</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5、支持通过文本转语音自定义播报内容，播报内容可分时段自定义，时间段应不少于4个。支持播报可叠加姓名，姓名可配置为前置或者后置。支持可自定义调整播报语速，音频可配置为男声播报或女声播报。</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6、人脸识别率：≥99.99%；</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7、前面板防破坏能力满足IK06，后壳防破坏能力满足IK07。</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8、支持管理平台、设备WEB端视频预览功能，支持接入到NVR设备，实现视频监控录像。</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9、工作温度：-40℃-80℃。</w:t>
            </w:r>
          </w:p>
        </w:tc>
        <w:tc>
          <w:tcPr>
            <w:tcW w:w="1120" w:type="dxa"/>
            <w:vAlign w:val="center"/>
          </w:tcPr>
          <w:p w14:paraId="2D4AAD2D">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套</w:t>
            </w:r>
          </w:p>
        </w:tc>
        <w:tc>
          <w:tcPr>
            <w:tcW w:w="1046" w:type="dxa"/>
            <w:vAlign w:val="center"/>
          </w:tcPr>
          <w:p w14:paraId="7342C885">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w:t>
            </w:r>
          </w:p>
        </w:tc>
      </w:tr>
      <w:tr w14:paraId="46B49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2" w:type="dxa"/>
            <w:vAlign w:val="center"/>
          </w:tcPr>
          <w:p w14:paraId="60ECF65C">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81</w:t>
            </w:r>
          </w:p>
        </w:tc>
        <w:tc>
          <w:tcPr>
            <w:tcW w:w="2184" w:type="dxa"/>
            <w:gridSpan w:val="3"/>
            <w:vMerge w:val="continue"/>
            <w:vAlign w:val="center"/>
          </w:tcPr>
          <w:p w14:paraId="7CAB2EEE">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1497" w:type="dxa"/>
            <w:vAlign w:val="center"/>
          </w:tcPr>
          <w:p w14:paraId="62C40AF3">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开门按钮</w:t>
            </w:r>
          </w:p>
        </w:tc>
        <w:tc>
          <w:tcPr>
            <w:tcW w:w="7457" w:type="dxa"/>
            <w:vAlign w:val="center"/>
          </w:tcPr>
          <w:p w14:paraId="3304E926">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1、接点输出：NO/COM接点。</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2、工作电压：DC12V。</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3、电气性能：最大耐用电流3A 36VDC。</w:t>
            </w:r>
          </w:p>
        </w:tc>
        <w:tc>
          <w:tcPr>
            <w:tcW w:w="1120" w:type="dxa"/>
            <w:vAlign w:val="center"/>
          </w:tcPr>
          <w:p w14:paraId="35681EEA">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套</w:t>
            </w:r>
          </w:p>
        </w:tc>
        <w:tc>
          <w:tcPr>
            <w:tcW w:w="1046" w:type="dxa"/>
            <w:vAlign w:val="center"/>
          </w:tcPr>
          <w:p w14:paraId="306F934C">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w:t>
            </w:r>
          </w:p>
        </w:tc>
      </w:tr>
      <w:tr w14:paraId="7BAC5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92" w:type="dxa"/>
            <w:vAlign w:val="center"/>
          </w:tcPr>
          <w:p w14:paraId="7B2C707D">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82</w:t>
            </w:r>
          </w:p>
        </w:tc>
        <w:tc>
          <w:tcPr>
            <w:tcW w:w="2184" w:type="dxa"/>
            <w:gridSpan w:val="3"/>
            <w:vMerge w:val="continue"/>
            <w:vAlign w:val="center"/>
          </w:tcPr>
          <w:p w14:paraId="69E7025D">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1497" w:type="dxa"/>
            <w:vAlign w:val="center"/>
          </w:tcPr>
          <w:p w14:paraId="759D9DA9">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磁力锁</w:t>
            </w:r>
          </w:p>
        </w:tc>
        <w:tc>
          <w:tcPr>
            <w:tcW w:w="7457" w:type="dxa"/>
            <w:vAlign w:val="center"/>
          </w:tcPr>
          <w:p w14:paraId="192FEDD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1、信号输出：锁状态信号输出。</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2、适用门型：木门\玻璃门\金属门\防火门等。</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3、安全类型：断电开门。</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4、最大拉力：不小于280kg拉力。</w:t>
            </w:r>
          </w:p>
        </w:tc>
        <w:tc>
          <w:tcPr>
            <w:tcW w:w="1120" w:type="dxa"/>
            <w:vAlign w:val="center"/>
          </w:tcPr>
          <w:p w14:paraId="5F0CA1AF">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套</w:t>
            </w:r>
          </w:p>
        </w:tc>
        <w:tc>
          <w:tcPr>
            <w:tcW w:w="1046" w:type="dxa"/>
            <w:vAlign w:val="center"/>
          </w:tcPr>
          <w:p w14:paraId="4780EE73">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w:t>
            </w:r>
          </w:p>
        </w:tc>
      </w:tr>
      <w:tr w14:paraId="326F2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692" w:type="dxa"/>
            <w:vAlign w:val="center"/>
          </w:tcPr>
          <w:p w14:paraId="49C63F7B">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83</w:t>
            </w:r>
          </w:p>
        </w:tc>
        <w:tc>
          <w:tcPr>
            <w:tcW w:w="2184" w:type="dxa"/>
            <w:gridSpan w:val="3"/>
            <w:vMerge w:val="continue"/>
            <w:vAlign w:val="center"/>
          </w:tcPr>
          <w:p w14:paraId="0E1E4C2E">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1497" w:type="dxa"/>
            <w:vAlign w:val="center"/>
          </w:tcPr>
          <w:p w14:paraId="20BAEF8B">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磁力锁支架</w:t>
            </w:r>
          </w:p>
        </w:tc>
        <w:tc>
          <w:tcPr>
            <w:tcW w:w="7457" w:type="dxa"/>
            <w:vAlign w:val="center"/>
          </w:tcPr>
          <w:p w14:paraId="1F374E97">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磁力锁支架。</w:t>
            </w:r>
          </w:p>
        </w:tc>
        <w:tc>
          <w:tcPr>
            <w:tcW w:w="1120" w:type="dxa"/>
            <w:vAlign w:val="center"/>
          </w:tcPr>
          <w:p w14:paraId="47898D98">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套</w:t>
            </w:r>
          </w:p>
        </w:tc>
        <w:tc>
          <w:tcPr>
            <w:tcW w:w="1046" w:type="dxa"/>
            <w:vAlign w:val="center"/>
          </w:tcPr>
          <w:p w14:paraId="11ED44E9">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w:t>
            </w:r>
          </w:p>
        </w:tc>
      </w:tr>
      <w:tr w14:paraId="5C7BF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692" w:type="dxa"/>
            <w:vAlign w:val="center"/>
          </w:tcPr>
          <w:p w14:paraId="0D6DDB4A">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84</w:t>
            </w:r>
          </w:p>
        </w:tc>
        <w:tc>
          <w:tcPr>
            <w:tcW w:w="2184" w:type="dxa"/>
            <w:gridSpan w:val="3"/>
            <w:vMerge w:val="continue"/>
            <w:vAlign w:val="center"/>
          </w:tcPr>
          <w:p w14:paraId="1C8B1A0B">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1497" w:type="dxa"/>
            <w:vAlign w:val="center"/>
          </w:tcPr>
          <w:p w14:paraId="0A7DA77F">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磁力锁电源</w:t>
            </w:r>
          </w:p>
        </w:tc>
        <w:tc>
          <w:tcPr>
            <w:tcW w:w="7457" w:type="dxa"/>
            <w:vAlign w:val="center"/>
          </w:tcPr>
          <w:p w14:paraId="46D27F43">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输入：AC100~240V、输出：DC12V2A。</w:t>
            </w:r>
          </w:p>
        </w:tc>
        <w:tc>
          <w:tcPr>
            <w:tcW w:w="1120" w:type="dxa"/>
            <w:vAlign w:val="center"/>
          </w:tcPr>
          <w:p w14:paraId="7E16A520">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台</w:t>
            </w:r>
          </w:p>
        </w:tc>
        <w:tc>
          <w:tcPr>
            <w:tcW w:w="1046" w:type="dxa"/>
            <w:vAlign w:val="center"/>
          </w:tcPr>
          <w:p w14:paraId="391BCA20">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w:t>
            </w:r>
          </w:p>
        </w:tc>
      </w:tr>
      <w:tr w14:paraId="519F7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692" w:type="dxa"/>
            <w:vAlign w:val="center"/>
          </w:tcPr>
          <w:p w14:paraId="2D8CB791">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85</w:t>
            </w:r>
          </w:p>
        </w:tc>
        <w:tc>
          <w:tcPr>
            <w:tcW w:w="2184" w:type="dxa"/>
            <w:gridSpan w:val="3"/>
            <w:vMerge w:val="continue"/>
            <w:vAlign w:val="center"/>
          </w:tcPr>
          <w:p w14:paraId="18ABD46A">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1497" w:type="dxa"/>
            <w:vAlign w:val="center"/>
          </w:tcPr>
          <w:p w14:paraId="6D8A0954">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门闭器</w:t>
            </w:r>
          </w:p>
        </w:tc>
        <w:tc>
          <w:tcPr>
            <w:tcW w:w="7457" w:type="dxa"/>
            <w:vAlign w:val="center"/>
          </w:tcPr>
          <w:p w14:paraId="53634A75">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门重：≥60KG、关门力度：EN3、开门角度:180度。</w:t>
            </w:r>
          </w:p>
        </w:tc>
        <w:tc>
          <w:tcPr>
            <w:tcW w:w="1120" w:type="dxa"/>
            <w:vAlign w:val="center"/>
          </w:tcPr>
          <w:p w14:paraId="4B8E1E27">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套</w:t>
            </w:r>
          </w:p>
        </w:tc>
        <w:tc>
          <w:tcPr>
            <w:tcW w:w="1046" w:type="dxa"/>
            <w:vAlign w:val="center"/>
          </w:tcPr>
          <w:p w14:paraId="248E81F6">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2</w:t>
            </w:r>
          </w:p>
        </w:tc>
      </w:tr>
      <w:tr w14:paraId="377A0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92" w:type="dxa"/>
            <w:vAlign w:val="center"/>
          </w:tcPr>
          <w:p w14:paraId="075C97AD">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86</w:t>
            </w:r>
          </w:p>
        </w:tc>
        <w:tc>
          <w:tcPr>
            <w:tcW w:w="2184" w:type="dxa"/>
            <w:gridSpan w:val="3"/>
            <w:vMerge w:val="continue"/>
            <w:vAlign w:val="center"/>
          </w:tcPr>
          <w:p w14:paraId="5A62A690">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1497" w:type="dxa"/>
            <w:vAlign w:val="center"/>
          </w:tcPr>
          <w:p w14:paraId="74AE887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人脸采集仪</w:t>
            </w:r>
          </w:p>
        </w:tc>
        <w:tc>
          <w:tcPr>
            <w:tcW w:w="7457" w:type="dxa"/>
            <w:vAlign w:val="center"/>
          </w:tcPr>
          <w:p w14:paraId="34DCA5B6">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采用≥10.1英寸TFT触摸显示屏；</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采用≥200万双目摄像头；</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支持摄像头角度≥180度可调，可适应不同身高人员登记；</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支持脱机运行，身份证比对记录存储和上传。</w:t>
            </w:r>
          </w:p>
        </w:tc>
        <w:tc>
          <w:tcPr>
            <w:tcW w:w="1120" w:type="dxa"/>
            <w:vAlign w:val="center"/>
          </w:tcPr>
          <w:p w14:paraId="5FED0AC7">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套</w:t>
            </w:r>
          </w:p>
        </w:tc>
        <w:tc>
          <w:tcPr>
            <w:tcW w:w="1046" w:type="dxa"/>
            <w:vAlign w:val="center"/>
          </w:tcPr>
          <w:p w14:paraId="508211DF">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w:t>
            </w:r>
          </w:p>
        </w:tc>
      </w:tr>
      <w:tr w14:paraId="371CE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5" w:hRule="atLeast"/>
        </w:trPr>
        <w:tc>
          <w:tcPr>
            <w:tcW w:w="692" w:type="dxa"/>
            <w:vAlign w:val="center"/>
          </w:tcPr>
          <w:p w14:paraId="141ACA07">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87</w:t>
            </w:r>
          </w:p>
        </w:tc>
        <w:tc>
          <w:tcPr>
            <w:tcW w:w="2184" w:type="dxa"/>
            <w:gridSpan w:val="3"/>
            <w:vMerge w:val="continue"/>
            <w:vAlign w:val="center"/>
          </w:tcPr>
          <w:p w14:paraId="714E438B">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1497" w:type="dxa"/>
            <w:vAlign w:val="center"/>
          </w:tcPr>
          <w:p w14:paraId="24470FBA">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监控摄像机</w:t>
            </w:r>
          </w:p>
        </w:tc>
        <w:tc>
          <w:tcPr>
            <w:tcW w:w="7457" w:type="dxa"/>
            <w:vAlign w:val="center"/>
          </w:tcPr>
          <w:p w14:paraId="3E872ADD">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像素：≥400万；</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最大分辨率：≥2688×1520；</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最低照度：≤0.002lux（彩色模式）；≤0.0002lux（黑白模式）；0lux（补光灯开启）；</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最大补光距离：≥50m（红外视频监控距离）、≥20m（暖光视频监控距离）、≥5m（暖光人脸检测距离）；</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补光灯：≥2颗（红外灯）;≥1颗（暖光灯）；</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镜头类型：电动变焦；</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镜头焦距：2.7mm～13.5mm；</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镜头光圈：F1.6；</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视场角：水平：28°～99°；垂直：16°～53°；对角：32°～117.5°；</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通用行为分析：物品遗留；物品搬移；</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热度图：支持；</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周界防范：绊线入侵；区域入侵；快速移动（三项均支持人车分类及精准检测）；徘徊检测；人员聚集；停车检测；</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人脸检测：支持跟踪；支持优选；支持抓拍；支持上报最优的人脸抓图；支持人脸增强，支持人脸曝光；支持人脸属性提取，支持不少于6种属性8种表情:性别，年龄，眼镜，表情（愤怒，平静，高兴，悲伤，厌恶，惊讶，困惑，害怕），口罩，胡子，支持人脸抠图区域可设:人脸， 单寸照，自定义；支持实时抓拍、优选抓拍、质量优先三种抓拍方式；支持人脸角度过滤功能；支持优选时长可设；</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车辆检测：支持机动车抓拍及报警联动，支持机动车号牌识别；；</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智能编码：H.264:支持；H.265:支持；</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AI编码：H.264:支持（压缩率≥25%）；H.265:支持（压缩率≥25%）；</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宽动态：120dB；</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走廊模式：90°/270°（在2688×1520分辨率及以下支持）；</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音频接口：支持；</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内置MIC：支持，内置1个MIC；</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内置扬声器：支持；</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报警事件：无SD卡；SD卡空间不足；SD卡出错；网络断开；IP冲突；非法访问；动态检测；SMD；视频遮挡；绊线入侵；区域入侵；快速移动；物品遗留；物品搬移；徘徊检测；人员聚集；停车检测；场景变更；音频异常侦测；电压检测；外部报警；虚焦侦测；安全异常；人脸检测；</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接入标准：ONVIF（Profile S &amp; Profile G &amp; Profile T）；CGI；GB/T28181-2022（双国标）；RTMP；GA/T1400；</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预览最大用户数：≥20个（总带宽:80M）；</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最大Micro SD卡：≥512GB；</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其他功能：灯光报警；声音报警；智能补光；</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RS-485接口：≥1个（波特率范围：1200bps～115200bps）；</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音频输入：≥1路（RCA头）；</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音频输出：≥1路（RCA头）；</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报警输入：≥2路（湿节点，支持直流3～5V电位，5mA电流）；</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报警输出：≥2路（湿节点，支持直流最大12V电位，0.3A电流）；</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电源返送：支持DC12V电源返送，最大电流165mA，峰值电流700mA；</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供电方式：DC12V/PoE。</w:t>
            </w:r>
          </w:p>
        </w:tc>
        <w:tc>
          <w:tcPr>
            <w:tcW w:w="1120" w:type="dxa"/>
            <w:vAlign w:val="center"/>
          </w:tcPr>
          <w:p w14:paraId="1616B3BB">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台</w:t>
            </w:r>
          </w:p>
        </w:tc>
        <w:tc>
          <w:tcPr>
            <w:tcW w:w="1046" w:type="dxa"/>
            <w:vAlign w:val="center"/>
          </w:tcPr>
          <w:p w14:paraId="49280AC6">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2</w:t>
            </w:r>
          </w:p>
        </w:tc>
      </w:tr>
      <w:tr w14:paraId="44893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92" w:type="dxa"/>
            <w:vAlign w:val="center"/>
          </w:tcPr>
          <w:p w14:paraId="425D0C3F">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88</w:t>
            </w:r>
          </w:p>
        </w:tc>
        <w:tc>
          <w:tcPr>
            <w:tcW w:w="2184" w:type="dxa"/>
            <w:gridSpan w:val="3"/>
            <w:vMerge w:val="continue"/>
            <w:vAlign w:val="center"/>
          </w:tcPr>
          <w:p w14:paraId="1D343F32">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1497" w:type="dxa"/>
            <w:vAlign w:val="center"/>
          </w:tcPr>
          <w:p w14:paraId="5E3180BB">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NVR</w:t>
            </w:r>
          </w:p>
        </w:tc>
        <w:tc>
          <w:tcPr>
            <w:tcW w:w="7457" w:type="dxa"/>
            <w:vAlign w:val="center"/>
          </w:tcPr>
          <w:p w14:paraId="7AAC1AFD">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接入路数：≥8路；</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分辨率：16MP；12MP；8MP；6MP；5MP；4MP；3MP；1080p；720p；960p；D1；CIF；</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解码能力：不开智能：≥2路16MP@30fps； ≥2路12MP@30fps;；≥4路8MP@30fps；≥ 6路5MP@30fps；≥ 8路4MP@30fps；开智能：≥1路16MP@30fps；≥2路12MP@30fps；≥ 3路8MP@30fps；≥4路5MP@30fps；≥6路4MP@30fps；≥8路1080p@30fps；</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硬盘接口：≥2个SATA，单盘最大16T；含≥2块8T硬盘；</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网络接口：≥1个（10M/100M/1000M以太网口，RJ-45）。</w:t>
            </w:r>
          </w:p>
        </w:tc>
        <w:tc>
          <w:tcPr>
            <w:tcW w:w="1120" w:type="dxa"/>
            <w:vAlign w:val="center"/>
          </w:tcPr>
          <w:p w14:paraId="16815DAD">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台</w:t>
            </w:r>
          </w:p>
        </w:tc>
        <w:tc>
          <w:tcPr>
            <w:tcW w:w="1046" w:type="dxa"/>
            <w:vAlign w:val="center"/>
          </w:tcPr>
          <w:p w14:paraId="75B74C91">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w:t>
            </w:r>
          </w:p>
        </w:tc>
      </w:tr>
      <w:tr w14:paraId="2BCB4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0" w:hRule="atLeast"/>
        </w:trPr>
        <w:tc>
          <w:tcPr>
            <w:tcW w:w="692" w:type="dxa"/>
            <w:vAlign w:val="center"/>
          </w:tcPr>
          <w:p w14:paraId="517B0D42">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89</w:t>
            </w:r>
          </w:p>
        </w:tc>
        <w:tc>
          <w:tcPr>
            <w:tcW w:w="2184" w:type="dxa"/>
            <w:gridSpan w:val="3"/>
            <w:vAlign w:val="center"/>
          </w:tcPr>
          <w:p w14:paraId="541D5CEE">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坐席控制终端</w:t>
            </w:r>
          </w:p>
        </w:tc>
        <w:tc>
          <w:tcPr>
            <w:tcW w:w="1497" w:type="dxa"/>
            <w:vAlign w:val="center"/>
          </w:tcPr>
          <w:p w14:paraId="2D047FA8">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坐席控制终端1</w:t>
            </w:r>
          </w:p>
        </w:tc>
        <w:tc>
          <w:tcPr>
            <w:tcW w:w="7457" w:type="dxa"/>
            <w:vAlign w:val="center"/>
          </w:tcPr>
          <w:p w14:paraId="79F4E880">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 w:val="24"/>
                <w:lang w:bidi="ar"/>
              </w:rPr>
            </w:pPr>
            <w:r>
              <w:rPr>
                <w:rFonts w:hint="eastAsia" w:ascii="宋体" w:hAnsi="宋体" w:cs="宋体"/>
                <w:color w:val="000000"/>
                <w:kern w:val="0"/>
                <w:sz w:val="24"/>
                <w:lang w:bidi="ar"/>
              </w:rPr>
              <w:t>1、处理器： CPU≥ 32核 频率≥3.0GHz；</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2、内存：配置≥64GB；</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3、存储：配置≥1个512G SSD、1个1T HDD硬盘；</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4、显卡：独立显卡，配置≥12GB显存，提供HDMI、VGA接口；</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5、网卡：≥1 个RJ45 10M/100M/1000M自适应以太网口；</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6、接口：≥11个USB原生接口，前置2个USB2.0接口、2个USB3.0接口；后置7个USB 3.0接口；</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7、前置1组音频接口(耳机、 麦克风)，后置1组音频接口（耳机、麦克风、音频输入端口）；</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8、光驱：配置超薄DVD-RW光驱；</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9、电源：标配≥200W，选配≥350W；</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10、外设：标配有线USB键鼠，可升级为无线.</w:t>
            </w:r>
          </w:p>
          <w:p w14:paraId="6B265F60">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 w:val="24"/>
                <w:lang w:bidi="ar"/>
              </w:rPr>
            </w:pPr>
            <w:r>
              <w:rPr>
                <w:rFonts w:hint="eastAsia" w:ascii="宋体" w:hAnsi="宋体" w:cs="宋体"/>
                <w:color w:val="000000"/>
                <w:kern w:val="0"/>
                <w:sz w:val="24"/>
                <w:lang w:bidi="ar"/>
              </w:rPr>
              <w:t>显示器：</w:t>
            </w:r>
          </w:p>
          <w:p w14:paraId="1CC7800F">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1、显示屏尺寸（英寸）：≥27；</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2、显示屏分辨率：≥2560*1440；</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3、显示屏色准：最大△E≤4；</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4、显示屏响应时间（ms）：≤4；</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5、显示屏可视角度：≥178°/178°；</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6、屏占比：≥90%；</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7、显示屏亮度：≥300Typ；</w:t>
            </w:r>
          </w:p>
        </w:tc>
        <w:tc>
          <w:tcPr>
            <w:tcW w:w="1120" w:type="dxa"/>
            <w:vAlign w:val="center"/>
          </w:tcPr>
          <w:p w14:paraId="30289A03">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台</w:t>
            </w:r>
          </w:p>
        </w:tc>
        <w:tc>
          <w:tcPr>
            <w:tcW w:w="1046" w:type="dxa"/>
            <w:vAlign w:val="center"/>
          </w:tcPr>
          <w:p w14:paraId="13D2762E">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2</w:t>
            </w:r>
          </w:p>
        </w:tc>
      </w:tr>
      <w:tr w14:paraId="297D2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92" w:type="dxa"/>
            <w:vMerge w:val="restart"/>
            <w:vAlign w:val="center"/>
          </w:tcPr>
          <w:p w14:paraId="66335504">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90</w:t>
            </w:r>
          </w:p>
        </w:tc>
        <w:tc>
          <w:tcPr>
            <w:tcW w:w="2184" w:type="dxa"/>
            <w:gridSpan w:val="3"/>
            <w:vAlign w:val="center"/>
          </w:tcPr>
          <w:p w14:paraId="3592789C">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1497" w:type="dxa"/>
            <w:vAlign w:val="center"/>
          </w:tcPr>
          <w:p w14:paraId="492CA7B9">
            <w:pPr>
              <w:keepNext w:val="0"/>
              <w:keepLines w:val="0"/>
              <w:suppressLineNumbers w:val="0"/>
              <w:spacing w:before="0" w:beforeAutospacing="0" w:after="0" w:afterAutospacing="0"/>
              <w:ind w:left="0" w:right="0"/>
              <w:jc w:val="left"/>
              <w:rPr>
                <w:rFonts w:hint="default" w:ascii="宋体" w:hAnsi="宋体" w:cs="宋体"/>
                <w:color w:val="000000"/>
                <w:sz w:val="24"/>
              </w:rPr>
            </w:pPr>
          </w:p>
        </w:tc>
        <w:tc>
          <w:tcPr>
            <w:tcW w:w="7457" w:type="dxa"/>
            <w:vMerge w:val="restart"/>
            <w:vAlign w:val="center"/>
          </w:tcPr>
          <w:p w14:paraId="31522A37">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1、处理器： CPU≥ 16核 频率≥3.0GHz；</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2、内存：配置≥32GB；</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3、存储：配置≥1个512G SSD、1个1T HDD硬盘；</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4、显卡：独立显卡，配置≥10GB显存，提供HDMI、VGA接口；</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5、网卡：≥1 个RJ45 10M/100M/1000M自适应以太网口；</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6、接口：≥11个USB原生接口，前置2个USB2.0接口、2个USB3.0接口；后置7个USB 3.0接口；</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7、前置1组音频接口(耳机、 麦克风)，后置1组音频接口（耳机、麦克风、音频输入端口）；</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8、光驱：配置超薄DVD-RW光驱；</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9、电源：标配≥200W，选配≥350W；</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10、外设：标配有线USB键鼠，可升级为无线键鼠</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显示器：</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1、显示屏尺寸（英寸）：≥27；</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2、显示屏分辨率：≥2560*1440；</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3、显示屏色准：最大△E≤4；</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4、显示屏响应时间（ms）：≤4；</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5、显示屏可视角度：≥178°/178°；</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6、屏占比：≥90%；</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7、显示屏亮度：≥300Typ；</w:t>
            </w:r>
          </w:p>
        </w:tc>
        <w:tc>
          <w:tcPr>
            <w:tcW w:w="1120" w:type="dxa"/>
            <w:vMerge w:val="restart"/>
            <w:vAlign w:val="center"/>
          </w:tcPr>
          <w:p w14:paraId="4B797F07">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台</w:t>
            </w:r>
          </w:p>
        </w:tc>
        <w:tc>
          <w:tcPr>
            <w:tcW w:w="1046" w:type="dxa"/>
            <w:vMerge w:val="restart"/>
            <w:vAlign w:val="center"/>
          </w:tcPr>
          <w:p w14:paraId="0DE7C264">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10</w:t>
            </w:r>
          </w:p>
        </w:tc>
      </w:tr>
      <w:tr w14:paraId="331DD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6" w:hRule="atLeast"/>
        </w:trPr>
        <w:tc>
          <w:tcPr>
            <w:tcW w:w="692" w:type="dxa"/>
            <w:vMerge w:val="continue"/>
            <w:vAlign w:val="center"/>
          </w:tcPr>
          <w:p w14:paraId="5A6DB1DB">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4"/>
                <w:lang w:bidi="ar"/>
              </w:rPr>
            </w:pPr>
          </w:p>
        </w:tc>
        <w:tc>
          <w:tcPr>
            <w:tcW w:w="2184" w:type="dxa"/>
            <w:gridSpan w:val="3"/>
            <w:vAlign w:val="center"/>
          </w:tcPr>
          <w:p w14:paraId="43A63019">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1497" w:type="dxa"/>
            <w:vAlign w:val="center"/>
          </w:tcPr>
          <w:p w14:paraId="588E0CE1">
            <w:pPr>
              <w:keepNext w:val="0"/>
              <w:keepLines w:val="0"/>
              <w:suppressLineNumbers w:val="0"/>
              <w:spacing w:before="0" w:beforeAutospacing="0" w:after="0" w:afterAutospacing="0"/>
              <w:ind w:left="0" w:right="0"/>
              <w:jc w:val="left"/>
              <w:rPr>
                <w:rFonts w:hint="default" w:ascii="宋体" w:hAnsi="宋体" w:cs="宋体"/>
                <w:color w:val="000000"/>
                <w:sz w:val="24"/>
              </w:rPr>
            </w:pPr>
            <w:r>
              <w:rPr>
                <w:rFonts w:hint="eastAsia" w:ascii="宋体" w:hAnsi="宋体" w:cs="宋体"/>
                <w:color w:val="000000"/>
                <w:kern w:val="0"/>
                <w:sz w:val="24"/>
                <w:lang w:bidi="ar"/>
              </w:rPr>
              <w:t>坐席控制终端2</w:t>
            </w:r>
          </w:p>
        </w:tc>
        <w:tc>
          <w:tcPr>
            <w:tcW w:w="7457" w:type="dxa"/>
            <w:vMerge w:val="continue"/>
            <w:vAlign w:val="center"/>
          </w:tcPr>
          <w:p w14:paraId="539E026D">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 w:val="24"/>
                <w:lang w:bidi="ar"/>
              </w:rPr>
            </w:pPr>
          </w:p>
        </w:tc>
        <w:tc>
          <w:tcPr>
            <w:tcW w:w="1120" w:type="dxa"/>
            <w:vMerge w:val="continue"/>
            <w:vAlign w:val="center"/>
          </w:tcPr>
          <w:p w14:paraId="6BB1FCD7">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4"/>
                <w:lang w:bidi="ar"/>
              </w:rPr>
            </w:pPr>
          </w:p>
        </w:tc>
        <w:tc>
          <w:tcPr>
            <w:tcW w:w="1046" w:type="dxa"/>
            <w:vMerge w:val="continue"/>
            <w:vAlign w:val="center"/>
          </w:tcPr>
          <w:p w14:paraId="2F9372D2">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4"/>
                <w:lang w:bidi="ar"/>
              </w:rPr>
            </w:pPr>
          </w:p>
        </w:tc>
      </w:tr>
      <w:tr w14:paraId="24217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692" w:type="dxa"/>
            <w:vAlign w:val="center"/>
          </w:tcPr>
          <w:p w14:paraId="0745A2A7">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91</w:t>
            </w:r>
          </w:p>
        </w:tc>
        <w:tc>
          <w:tcPr>
            <w:tcW w:w="2184" w:type="dxa"/>
            <w:gridSpan w:val="3"/>
            <w:vAlign w:val="center"/>
          </w:tcPr>
          <w:p w14:paraId="518CE23D">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综合布线系统</w:t>
            </w:r>
          </w:p>
        </w:tc>
        <w:tc>
          <w:tcPr>
            <w:tcW w:w="1497" w:type="dxa"/>
            <w:vAlign w:val="center"/>
          </w:tcPr>
          <w:p w14:paraId="3BBFA14A">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综合布线</w:t>
            </w:r>
          </w:p>
        </w:tc>
        <w:tc>
          <w:tcPr>
            <w:tcW w:w="7457" w:type="dxa"/>
            <w:vAlign w:val="center"/>
          </w:tcPr>
          <w:p w14:paraId="6EFF9B3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含指挥大厅及综合布线所有线缆及辅材，含音频线、网线、电源线、信息点、多媒体插座等。</w:t>
            </w:r>
          </w:p>
        </w:tc>
        <w:tc>
          <w:tcPr>
            <w:tcW w:w="1120" w:type="dxa"/>
            <w:vAlign w:val="center"/>
          </w:tcPr>
          <w:p w14:paraId="211A80F4">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FF0000"/>
                <w:kern w:val="0"/>
                <w:sz w:val="24"/>
                <w:lang w:bidi="ar"/>
              </w:rPr>
              <w:t xml:space="preserve"> </w:t>
            </w:r>
            <w:r>
              <w:rPr>
                <w:rFonts w:hint="eastAsia" w:ascii="宋体" w:hAnsi="宋体" w:cs="宋体"/>
                <w:kern w:val="0"/>
                <w:sz w:val="24"/>
                <w:lang w:bidi="ar"/>
              </w:rPr>
              <w:t>项</w:t>
            </w:r>
          </w:p>
        </w:tc>
        <w:tc>
          <w:tcPr>
            <w:tcW w:w="1046" w:type="dxa"/>
            <w:vAlign w:val="center"/>
          </w:tcPr>
          <w:p w14:paraId="355270E9">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w:t>
            </w:r>
          </w:p>
        </w:tc>
      </w:tr>
      <w:tr w14:paraId="4A3AD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3996" w:type="dxa"/>
            <w:gridSpan w:val="8"/>
            <w:vAlign w:val="center"/>
          </w:tcPr>
          <w:p w14:paraId="6C6EC374">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000000"/>
                <w:sz w:val="24"/>
              </w:rPr>
            </w:pPr>
            <w:r>
              <w:rPr>
                <w:rFonts w:hint="eastAsia" w:ascii="宋体" w:hAnsi="宋体" w:cs="宋体"/>
                <w:b/>
                <w:bCs/>
                <w:color w:val="000000"/>
                <w:kern w:val="0"/>
                <w:sz w:val="24"/>
                <w:lang w:val="en-US" w:eastAsia="zh-CN" w:bidi="ar"/>
              </w:rPr>
              <w:t>四</w:t>
            </w:r>
            <w:r>
              <w:rPr>
                <w:rFonts w:hint="eastAsia" w:ascii="宋体" w:hAnsi="宋体" w:cs="宋体"/>
                <w:b/>
                <w:bCs/>
                <w:color w:val="000000"/>
                <w:kern w:val="0"/>
                <w:sz w:val="24"/>
                <w:lang w:bidi="ar"/>
              </w:rPr>
              <w:t>、运营指挥中心--硬件设备购置</w:t>
            </w:r>
          </w:p>
        </w:tc>
      </w:tr>
      <w:tr w14:paraId="203C8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692" w:type="dxa"/>
            <w:vAlign w:val="center"/>
          </w:tcPr>
          <w:p w14:paraId="48D58A51">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000000"/>
                <w:sz w:val="24"/>
              </w:rPr>
            </w:pPr>
            <w:r>
              <w:rPr>
                <w:rFonts w:hint="eastAsia" w:ascii="宋体" w:hAnsi="宋体" w:cs="宋体"/>
                <w:b/>
                <w:bCs/>
                <w:color w:val="000000"/>
                <w:kern w:val="0"/>
                <w:sz w:val="24"/>
                <w:lang w:bidi="ar"/>
              </w:rPr>
              <w:t>序号</w:t>
            </w:r>
          </w:p>
        </w:tc>
        <w:tc>
          <w:tcPr>
            <w:tcW w:w="2184" w:type="dxa"/>
            <w:gridSpan w:val="3"/>
            <w:vAlign w:val="center"/>
          </w:tcPr>
          <w:p w14:paraId="2CECCA24">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000000"/>
                <w:sz w:val="24"/>
              </w:rPr>
            </w:pPr>
            <w:r>
              <w:rPr>
                <w:rFonts w:hint="eastAsia" w:ascii="宋体" w:hAnsi="宋体" w:cs="宋体"/>
                <w:b/>
                <w:bCs/>
                <w:color w:val="000000"/>
                <w:kern w:val="0"/>
                <w:sz w:val="24"/>
                <w:lang w:bidi="ar"/>
              </w:rPr>
              <w:t>名称</w:t>
            </w:r>
          </w:p>
        </w:tc>
        <w:tc>
          <w:tcPr>
            <w:tcW w:w="1497" w:type="dxa"/>
            <w:vAlign w:val="center"/>
          </w:tcPr>
          <w:p w14:paraId="52B63A51">
            <w:pPr>
              <w:keepNext w:val="0"/>
              <w:keepLines w:val="0"/>
              <w:widowControl/>
              <w:suppressLineNumbers w:val="0"/>
              <w:spacing w:before="0" w:beforeAutospacing="0" w:after="0" w:afterAutospacing="0"/>
              <w:ind w:left="0" w:right="0"/>
              <w:jc w:val="left"/>
              <w:textAlignment w:val="center"/>
              <w:rPr>
                <w:rFonts w:hint="default" w:ascii="宋体" w:hAnsi="宋体" w:cs="宋体"/>
                <w:b/>
                <w:bCs/>
                <w:color w:val="000000"/>
                <w:sz w:val="24"/>
              </w:rPr>
            </w:pPr>
            <w:r>
              <w:rPr>
                <w:rFonts w:hint="eastAsia" w:ascii="宋体" w:hAnsi="宋体" w:cs="宋体"/>
                <w:b/>
                <w:bCs/>
                <w:color w:val="000000"/>
                <w:kern w:val="0"/>
                <w:sz w:val="24"/>
                <w:lang w:bidi="ar"/>
              </w:rPr>
              <w:t>设备名称</w:t>
            </w:r>
          </w:p>
        </w:tc>
        <w:tc>
          <w:tcPr>
            <w:tcW w:w="7457" w:type="dxa"/>
            <w:vAlign w:val="center"/>
          </w:tcPr>
          <w:p w14:paraId="7AB4279D">
            <w:pPr>
              <w:keepNext w:val="0"/>
              <w:keepLines w:val="0"/>
              <w:widowControl/>
              <w:suppressLineNumbers w:val="0"/>
              <w:spacing w:before="0" w:beforeAutospacing="0" w:after="0" w:afterAutospacing="0"/>
              <w:ind w:left="0" w:right="0"/>
              <w:jc w:val="left"/>
              <w:textAlignment w:val="center"/>
              <w:rPr>
                <w:rFonts w:hint="default" w:ascii="宋体" w:hAnsi="宋体" w:cs="宋体"/>
                <w:b/>
                <w:bCs/>
                <w:color w:val="000000"/>
                <w:sz w:val="24"/>
              </w:rPr>
            </w:pPr>
            <w:r>
              <w:rPr>
                <w:rFonts w:hint="eastAsia" w:ascii="宋体" w:hAnsi="宋体" w:cs="宋体"/>
                <w:b/>
                <w:bCs/>
                <w:color w:val="000000"/>
                <w:kern w:val="0"/>
                <w:sz w:val="24"/>
                <w:lang w:bidi="ar"/>
              </w:rPr>
              <w:t>配置要求</w:t>
            </w:r>
          </w:p>
        </w:tc>
        <w:tc>
          <w:tcPr>
            <w:tcW w:w="1120" w:type="dxa"/>
            <w:vAlign w:val="center"/>
          </w:tcPr>
          <w:p w14:paraId="7C774A5B">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000000"/>
                <w:sz w:val="24"/>
              </w:rPr>
            </w:pPr>
            <w:r>
              <w:rPr>
                <w:rFonts w:hint="eastAsia" w:ascii="宋体" w:hAnsi="宋体" w:cs="宋体"/>
                <w:b/>
                <w:bCs/>
                <w:color w:val="000000"/>
                <w:kern w:val="0"/>
                <w:sz w:val="24"/>
                <w:lang w:bidi="ar"/>
              </w:rPr>
              <w:t>单位</w:t>
            </w:r>
          </w:p>
        </w:tc>
        <w:tc>
          <w:tcPr>
            <w:tcW w:w="1046" w:type="dxa"/>
            <w:vAlign w:val="center"/>
          </w:tcPr>
          <w:p w14:paraId="05F81C7A">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000000"/>
                <w:sz w:val="24"/>
              </w:rPr>
            </w:pPr>
            <w:r>
              <w:rPr>
                <w:rFonts w:hint="eastAsia" w:ascii="宋体" w:hAnsi="宋体" w:cs="宋体"/>
                <w:b/>
                <w:bCs/>
                <w:color w:val="000000"/>
                <w:kern w:val="0"/>
                <w:sz w:val="24"/>
                <w:lang w:bidi="ar"/>
              </w:rPr>
              <w:t>数量</w:t>
            </w:r>
          </w:p>
        </w:tc>
      </w:tr>
      <w:tr w14:paraId="35B2C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692" w:type="dxa"/>
            <w:vAlign w:val="center"/>
          </w:tcPr>
          <w:p w14:paraId="4E5E6179">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92</w:t>
            </w:r>
          </w:p>
        </w:tc>
        <w:tc>
          <w:tcPr>
            <w:tcW w:w="2184" w:type="dxa"/>
            <w:gridSpan w:val="3"/>
            <w:vMerge w:val="restart"/>
            <w:vAlign w:val="center"/>
          </w:tcPr>
          <w:p w14:paraId="29D01010">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设备间配套设施</w:t>
            </w:r>
          </w:p>
        </w:tc>
        <w:tc>
          <w:tcPr>
            <w:tcW w:w="1497" w:type="dxa"/>
            <w:vAlign w:val="center"/>
          </w:tcPr>
          <w:p w14:paraId="2337AE0E">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机房加固</w:t>
            </w:r>
          </w:p>
        </w:tc>
        <w:tc>
          <w:tcPr>
            <w:tcW w:w="7457" w:type="dxa"/>
            <w:vAlign w:val="center"/>
          </w:tcPr>
          <w:p w14:paraId="16BAF3D3">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定制加固承重钢梁等</w:t>
            </w:r>
          </w:p>
        </w:tc>
        <w:tc>
          <w:tcPr>
            <w:tcW w:w="1120" w:type="dxa"/>
            <w:vAlign w:val="center"/>
          </w:tcPr>
          <w:p w14:paraId="3AF53FEF">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项</w:t>
            </w:r>
          </w:p>
        </w:tc>
        <w:tc>
          <w:tcPr>
            <w:tcW w:w="1046" w:type="dxa"/>
            <w:vAlign w:val="center"/>
          </w:tcPr>
          <w:p w14:paraId="0AEB3487">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w:t>
            </w:r>
          </w:p>
        </w:tc>
      </w:tr>
      <w:tr w14:paraId="08C12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692" w:type="dxa"/>
            <w:vAlign w:val="center"/>
          </w:tcPr>
          <w:p w14:paraId="134C0499">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93</w:t>
            </w:r>
          </w:p>
        </w:tc>
        <w:tc>
          <w:tcPr>
            <w:tcW w:w="2184" w:type="dxa"/>
            <w:gridSpan w:val="3"/>
            <w:vMerge w:val="continue"/>
            <w:vAlign w:val="center"/>
          </w:tcPr>
          <w:p w14:paraId="6B43E17C">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1497" w:type="dxa"/>
            <w:vAlign w:val="center"/>
          </w:tcPr>
          <w:p w14:paraId="6FEE3FCF">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动环监控系统</w:t>
            </w:r>
          </w:p>
        </w:tc>
        <w:tc>
          <w:tcPr>
            <w:tcW w:w="7457" w:type="dxa"/>
            <w:vAlign w:val="center"/>
          </w:tcPr>
          <w:p w14:paraId="1C21F1F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动环监控系统，≥10寸触摸显示屏，监控UPS，空调，环境温湿度，漏水、烟感等机房基础设备,标配正版操作系统软件</w:t>
            </w:r>
          </w:p>
        </w:tc>
        <w:tc>
          <w:tcPr>
            <w:tcW w:w="1120" w:type="dxa"/>
            <w:vAlign w:val="center"/>
          </w:tcPr>
          <w:p w14:paraId="48221F45">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套</w:t>
            </w:r>
          </w:p>
        </w:tc>
        <w:tc>
          <w:tcPr>
            <w:tcW w:w="1046" w:type="dxa"/>
            <w:vAlign w:val="center"/>
          </w:tcPr>
          <w:p w14:paraId="4B6D5260">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w:t>
            </w:r>
          </w:p>
        </w:tc>
      </w:tr>
      <w:tr w14:paraId="1E916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692" w:type="dxa"/>
            <w:vAlign w:val="center"/>
          </w:tcPr>
          <w:p w14:paraId="324B4E55">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94</w:t>
            </w:r>
          </w:p>
        </w:tc>
        <w:tc>
          <w:tcPr>
            <w:tcW w:w="2184" w:type="dxa"/>
            <w:gridSpan w:val="3"/>
            <w:vMerge w:val="continue"/>
            <w:vAlign w:val="center"/>
          </w:tcPr>
          <w:p w14:paraId="5B4B96F4">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1497" w:type="dxa"/>
            <w:vAlign w:val="center"/>
          </w:tcPr>
          <w:p w14:paraId="60C21ABA">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机柜</w:t>
            </w:r>
          </w:p>
        </w:tc>
        <w:tc>
          <w:tcPr>
            <w:tcW w:w="7457" w:type="dxa"/>
            <w:vAlign w:val="center"/>
          </w:tcPr>
          <w:p w14:paraId="232B1204">
            <w:pPr>
              <w:keepNext w:val="0"/>
              <w:keepLines w:val="0"/>
              <w:widowControl/>
              <w:numPr>
                <w:ilvl w:val="0"/>
                <w:numId w:val="9"/>
              </w:numPr>
              <w:suppressLineNumbers w:val="0"/>
              <w:spacing w:before="0" w:beforeAutospacing="0" w:after="120" w:afterAutospacing="0"/>
              <w:ind w:left="0" w:right="0"/>
              <w:jc w:val="left"/>
              <w:textAlignment w:val="center"/>
              <w:rPr>
                <w:rFonts w:hint="default" w:ascii="宋体" w:hAnsi="宋体" w:cs="宋体"/>
                <w:color w:val="000000"/>
                <w:kern w:val="0"/>
                <w:sz w:val="24"/>
                <w:lang w:bidi="ar"/>
              </w:rPr>
            </w:pPr>
            <w:r>
              <w:rPr>
                <w:rFonts w:hint="eastAsia" w:ascii="宋体" w:hAnsi="宋体" w:cs="宋体"/>
                <w:color w:val="000000"/>
                <w:kern w:val="0"/>
                <w:sz w:val="24"/>
                <w:lang w:bidi="ar"/>
              </w:rPr>
              <w:t>IT机柜支持19英寸标准的服务器、存储及网络设备，安装尺寸（W *D *H）：600 mm*1200 mm*2000 mm</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2.承重：静态承载能力≧2500kg</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3.抗震：带载通过8、9级烈度抗震</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4.门板：采用前后网孔门设计，前门单开，后门双开，支持通孔率不小于75%；开启角度不小于150°。</w:t>
            </w:r>
          </w:p>
          <w:p w14:paraId="734BADDF">
            <w:pPr>
              <w:keepNext w:val="0"/>
              <w:keepLines w:val="0"/>
              <w:widowControl/>
              <w:suppressLineNumbers w:val="0"/>
              <w:spacing w:before="0" w:beforeAutospacing="0" w:after="12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5.高强度型材结构；</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6.包含2个国标PDU，PDU输入32A单相，输出接口配置为：国标 10A：16个；国标 16A：4个，带接线盒。</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7、含防静电底座、散力架。</w:t>
            </w:r>
          </w:p>
        </w:tc>
        <w:tc>
          <w:tcPr>
            <w:tcW w:w="1120" w:type="dxa"/>
            <w:vAlign w:val="center"/>
          </w:tcPr>
          <w:p w14:paraId="5C9BCE8E">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台</w:t>
            </w:r>
          </w:p>
        </w:tc>
        <w:tc>
          <w:tcPr>
            <w:tcW w:w="1046" w:type="dxa"/>
            <w:vAlign w:val="center"/>
          </w:tcPr>
          <w:p w14:paraId="21D196BE">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3</w:t>
            </w:r>
          </w:p>
        </w:tc>
      </w:tr>
      <w:tr w14:paraId="11899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2" w:type="dxa"/>
            <w:vAlign w:val="center"/>
          </w:tcPr>
          <w:p w14:paraId="7FA4929E">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95</w:t>
            </w:r>
          </w:p>
        </w:tc>
        <w:tc>
          <w:tcPr>
            <w:tcW w:w="2184" w:type="dxa"/>
            <w:gridSpan w:val="3"/>
            <w:vMerge w:val="continue"/>
            <w:vAlign w:val="center"/>
          </w:tcPr>
          <w:p w14:paraId="6B019AE5">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1497" w:type="dxa"/>
            <w:vAlign w:val="center"/>
          </w:tcPr>
          <w:p w14:paraId="0CAA3B23">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机房精密空调</w:t>
            </w:r>
          </w:p>
        </w:tc>
        <w:tc>
          <w:tcPr>
            <w:tcW w:w="7457" w:type="dxa"/>
            <w:vAlign w:val="center"/>
          </w:tcPr>
          <w:p w14:paraId="1F5F70E4">
            <w:pPr>
              <w:keepNext w:val="0"/>
              <w:keepLines w:val="0"/>
              <w:widowControl/>
              <w:suppressLineNumbers w:val="0"/>
              <w:spacing w:before="0" w:beforeAutospacing="0" w:after="0" w:afterAutospacing="0"/>
              <w:ind w:left="0" w:right="0"/>
              <w:jc w:val="left"/>
              <w:textAlignment w:val="center"/>
              <w:rPr>
                <w:rFonts w:hint="default" w:ascii="宋体" w:hAnsi="宋体" w:cs="宋体"/>
                <w:sz w:val="24"/>
              </w:rPr>
            </w:pPr>
            <w:r>
              <w:rPr>
                <w:rFonts w:hint="eastAsia" w:ascii="宋体" w:hAnsi="宋体" w:cs="宋体"/>
                <w:kern w:val="0"/>
                <w:sz w:val="24"/>
                <w:lang w:bidi="ar"/>
              </w:rPr>
              <w:t>总冷量(24℃，50%RH)：≥12.5KW；制冷系统：风冷单压缩机系统；出风方式：上送风，下回风；</w:t>
            </w:r>
            <w:r>
              <w:rPr>
                <w:rFonts w:hint="eastAsia" w:ascii="宋体" w:hAnsi="宋体" w:cs="宋体"/>
                <w:kern w:val="0"/>
                <w:sz w:val="24"/>
                <w:lang w:bidi="ar"/>
              </w:rPr>
              <w:br w:type="textWrapping"/>
            </w:r>
            <w:r>
              <w:rPr>
                <w:rFonts w:hint="eastAsia" w:ascii="宋体" w:hAnsi="宋体" w:cs="宋体"/>
                <w:kern w:val="0"/>
                <w:sz w:val="24"/>
                <w:lang w:bidi="ar"/>
              </w:rPr>
              <w:t xml:space="preserve">含室外机及设备安装的铜管、制冷剂，进出排水，室内外机架等所需的辅材。 </w:t>
            </w:r>
          </w:p>
        </w:tc>
        <w:tc>
          <w:tcPr>
            <w:tcW w:w="1120" w:type="dxa"/>
            <w:vAlign w:val="center"/>
          </w:tcPr>
          <w:p w14:paraId="27DDA54B">
            <w:pPr>
              <w:keepNext w:val="0"/>
              <w:keepLines w:val="0"/>
              <w:widowControl/>
              <w:suppressLineNumbers w:val="0"/>
              <w:spacing w:before="0" w:beforeAutospacing="0" w:after="0" w:afterAutospacing="0"/>
              <w:ind w:left="0" w:right="0"/>
              <w:jc w:val="center"/>
              <w:textAlignment w:val="center"/>
              <w:rPr>
                <w:rFonts w:hint="default" w:ascii="宋体" w:hAnsi="宋体" w:cs="宋体"/>
                <w:sz w:val="24"/>
              </w:rPr>
            </w:pPr>
            <w:r>
              <w:rPr>
                <w:rFonts w:hint="eastAsia" w:ascii="宋体" w:hAnsi="宋体" w:cs="宋体"/>
                <w:kern w:val="0"/>
                <w:sz w:val="24"/>
                <w:lang w:bidi="ar"/>
              </w:rPr>
              <w:t xml:space="preserve">套 </w:t>
            </w:r>
          </w:p>
        </w:tc>
        <w:tc>
          <w:tcPr>
            <w:tcW w:w="1046" w:type="dxa"/>
            <w:vAlign w:val="center"/>
          </w:tcPr>
          <w:p w14:paraId="7E2AF0C5">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w:t>
            </w:r>
          </w:p>
        </w:tc>
      </w:tr>
      <w:tr w14:paraId="2881D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92" w:type="dxa"/>
            <w:vAlign w:val="center"/>
          </w:tcPr>
          <w:p w14:paraId="5B53C391">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96</w:t>
            </w:r>
          </w:p>
        </w:tc>
        <w:tc>
          <w:tcPr>
            <w:tcW w:w="2184" w:type="dxa"/>
            <w:gridSpan w:val="3"/>
            <w:vMerge w:val="continue"/>
            <w:vAlign w:val="center"/>
          </w:tcPr>
          <w:p w14:paraId="3B42CD22">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1497" w:type="dxa"/>
            <w:vAlign w:val="center"/>
          </w:tcPr>
          <w:p w14:paraId="4F62B6E5">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指挥大厅空调</w:t>
            </w:r>
          </w:p>
        </w:tc>
        <w:tc>
          <w:tcPr>
            <w:tcW w:w="7457" w:type="dxa"/>
            <w:vAlign w:val="center"/>
          </w:tcPr>
          <w:p w14:paraId="6369902F">
            <w:pPr>
              <w:keepNext w:val="0"/>
              <w:keepLines w:val="0"/>
              <w:widowControl/>
              <w:suppressLineNumbers w:val="0"/>
              <w:spacing w:before="0" w:beforeAutospacing="0" w:after="0" w:afterAutospacing="0"/>
              <w:ind w:left="0" w:right="0"/>
              <w:jc w:val="left"/>
              <w:textAlignment w:val="center"/>
              <w:rPr>
                <w:rFonts w:hint="default" w:ascii="宋体" w:hAnsi="宋体" w:cs="宋体"/>
                <w:sz w:val="24"/>
              </w:rPr>
            </w:pPr>
            <w:r>
              <w:rPr>
                <w:rFonts w:hint="eastAsia" w:ascii="宋体" w:hAnsi="宋体" w:cs="宋体"/>
                <w:kern w:val="0"/>
                <w:sz w:val="24"/>
                <w:lang w:bidi="ar"/>
              </w:rPr>
              <w:t>≥5P；制冷系统：风冷单压缩机系统；出风方式：上送风，下回风；</w:t>
            </w:r>
            <w:r>
              <w:rPr>
                <w:rFonts w:hint="eastAsia" w:ascii="宋体" w:hAnsi="宋体" w:cs="宋体"/>
                <w:kern w:val="0"/>
                <w:sz w:val="24"/>
                <w:lang w:bidi="ar"/>
              </w:rPr>
              <w:br w:type="textWrapping"/>
            </w:r>
            <w:r>
              <w:rPr>
                <w:rFonts w:hint="eastAsia" w:ascii="宋体" w:hAnsi="宋体" w:cs="宋体"/>
                <w:kern w:val="0"/>
                <w:sz w:val="24"/>
                <w:lang w:bidi="ar"/>
              </w:rPr>
              <w:t xml:space="preserve">含室外机及设备安装的铜管、制冷剂，进出排水，室内外机架等所需的辅材。                         </w:t>
            </w:r>
          </w:p>
        </w:tc>
        <w:tc>
          <w:tcPr>
            <w:tcW w:w="1120" w:type="dxa"/>
            <w:vAlign w:val="center"/>
          </w:tcPr>
          <w:p w14:paraId="6B1FEEC1">
            <w:pPr>
              <w:keepNext w:val="0"/>
              <w:keepLines w:val="0"/>
              <w:widowControl/>
              <w:suppressLineNumbers w:val="0"/>
              <w:spacing w:before="0" w:beforeAutospacing="0" w:after="0" w:afterAutospacing="0"/>
              <w:ind w:left="0" w:right="0"/>
              <w:jc w:val="center"/>
              <w:textAlignment w:val="center"/>
              <w:rPr>
                <w:rFonts w:hint="default" w:ascii="宋体" w:hAnsi="宋体" w:cs="宋体"/>
                <w:sz w:val="24"/>
              </w:rPr>
            </w:pPr>
            <w:r>
              <w:rPr>
                <w:rFonts w:hint="eastAsia" w:ascii="宋体" w:hAnsi="宋体" w:cs="宋体"/>
                <w:kern w:val="0"/>
                <w:sz w:val="24"/>
                <w:lang w:bidi="ar"/>
              </w:rPr>
              <w:t xml:space="preserve">套  </w:t>
            </w:r>
          </w:p>
        </w:tc>
        <w:tc>
          <w:tcPr>
            <w:tcW w:w="1046" w:type="dxa"/>
            <w:vAlign w:val="center"/>
          </w:tcPr>
          <w:p w14:paraId="072E3C66">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2</w:t>
            </w:r>
          </w:p>
        </w:tc>
      </w:tr>
      <w:tr w14:paraId="237CC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0" w:hRule="atLeast"/>
        </w:trPr>
        <w:tc>
          <w:tcPr>
            <w:tcW w:w="692" w:type="dxa"/>
            <w:vAlign w:val="center"/>
          </w:tcPr>
          <w:p w14:paraId="1D258C17">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97</w:t>
            </w:r>
          </w:p>
        </w:tc>
        <w:tc>
          <w:tcPr>
            <w:tcW w:w="2184" w:type="dxa"/>
            <w:gridSpan w:val="3"/>
            <w:vMerge w:val="continue"/>
            <w:vAlign w:val="center"/>
          </w:tcPr>
          <w:p w14:paraId="71C7D32B">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1497" w:type="dxa"/>
            <w:vAlign w:val="center"/>
          </w:tcPr>
          <w:p w14:paraId="36C9EFCB">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消防柜</w:t>
            </w:r>
          </w:p>
        </w:tc>
        <w:tc>
          <w:tcPr>
            <w:tcW w:w="7457" w:type="dxa"/>
            <w:vAlign w:val="center"/>
          </w:tcPr>
          <w:p w14:paraId="104D791A">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 xml:space="preserve"> 灭火剂钢瓶容积(L) ：≥70L</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灭火剂贮存压力 2.5MPa(20℃)</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灭火剂最大压力 4.2MPa(50℃)</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灭火剂充装率 ≤1120Kg/m</w:t>
            </w:r>
            <w:r>
              <w:rPr>
                <w:rFonts w:hint="eastAsia" w:ascii="宋体" w:hAnsi="宋体" w:cs="宋体"/>
                <w:color w:val="000000"/>
                <w:kern w:val="0"/>
                <w:sz w:val="24"/>
                <w:vertAlign w:val="superscript"/>
                <w:lang w:bidi="ar"/>
              </w:rPr>
              <w:t>3</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启动方式 电磁启动/应急机械手动启动</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启动电源 24V1.6A</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灭火类型 全淹没</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灭火剂喷射时间 ≤10S</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驱动气体氮气N</w:t>
            </w:r>
            <w:r>
              <w:rPr>
                <w:rFonts w:hint="eastAsia" w:ascii="宋体" w:hAnsi="宋体" w:cs="宋体"/>
                <w:color w:val="000000"/>
                <w:kern w:val="0"/>
                <w:sz w:val="24"/>
                <w:vertAlign w:val="subscript"/>
                <w:lang w:bidi="ar"/>
              </w:rPr>
              <w:t xml:space="preserve"> 2</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七氟丙烷药剂：纯度，&gt;99.6%(m/m)</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酸度，≤1X10（负四次方）%(m/m)</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水分，≤10X10（负四次方）%(m/m)</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蒸发诟残渣，≤0.01%(m/m)</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悬浮物或沉淀物，无混浊或沉淀物</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灭火浓度(杯式燃烧器法)，6.7士0.2%。</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气体灭火控制盘报警设备1套；</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消防设备放气指示灯1套；</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烟感探测器1个；</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声光报警器1个；</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温度探测器2个；</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泄压口1套；</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线材1项；</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管接线盒1项及其他辅材等。</w:t>
            </w:r>
          </w:p>
        </w:tc>
        <w:tc>
          <w:tcPr>
            <w:tcW w:w="1120" w:type="dxa"/>
            <w:vAlign w:val="center"/>
          </w:tcPr>
          <w:p w14:paraId="6C31D2D6">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套</w:t>
            </w:r>
          </w:p>
        </w:tc>
        <w:tc>
          <w:tcPr>
            <w:tcW w:w="1046" w:type="dxa"/>
            <w:vAlign w:val="center"/>
          </w:tcPr>
          <w:p w14:paraId="1166CFDF">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w:t>
            </w:r>
          </w:p>
        </w:tc>
      </w:tr>
      <w:tr w14:paraId="3E377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692" w:type="dxa"/>
            <w:vAlign w:val="center"/>
          </w:tcPr>
          <w:p w14:paraId="0188D5B1">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98</w:t>
            </w:r>
          </w:p>
        </w:tc>
        <w:tc>
          <w:tcPr>
            <w:tcW w:w="2184" w:type="dxa"/>
            <w:gridSpan w:val="3"/>
            <w:vMerge w:val="continue"/>
            <w:vAlign w:val="center"/>
          </w:tcPr>
          <w:p w14:paraId="22E96B58">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1497" w:type="dxa"/>
            <w:vAlign w:val="center"/>
          </w:tcPr>
          <w:p w14:paraId="7BFA554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走线架</w:t>
            </w:r>
          </w:p>
        </w:tc>
        <w:tc>
          <w:tcPr>
            <w:tcW w:w="7457" w:type="dxa"/>
            <w:vAlign w:val="center"/>
          </w:tcPr>
          <w:p w14:paraId="53781E58">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钢制表面环保电镀锌,宽600mm。</w:t>
            </w:r>
          </w:p>
        </w:tc>
        <w:tc>
          <w:tcPr>
            <w:tcW w:w="1120" w:type="dxa"/>
            <w:vAlign w:val="center"/>
          </w:tcPr>
          <w:p w14:paraId="0F9C8E6B">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m</w:t>
            </w:r>
          </w:p>
        </w:tc>
        <w:tc>
          <w:tcPr>
            <w:tcW w:w="1046" w:type="dxa"/>
            <w:vAlign w:val="center"/>
          </w:tcPr>
          <w:p w14:paraId="7A2D3809">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20</w:t>
            </w:r>
          </w:p>
        </w:tc>
      </w:tr>
      <w:tr w14:paraId="7999E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92" w:type="dxa"/>
            <w:vAlign w:val="center"/>
          </w:tcPr>
          <w:p w14:paraId="08CE343A">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99</w:t>
            </w:r>
          </w:p>
        </w:tc>
        <w:tc>
          <w:tcPr>
            <w:tcW w:w="2184" w:type="dxa"/>
            <w:gridSpan w:val="3"/>
            <w:vMerge w:val="continue"/>
            <w:vAlign w:val="center"/>
          </w:tcPr>
          <w:p w14:paraId="16BD86A9">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1497" w:type="dxa"/>
            <w:vAlign w:val="center"/>
          </w:tcPr>
          <w:p w14:paraId="3356548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市电输入总配电箱</w:t>
            </w:r>
          </w:p>
        </w:tc>
        <w:tc>
          <w:tcPr>
            <w:tcW w:w="7457" w:type="dxa"/>
            <w:vAlign w:val="center"/>
          </w:tcPr>
          <w:p w14:paraId="048565E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1、总功率不小于80KW，200A/380V。</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2、柜体材质：加厚冷轧钢板；防水等级：≥IP65。</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配电箱内主要设备为空气开关（总开关）、汇流排、配电继电器、电源防雷、保护接地和漏电保护地等。当系统运行时出现有电气短路、过流（过载）、漏电等情况时，漏电保护断路器可以切断电源，保护人员和显示屏的安全；当供电出现过压、欠压、断路、以及浪涌情况时开关电源具有保护措施。</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4、定制（含所有配套设施）。</w:t>
            </w:r>
          </w:p>
        </w:tc>
        <w:tc>
          <w:tcPr>
            <w:tcW w:w="1120" w:type="dxa"/>
            <w:vAlign w:val="center"/>
          </w:tcPr>
          <w:p w14:paraId="41B47318">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个</w:t>
            </w:r>
          </w:p>
        </w:tc>
        <w:tc>
          <w:tcPr>
            <w:tcW w:w="1046" w:type="dxa"/>
            <w:vAlign w:val="center"/>
          </w:tcPr>
          <w:p w14:paraId="5AF648E8">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w:t>
            </w:r>
          </w:p>
        </w:tc>
      </w:tr>
      <w:tr w14:paraId="67986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692" w:type="dxa"/>
            <w:vAlign w:val="center"/>
          </w:tcPr>
          <w:p w14:paraId="63C9BF49">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100</w:t>
            </w:r>
          </w:p>
        </w:tc>
        <w:tc>
          <w:tcPr>
            <w:tcW w:w="2184" w:type="dxa"/>
            <w:gridSpan w:val="3"/>
            <w:vMerge w:val="continue"/>
            <w:vAlign w:val="center"/>
          </w:tcPr>
          <w:p w14:paraId="7DFD943D">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1497" w:type="dxa"/>
            <w:vAlign w:val="center"/>
          </w:tcPr>
          <w:p w14:paraId="2549029B">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市电引入</w:t>
            </w:r>
          </w:p>
        </w:tc>
        <w:tc>
          <w:tcPr>
            <w:tcW w:w="7457" w:type="dxa"/>
            <w:vAlign w:val="center"/>
          </w:tcPr>
          <w:p w14:paraId="71953662">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包含市电引入所需的电源线及熔断器、施工费等所有相关配套设备及设备间接地铜排等。</w:t>
            </w:r>
          </w:p>
        </w:tc>
        <w:tc>
          <w:tcPr>
            <w:tcW w:w="1120" w:type="dxa"/>
            <w:vAlign w:val="center"/>
          </w:tcPr>
          <w:p w14:paraId="67B2B3DC">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项</w:t>
            </w:r>
          </w:p>
        </w:tc>
        <w:tc>
          <w:tcPr>
            <w:tcW w:w="1046" w:type="dxa"/>
            <w:vAlign w:val="center"/>
          </w:tcPr>
          <w:p w14:paraId="709335D4">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w:t>
            </w:r>
          </w:p>
        </w:tc>
      </w:tr>
      <w:tr w14:paraId="74CF9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92" w:type="dxa"/>
            <w:vAlign w:val="center"/>
          </w:tcPr>
          <w:p w14:paraId="48DFCD7F">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101</w:t>
            </w:r>
          </w:p>
        </w:tc>
        <w:tc>
          <w:tcPr>
            <w:tcW w:w="2184" w:type="dxa"/>
            <w:gridSpan w:val="3"/>
            <w:vMerge w:val="restart"/>
            <w:vAlign w:val="center"/>
          </w:tcPr>
          <w:p w14:paraId="6A476D8D">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指挥中心坐席</w:t>
            </w:r>
          </w:p>
        </w:tc>
        <w:tc>
          <w:tcPr>
            <w:tcW w:w="1497" w:type="dxa"/>
            <w:vAlign w:val="center"/>
          </w:tcPr>
          <w:p w14:paraId="3AD3762D">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指挥坐席</w:t>
            </w:r>
          </w:p>
        </w:tc>
        <w:tc>
          <w:tcPr>
            <w:tcW w:w="7457" w:type="dxa"/>
            <w:vAlign w:val="center"/>
          </w:tcPr>
          <w:p w14:paraId="40A4B55E">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1、尺寸：4000mm长*800mm宽*750mm高（±10mm）；</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2、钢木结构钣金部分采用1.2mm～2.0mm冷轧钢板，其中主框架2.0mm厚；</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3、配备5个PDU：防雷、抗浪涌8位5孔，开关控制；</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4、含5把皮质座椅：靠背、座板为双层曲木板、铝合金电镀扶手，椅面、扶手面采用头层牛皮及高密度PU发泡海绵，38管电镀五星脚，PU滑轮；</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5、含安装运输费。</w:t>
            </w:r>
          </w:p>
        </w:tc>
        <w:tc>
          <w:tcPr>
            <w:tcW w:w="1120" w:type="dxa"/>
            <w:vAlign w:val="center"/>
          </w:tcPr>
          <w:p w14:paraId="073A5ACE">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套</w:t>
            </w:r>
          </w:p>
        </w:tc>
        <w:tc>
          <w:tcPr>
            <w:tcW w:w="1046" w:type="dxa"/>
            <w:vAlign w:val="center"/>
          </w:tcPr>
          <w:p w14:paraId="01754A7E">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w:t>
            </w:r>
          </w:p>
        </w:tc>
      </w:tr>
      <w:tr w14:paraId="78CC3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92" w:type="dxa"/>
            <w:vAlign w:val="center"/>
          </w:tcPr>
          <w:p w14:paraId="4965197D">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102</w:t>
            </w:r>
          </w:p>
        </w:tc>
        <w:tc>
          <w:tcPr>
            <w:tcW w:w="2184" w:type="dxa"/>
            <w:gridSpan w:val="3"/>
            <w:vMerge w:val="continue"/>
            <w:vAlign w:val="center"/>
          </w:tcPr>
          <w:p w14:paraId="79AFB9AD">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1497" w:type="dxa"/>
            <w:vAlign w:val="center"/>
          </w:tcPr>
          <w:p w14:paraId="125354D1">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操作坐席</w:t>
            </w:r>
          </w:p>
        </w:tc>
        <w:tc>
          <w:tcPr>
            <w:tcW w:w="7457" w:type="dxa"/>
            <w:vAlign w:val="center"/>
          </w:tcPr>
          <w:p w14:paraId="15054360">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1、尺寸：4800mm长*800mm宽*750mm高（±10mm）；</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2、钢木结构钣金部分采用1.2mm～2.0mm冷轧钢板，其中主框架2.0mm厚；</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3、配有6套挂壁式显示器支臂，可根据人体视线调节，支持19-32单屏）；</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4、配备6个PDU：防雷、抗浪涌8位5孔，开关控制；</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6、含6把人体工学椅：网面、五轮、活动式，带头枕，带扶手，高度可调节；</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7、含安装运输费。</w:t>
            </w:r>
          </w:p>
        </w:tc>
        <w:tc>
          <w:tcPr>
            <w:tcW w:w="1120" w:type="dxa"/>
            <w:vAlign w:val="center"/>
          </w:tcPr>
          <w:p w14:paraId="4B205B66">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套</w:t>
            </w:r>
          </w:p>
        </w:tc>
        <w:tc>
          <w:tcPr>
            <w:tcW w:w="1046" w:type="dxa"/>
            <w:vAlign w:val="center"/>
          </w:tcPr>
          <w:p w14:paraId="7CB122B7">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2</w:t>
            </w:r>
          </w:p>
        </w:tc>
      </w:tr>
      <w:tr w14:paraId="59DC9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3996" w:type="dxa"/>
            <w:gridSpan w:val="8"/>
            <w:vAlign w:val="center"/>
          </w:tcPr>
          <w:p w14:paraId="6A2C968A">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000000"/>
                <w:sz w:val="24"/>
              </w:rPr>
            </w:pPr>
            <w:r>
              <w:rPr>
                <w:rFonts w:hint="eastAsia" w:ascii="宋体" w:hAnsi="宋体" w:cs="宋体"/>
                <w:b/>
                <w:bCs/>
                <w:color w:val="000000"/>
                <w:kern w:val="0"/>
                <w:sz w:val="24"/>
                <w:lang w:val="en-US" w:eastAsia="zh-CN" w:bidi="ar"/>
              </w:rPr>
              <w:t>五</w:t>
            </w:r>
            <w:r>
              <w:rPr>
                <w:rFonts w:hint="eastAsia" w:ascii="宋体" w:hAnsi="宋体" w:cs="宋体"/>
                <w:b/>
                <w:bCs/>
                <w:color w:val="000000"/>
                <w:kern w:val="0"/>
                <w:sz w:val="24"/>
                <w:lang w:bidi="ar"/>
              </w:rPr>
              <w:t>、运营指挥中心--物理环境改造</w:t>
            </w:r>
          </w:p>
        </w:tc>
      </w:tr>
      <w:tr w14:paraId="12B5C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692" w:type="dxa"/>
            <w:vAlign w:val="center"/>
          </w:tcPr>
          <w:p w14:paraId="2C03A06F">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103</w:t>
            </w:r>
          </w:p>
        </w:tc>
        <w:tc>
          <w:tcPr>
            <w:tcW w:w="3681" w:type="dxa"/>
            <w:gridSpan w:val="4"/>
            <w:vAlign w:val="center"/>
          </w:tcPr>
          <w:p w14:paraId="38EC3CF9">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000000"/>
                <w:sz w:val="24"/>
              </w:rPr>
            </w:pPr>
            <w:r>
              <w:rPr>
                <w:rFonts w:hint="eastAsia" w:ascii="宋体" w:hAnsi="宋体" w:cs="宋体"/>
                <w:b/>
                <w:bCs/>
                <w:color w:val="000000"/>
                <w:kern w:val="0"/>
                <w:sz w:val="24"/>
                <w:lang w:bidi="ar"/>
              </w:rPr>
              <w:t>运行指挥中心物理环境改造工程</w:t>
            </w:r>
          </w:p>
        </w:tc>
        <w:tc>
          <w:tcPr>
            <w:tcW w:w="7457" w:type="dxa"/>
            <w:vAlign w:val="center"/>
          </w:tcPr>
          <w:p w14:paraId="6F6991B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color w:val="000000"/>
                <w:sz w:val="24"/>
                <w:lang w:eastAsia="zh-CN"/>
              </w:rPr>
            </w:pPr>
            <w:r>
              <w:rPr>
                <w:rFonts w:hint="eastAsia" w:ascii="宋体" w:hAnsi="宋体" w:cs="宋体"/>
                <w:b/>
                <w:bCs/>
                <w:color w:val="000000"/>
                <w:kern w:val="0"/>
                <w:sz w:val="24"/>
                <w:lang w:bidi="ar"/>
              </w:rPr>
              <w:t>详见装修工程概预算书</w:t>
            </w:r>
            <w:r>
              <w:rPr>
                <w:rFonts w:hint="eastAsia" w:ascii="宋体" w:hAnsi="宋体" w:cs="宋体"/>
                <w:b/>
                <w:bCs/>
                <w:color w:val="000000"/>
                <w:kern w:val="0"/>
                <w:sz w:val="24"/>
                <w:lang w:eastAsia="zh-CN" w:bidi="ar"/>
              </w:rPr>
              <w:t>（</w:t>
            </w:r>
            <w:r>
              <w:rPr>
                <w:rFonts w:hint="eastAsia" w:ascii="宋体" w:hAnsi="宋体" w:cs="宋体"/>
                <w:b/>
                <w:bCs/>
                <w:color w:val="000000"/>
                <w:kern w:val="0"/>
                <w:sz w:val="24"/>
                <w:lang w:val="en-US" w:eastAsia="zh-CN" w:bidi="ar"/>
              </w:rPr>
              <w:t>具体内容详见单独上传的工程量清单</w:t>
            </w:r>
            <w:r>
              <w:rPr>
                <w:rFonts w:hint="eastAsia" w:ascii="宋体" w:hAnsi="宋体" w:cs="宋体"/>
                <w:b/>
                <w:bCs/>
                <w:color w:val="000000"/>
                <w:kern w:val="0"/>
                <w:sz w:val="24"/>
                <w:lang w:eastAsia="zh-CN" w:bidi="ar"/>
              </w:rPr>
              <w:t>）</w:t>
            </w:r>
          </w:p>
        </w:tc>
        <w:tc>
          <w:tcPr>
            <w:tcW w:w="1120" w:type="dxa"/>
            <w:vAlign w:val="center"/>
          </w:tcPr>
          <w:p w14:paraId="330BE496">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000000"/>
                <w:sz w:val="24"/>
              </w:rPr>
            </w:pPr>
            <w:r>
              <w:rPr>
                <w:rFonts w:hint="eastAsia" w:ascii="宋体" w:hAnsi="宋体" w:cs="宋体"/>
                <w:b/>
                <w:bCs/>
                <w:color w:val="000000"/>
                <w:kern w:val="0"/>
                <w:sz w:val="24"/>
                <w:lang w:bidi="ar"/>
              </w:rPr>
              <w:t>项</w:t>
            </w:r>
          </w:p>
        </w:tc>
        <w:tc>
          <w:tcPr>
            <w:tcW w:w="1046" w:type="dxa"/>
            <w:vAlign w:val="center"/>
          </w:tcPr>
          <w:p w14:paraId="6B79341D">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000000"/>
                <w:sz w:val="24"/>
              </w:rPr>
            </w:pPr>
            <w:r>
              <w:rPr>
                <w:rFonts w:hint="eastAsia" w:ascii="宋体" w:hAnsi="宋体" w:cs="宋体"/>
                <w:b/>
                <w:bCs/>
                <w:color w:val="000000"/>
                <w:kern w:val="0"/>
                <w:sz w:val="24"/>
                <w:lang w:bidi="ar"/>
              </w:rPr>
              <w:t>1</w:t>
            </w:r>
          </w:p>
        </w:tc>
      </w:tr>
      <w:tr w14:paraId="0CCA3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3996" w:type="dxa"/>
            <w:gridSpan w:val="8"/>
            <w:vAlign w:val="center"/>
          </w:tcPr>
          <w:p w14:paraId="1BFB8F6A">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000000"/>
                <w:sz w:val="24"/>
              </w:rPr>
            </w:pPr>
            <w:r>
              <w:rPr>
                <w:rFonts w:hint="eastAsia" w:ascii="宋体" w:hAnsi="宋体" w:cs="宋体"/>
                <w:b/>
                <w:bCs/>
                <w:color w:val="000000"/>
                <w:kern w:val="0"/>
                <w:sz w:val="24"/>
                <w:lang w:val="en-US" w:eastAsia="zh-CN" w:bidi="ar"/>
              </w:rPr>
              <w:t>六</w:t>
            </w:r>
            <w:r>
              <w:rPr>
                <w:rFonts w:hint="eastAsia" w:ascii="宋体" w:hAnsi="宋体" w:cs="宋体"/>
                <w:b/>
                <w:bCs/>
                <w:color w:val="000000"/>
                <w:kern w:val="0"/>
                <w:sz w:val="24"/>
                <w:lang w:bidi="ar"/>
              </w:rPr>
              <w:t>、基础设施--云基础资源租赁</w:t>
            </w:r>
          </w:p>
        </w:tc>
      </w:tr>
      <w:tr w14:paraId="7974A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692" w:type="dxa"/>
            <w:vAlign w:val="center"/>
          </w:tcPr>
          <w:p w14:paraId="39B5A5A9">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000000"/>
                <w:sz w:val="24"/>
              </w:rPr>
            </w:pPr>
            <w:r>
              <w:rPr>
                <w:rFonts w:hint="eastAsia" w:ascii="宋体" w:hAnsi="宋体" w:cs="宋体"/>
                <w:b/>
                <w:bCs/>
                <w:color w:val="000000"/>
                <w:kern w:val="0"/>
                <w:sz w:val="24"/>
                <w:lang w:bidi="ar"/>
              </w:rPr>
              <w:t>序号</w:t>
            </w:r>
          </w:p>
        </w:tc>
        <w:tc>
          <w:tcPr>
            <w:tcW w:w="2184" w:type="dxa"/>
            <w:gridSpan w:val="3"/>
            <w:vAlign w:val="center"/>
          </w:tcPr>
          <w:p w14:paraId="3594207C">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000000"/>
                <w:sz w:val="24"/>
              </w:rPr>
            </w:pPr>
            <w:r>
              <w:rPr>
                <w:rFonts w:hint="eastAsia" w:ascii="宋体" w:hAnsi="宋体" w:cs="宋体"/>
                <w:b/>
                <w:bCs/>
                <w:color w:val="000000"/>
                <w:kern w:val="0"/>
                <w:sz w:val="24"/>
                <w:lang w:bidi="ar"/>
              </w:rPr>
              <w:t>名称</w:t>
            </w:r>
          </w:p>
        </w:tc>
        <w:tc>
          <w:tcPr>
            <w:tcW w:w="1497" w:type="dxa"/>
            <w:vAlign w:val="center"/>
          </w:tcPr>
          <w:p w14:paraId="6C4BBC0E">
            <w:pPr>
              <w:keepNext w:val="0"/>
              <w:keepLines w:val="0"/>
              <w:widowControl/>
              <w:suppressLineNumbers w:val="0"/>
              <w:spacing w:before="0" w:beforeAutospacing="0" w:after="0" w:afterAutospacing="0"/>
              <w:ind w:left="0" w:right="0"/>
              <w:jc w:val="left"/>
              <w:textAlignment w:val="center"/>
              <w:rPr>
                <w:rFonts w:hint="default" w:ascii="宋体" w:hAnsi="宋体" w:cs="宋体"/>
                <w:b/>
                <w:bCs/>
                <w:color w:val="000000"/>
                <w:sz w:val="24"/>
              </w:rPr>
            </w:pPr>
            <w:r>
              <w:rPr>
                <w:rFonts w:hint="eastAsia" w:ascii="宋体" w:hAnsi="宋体" w:cs="宋体"/>
                <w:b/>
                <w:bCs/>
                <w:color w:val="000000"/>
                <w:kern w:val="0"/>
                <w:sz w:val="24"/>
                <w:lang w:bidi="ar"/>
              </w:rPr>
              <w:t>设备名称</w:t>
            </w:r>
          </w:p>
        </w:tc>
        <w:tc>
          <w:tcPr>
            <w:tcW w:w="7457" w:type="dxa"/>
            <w:vAlign w:val="center"/>
          </w:tcPr>
          <w:p w14:paraId="4F228AE2">
            <w:pPr>
              <w:keepNext w:val="0"/>
              <w:keepLines w:val="0"/>
              <w:widowControl/>
              <w:suppressLineNumbers w:val="0"/>
              <w:spacing w:before="0" w:beforeAutospacing="0" w:after="0" w:afterAutospacing="0"/>
              <w:ind w:left="0" w:right="0"/>
              <w:jc w:val="left"/>
              <w:textAlignment w:val="center"/>
              <w:rPr>
                <w:rFonts w:hint="default" w:ascii="宋体" w:hAnsi="宋体" w:cs="宋体"/>
                <w:b/>
                <w:bCs/>
                <w:color w:val="000000"/>
                <w:sz w:val="24"/>
              </w:rPr>
            </w:pPr>
            <w:r>
              <w:rPr>
                <w:rFonts w:hint="eastAsia" w:ascii="宋体" w:hAnsi="宋体" w:cs="宋体"/>
                <w:b/>
                <w:bCs/>
                <w:color w:val="000000"/>
                <w:kern w:val="0"/>
                <w:sz w:val="24"/>
                <w:lang w:bidi="ar"/>
              </w:rPr>
              <w:t>配置要求</w:t>
            </w:r>
          </w:p>
        </w:tc>
        <w:tc>
          <w:tcPr>
            <w:tcW w:w="1120" w:type="dxa"/>
            <w:vAlign w:val="center"/>
          </w:tcPr>
          <w:p w14:paraId="3F357137">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000000"/>
                <w:sz w:val="24"/>
              </w:rPr>
            </w:pPr>
            <w:r>
              <w:rPr>
                <w:rFonts w:hint="eastAsia" w:ascii="宋体" w:hAnsi="宋体" w:cs="宋体"/>
                <w:b/>
                <w:bCs/>
                <w:color w:val="000000"/>
                <w:kern w:val="0"/>
                <w:sz w:val="24"/>
                <w:lang w:bidi="ar"/>
              </w:rPr>
              <w:t>单位</w:t>
            </w:r>
          </w:p>
        </w:tc>
        <w:tc>
          <w:tcPr>
            <w:tcW w:w="1046" w:type="dxa"/>
            <w:vAlign w:val="center"/>
          </w:tcPr>
          <w:p w14:paraId="7105EBCD">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000000"/>
                <w:sz w:val="24"/>
              </w:rPr>
            </w:pPr>
            <w:r>
              <w:rPr>
                <w:rFonts w:hint="eastAsia" w:ascii="宋体" w:hAnsi="宋体" w:cs="宋体"/>
                <w:b/>
                <w:bCs/>
                <w:color w:val="000000"/>
                <w:kern w:val="0"/>
                <w:sz w:val="24"/>
                <w:lang w:bidi="ar"/>
              </w:rPr>
              <w:t>数量</w:t>
            </w:r>
          </w:p>
        </w:tc>
      </w:tr>
      <w:tr w14:paraId="26B34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92" w:type="dxa"/>
            <w:vAlign w:val="center"/>
          </w:tcPr>
          <w:p w14:paraId="626A37C0">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104</w:t>
            </w:r>
          </w:p>
        </w:tc>
        <w:tc>
          <w:tcPr>
            <w:tcW w:w="2184" w:type="dxa"/>
            <w:gridSpan w:val="3"/>
            <w:vMerge w:val="restart"/>
            <w:vAlign w:val="center"/>
          </w:tcPr>
          <w:p w14:paraId="502A6958">
            <w:pPr>
              <w:keepNext w:val="0"/>
              <w:keepLines w:val="0"/>
              <w:widowControl/>
              <w:suppressLineNumbers w:val="0"/>
              <w:spacing w:before="0" w:beforeAutospacing="0" w:after="0" w:afterAutospacing="0"/>
              <w:ind w:left="0" w:right="0"/>
              <w:jc w:val="center"/>
              <w:textAlignment w:val="center"/>
              <w:rPr>
                <w:rFonts w:hint="default" w:ascii="宋体" w:hAnsi="宋体" w:cs="宋体"/>
                <w:sz w:val="24"/>
              </w:rPr>
            </w:pPr>
            <w:r>
              <w:rPr>
                <w:rFonts w:hint="eastAsia" w:ascii="宋体" w:hAnsi="宋体" w:cs="宋体"/>
                <w:kern w:val="0"/>
                <w:sz w:val="24"/>
                <w:lang w:bidi="ar"/>
              </w:rPr>
              <w:t>云资源</w:t>
            </w:r>
          </w:p>
        </w:tc>
        <w:tc>
          <w:tcPr>
            <w:tcW w:w="1497" w:type="dxa"/>
            <w:vAlign w:val="center"/>
          </w:tcPr>
          <w:p w14:paraId="50D64E9B">
            <w:pPr>
              <w:keepNext w:val="0"/>
              <w:keepLines w:val="0"/>
              <w:widowControl/>
              <w:suppressLineNumbers w:val="0"/>
              <w:spacing w:before="0" w:beforeAutospacing="0" w:after="0" w:afterAutospacing="0"/>
              <w:ind w:left="0" w:right="0"/>
              <w:jc w:val="left"/>
              <w:textAlignment w:val="center"/>
              <w:rPr>
                <w:rFonts w:hint="default" w:ascii="宋体" w:hAnsi="宋体" w:cs="宋体"/>
                <w:sz w:val="24"/>
              </w:rPr>
            </w:pPr>
            <w:r>
              <w:rPr>
                <w:rFonts w:hint="eastAsia" w:ascii="宋体" w:hAnsi="宋体" w:cs="宋体"/>
                <w:kern w:val="0"/>
                <w:sz w:val="24"/>
                <w:lang w:bidi="ar"/>
              </w:rPr>
              <w:t>大数据计算服务器</w:t>
            </w:r>
          </w:p>
        </w:tc>
        <w:tc>
          <w:tcPr>
            <w:tcW w:w="7457" w:type="dxa"/>
            <w:vAlign w:val="center"/>
          </w:tcPr>
          <w:p w14:paraId="5D6F0B85">
            <w:pPr>
              <w:keepNext w:val="0"/>
              <w:keepLines w:val="0"/>
              <w:widowControl/>
              <w:suppressLineNumbers w:val="0"/>
              <w:spacing w:before="0" w:beforeAutospacing="0" w:after="0" w:afterAutospacing="0"/>
              <w:ind w:left="0" w:right="0"/>
              <w:jc w:val="left"/>
              <w:textAlignment w:val="center"/>
              <w:rPr>
                <w:rFonts w:hint="default" w:ascii="宋体" w:hAnsi="宋体" w:cs="宋体"/>
                <w:sz w:val="24"/>
              </w:rPr>
            </w:pPr>
            <w:r>
              <w:rPr>
                <w:rFonts w:hint="eastAsia" w:ascii="宋体" w:hAnsi="宋体" w:cs="宋体"/>
                <w:kern w:val="0"/>
                <w:sz w:val="24"/>
                <w:lang w:bidi="ar"/>
              </w:rPr>
              <w:t>CPU：≥2路，≥32核；</w:t>
            </w:r>
            <w:r>
              <w:rPr>
                <w:rFonts w:hint="eastAsia" w:ascii="宋体" w:hAnsi="宋体" w:cs="宋体"/>
                <w:kern w:val="0"/>
                <w:sz w:val="24"/>
                <w:lang w:bidi="ar"/>
              </w:rPr>
              <w:br w:type="textWrapping"/>
            </w:r>
            <w:r>
              <w:rPr>
                <w:rFonts w:hint="eastAsia" w:ascii="宋体" w:hAnsi="宋体" w:cs="宋体"/>
                <w:kern w:val="0"/>
                <w:sz w:val="24"/>
                <w:lang w:bidi="ar"/>
              </w:rPr>
              <w:t>内存：≥256G；</w:t>
            </w:r>
            <w:r>
              <w:rPr>
                <w:rFonts w:hint="eastAsia" w:ascii="宋体" w:hAnsi="宋体" w:cs="宋体"/>
                <w:kern w:val="0"/>
                <w:sz w:val="24"/>
                <w:lang w:bidi="ar"/>
              </w:rPr>
              <w:br w:type="textWrapping"/>
            </w:r>
            <w:r>
              <w:rPr>
                <w:rFonts w:hint="eastAsia" w:ascii="宋体" w:hAnsi="宋体" w:cs="宋体"/>
                <w:kern w:val="0"/>
                <w:sz w:val="24"/>
                <w:lang w:bidi="ar"/>
              </w:rPr>
              <w:t>硬盘：≥1.2TB SAS盘*2 ，≥960G SSD*4，≥4T SATA盘 *8；</w:t>
            </w:r>
            <w:r>
              <w:rPr>
                <w:rFonts w:hint="eastAsia" w:ascii="宋体" w:hAnsi="宋体" w:cs="宋体"/>
                <w:kern w:val="0"/>
                <w:sz w:val="24"/>
                <w:lang w:bidi="ar"/>
              </w:rPr>
              <w:br w:type="textWrapping"/>
            </w:r>
            <w:r>
              <w:rPr>
                <w:rFonts w:hint="eastAsia" w:ascii="宋体" w:hAnsi="宋体" w:cs="宋体"/>
                <w:kern w:val="0"/>
                <w:sz w:val="24"/>
                <w:lang w:bidi="ar"/>
              </w:rPr>
              <w:t>网络接口：不少于4个万兆光口</w:t>
            </w:r>
          </w:p>
        </w:tc>
        <w:tc>
          <w:tcPr>
            <w:tcW w:w="1120" w:type="dxa"/>
            <w:vAlign w:val="center"/>
          </w:tcPr>
          <w:p w14:paraId="330150D0">
            <w:pPr>
              <w:keepNext w:val="0"/>
              <w:keepLines w:val="0"/>
              <w:widowControl/>
              <w:suppressLineNumbers w:val="0"/>
              <w:spacing w:before="0" w:beforeAutospacing="0" w:after="0" w:afterAutospacing="0"/>
              <w:ind w:left="0" w:right="0"/>
              <w:jc w:val="center"/>
              <w:textAlignment w:val="center"/>
              <w:rPr>
                <w:rFonts w:hint="default" w:ascii="宋体" w:hAnsi="宋体" w:cs="宋体"/>
                <w:sz w:val="24"/>
              </w:rPr>
            </w:pPr>
            <w:r>
              <w:rPr>
                <w:rFonts w:hint="eastAsia" w:ascii="宋体" w:hAnsi="宋体" w:cs="宋体"/>
                <w:kern w:val="0"/>
                <w:sz w:val="24"/>
                <w:lang w:bidi="ar"/>
              </w:rPr>
              <w:t>台</w:t>
            </w:r>
          </w:p>
        </w:tc>
        <w:tc>
          <w:tcPr>
            <w:tcW w:w="1046" w:type="dxa"/>
            <w:vAlign w:val="center"/>
          </w:tcPr>
          <w:p w14:paraId="3F550421">
            <w:pPr>
              <w:keepNext w:val="0"/>
              <w:keepLines w:val="0"/>
              <w:widowControl/>
              <w:suppressLineNumbers w:val="0"/>
              <w:spacing w:before="0" w:beforeAutospacing="0" w:after="0" w:afterAutospacing="0"/>
              <w:ind w:left="0" w:right="0"/>
              <w:jc w:val="center"/>
              <w:textAlignment w:val="center"/>
              <w:rPr>
                <w:rFonts w:hint="default" w:ascii="宋体" w:hAnsi="宋体" w:cs="宋体"/>
                <w:sz w:val="24"/>
              </w:rPr>
            </w:pPr>
            <w:r>
              <w:rPr>
                <w:rFonts w:hint="eastAsia" w:ascii="宋体" w:hAnsi="宋体" w:cs="宋体"/>
                <w:kern w:val="0"/>
                <w:sz w:val="24"/>
                <w:lang w:bidi="ar"/>
              </w:rPr>
              <w:t>5</w:t>
            </w:r>
          </w:p>
        </w:tc>
      </w:tr>
      <w:tr w14:paraId="762D0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92" w:type="dxa"/>
            <w:vAlign w:val="center"/>
          </w:tcPr>
          <w:p w14:paraId="5ED841BA">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105</w:t>
            </w:r>
          </w:p>
        </w:tc>
        <w:tc>
          <w:tcPr>
            <w:tcW w:w="2184" w:type="dxa"/>
            <w:gridSpan w:val="3"/>
            <w:vMerge w:val="continue"/>
            <w:vAlign w:val="center"/>
          </w:tcPr>
          <w:p w14:paraId="043C1014">
            <w:pPr>
              <w:keepNext w:val="0"/>
              <w:keepLines w:val="0"/>
              <w:suppressLineNumbers w:val="0"/>
              <w:spacing w:before="0" w:beforeAutospacing="0" w:after="0" w:afterAutospacing="0"/>
              <w:ind w:left="0" w:right="0"/>
              <w:jc w:val="center"/>
              <w:rPr>
                <w:rFonts w:hint="default" w:ascii="宋体" w:hAnsi="宋体" w:cs="宋体"/>
                <w:sz w:val="24"/>
              </w:rPr>
            </w:pPr>
          </w:p>
        </w:tc>
        <w:tc>
          <w:tcPr>
            <w:tcW w:w="1497" w:type="dxa"/>
            <w:vAlign w:val="center"/>
          </w:tcPr>
          <w:p w14:paraId="6E1BD5F9">
            <w:pPr>
              <w:keepNext w:val="0"/>
              <w:keepLines w:val="0"/>
              <w:widowControl/>
              <w:suppressLineNumbers w:val="0"/>
              <w:spacing w:before="0" w:beforeAutospacing="0" w:after="0" w:afterAutospacing="0"/>
              <w:ind w:left="0" w:right="0"/>
              <w:jc w:val="left"/>
              <w:textAlignment w:val="center"/>
              <w:rPr>
                <w:rFonts w:hint="default" w:ascii="宋体" w:hAnsi="宋体" w:cs="宋体"/>
                <w:sz w:val="24"/>
              </w:rPr>
            </w:pPr>
            <w:r>
              <w:rPr>
                <w:rFonts w:hint="eastAsia" w:ascii="宋体" w:hAnsi="宋体" w:cs="宋体"/>
                <w:kern w:val="0"/>
                <w:sz w:val="24"/>
                <w:lang w:bidi="ar"/>
              </w:rPr>
              <w:t>通用服务器（地理空间）</w:t>
            </w:r>
          </w:p>
        </w:tc>
        <w:tc>
          <w:tcPr>
            <w:tcW w:w="7457" w:type="dxa"/>
            <w:vAlign w:val="center"/>
          </w:tcPr>
          <w:p w14:paraId="5117E9CA">
            <w:pPr>
              <w:keepNext w:val="0"/>
              <w:keepLines w:val="0"/>
              <w:widowControl/>
              <w:suppressLineNumbers w:val="0"/>
              <w:spacing w:before="0" w:beforeAutospacing="0" w:after="0" w:afterAutospacing="0"/>
              <w:ind w:left="0" w:right="0"/>
              <w:jc w:val="left"/>
              <w:textAlignment w:val="center"/>
              <w:rPr>
                <w:rFonts w:hint="default" w:ascii="宋体" w:hAnsi="宋体" w:cs="宋体"/>
                <w:sz w:val="24"/>
              </w:rPr>
            </w:pPr>
            <w:r>
              <w:rPr>
                <w:rFonts w:hint="eastAsia" w:ascii="宋体" w:hAnsi="宋体" w:cs="宋体"/>
                <w:kern w:val="0"/>
                <w:sz w:val="24"/>
                <w:lang w:bidi="ar"/>
              </w:rPr>
              <w:t>CPU：≥16核，主频≥2.5 GHz，</w:t>
            </w:r>
            <w:r>
              <w:rPr>
                <w:rFonts w:hint="eastAsia" w:ascii="宋体" w:hAnsi="宋体" w:cs="宋体"/>
                <w:kern w:val="0"/>
                <w:sz w:val="24"/>
                <w:lang w:bidi="ar"/>
              </w:rPr>
              <w:br w:type="textWrapping"/>
            </w:r>
            <w:r>
              <w:rPr>
                <w:rFonts w:hint="eastAsia" w:ascii="宋体" w:hAnsi="宋体" w:cs="宋体"/>
                <w:kern w:val="0"/>
                <w:sz w:val="24"/>
                <w:lang w:bidi="ar"/>
              </w:rPr>
              <w:t>内存：≥32G DDR4，</w:t>
            </w:r>
            <w:r>
              <w:rPr>
                <w:rFonts w:hint="eastAsia" w:ascii="宋体" w:hAnsi="宋体" w:cs="宋体"/>
                <w:kern w:val="0"/>
                <w:sz w:val="24"/>
                <w:lang w:bidi="ar"/>
              </w:rPr>
              <w:br w:type="textWrapping"/>
            </w:r>
            <w:r>
              <w:rPr>
                <w:rFonts w:hint="eastAsia" w:ascii="宋体" w:hAnsi="宋体" w:cs="宋体"/>
                <w:kern w:val="0"/>
                <w:sz w:val="24"/>
                <w:lang w:bidi="ar"/>
              </w:rPr>
              <w:t>硬盘：≥2*2TB ；</w:t>
            </w:r>
            <w:r>
              <w:rPr>
                <w:rFonts w:hint="eastAsia" w:ascii="宋体" w:hAnsi="宋体" w:cs="宋体"/>
                <w:kern w:val="0"/>
                <w:sz w:val="24"/>
                <w:lang w:bidi="ar"/>
              </w:rPr>
              <w:br w:type="textWrapping"/>
            </w:r>
            <w:r>
              <w:rPr>
                <w:rFonts w:hint="eastAsia" w:ascii="宋体" w:hAnsi="宋体" w:cs="宋体"/>
                <w:kern w:val="0"/>
                <w:sz w:val="24"/>
                <w:lang w:bidi="ar"/>
              </w:rPr>
              <w:t>接口：≥4个千兆电口</w:t>
            </w:r>
          </w:p>
        </w:tc>
        <w:tc>
          <w:tcPr>
            <w:tcW w:w="1120" w:type="dxa"/>
            <w:vAlign w:val="center"/>
          </w:tcPr>
          <w:p w14:paraId="423C77D9">
            <w:pPr>
              <w:keepNext w:val="0"/>
              <w:keepLines w:val="0"/>
              <w:widowControl/>
              <w:suppressLineNumbers w:val="0"/>
              <w:spacing w:before="0" w:beforeAutospacing="0" w:after="0" w:afterAutospacing="0"/>
              <w:ind w:left="0" w:right="0"/>
              <w:jc w:val="center"/>
              <w:textAlignment w:val="center"/>
              <w:rPr>
                <w:rFonts w:hint="default" w:ascii="宋体" w:hAnsi="宋体" w:cs="宋体"/>
                <w:sz w:val="24"/>
              </w:rPr>
            </w:pPr>
            <w:r>
              <w:rPr>
                <w:rFonts w:hint="eastAsia" w:ascii="宋体" w:hAnsi="宋体" w:cs="宋体"/>
                <w:kern w:val="0"/>
                <w:sz w:val="24"/>
                <w:lang w:bidi="ar"/>
              </w:rPr>
              <w:t>台</w:t>
            </w:r>
          </w:p>
        </w:tc>
        <w:tc>
          <w:tcPr>
            <w:tcW w:w="1046" w:type="dxa"/>
            <w:vAlign w:val="center"/>
          </w:tcPr>
          <w:p w14:paraId="70F873AD">
            <w:pPr>
              <w:keepNext w:val="0"/>
              <w:keepLines w:val="0"/>
              <w:widowControl/>
              <w:suppressLineNumbers w:val="0"/>
              <w:spacing w:before="0" w:beforeAutospacing="0" w:after="0" w:afterAutospacing="0"/>
              <w:ind w:left="0" w:right="0"/>
              <w:jc w:val="center"/>
              <w:textAlignment w:val="center"/>
              <w:rPr>
                <w:rFonts w:hint="default" w:ascii="宋体" w:hAnsi="宋体" w:cs="宋体"/>
                <w:sz w:val="24"/>
              </w:rPr>
            </w:pPr>
            <w:r>
              <w:rPr>
                <w:rFonts w:hint="eastAsia" w:ascii="宋体" w:hAnsi="宋体" w:cs="宋体"/>
                <w:kern w:val="0"/>
                <w:sz w:val="24"/>
                <w:lang w:bidi="ar"/>
              </w:rPr>
              <w:t>2</w:t>
            </w:r>
          </w:p>
        </w:tc>
      </w:tr>
      <w:tr w14:paraId="51472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692" w:type="dxa"/>
            <w:vAlign w:val="center"/>
          </w:tcPr>
          <w:p w14:paraId="7F8D92EB">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106</w:t>
            </w:r>
          </w:p>
        </w:tc>
        <w:tc>
          <w:tcPr>
            <w:tcW w:w="2184" w:type="dxa"/>
            <w:gridSpan w:val="3"/>
            <w:vMerge w:val="continue"/>
            <w:vAlign w:val="center"/>
          </w:tcPr>
          <w:p w14:paraId="1170385A">
            <w:pPr>
              <w:keepNext w:val="0"/>
              <w:keepLines w:val="0"/>
              <w:suppressLineNumbers w:val="0"/>
              <w:spacing w:before="0" w:beforeAutospacing="0" w:after="0" w:afterAutospacing="0"/>
              <w:ind w:left="0" w:right="0"/>
              <w:jc w:val="center"/>
              <w:rPr>
                <w:rFonts w:hint="default" w:ascii="宋体" w:hAnsi="宋体" w:cs="宋体"/>
                <w:sz w:val="24"/>
              </w:rPr>
            </w:pPr>
          </w:p>
        </w:tc>
        <w:tc>
          <w:tcPr>
            <w:tcW w:w="1497" w:type="dxa"/>
            <w:vAlign w:val="center"/>
          </w:tcPr>
          <w:p w14:paraId="647E2854">
            <w:pPr>
              <w:keepNext w:val="0"/>
              <w:keepLines w:val="0"/>
              <w:widowControl/>
              <w:suppressLineNumbers w:val="0"/>
              <w:spacing w:before="0" w:beforeAutospacing="0" w:after="0" w:afterAutospacing="0"/>
              <w:ind w:left="0" w:right="0"/>
              <w:jc w:val="left"/>
              <w:textAlignment w:val="center"/>
              <w:rPr>
                <w:rFonts w:hint="default" w:ascii="宋体" w:hAnsi="宋体" w:cs="宋体"/>
                <w:sz w:val="24"/>
              </w:rPr>
            </w:pPr>
            <w:r>
              <w:rPr>
                <w:rFonts w:hint="eastAsia" w:ascii="宋体" w:hAnsi="宋体" w:cs="宋体"/>
                <w:kern w:val="0"/>
                <w:sz w:val="24"/>
                <w:lang w:bidi="ar"/>
              </w:rPr>
              <w:t>操作系统</w:t>
            </w:r>
          </w:p>
        </w:tc>
        <w:tc>
          <w:tcPr>
            <w:tcW w:w="7457" w:type="dxa"/>
            <w:vAlign w:val="center"/>
          </w:tcPr>
          <w:p w14:paraId="6FDEF416">
            <w:pPr>
              <w:keepNext w:val="0"/>
              <w:keepLines w:val="0"/>
              <w:widowControl/>
              <w:suppressLineNumbers w:val="0"/>
              <w:spacing w:before="0" w:beforeAutospacing="0" w:after="0" w:afterAutospacing="0"/>
              <w:ind w:left="0" w:right="0"/>
              <w:jc w:val="left"/>
              <w:textAlignment w:val="center"/>
              <w:rPr>
                <w:rFonts w:hint="default" w:ascii="宋体" w:hAnsi="宋体" w:cs="宋体"/>
                <w:sz w:val="24"/>
              </w:rPr>
            </w:pPr>
            <w:r>
              <w:rPr>
                <w:rFonts w:hint="eastAsia" w:ascii="宋体" w:hAnsi="宋体" w:cs="宋体"/>
                <w:kern w:val="0"/>
                <w:sz w:val="24"/>
                <w:lang w:bidi="ar"/>
              </w:rPr>
              <w:t>国产化操作系统</w:t>
            </w:r>
          </w:p>
        </w:tc>
        <w:tc>
          <w:tcPr>
            <w:tcW w:w="1120" w:type="dxa"/>
            <w:vAlign w:val="center"/>
          </w:tcPr>
          <w:p w14:paraId="1353645E">
            <w:pPr>
              <w:keepNext w:val="0"/>
              <w:keepLines w:val="0"/>
              <w:widowControl/>
              <w:suppressLineNumbers w:val="0"/>
              <w:spacing w:before="0" w:beforeAutospacing="0" w:after="0" w:afterAutospacing="0"/>
              <w:ind w:left="0" w:right="0"/>
              <w:jc w:val="center"/>
              <w:textAlignment w:val="center"/>
              <w:rPr>
                <w:rFonts w:hint="default" w:ascii="宋体" w:hAnsi="宋体" w:cs="宋体"/>
                <w:sz w:val="24"/>
              </w:rPr>
            </w:pPr>
            <w:r>
              <w:rPr>
                <w:rFonts w:hint="eastAsia" w:ascii="宋体" w:hAnsi="宋体" w:cs="宋体"/>
                <w:sz w:val="24"/>
              </w:rPr>
              <w:t>套</w:t>
            </w:r>
          </w:p>
        </w:tc>
        <w:tc>
          <w:tcPr>
            <w:tcW w:w="1046" w:type="dxa"/>
            <w:vAlign w:val="center"/>
          </w:tcPr>
          <w:p w14:paraId="438356C5">
            <w:pPr>
              <w:keepNext w:val="0"/>
              <w:keepLines w:val="0"/>
              <w:widowControl/>
              <w:suppressLineNumbers w:val="0"/>
              <w:spacing w:before="0" w:beforeAutospacing="0" w:after="0" w:afterAutospacing="0"/>
              <w:ind w:left="0" w:right="0"/>
              <w:jc w:val="center"/>
              <w:textAlignment w:val="center"/>
              <w:rPr>
                <w:rFonts w:hint="default" w:ascii="宋体" w:hAnsi="宋体" w:cs="宋体"/>
                <w:sz w:val="24"/>
              </w:rPr>
            </w:pPr>
            <w:r>
              <w:rPr>
                <w:rFonts w:hint="eastAsia" w:ascii="宋体" w:hAnsi="宋体" w:cs="宋体"/>
                <w:kern w:val="0"/>
                <w:sz w:val="24"/>
                <w:lang w:bidi="ar"/>
              </w:rPr>
              <w:t>7</w:t>
            </w:r>
          </w:p>
        </w:tc>
      </w:tr>
      <w:tr w14:paraId="785F3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692" w:type="dxa"/>
            <w:vAlign w:val="center"/>
          </w:tcPr>
          <w:p w14:paraId="7C0B338D">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107</w:t>
            </w:r>
          </w:p>
        </w:tc>
        <w:tc>
          <w:tcPr>
            <w:tcW w:w="2184" w:type="dxa"/>
            <w:gridSpan w:val="3"/>
            <w:vMerge w:val="continue"/>
            <w:vAlign w:val="center"/>
          </w:tcPr>
          <w:p w14:paraId="4751FB82">
            <w:pPr>
              <w:keepNext w:val="0"/>
              <w:keepLines w:val="0"/>
              <w:suppressLineNumbers w:val="0"/>
              <w:spacing w:before="0" w:beforeAutospacing="0" w:after="0" w:afterAutospacing="0"/>
              <w:ind w:left="0" w:right="0"/>
              <w:jc w:val="center"/>
              <w:rPr>
                <w:rFonts w:hint="default" w:ascii="宋体" w:hAnsi="宋体" w:cs="宋体"/>
                <w:sz w:val="24"/>
              </w:rPr>
            </w:pPr>
          </w:p>
        </w:tc>
        <w:tc>
          <w:tcPr>
            <w:tcW w:w="1497" w:type="dxa"/>
            <w:vAlign w:val="center"/>
          </w:tcPr>
          <w:p w14:paraId="1616EDCB">
            <w:pPr>
              <w:keepNext w:val="0"/>
              <w:keepLines w:val="0"/>
              <w:widowControl/>
              <w:suppressLineNumbers w:val="0"/>
              <w:spacing w:before="0" w:beforeAutospacing="0" w:after="0" w:afterAutospacing="0"/>
              <w:ind w:left="0" w:right="0"/>
              <w:jc w:val="left"/>
              <w:textAlignment w:val="center"/>
              <w:rPr>
                <w:rFonts w:hint="default" w:ascii="宋体" w:hAnsi="宋体" w:cs="宋体"/>
                <w:sz w:val="24"/>
              </w:rPr>
            </w:pPr>
            <w:r>
              <w:rPr>
                <w:rFonts w:hint="eastAsia" w:ascii="宋体" w:hAnsi="宋体" w:cs="宋体"/>
                <w:kern w:val="0"/>
                <w:sz w:val="24"/>
                <w:lang w:bidi="ar"/>
              </w:rPr>
              <w:t>数据库</w:t>
            </w:r>
          </w:p>
        </w:tc>
        <w:tc>
          <w:tcPr>
            <w:tcW w:w="7457" w:type="dxa"/>
            <w:vAlign w:val="center"/>
          </w:tcPr>
          <w:p w14:paraId="759E7B41">
            <w:pPr>
              <w:keepNext w:val="0"/>
              <w:keepLines w:val="0"/>
              <w:widowControl/>
              <w:suppressLineNumbers w:val="0"/>
              <w:spacing w:before="0" w:beforeAutospacing="0" w:after="0" w:afterAutospacing="0"/>
              <w:ind w:left="0" w:right="0"/>
              <w:jc w:val="left"/>
              <w:textAlignment w:val="center"/>
              <w:rPr>
                <w:rFonts w:hint="default" w:ascii="宋体" w:hAnsi="宋体" w:cs="宋体"/>
                <w:sz w:val="24"/>
              </w:rPr>
            </w:pPr>
            <w:r>
              <w:rPr>
                <w:rFonts w:hint="eastAsia" w:ascii="宋体" w:hAnsi="宋体" w:cs="宋体"/>
                <w:kern w:val="0"/>
                <w:sz w:val="24"/>
                <w:lang w:bidi="ar"/>
              </w:rPr>
              <w:t>国产化数据库软件</w:t>
            </w:r>
          </w:p>
        </w:tc>
        <w:tc>
          <w:tcPr>
            <w:tcW w:w="1120" w:type="dxa"/>
            <w:vAlign w:val="center"/>
          </w:tcPr>
          <w:p w14:paraId="60CE4D9D">
            <w:pPr>
              <w:keepNext w:val="0"/>
              <w:keepLines w:val="0"/>
              <w:widowControl/>
              <w:suppressLineNumbers w:val="0"/>
              <w:spacing w:before="0" w:beforeAutospacing="0" w:after="0" w:afterAutospacing="0"/>
              <w:ind w:left="0" w:right="0"/>
              <w:jc w:val="center"/>
              <w:textAlignment w:val="center"/>
              <w:rPr>
                <w:rFonts w:hint="default" w:ascii="宋体" w:hAnsi="宋体" w:cs="宋体"/>
                <w:sz w:val="24"/>
              </w:rPr>
            </w:pPr>
            <w:r>
              <w:rPr>
                <w:rFonts w:hint="eastAsia" w:ascii="宋体" w:hAnsi="宋体" w:cs="宋体"/>
                <w:kern w:val="0"/>
                <w:sz w:val="24"/>
                <w:lang w:bidi="ar"/>
              </w:rPr>
              <w:t>套</w:t>
            </w:r>
          </w:p>
        </w:tc>
        <w:tc>
          <w:tcPr>
            <w:tcW w:w="1046" w:type="dxa"/>
            <w:vAlign w:val="center"/>
          </w:tcPr>
          <w:p w14:paraId="71344AD1">
            <w:pPr>
              <w:keepNext w:val="0"/>
              <w:keepLines w:val="0"/>
              <w:widowControl/>
              <w:suppressLineNumbers w:val="0"/>
              <w:spacing w:before="0" w:beforeAutospacing="0" w:after="0" w:afterAutospacing="0"/>
              <w:ind w:left="0" w:right="0"/>
              <w:jc w:val="center"/>
              <w:textAlignment w:val="center"/>
              <w:rPr>
                <w:rFonts w:hint="default" w:ascii="宋体" w:hAnsi="宋体" w:cs="宋体"/>
                <w:sz w:val="24"/>
              </w:rPr>
            </w:pPr>
            <w:r>
              <w:rPr>
                <w:rFonts w:hint="eastAsia" w:ascii="宋体" w:hAnsi="宋体" w:cs="宋体"/>
                <w:kern w:val="0"/>
                <w:sz w:val="24"/>
                <w:lang w:bidi="ar"/>
              </w:rPr>
              <w:t>1</w:t>
            </w:r>
          </w:p>
        </w:tc>
      </w:tr>
      <w:tr w14:paraId="70E90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692" w:type="dxa"/>
            <w:vAlign w:val="center"/>
          </w:tcPr>
          <w:p w14:paraId="47E42D72">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108</w:t>
            </w:r>
          </w:p>
        </w:tc>
        <w:tc>
          <w:tcPr>
            <w:tcW w:w="2184" w:type="dxa"/>
            <w:gridSpan w:val="3"/>
            <w:vMerge w:val="continue"/>
            <w:vAlign w:val="center"/>
          </w:tcPr>
          <w:p w14:paraId="0F1E6799">
            <w:pPr>
              <w:keepNext w:val="0"/>
              <w:keepLines w:val="0"/>
              <w:suppressLineNumbers w:val="0"/>
              <w:spacing w:before="0" w:beforeAutospacing="0" w:after="0" w:afterAutospacing="0"/>
              <w:ind w:left="0" w:right="0"/>
              <w:jc w:val="center"/>
              <w:rPr>
                <w:rFonts w:hint="default" w:ascii="宋体" w:hAnsi="宋体" w:cs="宋体"/>
                <w:sz w:val="24"/>
              </w:rPr>
            </w:pPr>
          </w:p>
        </w:tc>
        <w:tc>
          <w:tcPr>
            <w:tcW w:w="1497" w:type="dxa"/>
            <w:vAlign w:val="center"/>
          </w:tcPr>
          <w:p w14:paraId="138FB006">
            <w:pPr>
              <w:keepNext w:val="0"/>
              <w:keepLines w:val="0"/>
              <w:widowControl/>
              <w:suppressLineNumbers w:val="0"/>
              <w:spacing w:before="0" w:beforeAutospacing="0" w:after="0" w:afterAutospacing="0"/>
              <w:ind w:left="0" w:right="0"/>
              <w:jc w:val="left"/>
              <w:textAlignment w:val="center"/>
              <w:rPr>
                <w:rFonts w:hint="default" w:ascii="宋体" w:hAnsi="宋体" w:cs="宋体"/>
                <w:sz w:val="24"/>
              </w:rPr>
            </w:pPr>
            <w:r>
              <w:rPr>
                <w:rFonts w:hint="eastAsia" w:ascii="宋体" w:hAnsi="宋体" w:cs="宋体"/>
                <w:kern w:val="0"/>
                <w:sz w:val="24"/>
                <w:lang w:bidi="ar"/>
              </w:rPr>
              <w:t>中间件</w:t>
            </w:r>
          </w:p>
        </w:tc>
        <w:tc>
          <w:tcPr>
            <w:tcW w:w="7457" w:type="dxa"/>
            <w:vAlign w:val="center"/>
          </w:tcPr>
          <w:p w14:paraId="2D8CABAB">
            <w:pPr>
              <w:keepNext w:val="0"/>
              <w:keepLines w:val="0"/>
              <w:widowControl/>
              <w:suppressLineNumbers w:val="0"/>
              <w:spacing w:before="0" w:beforeAutospacing="0" w:after="0" w:afterAutospacing="0"/>
              <w:ind w:left="0" w:right="0"/>
              <w:jc w:val="left"/>
              <w:textAlignment w:val="center"/>
              <w:rPr>
                <w:rFonts w:hint="default" w:ascii="宋体" w:hAnsi="宋体" w:cs="宋体"/>
                <w:sz w:val="24"/>
              </w:rPr>
            </w:pPr>
            <w:r>
              <w:rPr>
                <w:rFonts w:hint="eastAsia" w:ascii="宋体" w:hAnsi="宋体" w:cs="宋体"/>
                <w:kern w:val="0"/>
                <w:sz w:val="24"/>
                <w:lang w:bidi="ar"/>
              </w:rPr>
              <w:t>国产化中间件</w:t>
            </w:r>
          </w:p>
        </w:tc>
        <w:tc>
          <w:tcPr>
            <w:tcW w:w="1120" w:type="dxa"/>
            <w:vAlign w:val="center"/>
          </w:tcPr>
          <w:p w14:paraId="51DD6511">
            <w:pPr>
              <w:keepNext w:val="0"/>
              <w:keepLines w:val="0"/>
              <w:widowControl/>
              <w:suppressLineNumbers w:val="0"/>
              <w:spacing w:before="0" w:beforeAutospacing="0" w:after="0" w:afterAutospacing="0"/>
              <w:ind w:left="0" w:right="0"/>
              <w:jc w:val="center"/>
              <w:textAlignment w:val="center"/>
              <w:rPr>
                <w:rFonts w:hint="default" w:ascii="宋体" w:hAnsi="宋体" w:cs="宋体"/>
                <w:sz w:val="24"/>
              </w:rPr>
            </w:pPr>
            <w:r>
              <w:rPr>
                <w:rFonts w:hint="eastAsia" w:ascii="宋体" w:hAnsi="宋体" w:cs="宋体"/>
                <w:kern w:val="0"/>
                <w:sz w:val="24"/>
                <w:lang w:bidi="ar"/>
              </w:rPr>
              <w:t>套</w:t>
            </w:r>
          </w:p>
        </w:tc>
        <w:tc>
          <w:tcPr>
            <w:tcW w:w="1046" w:type="dxa"/>
            <w:vAlign w:val="center"/>
          </w:tcPr>
          <w:p w14:paraId="4C166456">
            <w:pPr>
              <w:keepNext w:val="0"/>
              <w:keepLines w:val="0"/>
              <w:widowControl/>
              <w:suppressLineNumbers w:val="0"/>
              <w:spacing w:before="0" w:beforeAutospacing="0" w:after="0" w:afterAutospacing="0"/>
              <w:ind w:left="0" w:right="0"/>
              <w:jc w:val="center"/>
              <w:textAlignment w:val="center"/>
              <w:rPr>
                <w:rFonts w:hint="default" w:ascii="宋体" w:hAnsi="宋体" w:cs="宋体"/>
                <w:sz w:val="24"/>
              </w:rPr>
            </w:pPr>
            <w:r>
              <w:rPr>
                <w:rFonts w:hint="eastAsia" w:ascii="宋体" w:hAnsi="宋体" w:cs="宋体"/>
                <w:kern w:val="0"/>
                <w:sz w:val="24"/>
                <w:lang w:bidi="ar"/>
              </w:rPr>
              <w:t>1</w:t>
            </w:r>
          </w:p>
        </w:tc>
      </w:tr>
      <w:tr w14:paraId="1BD09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3996" w:type="dxa"/>
            <w:gridSpan w:val="8"/>
            <w:vAlign w:val="center"/>
          </w:tcPr>
          <w:p w14:paraId="6CCD2434">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000000"/>
                <w:sz w:val="24"/>
              </w:rPr>
            </w:pPr>
            <w:r>
              <w:rPr>
                <w:rFonts w:hint="eastAsia" w:ascii="宋体" w:hAnsi="宋体" w:cs="宋体"/>
                <w:b/>
                <w:bCs/>
                <w:color w:val="000000"/>
                <w:kern w:val="0"/>
                <w:sz w:val="24"/>
                <w:lang w:val="en-US" w:eastAsia="zh-CN" w:bidi="ar"/>
              </w:rPr>
              <w:t>七</w:t>
            </w:r>
            <w:r>
              <w:rPr>
                <w:rFonts w:hint="eastAsia" w:ascii="宋体" w:hAnsi="宋体" w:cs="宋体"/>
                <w:b/>
                <w:bCs/>
                <w:color w:val="000000"/>
                <w:kern w:val="0"/>
                <w:sz w:val="24"/>
                <w:lang w:bidi="ar"/>
              </w:rPr>
              <w:t>、基础设施--云安全服务租赁</w:t>
            </w:r>
          </w:p>
        </w:tc>
      </w:tr>
      <w:tr w14:paraId="07EB1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692" w:type="dxa"/>
            <w:vAlign w:val="center"/>
          </w:tcPr>
          <w:p w14:paraId="146EDB76">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000000"/>
                <w:sz w:val="24"/>
              </w:rPr>
            </w:pPr>
            <w:r>
              <w:rPr>
                <w:rFonts w:hint="eastAsia" w:ascii="宋体" w:hAnsi="宋体" w:cs="宋体"/>
                <w:b/>
                <w:bCs/>
                <w:color w:val="000000"/>
                <w:kern w:val="0"/>
                <w:sz w:val="24"/>
                <w:lang w:bidi="ar"/>
              </w:rPr>
              <w:t>序号</w:t>
            </w:r>
          </w:p>
        </w:tc>
        <w:tc>
          <w:tcPr>
            <w:tcW w:w="2184" w:type="dxa"/>
            <w:gridSpan w:val="3"/>
            <w:vAlign w:val="center"/>
          </w:tcPr>
          <w:p w14:paraId="7B662E19">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000000"/>
                <w:sz w:val="24"/>
              </w:rPr>
            </w:pPr>
            <w:r>
              <w:rPr>
                <w:rFonts w:hint="eastAsia" w:ascii="宋体" w:hAnsi="宋体" w:cs="宋体"/>
                <w:b/>
                <w:bCs/>
                <w:color w:val="000000"/>
                <w:kern w:val="0"/>
                <w:sz w:val="24"/>
                <w:lang w:bidi="ar"/>
              </w:rPr>
              <w:t>设备类型</w:t>
            </w:r>
          </w:p>
        </w:tc>
        <w:tc>
          <w:tcPr>
            <w:tcW w:w="1497" w:type="dxa"/>
            <w:vAlign w:val="center"/>
          </w:tcPr>
          <w:p w14:paraId="456F9176">
            <w:pPr>
              <w:keepNext w:val="0"/>
              <w:keepLines w:val="0"/>
              <w:widowControl/>
              <w:suppressLineNumbers w:val="0"/>
              <w:spacing w:before="0" w:beforeAutospacing="0" w:after="0" w:afterAutospacing="0"/>
              <w:ind w:left="0" w:right="0"/>
              <w:jc w:val="left"/>
              <w:textAlignment w:val="center"/>
              <w:rPr>
                <w:rFonts w:hint="default" w:ascii="宋体" w:hAnsi="宋体" w:cs="宋体"/>
                <w:b/>
                <w:bCs/>
                <w:color w:val="000000"/>
                <w:sz w:val="24"/>
              </w:rPr>
            </w:pPr>
            <w:r>
              <w:rPr>
                <w:rFonts w:hint="eastAsia" w:ascii="宋体" w:hAnsi="宋体" w:cs="宋体"/>
                <w:b/>
                <w:bCs/>
                <w:color w:val="000000"/>
                <w:kern w:val="0"/>
                <w:sz w:val="24"/>
                <w:lang w:bidi="ar"/>
              </w:rPr>
              <w:t>设备名称</w:t>
            </w:r>
          </w:p>
        </w:tc>
        <w:tc>
          <w:tcPr>
            <w:tcW w:w="7457" w:type="dxa"/>
            <w:vAlign w:val="center"/>
          </w:tcPr>
          <w:p w14:paraId="6B650F5C">
            <w:pPr>
              <w:keepNext w:val="0"/>
              <w:keepLines w:val="0"/>
              <w:widowControl/>
              <w:suppressLineNumbers w:val="0"/>
              <w:spacing w:before="0" w:beforeAutospacing="0" w:after="0" w:afterAutospacing="0"/>
              <w:ind w:left="0" w:right="0"/>
              <w:jc w:val="left"/>
              <w:textAlignment w:val="center"/>
              <w:rPr>
                <w:rFonts w:hint="default" w:ascii="宋体" w:hAnsi="宋体" w:cs="宋体"/>
                <w:b/>
                <w:bCs/>
                <w:color w:val="000000"/>
                <w:sz w:val="24"/>
              </w:rPr>
            </w:pPr>
            <w:r>
              <w:rPr>
                <w:rFonts w:hint="eastAsia" w:ascii="宋体" w:hAnsi="宋体" w:cs="宋体"/>
                <w:b/>
                <w:bCs/>
                <w:color w:val="000000"/>
                <w:kern w:val="0"/>
                <w:sz w:val="24"/>
                <w:lang w:bidi="ar"/>
              </w:rPr>
              <w:t>配置要求</w:t>
            </w:r>
          </w:p>
        </w:tc>
        <w:tc>
          <w:tcPr>
            <w:tcW w:w="1120" w:type="dxa"/>
            <w:vAlign w:val="center"/>
          </w:tcPr>
          <w:p w14:paraId="115817B2">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000000"/>
                <w:sz w:val="24"/>
              </w:rPr>
            </w:pPr>
            <w:r>
              <w:rPr>
                <w:rFonts w:hint="eastAsia" w:ascii="宋体" w:hAnsi="宋体" w:cs="宋体"/>
                <w:b/>
                <w:bCs/>
                <w:color w:val="000000"/>
                <w:kern w:val="0"/>
                <w:sz w:val="24"/>
                <w:lang w:bidi="ar"/>
              </w:rPr>
              <w:t>单位</w:t>
            </w:r>
          </w:p>
        </w:tc>
        <w:tc>
          <w:tcPr>
            <w:tcW w:w="1046" w:type="dxa"/>
            <w:vAlign w:val="center"/>
          </w:tcPr>
          <w:p w14:paraId="77504E92">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000000"/>
                <w:sz w:val="24"/>
              </w:rPr>
            </w:pPr>
            <w:r>
              <w:rPr>
                <w:rFonts w:hint="eastAsia" w:ascii="宋体" w:hAnsi="宋体" w:cs="宋体"/>
                <w:b/>
                <w:bCs/>
                <w:color w:val="000000"/>
                <w:kern w:val="0"/>
                <w:sz w:val="24"/>
                <w:lang w:bidi="ar"/>
              </w:rPr>
              <w:t>数量</w:t>
            </w:r>
          </w:p>
        </w:tc>
      </w:tr>
      <w:tr w14:paraId="6FC2B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92" w:type="dxa"/>
            <w:vAlign w:val="center"/>
          </w:tcPr>
          <w:p w14:paraId="1A6166F9">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109</w:t>
            </w:r>
          </w:p>
        </w:tc>
        <w:tc>
          <w:tcPr>
            <w:tcW w:w="2184" w:type="dxa"/>
            <w:gridSpan w:val="3"/>
            <w:vMerge w:val="restart"/>
            <w:vAlign w:val="center"/>
          </w:tcPr>
          <w:p w14:paraId="4AB926EE">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安全防护</w:t>
            </w:r>
          </w:p>
        </w:tc>
        <w:tc>
          <w:tcPr>
            <w:tcW w:w="1497" w:type="dxa"/>
            <w:vAlign w:val="center"/>
          </w:tcPr>
          <w:p w14:paraId="136CB996">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防火墙</w:t>
            </w:r>
          </w:p>
        </w:tc>
        <w:tc>
          <w:tcPr>
            <w:tcW w:w="7457" w:type="dxa"/>
            <w:vAlign w:val="center"/>
          </w:tcPr>
          <w:p w14:paraId="256FCF6C">
            <w:pPr>
              <w:keepNext w:val="0"/>
              <w:keepLines w:val="0"/>
              <w:widowControl/>
              <w:suppressLineNumbers w:val="0"/>
              <w:spacing w:before="0" w:beforeAutospacing="0" w:after="12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提供细粒度的访问控制功能，实现粒度包括：源／目的IP，源端口，源／目的区域，用户（组），应用/服务类型，时间组的细化控制等方式。</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支持IPv4／v6 NAT地址转换，支持源目的地址转换，目的地址转换和双向地址转换，支持针对源IP或者目的IP进行连接数控制；</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支持基于应用类型，网站类型，文件类型进行带宽分配和流量控制；防火墙ACL的应用可以应用于防火墙端口的进出流量，也可以应用于不同的域间。</w:t>
            </w:r>
          </w:p>
        </w:tc>
        <w:tc>
          <w:tcPr>
            <w:tcW w:w="1120" w:type="dxa"/>
            <w:vAlign w:val="center"/>
          </w:tcPr>
          <w:p w14:paraId="57B7BB2A">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套</w:t>
            </w:r>
          </w:p>
        </w:tc>
        <w:tc>
          <w:tcPr>
            <w:tcW w:w="1046" w:type="dxa"/>
            <w:vAlign w:val="center"/>
          </w:tcPr>
          <w:p w14:paraId="16E5EE7F">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2</w:t>
            </w:r>
          </w:p>
        </w:tc>
      </w:tr>
      <w:tr w14:paraId="68A19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2" w:type="dxa"/>
            <w:vAlign w:val="center"/>
          </w:tcPr>
          <w:p w14:paraId="21C16CF3">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110</w:t>
            </w:r>
          </w:p>
        </w:tc>
        <w:tc>
          <w:tcPr>
            <w:tcW w:w="2184" w:type="dxa"/>
            <w:gridSpan w:val="3"/>
            <w:vMerge w:val="continue"/>
            <w:vAlign w:val="center"/>
          </w:tcPr>
          <w:p w14:paraId="43C88436">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1497" w:type="dxa"/>
            <w:vAlign w:val="center"/>
          </w:tcPr>
          <w:p w14:paraId="7866449D">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防病毒网关</w:t>
            </w:r>
          </w:p>
        </w:tc>
        <w:tc>
          <w:tcPr>
            <w:tcW w:w="7457" w:type="dxa"/>
            <w:vAlign w:val="center"/>
          </w:tcPr>
          <w:p w14:paraId="74E15172">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支持病毒杀除、关键字过滤(如色情、反动)、垃圾邮件阻止的功能，同时部分设备也具有一定防火墙(划分Vlan)</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检测进出网络内部的数据，对HTTP、FTP、SMTP、IMAP四种协议的数据进行病毒扫描，一旦发现病毒就会采取相应的手段进行隔离或查杀</w:t>
            </w:r>
          </w:p>
        </w:tc>
        <w:tc>
          <w:tcPr>
            <w:tcW w:w="1120" w:type="dxa"/>
            <w:vAlign w:val="center"/>
          </w:tcPr>
          <w:p w14:paraId="2DFC42FE">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套</w:t>
            </w:r>
          </w:p>
        </w:tc>
        <w:tc>
          <w:tcPr>
            <w:tcW w:w="1046" w:type="dxa"/>
            <w:vAlign w:val="center"/>
          </w:tcPr>
          <w:p w14:paraId="40699D63">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w:t>
            </w:r>
          </w:p>
        </w:tc>
      </w:tr>
      <w:tr w14:paraId="4A406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92" w:type="dxa"/>
            <w:vAlign w:val="center"/>
          </w:tcPr>
          <w:p w14:paraId="08EADA58">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111</w:t>
            </w:r>
          </w:p>
        </w:tc>
        <w:tc>
          <w:tcPr>
            <w:tcW w:w="2184" w:type="dxa"/>
            <w:gridSpan w:val="3"/>
            <w:vMerge w:val="continue"/>
            <w:vAlign w:val="center"/>
          </w:tcPr>
          <w:p w14:paraId="46BD00D0">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1497" w:type="dxa"/>
            <w:vAlign w:val="center"/>
          </w:tcPr>
          <w:p w14:paraId="646B2398">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入侵防御/检测系统</w:t>
            </w:r>
          </w:p>
        </w:tc>
        <w:tc>
          <w:tcPr>
            <w:tcW w:w="7457" w:type="dxa"/>
            <w:vAlign w:val="center"/>
          </w:tcPr>
          <w:p w14:paraId="0C00F922">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1、支持对网络流量的深层次分析，及时准确发现各类入侵攻击行为，并执行实时精确阻断，主动而高效的保护用户网络安全</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2、支持对漏洞攻击、蠕虫病毒、间谍软件、木马后门、溢出攻击、数据库攻击、高级威胁攻击、暴力破解等多种深层攻击行为进行防御</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3、支持在关键网络节点处检测、防止或限制从外部发起的网络攻击行为；</w:t>
            </w:r>
          </w:p>
        </w:tc>
        <w:tc>
          <w:tcPr>
            <w:tcW w:w="1120" w:type="dxa"/>
            <w:vAlign w:val="center"/>
          </w:tcPr>
          <w:p w14:paraId="1261D9E0">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套</w:t>
            </w:r>
          </w:p>
        </w:tc>
        <w:tc>
          <w:tcPr>
            <w:tcW w:w="1046" w:type="dxa"/>
            <w:vAlign w:val="center"/>
          </w:tcPr>
          <w:p w14:paraId="393F507D">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w:t>
            </w:r>
          </w:p>
        </w:tc>
      </w:tr>
      <w:tr w14:paraId="4EF4E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2" w:type="dxa"/>
            <w:vAlign w:val="center"/>
          </w:tcPr>
          <w:p w14:paraId="6EA3CF51">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112</w:t>
            </w:r>
          </w:p>
        </w:tc>
        <w:tc>
          <w:tcPr>
            <w:tcW w:w="2184" w:type="dxa"/>
            <w:gridSpan w:val="3"/>
            <w:vMerge w:val="continue"/>
            <w:vAlign w:val="center"/>
          </w:tcPr>
          <w:p w14:paraId="2D996EF1">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1497" w:type="dxa"/>
            <w:vAlign w:val="center"/>
          </w:tcPr>
          <w:p w14:paraId="18ECBD77">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堡垒机</w:t>
            </w:r>
          </w:p>
        </w:tc>
        <w:tc>
          <w:tcPr>
            <w:tcW w:w="7457" w:type="dxa"/>
            <w:vAlign w:val="center"/>
          </w:tcPr>
          <w:p w14:paraId="4DEE1492">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将所有网络设备、安全设备等IT组件的管理运维端口，通过策略路由的方式，交由云堡垒主机代理。实现运维单点登录，统一身份认证、统一访问授权、统一审计管理，并对运维操作进行审计记录（录屏和键盘操作记录），并通过堡垒机实现对运维角色与权限的划分，分为系统管理员、审计管理员、安全管理员等。</w:t>
            </w:r>
          </w:p>
        </w:tc>
        <w:tc>
          <w:tcPr>
            <w:tcW w:w="1120" w:type="dxa"/>
            <w:vAlign w:val="center"/>
          </w:tcPr>
          <w:p w14:paraId="4B53869B">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项</w:t>
            </w:r>
          </w:p>
        </w:tc>
        <w:tc>
          <w:tcPr>
            <w:tcW w:w="1046" w:type="dxa"/>
            <w:vAlign w:val="center"/>
          </w:tcPr>
          <w:p w14:paraId="6FBD6494">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w:t>
            </w:r>
          </w:p>
        </w:tc>
      </w:tr>
      <w:tr w14:paraId="71680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92" w:type="dxa"/>
            <w:vAlign w:val="center"/>
          </w:tcPr>
          <w:p w14:paraId="0D37F4D0">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113</w:t>
            </w:r>
          </w:p>
        </w:tc>
        <w:tc>
          <w:tcPr>
            <w:tcW w:w="2184" w:type="dxa"/>
            <w:gridSpan w:val="3"/>
            <w:vMerge w:val="continue"/>
            <w:vAlign w:val="center"/>
          </w:tcPr>
          <w:p w14:paraId="70396BF4">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1497" w:type="dxa"/>
            <w:vAlign w:val="center"/>
          </w:tcPr>
          <w:p w14:paraId="4294D2F7">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综合日志审计系统</w:t>
            </w:r>
          </w:p>
        </w:tc>
        <w:tc>
          <w:tcPr>
            <w:tcW w:w="7457" w:type="dxa"/>
            <w:vAlign w:val="center"/>
          </w:tcPr>
          <w:p w14:paraId="201BA7A2">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日志分析管理系统通过监测及采集信息系统中的系统安全事件、用户访问行为、系统运行日志、系统运行状态等各类信息，经过规范化、过滤、归并和告警分析等处理后，以统一格式的日志形式进行集中存储和管理，同时保留原始的日志信息和日志格式，以便事后分析取证用，结合丰富的日志分析综合显示功能，实现对信息系统整体安全状况的全面管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系统针对信息安全事件的“可发现”、“可处理”、“可审计”、“可度量”四大目标进行规划和设计，提供众多基于日志分析功能，如安全日志的集中采集、分析挖掘、合规审计、实时监控、日志二次转发及安全告警等，能够同时满足企业审计合规需求及实际运维分析需求，及时有效的发现异常及违规事件。</w:t>
            </w:r>
          </w:p>
        </w:tc>
        <w:tc>
          <w:tcPr>
            <w:tcW w:w="1120" w:type="dxa"/>
            <w:vAlign w:val="center"/>
          </w:tcPr>
          <w:p w14:paraId="2D28AAAD">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项</w:t>
            </w:r>
          </w:p>
        </w:tc>
        <w:tc>
          <w:tcPr>
            <w:tcW w:w="1046" w:type="dxa"/>
            <w:vAlign w:val="center"/>
          </w:tcPr>
          <w:p w14:paraId="3D7ACDBB">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w:t>
            </w:r>
          </w:p>
        </w:tc>
      </w:tr>
      <w:tr w14:paraId="7C7E4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692" w:type="dxa"/>
            <w:vAlign w:val="center"/>
          </w:tcPr>
          <w:p w14:paraId="51067265">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114</w:t>
            </w:r>
          </w:p>
        </w:tc>
        <w:tc>
          <w:tcPr>
            <w:tcW w:w="2184" w:type="dxa"/>
            <w:gridSpan w:val="3"/>
            <w:vMerge w:val="continue"/>
            <w:vAlign w:val="center"/>
          </w:tcPr>
          <w:p w14:paraId="3025DAA6">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1497" w:type="dxa"/>
            <w:vAlign w:val="center"/>
          </w:tcPr>
          <w:p w14:paraId="35488776">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WEB应用防护</w:t>
            </w:r>
          </w:p>
        </w:tc>
        <w:tc>
          <w:tcPr>
            <w:tcW w:w="7457" w:type="dxa"/>
            <w:vAlign w:val="center"/>
          </w:tcPr>
          <w:p w14:paraId="2C80C38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攻击防护：WAF能够检测和阻止各种类型的Web应用程序攻击，如SQL注入、跨站脚本攻击（XSS）、跨站请求伪造（CSRF）等。它通过分析HTTP请求和响应，识别恶意行为并阻止攻击者对Web应用程序的入侵。</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恶意流量过滤：WAF可以过滤掉恶意流量，包括恶意爬虫、扫描器、僵尸网络等。它通过识别异常的请求模式和行为，将恶意流量拦截在边界之外，减轻服务器的负载和风险。</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安全策略控制：WAF允许管理员定义和实施安全策略，以保护Web应用程序免受特定类型的攻击。管理员可以配置规则集，包括白名单、黑名单、正则表达式等，以限制特定的请求和响应。</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实时监控和日志记录：WAF能够实时监控Web应用程序的流量和安全事件，并生成详细的日志记录。管理员可以通过查看日志来了解攻击尝试、异常行为和安全事件，以及采取相应的措施应对。</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防御性修复：WAF可以自动修复已知的漏洞和安全问题，以减少Web应用程序的风险。它可以检测并阻止攻击者利用已知漏洞进行的攻击，或者通过修复漏洞来防止攻击的成功。</w:t>
            </w:r>
          </w:p>
        </w:tc>
        <w:tc>
          <w:tcPr>
            <w:tcW w:w="1120" w:type="dxa"/>
            <w:vAlign w:val="center"/>
          </w:tcPr>
          <w:p w14:paraId="03B496C6">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套</w:t>
            </w:r>
          </w:p>
        </w:tc>
        <w:tc>
          <w:tcPr>
            <w:tcW w:w="1046" w:type="dxa"/>
            <w:vAlign w:val="center"/>
          </w:tcPr>
          <w:p w14:paraId="50385642">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w:t>
            </w:r>
          </w:p>
        </w:tc>
      </w:tr>
      <w:tr w14:paraId="2EE1A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2" w:type="dxa"/>
            <w:vAlign w:val="center"/>
          </w:tcPr>
          <w:p w14:paraId="063333D5">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115</w:t>
            </w:r>
          </w:p>
        </w:tc>
        <w:tc>
          <w:tcPr>
            <w:tcW w:w="2184" w:type="dxa"/>
            <w:gridSpan w:val="3"/>
            <w:vMerge w:val="continue"/>
            <w:vAlign w:val="center"/>
          </w:tcPr>
          <w:p w14:paraId="6AF37AFD">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1497" w:type="dxa"/>
            <w:vAlign w:val="center"/>
          </w:tcPr>
          <w:p w14:paraId="0B40037F">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主机综合防护系统</w:t>
            </w:r>
          </w:p>
        </w:tc>
        <w:tc>
          <w:tcPr>
            <w:tcW w:w="7457" w:type="dxa"/>
            <w:vAlign w:val="center"/>
          </w:tcPr>
          <w:p w14:paraId="49918C2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虚拟机微隔离：虚拟机微隔离是云主机安全系统的主要功能之一，由轻量级的端点探针和管理平台两部分来共同实现。</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访问关系可视化：在访问关系可视化中，采用统一管理的方式对终端的网络访问关系进行图形化展示，可以看到每个业务域内部各个终端的访问关系展示以及访问记录，也可以看到每个业务域之间的访问关系展示以及每个业务域的流量状态、访问趋势、流量排行，同时可以根据每个访问关系会生成访问关系控制策略，让用户决定是否启用该策略，减少了手动新增策略的工作量，提高了安全管理的效率。</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虚拟机防病毒：防病毒基本上已经是云上的最后一道防线，虽然恶意攻击者对云主机的攻击几乎都会被云主机的入侵防御和微隔离防护到，或者被东西向检测系统检测到，但是不排除特殊情况下运维人员误操作，导致直接从服务器内部连接了外部的攻击源，从而导致云主机遭受了勒索病毒等恶意代码影响，使得系统不可用，或关键文件丢失。</w:t>
            </w:r>
          </w:p>
        </w:tc>
        <w:tc>
          <w:tcPr>
            <w:tcW w:w="1120" w:type="dxa"/>
            <w:vAlign w:val="center"/>
          </w:tcPr>
          <w:p w14:paraId="224ABD0C">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项</w:t>
            </w:r>
          </w:p>
        </w:tc>
        <w:tc>
          <w:tcPr>
            <w:tcW w:w="1046" w:type="dxa"/>
            <w:vAlign w:val="center"/>
          </w:tcPr>
          <w:p w14:paraId="1D932149">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w:t>
            </w:r>
          </w:p>
        </w:tc>
      </w:tr>
      <w:tr w14:paraId="66800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92" w:type="dxa"/>
            <w:vAlign w:val="center"/>
          </w:tcPr>
          <w:p w14:paraId="76DD4425">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116</w:t>
            </w:r>
          </w:p>
        </w:tc>
        <w:tc>
          <w:tcPr>
            <w:tcW w:w="2184" w:type="dxa"/>
            <w:gridSpan w:val="3"/>
            <w:vMerge w:val="continue"/>
            <w:vAlign w:val="center"/>
          </w:tcPr>
          <w:p w14:paraId="6BFDF4E9">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1497" w:type="dxa"/>
            <w:vAlign w:val="center"/>
          </w:tcPr>
          <w:p w14:paraId="43BFEF6F">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VPN</w:t>
            </w:r>
          </w:p>
        </w:tc>
        <w:tc>
          <w:tcPr>
            <w:tcW w:w="7457" w:type="dxa"/>
            <w:vAlign w:val="center"/>
          </w:tcPr>
          <w:p w14:paraId="223D6D31">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VPN是集IPsec、SSLVPN、VPDN于一身，兼具用户认证、访问控制、传输加密众多功能的综合性安全手段，具有安全性高、稳定强、易用强、兼容好、性能高的特点，最大限度保护用户网络传输的数据安全。</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VPN可以统一管理远程用户接入的身份认证、访问权限，实现远程用户在任何时间、任何地点、使用任何终端安全、快速的接入企业内部业务系统，提供快速、安全、易用的移动远程接入方案。</w:t>
            </w:r>
          </w:p>
        </w:tc>
        <w:tc>
          <w:tcPr>
            <w:tcW w:w="1120" w:type="dxa"/>
            <w:vAlign w:val="center"/>
          </w:tcPr>
          <w:p w14:paraId="3588AC49">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账号</w:t>
            </w:r>
          </w:p>
        </w:tc>
        <w:tc>
          <w:tcPr>
            <w:tcW w:w="1046" w:type="dxa"/>
            <w:vAlign w:val="center"/>
          </w:tcPr>
          <w:p w14:paraId="70AF6CE9">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30</w:t>
            </w:r>
          </w:p>
        </w:tc>
      </w:tr>
      <w:tr w14:paraId="64430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92" w:type="dxa"/>
            <w:vAlign w:val="center"/>
          </w:tcPr>
          <w:p w14:paraId="6658A3B0">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117</w:t>
            </w:r>
          </w:p>
        </w:tc>
        <w:tc>
          <w:tcPr>
            <w:tcW w:w="2184" w:type="dxa"/>
            <w:gridSpan w:val="3"/>
            <w:vMerge w:val="continue"/>
            <w:vAlign w:val="center"/>
          </w:tcPr>
          <w:p w14:paraId="64D2DF7C">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1497" w:type="dxa"/>
            <w:vAlign w:val="center"/>
          </w:tcPr>
          <w:p w14:paraId="0D697740">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数据库审计（包含3个实例）</w:t>
            </w:r>
          </w:p>
        </w:tc>
        <w:tc>
          <w:tcPr>
            <w:tcW w:w="7457" w:type="dxa"/>
            <w:vAlign w:val="center"/>
          </w:tcPr>
          <w:p w14:paraId="1623BCD3">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通过在云网络环境中插入数据库审计，可以有效防止针对数据库的恶意行为，和敏感数据泄露。</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数据库审计通过对数据库进行各种访问操作审计，设备内置捕包、解析、响应模块，捕包模块负责对网络数据包进行捕获和重组，并根据预置的审计范围进行初步过滤，为后续解析做好准备；解析模块利用状态检测、协议解析等技术，对网络数据库包进行分类过滤和解析，然后依据审计规则对重要事件和会话的进行审计，同时也会检测数据包是否携带关键攻击特征。</w:t>
            </w:r>
          </w:p>
        </w:tc>
        <w:tc>
          <w:tcPr>
            <w:tcW w:w="1120" w:type="dxa"/>
            <w:vAlign w:val="center"/>
          </w:tcPr>
          <w:p w14:paraId="22F6007B">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套</w:t>
            </w:r>
          </w:p>
        </w:tc>
        <w:tc>
          <w:tcPr>
            <w:tcW w:w="1046" w:type="dxa"/>
            <w:vAlign w:val="center"/>
          </w:tcPr>
          <w:p w14:paraId="47E49B1B">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w:t>
            </w:r>
          </w:p>
        </w:tc>
      </w:tr>
      <w:tr w14:paraId="0AD1F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692" w:type="dxa"/>
            <w:vAlign w:val="center"/>
          </w:tcPr>
          <w:p w14:paraId="15FB8FF7">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118</w:t>
            </w:r>
          </w:p>
        </w:tc>
        <w:tc>
          <w:tcPr>
            <w:tcW w:w="2184" w:type="dxa"/>
            <w:gridSpan w:val="3"/>
            <w:vMerge w:val="restart"/>
            <w:vAlign w:val="center"/>
          </w:tcPr>
          <w:p w14:paraId="2A52A256">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密码服务</w:t>
            </w:r>
          </w:p>
        </w:tc>
        <w:tc>
          <w:tcPr>
            <w:tcW w:w="1497" w:type="dxa"/>
            <w:vAlign w:val="center"/>
          </w:tcPr>
          <w:p w14:paraId="1B487EC1">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密钥管理服务</w:t>
            </w:r>
          </w:p>
        </w:tc>
        <w:tc>
          <w:tcPr>
            <w:tcW w:w="7457" w:type="dxa"/>
            <w:vAlign w:val="center"/>
          </w:tcPr>
          <w:p w14:paraId="272CB888">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密钥管理服务为业务系统提供密钥生命周期管理，提供密钥托管、对称密钥管理和非对称密钥管理等功能。</w:t>
            </w:r>
          </w:p>
        </w:tc>
        <w:tc>
          <w:tcPr>
            <w:tcW w:w="1120" w:type="dxa"/>
            <w:vAlign w:val="center"/>
          </w:tcPr>
          <w:p w14:paraId="4B26DAE0">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rPr>
            </w:pPr>
            <w:r>
              <w:rPr>
                <w:rFonts w:hint="eastAsia" w:ascii="宋体" w:hAnsi="宋体" w:cs="宋体"/>
                <w:sz w:val="24"/>
              </w:rPr>
              <w:t>项</w:t>
            </w:r>
          </w:p>
        </w:tc>
        <w:tc>
          <w:tcPr>
            <w:tcW w:w="1046" w:type="dxa"/>
            <w:vAlign w:val="center"/>
          </w:tcPr>
          <w:p w14:paraId="0790560C">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w:t>
            </w:r>
          </w:p>
        </w:tc>
      </w:tr>
      <w:tr w14:paraId="27C55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92" w:type="dxa"/>
            <w:vAlign w:val="center"/>
          </w:tcPr>
          <w:p w14:paraId="12B3EE19">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119</w:t>
            </w:r>
          </w:p>
        </w:tc>
        <w:tc>
          <w:tcPr>
            <w:tcW w:w="2184" w:type="dxa"/>
            <w:gridSpan w:val="3"/>
            <w:vMerge w:val="continue"/>
            <w:vAlign w:val="center"/>
          </w:tcPr>
          <w:p w14:paraId="6B682AFA">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1497" w:type="dxa"/>
            <w:vAlign w:val="center"/>
          </w:tcPr>
          <w:p w14:paraId="4058BB6F">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密码运算服务</w:t>
            </w:r>
          </w:p>
        </w:tc>
        <w:tc>
          <w:tcPr>
            <w:tcW w:w="7457" w:type="dxa"/>
            <w:vAlign w:val="center"/>
          </w:tcPr>
          <w:p w14:paraId="0684B194">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提供统一的密码计算服务，采用密码技术实现机密性、完整性、真实性和不可否认性功能。</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可监控密码资源、密码服务、密码系统运行状态及密码资源使用情况。</w:t>
            </w:r>
          </w:p>
        </w:tc>
        <w:tc>
          <w:tcPr>
            <w:tcW w:w="1120" w:type="dxa"/>
          </w:tcPr>
          <w:p w14:paraId="0F4D63F9">
            <w:pPr>
              <w:keepNext w:val="0"/>
              <w:keepLines w:val="0"/>
              <w:widowControl/>
              <w:suppressLineNumbers w:val="0"/>
              <w:spacing w:before="0" w:beforeAutospacing="0" w:after="0" w:afterAutospacing="0"/>
              <w:ind w:left="0" w:right="0"/>
              <w:jc w:val="center"/>
              <w:textAlignment w:val="center"/>
              <w:rPr>
                <w:rFonts w:hint="default" w:ascii="宋体" w:hAnsi="宋体" w:cs="宋体"/>
                <w:sz w:val="24"/>
              </w:rPr>
            </w:pPr>
            <w:r>
              <w:rPr>
                <w:rFonts w:hint="eastAsia" w:ascii="宋体" w:hAnsi="宋体" w:cs="宋体"/>
                <w:sz w:val="24"/>
              </w:rPr>
              <w:t>项</w:t>
            </w:r>
          </w:p>
        </w:tc>
        <w:tc>
          <w:tcPr>
            <w:tcW w:w="1046" w:type="dxa"/>
            <w:vAlign w:val="center"/>
          </w:tcPr>
          <w:p w14:paraId="1C550E10">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w:t>
            </w:r>
          </w:p>
        </w:tc>
      </w:tr>
      <w:tr w14:paraId="72346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2" w:type="dxa"/>
            <w:vAlign w:val="center"/>
          </w:tcPr>
          <w:p w14:paraId="0F0F60C0">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120</w:t>
            </w:r>
          </w:p>
        </w:tc>
        <w:tc>
          <w:tcPr>
            <w:tcW w:w="2184" w:type="dxa"/>
            <w:gridSpan w:val="3"/>
            <w:vMerge w:val="continue"/>
            <w:vAlign w:val="center"/>
          </w:tcPr>
          <w:p w14:paraId="2263D6C0">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1497" w:type="dxa"/>
            <w:vAlign w:val="center"/>
          </w:tcPr>
          <w:p w14:paraId="08D43661">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应用对接服务及专家咨询服务</w:t>
            </w:r>
          </w:p>
        </w:tc>
        <w:tc>
          <w:tcPr>
            <w:tcW w:w="7457" w:type="dxa"/>
            <w:vAlign w:val="center"/>
          </w:tcPr>
          <w:p w14:paraId="06DAC944">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1.为用户提供密码应用对接支撑服务，提供密码应用相关咨询及方案编制服务。包括业务应系统调研（系统现状、关键业务数据、业务流程等梳理）、密码应用风险分析，密码应用需求分析，密码应用符合性分析，密码应用总体应用框架设计，密码应用关键应用流程设计等。</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2.提供云上应与密码服务平台对接服务，实现密码运算及密钥管理等密码服务调用。</w:t>
            </w:r>
          </w:p>
        </w:tc>
        <w:tc>
          <w:tcPr>
            <w:tcW w:w="1120" w:type="dxa"/>
          </w:tcPr>
          <w:p w14:paraId="6367E72D">
            <w:pPr>
              <w:keepNext w:val="0"/>
              <w:keepLines w:val="0"/>
              <w:widowControl/>
              <w:suppressLineNumbers w:val="0"/>
              <w:spacing w:before="0" w:beforeAutospacing="0" w:after="0" w:afterAutospacing="0"/>
              <w:ind w:left="0" w:right="0"/>
              <w:jc w:val="center"/>
              <w:textAlignment w:val="center"/>
              <w:rPr>
                <w:rFonts w:hint="default" w:ascii="宋体" w:hAnsi="宋体" w:cs="宋体"/>
                <w:sz w:val="24"/>
              </w:rPr>
            </w:pPr>
            <w:r>
              <w:rPr>
                <w:rFonts w:hint="eastAsia" w:ascii="宋体" w:hAnsi="宋体" w:cs="宋体"/>
                <w:sz w:val="24"/>
              </w:rPr>
              <w:t>项</w:t>
            </w:r>
          </w:p>
        </w:tc>
        <w:tc>
          <w:tcPr>
            <w:tcW w:w="1046" w:type="dxa"/>
            <w:vAlign w:val="center"/>
          </w:tcPr>
          <w:p w14:paraId="7D7BEB40">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w:t>
            </w:r>
          </w:p>
        </w:tc>
      </w:tr>
      <w:tr w14:paraId="0B76B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692" w:type="dxa"/>
            <w:vAlign w:val="center"/>
          </w:tcPr>
          <w:p w14:paraId="16391123">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121</w:t>
            </w:r>
          </w:p>
        </w:tc>
        <w:tc>
          <w:tcPr>
            <w:tcW w:w="2184" w:type="dxa"/>
            <w:gridSpan w:val="3"/>
            <w:vMerge w:val="continue"/>
            <w:vAlign w:val="center"/>
          </w:tcPr>
          <w:p w14:paraId="76A3783F">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1497" w:type="dxa"/>
            <w:vAlign w:val="center"/>
          </w:tcPr>
          <w:p w14:paraId="63AC0EE8">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网络传输及接入认证服务</w:t>
            </w:r>
          </w:p>
        </w:tc>
        <w:tc>
          <w:tcPr>
            <w:tcW w:w="7457" w:type="dxa"/>
            <w:vAlign w:val="center"/>
          </w:tcPr>
          <w:p w14:paraId="77943CF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安全的集中业务访问及安全管理通道。基于安全网关SDK简单、快速地实现对云平台用户的强身份鉴别。</w:t>
            </w:r>
          </w:p>
        </w:tc>
        <w:tc>
          <w:tcPr>
            <w:tcW w:w="1120" w:type="dxa"/>
            <w:vAlign w:val="center"/>
          </w:tcPr>
          <w:p w14:paraId="431068E6">
            <w:pPr>
              <w:keepNext w:val="0"/>
              <w:keepLines w:val="0"/>
              <w:widowControl/>
              <w:suppressLineNumbers w:val="0"/>
              <w:spacing w:before="0" w:beforeAutospacing="0" w:after="0" w:afterAutospacing="0"/>
              <w:ind w:left="0" w:right="0"/>
              <w:jc w:val="center"/>
              <w:textAlignment w:val="center"/>
              <w:rPr>
                <w:rFonts w:hint="default" w:ascii="宋体" w:hAnsi="宋体" w:cs="宋体"/>
                <w:sz w:val="24"/>
              </w:rPr>
            </w:pPr>
            <w:r>
              <w:rPr>
                <w:rFonts w:hint="eastAsia" w:ascii="宋体" w:hAnsi="宋体" w:cs="宋体"/>
                <w:sz w:val="24"/>
              </w:rPr>
              <w:t>项</w:t>
            </w:r>
          </w:p>
        </w:tc>
        <w:tc>
          <w:tcPr>
            <w:tcW w:w="1046" w:type="dxa"/>
            <w:vAlign w:val="center"/>
          </w:tcPr>
          <w:p w14:paraId="6E384081">
            <w:pPr>
              <w:keepNext w:val="0"/>
              <w:keepLines w:val="0"/>
              <w:widowControl/>
              <w:suppressLineNumbers w:val="0"/>
              <w:spacing w:before="0" w:beforeAutospacing="0" w:after="0" w:afterAutospacing="0"/>
              <w:ind w:left="0" w:right="0"/>
              <w:jc w:val="center"/>
              <w:textAlignment w:val="center"/>
              <w:rPr>
                <w:rFonts w:hint="default" w:ascii="宋体" w:hAnsi="宋体" w:cs="宋体"/>
                <w:sz w:val="24"/>
              </w:rPr>
            </w:pPr>
            <w:r>
              <w:rPr>
                <w:rFonts w:hint="eastAsia" w:ascii="宋体" w:hAnsi="宋体" w:cs="宋体"/>
                <w:kern w:val="0"/>
                <w:sz w:val="24"/>
                <w:lang w:bidi="ar"/>
              </w:rPr>
              <w:t>1</w:t>
            </w:r>
          </w:p>
        </w:tc>
      </w:tr>
      <w:tr w14:paraId="09542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692" w:type="dxa"/>
            <w:vAlign w:val="center"/>
          </w:tcPr>
          <w:p w14:paraId="20782441">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122</w:t>
            </w:r>
          </w:p>
        </w:tc>
        <w:tc>
          <w:tcPr>
            <w:tcW w:w="2184" w:type="dxa"/>
            <w:gridSpan w:val="3"/>
            <w:vMerge w:val="continue"/>
            <w:vAlign w:val="center"/>
          </w:tcPr>
          <w:p w14:paraId="6FF1B051">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1497" w:type="dxa"/>
            <w:vAlign w:val="center"/>
          </w:tcPr>
          <w:p w14:paraId="194E4ACB">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智能密码钥匙</w:t>
            </w:r>
          </w:p>
        </w:tc>
        <w:tc>
          <w:tcPr>
            <w:tcW w:w="7457" w:type="dxa"/>
            <w:vAlign w:val="center"/>
          </w:tcPr>
          <w:p w14:paraId="3858CB51">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结合VPN网关做管理员用户身份认证</w:t>
            </w:r>
          </w:p>
        </w:tc>
        <w:tc>
          <w:tcPr>
            <w:tcW w:w="1120" w:type="dxa"/>
            <w:vAlign w:val="center"/>
          </w:tcPr>
          <w:p w14:paraId="518D6F13">
            <w:pPr>
              <w:keepNext w:val="0"/>
              <w:keepLines w:val="0"/>
              <w:widowControl/>
              <w:suppressLineNumbers w:val="0"/>
              <w:spacing w:before="0" w:beforeAutospacing="0" w:after="0" w:afterAutospacing="0"/>
              <w:ind w:left="0" w:right="0"/>
              <w:jc w:val="center"/>
              <w:textAlignment w:val="center"/>
              <w:rPr>
                <w:rFonts w:hint="default" w:ascii="宋体" w:hAnsi="宋体" w:cs="宋体"/>
                <w:sz w:val="24"/>
              </w:rPr>
            </w:pPr>
            <w:r>
              <w:rPr>
                <w:rFonts w:hint="eastAsia" w:ascii="宋体" w:hAnsi="宋体" w:cs="宋体"/>
                <w:kern w:val="0"/>
                <w:sz w:val="24"/>
                <w:lang w:bidi="ar"/>
              </w:rPr>
              <w:t>个</w:t>
            </w:r>
          </w:p>
        </w:tc>
        <w:tc>
          <w:tcPr>
            <w:tcW w:w="1046" w:type="dxa"/>
            <w:vAlign w:val="center"/>
          </w:tcPr>
          <w:p w14:paraId="57BC6ACC">
            <w:pPr>
              <w:keepNext w:val="0"/>
              <w:keepLines w:val="0"/>
              <w:widowControl/>
              <w:suppressLineNumbers w:val="0"/>
              <w:spacing w:before="0" w:beforeAutospacing="0" w:after="0" w:afterAutospacing="0"/>
              <w:ind w:left="0" w:right="0"/>
              <w:jc w:val="center"/>
              <w:textAlignment w:val="center"/>
              <w:rPr>
                <w:rFonts w:hint="default" w:ascii="宋体" w:hAnsi="宋体" w:cs="宋体"/>
                <w:sz w:val="24"/>
              </w:rPr>
            </w:pPr>
            <w:r>
              <w:rPr>
                <w:rFonts w:hint="eastAsia" w:ascii="宋体" w:hAnsi="宋体" w:cs="宋体"/>
                <w:kern w:val="0"/>
                <w:sz w:val="24"/>
                <w:lang w:bidi="ar"/>
              </w:rPr>
              <w:t>5</w:t>
            </w:r>
          </w:p>
        </w:tc>
      </w:tr>
      <w:tr w14:paraId="61061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692" w:type="dxa"/>
            <w:vAlign w:val="center"/>
          </w:tcPr>
          <w:p w14:paraId="216FED03">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123</w:t>
            </w:r>
          </w:p>
        </w:tc>
        <w:tc>
          <w:tcPr>
            <w:tcW w:w="2184" w:type="dxa"/>
            <w:gridSpan w:val="3"/>
            <w:vMerge w:val="continue"/>
            <w:vAlign w:val="center"/>
          </w:tcPr>
          <w:p w14:paraId="5E2038E5">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1497" w:type="dxa"/>
            <w:vAlign w:val="center"/>
          </w:tcPr>
          <w:p w14:paraId="208F858D">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SSL站点证书</w:t>
            </w:r>
          </w:p>
        </w:tc>
        <w:tc>
          <w:tcPr>
            <w:tcW w:w="7457" w:type="dxa"/>
            <w:vAlign w:val="center"/>
          </w:tcPr>
          <w:p w14:paraId="0F38C8E0">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为站点提供SSL国际算法证书</w:t>
            </w:r>
          </w:p>
        </w:tc>
        <w:tc>
          <w:tcPr>
            <w:tcW w:w="1120" w:type="dxa"/>
            <w:vAlign w:val="center"/>
          </w:tcPr>
          <w:p w14:paraId="17810ED9">
            <w:pPr>
              <w:keepNext w:val="0"/>
              <w:keepLines w:val="0"/>
              <w:widowControl/>
              <w:suppressLineNumbers w:val="0"/>
              <w:spacing w:before="0" w:beforeAutospacing="0" w:after="0" w:afterAutospacing="0"/>
              <w:ind w:left="0" w:right="0"/>
              <w:jc w:val="center"/>
              <w:textAlignment w:val="center"/>
              <w:rPr>
                <w:rFonts w:hint="default" w:ascii="宋体" w:hAnsi="宋体" w:cs="宋体"/>
                <w:sz w:val="24"/>
              </w:rPr>
            </w:pPr>
            <w:r>
              <w:rPr>
                <w:rFonts w:hint="eastAsia" w:ascii="宋体" w:hAnsi="宋体" w:cs="宋体"/>
                <w:kern w:val="0"/>
                <w:sz w:val="24"/>
                <w:lang w:bidi="ar"/>
              </w:rPr>
              <w:t>个</w:t>
            </w:r>
          </w:p>
        </w:tc>
        <w:tc>
          <w:tcPr>
            <w:tcW w:w="1046" w:type="dxa"/>
            <w:vAlign w:val="center"/>
          </w:tcPr>
          <w:p w14:paraId="353D1D15">
            <w:pPr>
              <w:keepNext w:val="0"/>
              <w:keepLines w:val="0"/>
              <w:widowControl/>
              <w:suppressLineNumbers w:val="0"/>
              <w:spacing w:before="0" w:beforeAutospacing="0" w:after="0" w:afterAutospacing="0"/>
              <w:ind w:left="0" w:right="0"/>
              <w:jc w:val="center"/>
              <w:textAlignment w:val="center"/>
              <w:rPr>
                <w:rFonts w:hint="default" w:ascii="宋体" w:hAnsi="宋体" w:cs="宋体"/>
                <w:sz w:val="24"/>
              </w:rPr>
            </w:pPr>
            <w:r>
              <w:rPr>
                <w:rFonts w:hint="eastAsia" w:ascii="宋体" w:hAnsi="宋体" w:cs="宋体"/>
                <w:kern w:val="0"/>
                <w:sz w:val="24"/>
                <w:lang w:bidi="ar"/>
              </w:rPr>
              <w:t>1</w:t>
            </w:r>
          </w:p>
        </w:tc>
      </w:tr>
      <w:tr w14:paraId="2AC52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692" w:type="dxa"/>
            <w:vAlign w:val="center"/>
          </w:tcPr>
          <w:p w14:paraId="75B55CED">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124</w:t>
            </w:r>
          </w:p>
        </w:tc>
        <w:tc>
          <w:tcPr>
            <w:tcW w:w="2184" w:type="dxa"/>
            <w:gridSpan w:val="3"/>
            <w:vMerge w:val="continue"/>
            <w:vAlign w:val="center"/>
          </w:tcPr>
          <w:p w14:paraId="0DA8DB05">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1497" w:type="dxa"/>
            <w:vAlign w:val="center"/>
          </w:tcPr>
          <w:p w14:paraId="414843A1">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动态令牌</w:t>
            </w:r>
          </w:p>
        </w:tc>
        <w:tc>
          <w:tcPr>
            <w:tcW w:w="7457" w:type="dxa"/>
            <w:vAlign w:val="center"/>
          </w:tcPr>
          <w:p w14:paraId="1BA82983">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为堡垒机提供符合国密要求的身份认证。</w:t>
            </w:r>
          </w:p>
        </w:tc>
        <w:tc>
          <w:tcPr>
            <w:tcW w:w="1120" w:type="dxa"/>
          </w:tcPr>
          <w:p w14:paraId="16DFCA08">
            <w:pPr>
              <w:keepNext w:val="0"/>
              <w:keepLines w:val="0"/>
              <w:widowControl/>
              <w:suppressLineNumbers w:val="0"/>
              <w:spacing w:before="0" w:beforeAutospacing="0" w:after="0" w:afterAutospacing="0"/>
              <w:ind w:left="0" w:right="0"/>
              <w:jc w:val="center"/>
              <w:textAlignment w:val="center"/>
              <w:rPr>
                <w:rFonts w:hint="default" w:ascii="宋体" w:hAnsi="宋体" w:cs="宋体"/>
                <w:sz w:val="24"/>
              </w:rPr>
            </w:pPr>
            <w:r>
              <w:rPr>
                <w:rFonts w:hint="eastAsia" w:ascii="宋体" w:hAnsi="宋体" w:cs="宋体"/>
                <w:sz w:val="24"/>
              </w:rPr>
              <w:t>项</w:t>
            </w:r>
          </w:p>
        </w:tc>
        <w:tc>
          <w:tcPr>
            <w:tcW w:w="1046" w:type="dxa"/>
            <w:vAlign w:val="center"/>
          </w:tcPr>
          <w:p w14:paraId="0BD76401">
            <w:pPr>
              <w:keepNext w:val="0"/>
              <w:keepLines w:val="0"/>
              <w:widowControl/>
              <w:suppressLineNumbers w:val="0"/>
              <w:spacing w:before="0" w:beforeAutospacing="0" w:after="0" w:afterAutospacing="0"/>
              <w:ind w:left="0" w:right="0"/>
              <w:jc w:val="center"/>
              <w:textAlignment w:val="center"/>
              <w:rPr>
                <w:rFonts w:hint="default" w:ascii="宋体" w:hAnsi="宋体" w:cs="宋体"/>
                <w:sz w:val="24"/>
              </w:rPr>
            </w:pPr>
            <w:r>
              <w:rPr>
                <w:rFonts w:hint="eastAsia" w:ascii="宋体" w:hAnsi="宋体" w:cs="宋体"/>
                <w:kern w:val="0"/>
                <w:sz w:val="24"/>
                <w:lang w:bidi="ar"/>
              </w:rPr>
              <w:t>1</w:t>
            </w:r>
          </w:p>
        </w:tc>
      </w:tr>
      <w:tr w14:paraId="119BA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692" w:type="dxa"/>
            <w:vAlign w:val="center"/>
          </w:tcPr>
          <w:p w14:paraId="348AE79B">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125</w:t>
            </w:r>
          </w:p>
        </w:tc>
        <w:tc>
          <w:tcPr>
            <w:tcW w:w="2184" w:type="dxa"/>
            <w:gridSpan w:val="3"/>
            <w:vMerge w:val="continue"/>
            <w:vAlign w:val="center"/>
          </w:tcPr>
          <w:p w14:paraId="75F6CA12">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1497" w:type="dxa"/>
            <w:vAlign w:val="center"/>
          </w:tcPr>
          <w:p w14:paraId="69F839FE">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数据库透明加解密服务</w:t>
            </w:r>
          </w:p>
        </w:tc>
        <w:tc>
          <w:tcPr>
            <w:tcW w:w="7457" w:type="dxa"/>
            <w:vAlign w:val="center"/>
          </w:tcPr>
          <w:p w14:paraId="0DB29791">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提供独立模块化软件实现非结构化数据的机密性和完整性保护要求</w:t>
            </w:r>
          </w:p>
        </w:tc>
        <w:tc>
          <w:tcPr>
            <w:tcW w:w="1120" w:type="dxa"/>
          </w:tcPr>
          <w:p w14:paraId="0F3772D7">
            <w:pPr>
              <w:keepNext w:val="0"/>
              <w:keepLines w:val="0"/>
              <w:widowControl/>
              <w:suppressLineNumbers w:val="0"/>
              <w:spacing w:before="0" w:beforeAutospacing="0" w:after="0" w:afterAutospacing="0"/>
              <w:ind w:left="0" w:right="0"/>
              <w:jc w:val="center"/>
              <w:textAlignment w:val="center"/>
              <w:rPr>
                <w:rFonts w:hint="default" w:ascii="宋体" w:hAnsi="宋体" w:cs="宋体"/>
                <w:sz w:val="24"/>
              </w:rPr>
            </w:pPr>
            <w:r>
              <w:rPr>
                <w:rFonts w:hint="eastAsia" w:ascii="宋体" w:hAnsi="宋体" w:cs="宋体"/>
                <w:sz w:val="24"/>
              </w:rPr>
              <w:t>项</w:t>
            </w:r>
          </w:p>
        </w:tc>
        <w:tc>
          <w:tcPr>
            <w:tcW w:w="1046" w:type="dxa"/>
            <w:vAlign w:val="center"/>
          </w:tcPr>
          <w:p w14:paraId="6DBA0252">
            <w:pPr>
              <w:keepNext w:val="0"/>
              <w:keepLines w:val="0"/>
              <w:widowControl/>
              <w:suppressLineNumbers w:val="0"/>
              <w:spacing w:before="0" w:beforeAutospacing="0" w:after="0" w:afterAutospacing="0"/>
              <w:ind w:left="0" w:right="0"/>
              <w:jc w:val="center"/>
              <w:textAlignment w:val="center"/>
              <w:rPr>
                <w:rFonts w:hint="default" w:ascii="宋体" w:hAnsi="宋体" w:cs="宋体"/>
                <w:sz w:val="24"/>
              </w:rPr>
            </w:pPr>
            <w:r>
              <w:rPr>
                <w:rFonts w:hint="eastAsia" w:ascii="宋体" w:hAnsi="宋体" w:cs="宋体"/>
                <w:kern w:val="0"/>
                <w:sz w:val="24"/>
                <w:lang w:bidi="ar"/>
              </w:rPr>
              <w:t>1</w:t>
            </w:r>
          </w:p>
        </w:tc>
      </w:tr>
      <w:tr w14:paraId="5A660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692" w:type="dxa"/>
            <w:vAlign w:val="center"/>
          </w:tcPr>
          <w:p w14:paraId="727F040B">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126</w:t>
            </w:r>
          </w:p>
        </w:tc>
        <w:tc>
          <w:tcPr>
            <w:tcW w:w="2184" w:type="dxa"/>
            <w:gridSpan w:val="3"/>
            <w:vMerge w:val="continue"/>
            <w:vAlign w:val="center"/>
          </w:tcPr>
          <w:p w14:paraId="69D2A3F8">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1497" w:type="dxa"/>
            <w:vAlign w:val="center"/>
          </w:tcPr>
          <w:p w14:paraId="7501BAB0">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个人数字证书</w:t>
            </w:r>
          </w:p>
        </w:tc>
        <w:tc>
          <w:tcPr>
            <w:tcW w:w="7457" w:type="dxa"/>
            <w:vAlign w:val="center"/>
          </w:tcPr>
          <w:p w14:paraId="0808D941">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符合 PKI 技术体系；支持签发普通用户证书;</w:t>
            </w:r>
          </w:p>
        </w:tc>
        <w:tc>
          <w:tcPr>
            <w:tcW w:w="1120" w:type="dxa"/>
            <w:vAlign w:val="center"/>
          </w:tcPr>
          <w:p w14:paraId="66C6236C">
            <w:pPr>
              <w:keepNext w:val="0"/>
              <w:keepLines w:val="0"/>
              <w:widowControl/>
              <w:suppressLineNumbers w:val="0"/>
              <w:spacing w:before="0" w:beforeAutospacing="0" w:after="0" w:afterAutospacing="0"/>
              <w:ind w:left="0" w:right="0"/>
              <w:jc w:val="center"/>
              <w:textAlignment w:val="center"/>
              <w:rPr>
                <w:rFonts w:hint="default" w:ascii="宋体" w:hAnsi="宋体" w:cs="宋体"/>
                <w:sz w:val="24"/>
              </w:rPr>
            </w:pPr>
            <w:r>
              <w:rPr>
                <w:rFonts w:hint="eastAsia" w:ascii="宋体" w:hAnsi="宋体" w:cs="宋体"/>
                <w:kern w:val="0"/>
                <w:sz w:val="24"/>
                <w:lang w:bidi="ar"/>
              </w:rPr>
              <w:t>个</w:t>
            </w:r>
          </w:p>
        </w:tc>
        <w:tc>
          <w:tcPr>
            <w:tcW w:w="1046" w:type="dxa"/>
            <w:vAlign w:val="center"/>
          </w:tcPr>
          <w:p w14:paraId="4FD265AF">
            <w:pPr>
              <w:keepNext w:val="0"/>
              <w:keepLines w:val="0"/>
              <w:widowControl/>
              <w:suppressLineNumbers w:val="0"/>
              <w:spacing w:before="0" w:beforeAutospacing="0" w:after="0" w:afterAutospacing="0"/>
              <w:ind w:left="0" w:right="0"/>
              <w:jc w:val="center"/>
              <w:textAlignment w:val="center"/>
              <w:rPr>
                <w:rFonts w:hint="default" w:ascii="宋体" w:hAnsi="宋体" w:cs="宋体"/>
                <w:sz w:val="24"/>
              </w:rPr>
            </w:pPr>
            <w:r>
              <w:rPr>
                <w:rFonts w:hint="eastAsia" w:ascii="宋体" w:hAnsi="宋体" w:cs="宋体"/>
                <w:kern w:val="0"/>
                <w:sz w:val="24"/>
                <w:lang w:bidi="ar"/>
              </w:rPr>
              <w:t>5</w:t>
            </w:r>
          </w:p>
        </w:tc>
      </w:tr>
      <w:tr w14:paraId="6B440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3996" w:type="dxa"/>
            <w:gridSpan w:val="8"/>
            <w:vAlign w:val="center"/>
          </w:tcPr>
          <w:p w14:paraId="2E66CC09">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000000"/>
                <w:sz w:val="24"/>
              </w:rPr>
            </w:pPr>
            <w:r>
              <w:rPr>
                <w:rFonts w:hint="eastAsia" w:ascii="宋体" w:hAnsi="宋体" w:cs="宋体"/>
                <w:b/>
                <w:bCs/>
                <w:kern w:val="0"/>
                <w:sz w:val="24"/>
                <w:lang w:val="en-US" w:eastAsia="zh-CN" w:bidi="ar"/>
              </w:rPr>
              <w:t>八</w:t>
            </w:r>
            <w:r>
              <w:rPr>
                <w:rFonts w:hint="eastAsia" w:ascii="宋体" w:hAnsi="宋体" w:cs="宋体"/>
                <w:b/>
                <w:bCs/>
                <w:kern w:val="0"/>
                <w:sz w:val="24"/>
                <w:lang w:bidi="ar"/>
              </w:rPr>
              <w:t>、基础设施--本地机房边界安全防护建设</w:t>
            </w:r>
          </w:p>
        </w:tc>
      </w:tr>
      <w:tr w14:paraId="09BC3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692" w:type="dxa"/>
            <w:vAlign w:val="center"/>
          </w:tcPr>
          <w:p w14:paraId="32DFB1D7">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000000"/>
                <w:sz w:val="24"/>
              </w:rPr>
            </w:pPr>
            <w:r>
              <w:rPr>
                <w:rFonts w:hint="eastAsia" w:ascii="宋体" w:hAnsi="宋体" w:cs="宋体"/>
                <w:b/>
                <w:bCs/>
                <w:color w:val="000000"/>
                <w:kern w:val="0"/>
                <w:sz w:val="24"/>
                <w:lang w:bidi="ar"/>
              </w:rPr>
              <w:t>序号</w:t>
            </w:r>
          </w:p>
        </w:tc>
        <w:tc>
          <w:tcPr>
            <w:tcW w:w="2184" w:type="dxa"/>
            <w:gridSpan w:val="3"/>
            <w:vAlign w:val="center"/>
          </w:tcPr>
          <w:p w14:paraId="0F59513C">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000000"/>
                <w:sz w:val="24"/>
              </w:rPr>
            </w:pPr>
            <w:r>
              <w:rPr>
                <w:rFonts w:hint="eastAsia" w:ascii="宋体" w:hAnsi="宋体" w:cs="宋体"/>
                <w:b/>
                <w:bCs/>
                <w:color w:val="000000"/>
                <w:kern w:val="0"/>
                <w:sz w:val="24"/>
                <w:lang w:bidi="ar"/>
              </w:rPr>
              <w:t>设备类型</w:t>
            </w:r>
          </w:p>
        </w:tc>
        <w:tc>
          <w:tcPr>
            <w:tcW w:w="1497" w:type="dxa"/>
            <w:vAlign w:val="center"/>
          </w:tcPr>
          <w:p w14:paraId="1A01B123">
            <w:pPr>
              <w:keepNext w:val="0"/>
              <w:keepLines w:val="0"/>
              <w:widowControl/>
              <w:suppressLineNumbers w:val="0"/>
              <w:spacing w:before="0" w:beforeAutospacing="0" w:after="0" w:afterAutospacing="0"/>
              <w:ind w:left="0" w:right="0"/>
              <w:jc w:val="left"/>
              <w:textAlignment w:val="center"/>
              <w:rPr>
                <w:rFonts w:hint="default" w:ascii="宋体" w:hAnsi="宋体" w:cs="宋体"/>
                <w:b/>
                <w:bCs/>
                <w:color w:val="000000"/>
                <w:sz w:val="24"/>
              </w:rPr>
            </w:pPr>
            <w:r>
              <w:rPr>
                <w:rFonts w:hint="eastAsia" w:ascii="宋体" w:hAnsi="宋体" w:cs="宋体"/>
                <w:b/>
                <w:bCs/>
                <w:color w:val="000000"/>
                <w:kern w:val="0"/>
                <w:sz w:val="24"/>
                <w:lang w:bidi="ar"/>
              </w:rPr>
              <w:t>设备名称</w:t>
            </w:r>
          </w:p>
        </w:tc>
        <w:tc>
          <w:tcPr>
            <w:tcW w:w="7457" w:type="dxa"/>
            <w:vAlign w:val="center"/>
          </w:tcPr>
          <w:p w14:paraId="79F8ED3E">
            <w:pPr>
              <w:keepNext w:val="0"/>
              <w:keepLines w:val="0"/>
              <w:widowControl/>
              <w:suppressLineNumbers w:val="0"/>
              <w:spacing w:before="0" w:beforeAutospacing="0" w:after="0" w:afterAutospacing="0"/>
              <w:ind w:left="0" w:right="0"/>
              <w:jc w:val="left"/>
              <w:textAlignment w:val="center"/>
              <w:rPr>
                <w:rFonts w:hint="default" w:ascii="宋体" w:hAnsi="宋体" w:cs="宋体"/>
                <w:b/>
                <w:bCs/>
                <w:color w:val="000000"/>
                <w:sz w:val="24"/>
              </w:rPr>
            </w:pPr>
            <w:r>
              <w:rPr>
                <w:rFonts w:hint="eastAsia" w:ascii="宋体" w:hAnsi="宋体" w:cs="宋体"/>
                <w:b/>
                <w:bCs/>
                <w:color w:val="000000"/>
                <w:kern w:val="0"/>
                <w:sz w:val="24"/>
                <w:lang w:bidi="ar"/>
              </w:rPr>
              <w:t>配置要求</w:t>
            </w:r>
          </w:p>
        </w:tc>
        <w:tc>
          <w:tcPr>
            <w:tcW w:w="1120" w:type="dxa"/>
            <w:vAlign w:val="center"/>
          </w:tcPr>
          <w:p w14:paraId="26CD9860">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000000"/>
                <w:sz w:val="24"/>
              </w:rPr>
            </w:pPr>
            <w:r>
              <w:rPr>
                <w:rFonts w:hint="eastAsia" w:ascii="宋体" w:hAnsi="宋体" w:cs="宋体"/>
                <w:b/>
                <w:bCs/>
                <w:color w:val="000000"/>
                <w:kern w:val="0"/>
                <w:sz w:val="24"/>
                <w:lang w:bidi="ar"/>
              </w:rPr>
              <w:t>数量</w:t>
            </w:r>
          </w:p>
        </w:tc>
        <w:tc>
          <w:tcPr>
            <w:tcW w:w="1046" w:type="dxa"/>
            <w:vAlign w:val="center"/>
          </w:tcPr>
          <w:p w14:paraId="05D5E9C9">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000000"/>
                <w:sz w:val="24"/>
              </w:rPr>
            </w:pPr>
            <w:r>
              <w:rPr>
                <w:rFonts w:hint="eastAsia" w:ascii="宋体" w:hAnsi="宋体" w:cs="宋体"/>
                <w:b/>
                <w:bCs/>
                <w:color w:val="000000"/>
                <w:kern w:val="0"/>
                <w:sz w:val="24"/>
                <w:lang w:bidi="ar"/>
              </w:rPr>
              <w:t>单位</w:t>
            </w:r>
          </w:p>
        </w:tc>
      </w:tr>
      <w:tr w14:paraId="72B6E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692" w:type="dxa"/>
            <w:vAlign w:val="center"/>
          </w:tcPr>
          <w:p w14:paraId="5B0368A0">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w:t>
            </w:r>
            <w:r>
              <w:rPr>
                <w:rFonts w:hint="default" w:ascii="宋体" w:hAnsi="宋体" w:cs="宋体"/>
                <w:color w:val="000000"/>
                <w:kern w:val="0"/>
                <w:sz w:val="24"/>
                <w:lang w:bidi="ar"/>
              </w:rPr>
              <w:t>27</w:t>
            </w:r>
          </w:p>
        </w:tc>
        <w:tc>
          <w:tcPr>
            <w:tcW w:w="2184" w:type="dxa"/>
            <w:gridSpan w:val="3"/>
            <w:vAlign w:val="center"/>
          </w:tcPr>
          <w:p w14:paraId="70DA915B">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网络出口区域</w:t>
            </w:r>
          </w:p>
        </w:tc>
        <w:tc>
          <w:tcPr>
            <w:tcW w:w="1497" w:type="dxa"/>
            <w:vAlign w:val="center"/>
          </w:tcPr>
          <w:p w14:paraId="1D9C6D71">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下一代防火墙（含IPS、IPC防护功能）</w:t>
            </w:r>
          </w:p>
        </w:tc>
        <w:tc>
          <w:tcPr>
            <w:tcW w:w="7457" w:type="dxa"/>
            <w:vAlign w:val="center"/>
          </w:tcPr>
          <w:p w14:paraId="57260F29">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1、性能参数：IPC 摄像头接入数（4M 码流）≥3000；设备整机吞吐性能≥20G，并发连接数≥800万，每秒新建HTTP连接数≥16万，冗余电源，配置千兆电口不少于6个、千兆光口SFP不少于4个（满配光模块）。</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2、多核并行处理架构，采用国产处理器和国产操作系统。</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可识别PC/云桌面/手机/平板/交换/路由器/防火墙/无线控制器/服务器等IT资产；摄像头/门禁/打印机/投影仪/VOIP设备/条形码扫描仪/医学图像打印机/呼吸机/心电图仪/监护仪/放射系统等IoT混合资产并获取IP、MAC、操作系统、类型、厂商等信息，提供功能截图证明材料。</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4、支持一体化安全策略配置，参与信息安全技术第二代防火墙安全技术要求起草佐证可基于设备安全区域、地址、应用、用户等属性配置入侵防御、URL过滤、应用过滤等高级访问控制功能，提供相关证明材料。</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5、支持识别MQTT(消息队列遥测传输)、ONVIF(网络视频接口协议)等协议并支持按照指定协议、策略生效时间段、新增单次/循环计划配置应用层准入策略，提供功能截图证明材料。</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6、支持SIP、RTP、RTCP、RTSP等识别和准入，符合GB/T 28181、GB 35114等标准，可在设备界面配置上述指定协议/基于国家标准的准入和入网通信策略。提供功能截图证明材料</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7、支持接入区设备漏洞防扫描功能和具备云安全能力成熟度模型第五级，保障实现对NMAP等扫描设备采用IP地址扫描的行为阻断和日志留存，提供相关证明材料。</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8、支持 HTTP/HTTPS，FTP，POP3，SMTP，IMAP ,SMB协议的病毒查杀，支持查杀邮件附件、URL下载文件中包含的病毒。</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9、支持以名称、ID、CVE标识、危险等级、描述信息等在设备界面进行快速查询。提供第三方证明材料佐证内置漏洞规则并支持自定义IPS规则库。</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10、支持链路聚合功能，可以将多个物理链路组合成一个性能更高的逻辑链路接口，提高链路带宽和链路可靠性。</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11、支持虚拟防火墙功能，支持虚拟防火墙的创建和删除，具备独立的接口、会话管理、应用控制策略、NAT等资源。</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14、至少提供三年硬件质保和三年软件升级服务。</w:t>
            </w:r>
          </w:p>
        </w:tc>
        <w:tc>
          <w:tcPr>
            <w:tcW w:w="1120" w:type="dxa"/>
            <w:vAlign w:val="center"/>
          </w:tcPr>
          <w:p w14:paraId="124198A3">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2</w:t>
            </w:r>
          </w:p>
        </w:tc>
        <w:tc>
          <w:tcPr>
            <w:tcW w:w="1046" w:type="dxa"/>
            <w:vAlign w:val="center"/>
          </w:tcPr>
          <w:p w14:paraId="57A567E0">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台</w:t>
            </w:r>
          </w:p>
        </w:tc>
      </w:tr>
      <w:tr w14:paraId="415D4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692" w:type="dxa"/>
            <w:vAlign w:val="center"/>
          </w:tcPr>
          <w:p w14:paraId="6C70DB9B">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w:t>
            </w:r>
            <w:r>
              <w:rPr>
                <w:rFonts w:hint="default" w:ascii="宋体" w:hAnsi="宋体" w:cs="宋体"/>
                <w:color w:val="000000"/>
                <w:kern w:val="0"/>
                <w:sz w:val="24"/>
                <w:lang w:bidi="ar"/>
              </w:rPr>
              <w:t>28</w:t>
            </w:r>
          </w:p>
        </w:tc>
        <w:tc>
          <w:tcPr>
            <w:tcW w:w="2184" w:type="dxa"/>
            <w:gridSpan w:val="3"/>
            <w:vAlign w:val="center"/>
          </w:tcPr>
          <w:p w14:paraId="099701C7">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各委办局接入区域</w:t>
            </w:r>
          </w:p>
        </w:tc>
        <w:tc>
          <w:tcPr>
            <w:tcW w:w="1497" w:type="dxa"/>
            <w:vAlign w:val="center"/>
          </w:tcPr>
          <w:p w14:paraId="5AC3F05A">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下一代防火墙（含IPS、IPC防护功能）</w:t>
            </w:r>
          </w:p>
        </w:tc>
        <w:tc>
          <w:tcPr>
            <w:tcW w:w="7457" w:type="dxa"/>
            <w:vAlign w:val="center"/>
          </w:tcPr>
          <w:p w14:paraId="183B1B84">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1、性能参数：IPC 摄像头接入数（4M 码流）≥3000；设备整机吞吐性能≥20G，并发连接数≥800万，每秒新建HTTP连接数≥16万，冗余电源，配置千兆电口不少于6个、千兆光口SFP不少于4个（满配光模块）。</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2、多核并行处理架构，采用国产处理器和国产操作系统。</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可识别PC/云桌面/手机/平板/交换/路由器/防火墙/无线控制器/服务器等IT资产；摄像头/门禁/打印机/投影仪/VOIP设备/条形码扫描仪/医学图像打印机/呼吸机/心电图仪/监护仪/放射系统等IoT混合资产并获取IP、MAC、操作系统、类型、厂商等信息，提供功能截图证明材料。</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4、支持一体化安全策略配置，参与信息安全技术第二代防火墙安全技术要求起草佐证可基于设备安全区域、地址、应用、用户等属性配置入侵防御、URL过滤、应用过滤等高级访问控制功能，提供相关证明材料。</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5、支持识别MQTT(消息队列遥测传输)、ONVIF(网络视频接口协议)等协议并支持按照指定协议、策略生效时间段、新增单次/循环计划配置应用层准入策略，提供功能截图证明材料。</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6、支持SIP、RTP、RTCP、RTSP等识别和准入，符合GB/T 28181、GB 35114等标准，可在设备界面配置上述指定协议/基于国家标准的准入和入网通信策略。提供功能截图证明材料</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7、支持接入区设备漏洞防扫描功能和具备云安全能力成熟度模型第五级，保障实现对NMAP等扫描设备采用IP地址扫描的行为阻断和日志留存，提供相关证明材料。</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8、支持 HTTP/HTTPS，FTP，POP3，SMTP，IMAP ,SMB协议的病毒查杀，支持查杀邮件附件、URL下载文件中包含的病毒。</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9、支持以名称、ID、CVE标识、危险等级、描述信息等在设备界面进行快速查询。提供第三方证明材料佐证内置漏洞规则并支持自定义IPS规则库。</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10、支持链路聚合功能，可以将多个物理链路组合成一个性能更高的逻辑链路接口，提高链路带宽和链路可靠性。</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11、支持虚拟防火墙功能，支持虚拟防火墙的创建和删除，具备独立的接口、会话管理、应用控制策略、NAT等资源。</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12、至少提供三年硬件质保和三年软件升级服务。</w:t>
            </w:r>
          </w:p>
        </w:tc>
        <w:tc>
          <w:tcPr>
            <w:tcW w:w="1120" w:type="dxa"/>
            <w:vAlign w:val="center"/>
          </w:tcPr>
          <w:p w14:paraId="79A702EE">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2</w:t>
            </w:r>
          </w:p>
        </w:tc>
        <w:tc>
          <w:tcPr>
            <w:tcW w:w="1046" w:type="dxa"/>
            <w:vAlign w:val="center"/>
          </w:tcPr>
          <w:p w14:paraId="7FDD6A3E">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台</w:t>
            </w:r>
          </w:p>
        </w:tc>
      </w:tr>
      <w:tr w14:paraId="34E1E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trPr>
        <w:tc>
          <w:tcPr>
            <w:tcW w:w="692" w:type="dxa"/>
            <w:vAlign w:val="center"/>
          </w:tcPr>
          <w:p w14:paraId="731959E5">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w:t>
            </w:r>
            <w:r>
              <w:rPr>
                <w:rFonts w:hint="default" w:ascii="宋体" w:hAnsi="宋体" w:cs="宋体"/>
                <w:color w:val="000000"/>
                <w:kern w:val="0"/>
                <w:sz w:val="24"/>
                <w:lang w:bidi="ar"/>
              </w:rPr>
              <w:t>29</w:t>
            </w:r>
          </w:p>
        </w:tc>
        <w:tc>
          <w:tcPr>
            <w:tcW w:w="2184" w:type="dxa"/>
            <w:gridSpan w:val="3"/>
            <w:vMerge w:val="restart"/>
            <w:vAlign w:val="center"/>
          </w:tcPr>
          <w:p w14:paraId="09715555">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核心交换区域</w:t>
            </w:r>
          </w:p>
        </w:tc>
        <w:tc>
          <w:tcPr>
            <w:tcW w:w="1497" w:type="dxa"/>
            <w:vAlign w:val="center"/>
          </w:tcPr>
          <w:p w14:paraId="119BA723">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行为审计</w:t>
            </w:r>
          </w:p>
        </w:tc>
        <w:tc>
          <w:tcPr>
            <w:tcW w:w="7457" w:type="dxa"/>
            <w:vAlign w:val="center"/>
          </w:tcPr>
          <w:p w14:paraId="7FB435DF">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1、1U硬件、配置千兆电口不少于6个、千兆光口不少于4个（满配光模块）、整机吞吐性能≥3.6G、准入授权不少于800个。</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2、支持LDAP、Radius、POP3等第三方认证，其中LDAP认证应支持AD域、lotus ldap、novell ldap、open ldap IBM ldap等。</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3、支持在设置流量策略后，根据整体线路或者某流量通道内的空闲情况，自动启用和停止使用流量控制策略，以提升带宽的高使用率；空闲值可自定义。</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4、支持对SSL加密网页进行解密并识别、支持过滤SSL加密网页内容，针对加密后的钓鱼网站、非法网站，可对用户进行重定向告警，提供设备功能截图证明材料。</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5、支持通过抑制P2P的下行丢包，来减缓P2P的下行流量，解决网络出口在做流控后仍然压力较大的问题，提供设备功能截图证明材料。</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6、基于进程(含杀软)检查、操作系统检查、文件检查、注册表检查、补丁检查、Windows账号检查、防篡改检查、客户端集成检查、软件检查等策略配置Windows终端安全检查策略并对不符合要求的终端设置弹窗提示、禁止上网、违规修复，提供设备功能截图证明材料。</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7、支持存储设备、网络设备、蓝牙设备、摄像头、打印机的使用管控；支持外设白名单，提供批量获取硬件ID的工具进行白名单配置。</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8、支持自定义测试地址，支持基于PING机制测试连通性，对不满足检查要求的终端强制断网，支持向管理员告警，并弹窗提示用户。</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9、支持与防火墙系统实现认证联动，可以转发用户认证信息到防火墙，实现单点登录，提供设备功能截图证明材料。</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10、支持对U盘、移动硬盘进行管控，支持对外设设置可读写、拒绝、可读、告警；可对拷贝的文件内容以及插入和拔出行为的审计。</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11、至少提供三年硬件质保及三年软件升级服务。</w:t>
            </w:r>
          </w:p>
        </w:tc>
        <w:tc>
          <w:tcPr>
            <w:tcW w:w="1120" w:type="dxa"/>
            <w:vAlign w:val="center"/>
          </w:tcPr>
          <w:p w14:paraId="22373A38">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w:t>
            </w:r>
          </w:p>
        </w:tc>
        <w:tc>
          <w:tcPr>
            <w:tcW w:w="1046" w:type="dxa"/>
            <w:vAlign w:val="center"/>
          </w:tcPr>
          <w:p w14:paraId="51C4A74B">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台</w:t>
            </w:r>
          </w:p>
        </w:tc>
      </w:tr>
      <w:tr w14:paraId="7F206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2" w:type="dxa"/>
            <w:vAlign w:val="center"/>
          </w:tcPr>
          <w:p w14:paraId="541EBF8F">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13</w:t>
            </w:r>
            <w:r>
              <w:rPr>
                <w:rFonts w:hint="default" w:ascii="宋体" w:hAnsi="宋体" w:cs="宋体"/>
                <w:color w:val="000000"/>
                <w:kern w:val="0"/>
                <w:sz w:val="24"/>
                <w:lang w:bidi="ar"/>
              </w:rPr>
              <w:t>0</w:t>
            </w:r>
          </w:p>
        </w:tc>
        <w:tc>
          <w:tcPr>
            <w:tcW w:w="2184" w:type="dxa"/>
            <w:gridSpan w:val="3"/>
            <w:vMerge w:val="continue"/>
            <w:vAlign w:val="center"/>
          </w:tcPr>
          <w:p w14:paraId="1DE7B337">
            <w:pPr>
              <w:keepNext w:val="0"/>
              <w:keepLines w:val="0"/>
              <w:suppressLineNumbers w:val="0"/>
              <w:spacing w:before="0" w:beforeAutospacing="0" w:after="0" w:afterAutospacing="0"/>
              <w:ind w:left="0" w:right="0"/>
              <w:jc w:val="center"/>
              <w:rPr>
                <w:rFonts w:hint="default" w:ascii="宋体" w:hAnsi="宋体" w:cs="宋体"/>
                <w:color w:val="000000"/>
                <w:sz w:val="24"/>
              </w:rPr>
            </w:pPr>
          </w:p>
        </w:tc>
        <w:tc>
          <w:tcPr>
            <w:tcW w:w="1497" w:type="dxa"/>
            <w:vAlign w:val="center"/>
          </w:tcPr>
          <w:p w14:paraId="5E3EE688">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核心交换机</w:t>
            </w:r>
          </w:p>
        </w:tc>
        <w:tc>
          <w:tcPr>
            <w:tcW w:w="7457" w:type="dxa"/>
            <w:vAlign w:val="center"/>
          </w:tcPr>
          <w:p w14:paraId="6B930B36">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1、交换容量≥50Tbps/180Tbps；包转发率≥10000Mpps/37000Mpps；</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2、独立主控引擎插槽≥2个，独立业务插槽数≥3个；</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3、采用右侧进后出风道设计，风扇支持无级调速精密温控，提升散热效率；</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4、支持GE、10G、40G、100G等端口速率板卡；业务板卡支持最高端口密度至少52个端口；</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5、N:1虚拟化：可以将多台物理设备虚拟化为一台逻辑设备；</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6、支持基础安全保护策略、MD5认证、L2（Layer 2）-L4（Layer 4）ACL流识别安全机制、TCP/UDP Flood攻击等，保护系统各种服务的正常运行；</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7、基于主控板卡快速主备切换能力、一键复位功能、自定义板卡命名等功能；</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8、支持业务板卡预配置功能：通过1：1面板还原可视化板卡，选择板卡类型，实现板卡的即插即用；</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9、电器设备外壳对外界机械碰撞的防护等级：IK06；</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10、配置双主控、双电源、千兆电口≥14、千兆光口≥14（满配光模块）、万兆光口≥6（满配光模块）。</w:t>
            </w:r>
          </w:p>
        </w:tc>
        <w:tc>
          <w:tcPr>
            <w:tcW w:w="1120" w:type="dxa"/>
            <w:vAlign w:val="center"/>
          </w:tcPr>
          <w:p w14:paraId="24CE6207">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2</w:t>
            </w:r>
          </w:p>
        </w:tc>
        <w:tc>
          <w:tcPr>
            <w:tcW w:w="1046" w:type="dxa"/>
            <w:vAlign w:val="center"/>
          </w:tcPr>
          <w:p w14:paraId="13DBF30A">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台</w:t>
            </w:r>
          </w:p>
        </w:tc>
      </w:tr>
      <w:tr w14:paraId="74C37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692" w:type="dxa"/>
            <w:vAlign w:val="center"/>
          </w:tcPr>
          <w:p w14:paraId="7AD8E1DF">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13</w:t>
            </w:r>
            <w:r>
              <w:rPr>
                <w:rFonts w:hint="default" w:ascii="宋体" w:hAnsi="宋体" w:cs="宋体"/>
                <w:color w:val="000000"/>
                <w:kern w:val="0"/>
                <w:sz w:val="24"/>
                <w:lang w:bidi="ar"/>
              </w:rPr>
              <w:t>1</w:t>
            </w:r>
          </w:p>
        </w:tc>
        <w:tc>
          <w:tcPr>
            <w:tcW w:w="2184" w:type="dxa"/>
            <w:gridSpan w:val="3"/>
            <w:vAlign w:val="center"/>
          </w:tcPr>
          <w:p w14:paraId="1182899C">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终端防病毒</w:t>
            </w:r>
          </w:p>
        </w:tc>
        <w:tc>
          <w:tcPr>
            <w:tcW w:w="1497" w:type="dxa"/>
            <w:vAlign w:val="center"/>
          </w:tcPr>
          <w:p w14:paraId="43E5F5D2">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终端管理系统</w:t>
            </w:r>
          </w:p>
        </w:tc>
        <w:tc>
          <w:tcPr>
            <w:tcW w:w="7457" w:type="dxa"/>
            <w:vAlign w:val="center"/>
          </w:tcPr>
          <w:p w14:paraId="12C1E4AB">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Fonts w:hint="eastAsia" w:ascii="宋体" w:hAnsi="宋体" w:cs="宋体"/>
                <w:color w:val="000000"/>
                <w:kern w:val="0"/>
                <w:sz w:val="24"/>
                <w:lang w:bidi="ar"/>
              </w:rPr>
              <w:t>1、含 1 套控制中心，包含不少于4套服务器版授权。包含管理控制中心软件及终端客户端软件，其中管理控制中心可云化部署。</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2、采用 B/S 架构的管理控制中心，具备终端安全可视，终端统一管理，统一威胁处置，统一漏洞修复，威胁响应处置，日志记录与查询等功能。</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提供勒索病毒整体防护体系入口，直观展示最近七天勒索病毒防护效果，包括已处置的勒索病毒数量、已阻止的勒索病毒行为次数、已阻止的未知进程操作次数、已阻止的暴力破解攻击次数，提供设备功能截图证明材料。</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4、支持跳转链接至云端威胁情报中心，针对已发生的威胁提供详细的分析结果，包含威胁分析、网络行为、静态分析、分析环境和影响分析。</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5、支持安全策略一体化配置，通过单一策略即可实现不同安全功能的配置，包括：终端病毒查杀的文件扫描配置、文件实时监控的参数配置、WebShell 检测和威胁处置方式、暴力破解的威胁处置方式和 Windows白名单信任目录。</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6、支持对系统账号信息进行梳理，了解账号权限分布概况以及风险账号分布情况，可按照隐藏账号、弱密码账号、可疑 root 权限账号、长期未使用账号、夜间登录、多 IP 登录进行账号分类查看，支持统计最近一年未修改密码的账户。</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7、通过智能识别终端环境情况（低配硬件、老旧设备、虚拟化等）和当前终端资源占用，在闲时实时监控和病毒扫描场景，都可智能调整EDR 的资源占用（CPU、IO 等），为业务让出资源，不卡业务，对业务零摩擦，提供设备功能截图证明材料。</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8、支持采集记录文件操作事件、进程操作事件、网络连接、注册表操作、驱动加载等系统层应用层行为数据，对这类行为持续监测分析，对可疑的攻击行为提前研判。</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9、支持一键云鉴定服务，提供云端专家+沙箱+多引擎鉴定能力，结合云端威胁情报对已告警的威胁文件再次进行综合研判并给出 100%黑白结果，用户可自助对管理平台告警的威胁快速判断是否误报和了解威胁详情，提供设备功能截图证明材料。</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10、基于勒索病毒攻击过程，建立多维度立体防护机制，提供事前入侵防御-事中反加密-事后检测响应的完整防护体系，展示勒索病毒处置情况，对勒索病毒及变种实现专门有效防御，支持用户直接对勒索病毒的家族名、病毒名、加密文件后缀名执行链接查询，可通过直接上传加密文件的方式确定勒索病毒类型，如果能解密可以提供必要的解密工具。</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11、一键式操作对指定 Windows 终端/终端组进行合规性检查，包括身份鉴别、访问控制、安全审计、剩余信息保护、入侵防范、恶意代码防范，对不合规的检查项提供设置建议，并可视化展示终端的基线合规检查结果。</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12、至少提供三年的软件升级服务。</w:t>
            </w:r>
          </w:p>
        </w:tc>
        <w:tc>
          <w:tcPr>
            <w:tcW w:w="1120" w:type="dxa"/>
            <w:vAlign w:val="center"/>
          </w:tcPr>
          <w:p w14:paraId="63C9B214">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12</w:t>
            </w:r>
          </w:p>
        </w:tc>
        <w:tc>
          <w:tcPr>
            <w:tcW w:w="1046" w:type="dxa"/>
            <w:vAlign w:val="center"/>
          </w:tcPr>
          <w:p w14:paraId="1FEC2267">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套</w:t>
            </w:r>
          </w:p>
        </w:tc>
      </w:tr>
      <w:tr w14:paraId="1F518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3996" w:type="dxa"/>
            <w:gridSpan w:val="8"/>
            <w:vAlign w:val="center"/>
          </w:tcPr>
          <w:p w14:paraId="32CFC12B">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000000"/>
                <w:sz w:val="24"/>
              </w:rPr>
            </w:pPr>
            <w:r>
              <w:rPr>
                <w:rFonts w:hint="eastAsia" w:ascii="宋体" w:hAnsi="宋体" w:cs="宋体"/>
                <w:b/>
                <w:bCs/>
                <w:color w:val="000000"/>
                <w:kern w:val="0"/>
                <w:sz w:val="24"/>
                <w:lang w:val="en-US" w:eastAsia="zh-CN" w:bidi="ar"/>
              </w:rPr>
              <w:t>九</w:t>
            </w:r>
            <w:r>
              <w:rPr>
                <w:rFonts w:hint="eastAsia" w:ascii="宋体" w:hAnsi="宋体" w:cs="宋体"/>
                <w:b/>
                <w:bCs/>
                <w:color w:val="000000"/>
                <w:kern w:val="0"/>
                <w:sz w:val="24"/>
                <w:lang w:bidi="ar"/>
              </w:rPr>
              <w:t>、系统集成</w:t>
            </w:r>
          </w:p>
        </w:tc>
      </w:tr>
      <w:tr w14:paraId="34FF1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692" w:type="dxa"/>
            <w:vAlign w:val="center"/>
          </w:tcPr>
          <w:p w14:paraId="7BDFB981">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13</w:t>
            </w:r>
            <w:r>
              <w:rPr>
                <w:rFonts w:hint="default" w:ascii="宋体" w:hAnsi="宋体" w:cs="宋体"/>
                <w:color w:val="000000"/>
                <w:kern w:val="0"/>
                <w:sz w:val="24"/>
                <w:lang w:bidi="ar"/>
              </w:rPr>
              <w:t>2</w:t>
            </w:r>
          </w:p>
        </w:tc>
        <w:tc>
          <w:tcPr>
            <w:tcW w:w="2184" w:type="dxa"/>
            <w:gridSpan w:val="3"/>
            <w:vAlign w:val="center"/>
          </w:tcPr>
          <w:p w14:paraId="6C6619DA">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系统集成</w:t>
            </w:r>
          </w:p>
        </w:tc>
        <w:tc>
          <w:tcPr>
            <w:tcW w:w="8954" w:type="dxa"/>
            <w:gridSpan w:val="2"/>
            <w:vAlign w:val="center"/>
          </w:tcPr>
          <w:p w14:paraId="170D2A24">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000000"/>
                <w:sz w:val="24"/>
              </w:rPr>
            </w:pPr>
            <w:r>
              <w:rPr>
                <w:rFonts w:hint="eastAsia" w:ascii="宋体" w:hAnsi="宋体" w:cs="宋体"/>
                <w:b/>
                <w:bCs/>
                <w:color w:val="000000"/>
                <w:kern w:val="0"/>
                <w:sz w:val="24"/>
                <w:lang w:bidi="ar"/>
              </w:rPr>
              <w:t>系统集成</w:t>
            </w:r>
          </w:p>
        </w:tc>
        <w:tc>
          <w:tcPr>
            <w:tcW w:w="1120" w:type="dxa"/>
            <w:vAlign w:val="center"/>
          </w:tcPr>
          <w:p w14:paraId="27ED4AE8">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1</w:t>
            </w:r>
          </w:p>
        </w:tc>
        <w:tc>
          <w:tcPr>
            <w:tcW w:w="1046" w:type="dxa"/>
            <w:vAlign w:val="center"/>
          </w:tcPr>
          <w:p w14:paraId="7C04B3AA">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项</w:t>
            </w:r>
          </w:p>
        </w:tc>
      </w:tr>
    </w:tbl>
    <w:p w14:paraId="1698067A">
      <w:pPr>
        <w:spacing w:line="360" w:lineRule="auto"/>
        <w:jc w:val="left"/>
        <w:rPr>
          <w:rFonts w:ascii="宋体" w:hAnsi="宋体" w:cs="宋体"/>
          <w:b/>
          <w:bCs/>
          <w:sz w:val="32"/>
          <w:szCs w:val="32"/>
        </w:rPr>
      </w:pPr>
    </w:p>
    <w:p w14:paraId="0C4B8AEF">
      <w:pPr>
        <w:rPr>
          <w:rFonts w:hint="eastAsia"/>
        </w:rPr>
      </w:pPr>
    </w:p>
    <w:p w14:paraId="759750BA">
      <w:pPr>
        <w:spacing w:line="360" w:lineRule="auto"/>
        <w:rPr>
          <w:rFonts w:hint="eastAsia" w:ascii="宋体" w:hAnsi="宋体" w:eastAsia="宋体" w:cs="宋体"/>
          <w:kern w:val="0"/>
        </w:rPr>
      </w:pPr>
    </w:p>
    <w:sectPr>
      <w:pgSz w:w="16838" w:h="11906" w:orient="landscape"/>
      <w:pgMar w:top="1321" w:right="1440" w:bottom="1406" w:left="1440" w:header="851" w:footer="992" w:gutter="0"/>
      <w:pgNumType w:fmt="decimal"/>
      <w:cols w:space="720" w:num="1"/>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font-weight : 400">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03" w:usb1="288F0000" w:usb2="0000000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D66EA">
    <w:pPr>
      <w:pStyle w:val="15"/>
      <w:framePr w:wrap="around" w:vAnchor="text" w:hAnchor="margin" w:xAlign="center" w:y="1"/>
      <w:rPr>
        <w:rStyle w:val="29"/>
      </w:rPr>
    </w:pPr>
    <w:r>
      <w:fldChar w:fldCharType="begin"/>
    </w:r>
    <w:r>
      <w:rPr>
        <w:rStyle w:val="29"/>
      </w:rPr>
      <w:instrText xml:space="preserve">PAGE  </w:instrText>
    </w:r>
    <w:r>
      <w:fldChar w:fldCharType="separate"/>
    </w:r>
    <w:r>
      <w:fldChar w:fldCharType="end"/>
    </w:r>
  </w:p>
  <w:p w14:paraId="6488787D">
    <w:pPr>
      <w:pStyle w:val="1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9B367">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C43584C">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7C43584C">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C729C">
    <w:pPr>
      <w:pStyle w:val="16"/>
      <w:pBdr>
        <w:bottom w:val="none" w:color="auto" w:sz="0" w:space="1"/>
      </w:pBdr>
      <w:jc w:val="both"/>
      <w:rPr>
        <w:rFonts w:hint="eastAsia"/>
        <w:sz w:val="24"/>
        <w:szCs w:val="24"/>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07C41">
    <w:pPr>
      <w:pStyle w:val="16"/>
      <w:pBdr>
        <w:bottom w:val="none" w:color="auto" w:sz="0" w:space="1"/>
      </w:pBdr>
      <w:jc w:val="both"/>
      <w:rPr>
        <w:rFonts w:hint="eastAsia"/>
        <w:sz w:val="24"/>
        <w:szCs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B2CC4F"/>
    <w:multiLevelType w:val="singleLevel"/>
    <w:tmpl w:val="92B2CC4F"/>
    <w:lvl w:ilvl="0" w:tentative="0">
      <w:start w:val="2"/>
      <w:numFmt w:val="chineseCounting"/>
      <w:suff w:val="nothing"/>
      <w:lvlText w:val="（%1）"/>
      <w:lvlJc w:val="left"/>
      <w:rPr>
        <w:rFonts w:hint="eastAsia"/>
      </w:rPr>
    </w:lvl>
  </w:abstractNum>
  <w:abstractNum w:abstractNumId="1">
    <w:nsid w:val="EE30E8FA"/>
    <w:multiLevelType w:val="singleLevel"/>
    <w:tmpl w:val="EE30E8FA"/>
    <w:lvl w:ilvl="0" w:tentative="0">
      <w:start w:val="2"/>
      <w:numFmt w:val="chineseCounting"/>
      <w:suff w:val="nothing"/>
      <w:lvlText w:val="%1、"/>
      <w:lvlJc w:val="left"/>
      <w:rPr>
        <w:rFonts w:hint="eastAsia"/>
      </w:rPr>
    </w:lvl>
  </w:abstractNum>
  <w:abstractNum w:abstractNumId="2">
    <w:nsid w:val="F99B816D"/>
    <w:multiLevelType w:val="singleLevel"/>
    <w:tmpl w:val="F99B816D"/>
    <w:lvl w:ilvl="0" w:tentative="0">
      <w:start w:val="1"/>
      <w:numFmt w:val="decimal"/>
      <w:suff w:val="nothing"/>
      <w:lvlText w:val="%1、"/>
      <w:lvlJc w:val="left"/>
    </w:lvl>
  </w:abstractNum>
  <w:abstractNum w:abstractNumId="3">
    <w:nsid w:val="00000014"/>
    <w:multiLevelType w:val="singleLevel"/>
    <w:tmpl w:val="00000014"/>
    <w:lvl w:ilvl="0" w:tentative="0">
      <w:start w:val="1"/>
      <w:numFmt w:val="decimal"/>
      <w:suff w:val="nothing"/>
      <w:lvlText w:val="（%1）"/>
      <w:lvlJc w:val="left"/>
    </w:lvl>
  </w:abstractNum>
  <w:abstractNum w:abstractNumId="4">
    <w:nsid w:val="00559783"/>
    <w:multiLevelType w:val="singleLevel"/>
    <w:tmpl w:val="00559783"/>
    <w:lvl w:ilvl="0" w:tentative="0">
      <w:start w:val="1"/>
      <w:numFmt w:val="decimal"/>
      <w:lvlText w:val="%1."/>
      <w:lvlJc w:val="left"/>
      <w:pPr>
        <w:tabs>
          <w:tab w:val="left" w:pos="312"/>
        </w:tabs>
      </w:pPr>
    </w:lvl>
  </w:abstractNum>
  <w:abstractNum w:abstractNumId="5">
    <w:nsid w:val="3D4B4EFC"/>
    <w:multiLevelType w:val="singleLevel"/>
    <w:tmpl w:val="3D4B4EFC"/>
    <w:lvl w:ilvl="0" w:tentative="0">
      <w:start w:val="2"/>
      <w:numFmt w:val="decimal"/>
      <w:lvlText w:val="%1."/>
      <w:lvlJc w:val="left"/>
      <w:pPr>
        <w:tabs>
          <w:tab w:val="left" w:pos="312"/>
        </w:tabs>
      </w:pPr>
    </w:lvl>
  </w:abstractNum>
  <w:abstractNum w:abstractNumId="6">
    <w:nsid w:val="3E0D5EC8"/>
    <w:multiLevelType w:val="singleLevel"/>
    <w:tmpl w:val="3E0D5EC8"/>
    <w:lvl w:ilvl="0" w:tentative="0">
      <w:start w:val="1"/>
      <w:numFmt w:val="decimal"/>
      <w:lvlText w:val="%1."/>
      <w:lvlJc w:val="left"/>
      <w:pPr>
        <w:tabs>
          <w:tab w:val="left" w:pos="312"/>
        </w:tabs>
      </w:pPr>
    </w:lvl>
  </w:abstractNum>
  <w:abstractNum w:abstractNumId="7">
    <w:nsid w:val="6423F211"/>
    <w:multiLevelType w:val="singleLevel"/>
    <w:tmpl w:val="6423F211"/>
    <w:lvl w:ilvl="0" w:tentative="0">
      <w:start w:val="15"/>
      <w:numFmt w:val="decimal"/>
      <w:suff w:val="nothing"/>
      <w:lvlText w:val="%1."/>
      <w:lvlJc w:val="left"/>
    </w:lvl>
  </w:abstractNum>
  <w:abstractNum w:abstractNumId="8">
    <w:nsid w:val="6423F4EA"/>
    <w:multiLevelType w:val="singleLevel"/>
    <w:tmpl w:val="6423F4EA"/>
    <w:lvl w:ilvl="0" w:tentative="0">
      <w:start w:val="1"/>
      <w:numFmt w:val="decimal"/>
      <w:suff w:val="nothing"/>
      <w:lvlText w:val="%1."/>
      <w:lvlJc w:val="left"/>
    </w:lvl>
  </w:abstractNum>
  <w:num w:numId="1">
    <w:abstractNumId w:val="8"/>
  </w:num>
  <w:num w:numId="2">
    <w:abstractNumId w:val="3"/>
  </w:num>
  <w:num w:numId="3">
    <w:abstractNumId w:val="7"/>
  </w:num>
  <w:num w:numId="4">
    <w:abstractNumId w:val="6"/>
  </w:num>
  <w:num w:numId="5">
    <w:abstractNumId w:val="5"/>
  </w:num>
  <w:num w:numId="6">
    <w:abstractNumId w:val="1"/>
  </w:num>
  <w:num w:numId="7">
    <w:abstractNumId w:val="0"/>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9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xMTQ0MjdhNWQ2ZTE1MzgyYWQzNmZiYmNlNjkyNjQifQ=="/>
  </w:docVars>
  <w:rsids>
    <w:rsidRoot w:val="00172A27"/>
    <w:rsid w:val="00270BE1"/>
    <w:rsid w:val="00432F91"/>
    <w:rsid w:val="00494FFB"/>
    <w:rsid w:val="00650F80"/>
    <w:rsid w:val="00746C06"/>
    <w:rsid w:val="008E2A0E"/>
    <w:rsid w:val="00B06E28"/>
    <w:rsid w:val="00B24C18"/>
    <w:rsid w:val="00D20466"/>
    <w:rsid w:val="00F90F66"/>
    <w:rsid w:val="012A6BDB"/>
    <w:rsid w:val="01543C57"/>
    <w:rsid w:val="01BD35AB"/>
    <w:rsid w:val="02184C85"/>
    <w:rsid w:val="023575E5"/>
    <w:rsid w:val="02380E83"/>
    <w:rsid w:val="02753E85"/>
    <w:rsid w:val="0281282A"/>
    <w:rsid w:val="02A37917"/>
    <w:rsid w:val="02AF517F"/>
    <w:rsid w:val="02B0310F"/>
    <w:rsid w:val="02B726F0"/>
    <w:rsid w:val="02D65B0E"/>
    <w:rsid w:val="02FA6225"/>
    <w:rsid w:val="030E7E36"/>
    <w:rsid w:val="03165668"/>
    <w:rsid w:val="03391357"/>
    <w:rsid w:val="03435D32"/>
    <w:rsid w:val="03936CB9"/>
    <w:rsid w:val="03B804CE"/>
    <w:rsid w:val="03C30C20"/>
    <w:rsid w:val="043438CC"/>
    <w:rsid w:val="045D5629"/>
    <w:rsid w:val="04673CA2"/>
    <w:rsid w:val="04804BE5"/>
    <w:rsid w:val="04970029"/>
    <w:rsid w:val="04CB5FDF"/>
    <w:rsid w:val="050D2A9B"/>
    <w:rsid w:val="051C2CDE"/>
    <w:rsid w:val="05215177"/>
    <w:rsid w:val="05452235"/>
    <w:rsid w:val="0549777E"/>
    <w:rsid w:val="05597A8E"/>
    <w:rsid w:val="05685F23"/>
    <w:rsid w:val="058F34B0"/>
    <w:rsid w:val="05A50F26"/>
    <w:rsid w:val="05BC1DCB"/>
    <w:rsid w:val="05ED6429"/>
    <w:rsid w:val="05F9301F"/>
    <w:rsid w:val="06053772"/>
    <w:rsid w:val="063472A0"/>
    <w:rsid w:val="069F7723"/>
    <w:rsid w:val="06AB60C8"/>
    <w:rsid w:val="06B84C89"/>
    <w:rsid w:val="06BC6527"/>
    <w:rsid w:val="06CA7360"/>
    <w:rsid w:val="06DF3FC3"/>
    <w:rsid w:val="06F05278"/>
    <w:rsid w:val="073267E9"/>
    <w:rsid w:val="074107DA"/>
    <w:rsid w:val="076B1CFB"/>
    <w:rsid w:val="07854B6B"/>
    <w:rsid w:val="07B216D8"/>
    <w:rsid w:val="07CC0F13"/>
    <w:rsid w:val="07FC0BA5"/>
    <w:rsid w:val="082223BA"/>
    <w:rsid w:val="082A3964"/>
    <w:rsid w:val="083661BF"/>
    <w:rsid w:val="08422A5C"/>
    <w:rsid w:val="08931509"/>
    <w:rsid w:val="08B80F70"/>
    <w:rsid w:val="08C6543B"/>
    <w:rsid w:val="08CC4F90"/>
    <w:rsid w:val="08F024B8"/>
    <w:rsid w:val="09216B15"/>
    <w:rsid w:val="0931523A"/>
    <w:rsid w:val="095F763D"/>
    <w:rsid w:val="096D3B08"/>
    <w:rsid w:val="099512B1"/>
    <w:rsid w:val="09AD65FB"/>
    <w:rsid w:val="09EF276F"/>
    <w:rsid w:val="0A085874"/>
    <w:rsid w:val="0A0A1357"/>
    <w:rsid w:val="0A2F5262"/>
    <w:rsid w:val="0A397E8E"/>
    <w:rsid w:val="0A4558E0"/>
    <w:rsid w:val="0A825391"/>
    <w:rsid w:val="0A8D3D36"/>
    <w:rsid w:val="0ABB6AF5"/>
    <w:rsid w:val="0ADF27E4"/>
    <w:rsid w:val="0AFE204D"/>
    <w:rsid w:val="0B61144B"/>
    <w:rsid w:val="0B633415"/>
    <w:rsid w:val="0B6727D9"/>
    <w:rsid w:val="0B7A250D"/>
    <w:rsid w:val="0BDA2FAB"/>
    <w:rsid w:val="0BE43E2A"/>
    <w:rsid w:val="0C4F5747"/>
    <w:rsid w:val="0CB16402"/>
    <w:rsid w:val="0CCA3020"/>
    <w:rsid w:val="0CEA36C2"/>
    <w:rsid w:val="0D0A78C0"/>
    <w:rsid w:val="0D132C19"/>
    <w:rsid w:val="0D352B8F"/>
    <w:rsid w:val="0D4032E2"/>
    <w:rsid w:val="0D961154"/>
    <w:rsid w:val="0DA675E9"/>
    <w:rsid w:val="0DA90E87"/>
    <w:rsid w:val="0DC7755F"/>
    <w:rsid w:val="0E2A1FC8"/>
    <w:rsid w:val="0E686F94"/>
    <w:rsid w:val="0E745939"/>
    <w:rsid w:val="0E770F85"/>
    <w:rsid w:val="0E794CFD"/>
    <w:rsid w:val="0E912047"/>
    <w:rsid w:val="0E963B01"/>
    <w:rsid w:val="0F1F58A5"/>
    <w:rsid w:val="0F4672D5"/>
    <w:rsid w:val="0F7A6F7F"/>
    <w:rsid w:val="0FE16FFE"/>
    <w:rsid w:val="10294501"/>
    <w:rsid w:val="10305890"/>
    <w:rsid w:val="104135F9"/>
    <w:rsid w:val="106B3E3D"/>
    <w:rsid w:val="10944070"/>
    <w:rsid w:val="10CC55B8"/>
    <w:rsid w:val="11317B11"/>
    <w:rsid w:val="114809B7"/>
    <w:rsid w:val="119C142F"/>
    <w:rsid w:val="11A6405B"/>
    <w:rsid w:val="11D230A2"/>
    <w:rsid w:val="11E46932"/>
    <w:rsid w:val="12696E37"/>
    <w:rsid w:val="12BB3B36"/>
    <w:rsid w:val="131B6383"/>
    <w:rsid w:val="1324792E"/>
    <w:rsid w:val="133B41E2"/>
    <w:rsid w:val="13A75E69"/>
    <w:rsid w:val="13B0589F"/>
    <w:rsid w:val="13C20EF5"/>
    <w:rsid w:val="13C54541"/>
    <w:rsid w:val="13CD2D44"/>
    <w:rsid w:val="13D34EB0"/>
    <w:rsid w:val="13E946D3"/>
    <w:rsid w:val="140B63F8"/>
    <w:rsid w:val="14164D9C"/>
    <w:rsid w:val="144933C4"/>
    <w:rsid w:val="14761C76"/>
    <w:rsid w:val="147C10A3"/>
    <w:rsid w:val="147F6DE6"/>
    <w:rsid w:val="148461AA"/>
    <w:rsid w:val="148F7029"/>
    <w:rsid w:val="155F1D63"/>
    <w:rsid w:val="158E5532"/>
    <w:rsid w:val="16007AB2"/>
    <w:rsid w:val="160E21CF"/>
    <w:rsid w:val="161D2412"/>
    <w:rsid w:val="163F4A7E"/>
    <w:rsid w:val="167F7565"/>
    <w:rsid w:val="16B26FFE"/>
    <w:rsid w:val="171657DF"/>
    <w:rsid w:val="1720665E"/>
    <w:rsid w:val="173914CE"/>
    <w:rsid w:val="174F7929"/>
    <w:rsid w:val="17514A69"/>
    <w:rsid w:val="1763479D"/>
    <w:rsid w:val="17640153"/>
    <w:rsid w:val="177438E9"/>
    <w:rsid w:val="177B3894"/>
    <w:rsid w:val="178070FD"/>
    <w:rsid w:val="17C70888"/>
    <w:rsid w:val="17C90AA4"/>
    <w:rsid w:val="17F35B20"/>
    <w:rsid w:val="181A30AD"/>
    <w:rsid w:val="181C333C"/>
    <w:rsid w:val="18455C50"/>
    <w:rsid w:val="18491BE4"/>
    <w:rsid w:val="189664AC"/>
    <w:rsid w:val="18B84674"/>
    <w:rsid w:val="18BC23B6"/>
    <w:rsid w:val="18D771F0"/>
    <w:rsid w:val="18DE232D"/>
    <w:rsid w:val="18E13BCB"/>
    <w:rsid w:val="19037FE5"/>
    <w:rsid w:val="19212219"/>
    <w:rsid w:val="19466124"/>
    <w:rsid w:val="197E141A"/>
    <w:rsid w:val="1A004525"/>
    <w:rsid w:val="1A366198"/>
    <w:rsid w:val="1A424B3D"/>
    <w:rsid w:val="1A644AB4"/>
    <w:rsid w:val="1A766595"/>
    <w:rsid w:val="1A78230D"/>
    <w:rsid w:val="1A824F3A"/>
    <w:rsid w:val="1B063DBD"/>
    <w:rsid w:val="1B087B35"/>
    <w:rsid w:val="1B1C538E"/>
    <w:rsid w:val="1B351FAC"/>
    <w:rsid w:val="1B612DA1"/>
    <w:rsid w:val="1B882A24"/>
    <w:rsid w:val="1B99078D"/>
    <w:rsid w:val="1BCF41AF"/>
    <w:rsid w:val="1BF81957"/>
    <w:rsid w:val="1C112A19"/>
    <w:rsid w:val="1C204A0A"/>
    <w:rsid w:val="1C2269D4"/>
    <w:rsid w:val="1C6E0061"/>
    <w:rsid w:val="1C7B60E4"/>
    <w:rsid w:val="1C844F99"/>
    <w:rsid w:val="1C961170"/>
    <w:rsid w:val="1CA0798D"/>
    <w:rsid w:val="1CB533A4"/>
    <w:rsid w:val="1CB810E7"/>
    <w:rsid w:val="1CC57360"/>
    <w:rsid w:val="1CD001DE"/>
    <w:rsid w:val="1D0B1216"/>
    <w:rsid w:val="1D385D84"/>
    <w:rsid w:val="1D3C58DF"/>
    <w:rsid w:val="1D4D5CD3"/>
    <w:rsid w:val="1D8B52AB"/>
    <w:rsid w:val="1D990F18"/>
    <w:rsid w:val="1D9F5E03"/>
    <w:rsid w:val="1DF60118"/>
    <w:rsid w:val="1E8C282B"/>
    <w:rsid w:val="1E9D2342"/>
    <w:rsid w:val="1EB31B66"/>
    <w:rsid w:val="1ECE4BF1"/>
    <w:rsid w:val="1EEE2B9E"/>
    <w:rsid w:val="1EF83A1C"/>
    <w:rsid w:val="1F1C595D"/>
    <w:rsid w:val="1F691D3E"/>
    <w:rsid w:val="1F8B663F"/>
    <w:rsid w:val="1F8F4381"/>
    <w:rsid w:val="1F9D6372"/>
    <w:rsid w:val="1FA6791C"/>
    <w:rsid w:val="1FD004F5"/>
    <w:rsid w:val="1FE87F35"/>
    <w:rsid w:val="20043741"/>
    <w:rsid w:val="202F7912"/>
    <w:rsid w:val="204131A1"/>
    <w:rsid w:val="204C04C4"/>
    <w:rsid w:val="20895274"/>
    <w:rsid w:val="209D0D1F"/>
    <w:rsid w:val="209E23A2"/>
    <w:rsid w:val="20B6593D"/>
    <w:rsid w:val="20F2001C"/>
    <w:rsid w:val="20F841A8"/>
    <w:rsid w:val="212136FE"/>
    <w:rsid w:val="213A47C0"/>
    <w:rsid w:val="215623FD"/>
    <w:rsid w:val="216A5D6D"/>
    <w:rsid w:val="216E7FC6"/>
    <w:rsid w:val="21A165ED"/>
    <w:rsid w:val="21AD6D40"/>
    <w:rsid w:val="21B93937"/>
    <w:rsid w:val="21CD73E2"/>
    <w:rsid w:val="223C6316"/>
    <w:rsid w:val="22857CBD"/>
    <w:rsid w:val="22F369D5"/>
    <w:rsid w:val="23250B58"/>
    <w:rsid w:val="232C638A"/>
    <w:rsid w:val="235356C5"/>
    <w:rsid w:val="23A423C5"/>
    <w:rsid w:val="23B4085A"/>
    <w:rsid w:val="23C640E9"/>
    <w:rsid w:val="23FE3445"/>
    <w:rsid w:val="24662E23"/>
    <w:rsid w:val="247B4ED4"/>
    <w:rsid w:val="24967F5F"/>
    <w:rsid w:val="24B46637"/>
    <w:rsid w:val="24D32F62"/>
    <w:rsid w:val="250A0E81"/>
    <w:rsid w:val="251955C0"/>
    <w:rsid w:val="253634F0"/>
    <w:rsid w:val="25494FD2"/>
    <w:rsid w:val="256C7D4F"/>
    <w:rsid w:val="25755A44"/>
    <w:rsid w:val="2593624D"/>
    <w:rsid w:val="25CB1E8B"/>
    <w:rsid w:val="25E847EB"/>
    <w:rsid w:val="25F36321"/>
    <w:rsid w:val="26013AFE"/>
    <w:rsid w:val="260E3B25"/>
    <w:rsid w:val="262B46D7"/>
    <w:rsid w:val="26450B30"/>
    <w:rsid w:val="264659B5"/>
    <w:rsid w:val="264D28A0"/>
    <w:rsid w:val="268C5389"/>
    <w:rsid w:val="26BC17D3"/>
    <w:rsid w:val="26C16DEA"/>
    <w:rsid w:val="26EA00EF"/>
    <w:rsid w:val="26EA4592"/>
    <w:rsid w:val="27005B64"/>
    <w:rsid w:val="27247AA4"/>
    <w:rsid w:val="27286E69"/>
    <w:rsid w:val="273B3040"/>
    <w:rsid w:val="273B6B9C"/>
    <w:rsid w:val="275814FC"/>
    <w:rsid w:val="27924BA2"/>
    <w:rsid w:val="27BF157B"/>
    <w:rsid w:val="27D44F66"/>
    <w:rsid w:val="28060F58"/>
    <w:rsid w:val="28153891"/>
    <w:rsid w:val="283E4B96"/>
    <w:rsid w:val="28551EE0"/>
    <w:rsid w:val="286E6AFD"/>
    <w:rsid w:val="28715D2C"/>
    <w:rsid w:val="28786926"/>
    <w:rsid w:val="287C56BE"/>
    <w:rsid w:val="288527C5"/>
    <w:rsid w:val="288B5901"/>
    <w:rsid w:val="288D1679"/>
    <w:rsid w:val="28A6098D"/>
    <w:rsid w:val="28B26F7A"/>
    <w:rsid w:val="28DE0B53"/>
    <w:rsid w:val="28F416F8"/>
    <w:rsid w:val="29086F52"/>
    <w:rsid w:val="292A336C"/>
    <w:rsid w:val="292F0982"/>
    <w:rsid w:val="296323DA"/>
    <w:rsid w:val="29736AC1"/>
    <w:rsid w:val="29804D3A"/>
    <w:rsid w:val="29B36EBE"/>
    <w:rsid w:val="29B844D4"/>
    <w:rsid w:val="29E03A2B"/>
    <w:rsid w:val="2A222295"/>
    <w:rsid w:val="2A554419"/>
    <w:rsid w:val="2A55478B"/>
    <w:rsid w:val="2AEC6B2B"/>
    <w:rsid w:val="2B065713"/>
    <w:rsid w:val="2B4C75CA"/>
    <w:rsid w:val="2B522706"/>
    <w:rsid w:val="2B8C5C18"/>
    <w:rsid w:val="2BD63337"/>
    <w:rsid w:val="2BDC3365"/>
    <w:rsid w:val="2BFA0DD4"/>
    <w:rsid w:val="2C163734"/>
    <w:rsid w:val="2C1B0D4A"/>
    <w:rsid w:val="2C3167C0"/>
    <w:rsid w:val="2C3D5164"/>
    <w:rsid w:val="2C46307E"/>
    <w:rsid w:val="2C932FD6"/>
    <w:rsid w:val="2CA81827"/>
    <w:rsid w:val="2CEF46B1"/>
    <w:rsid w:val="2CFF066C"/>
    <w:rsid w:val="2D3C71CA"/>
    <w:rsid w:val="2D682673"/>
    <w:rsid w:val="2D811081"/>
    <w:rsid w:val="2D9E60D7"/>
    <w:rsid w:val="2DA60AE7"/>
    <w:rsid w:val="2DCA0C7A"/>
    <w:rsid w:val="2DD41AF8"/>
    <w:rsid w:val="2E19750B"/>
    <w:rsid w:val="2E352597"/>
    <w:rsid w:val="2E374561"/>
    <w:rsid w:val="2E3B3926"/>
    <w:rsid w:val="2E456552"/>
    <w:rsid w:val="2E494294"/>
    <w:rsid w:val="2E5844D8"/>
    <w:rsid w:val="2E5A3DAC"/>
    <w:rsid w:val="2E7D7C38"/>
    <w:rsid w:val="2E7F3812"/>
    <w:rsid w:val="2F01691D"/>
    <w:rsid w:val="2F0D0E1E"/>
    <w:rsid w:val="2F1523C9"/>
    <w:rsid w:val="2F17101D"/>
    <w:rsid w:val="2F5C3B54"/>
    <w:rsid w:val="2F8530AA"/>
    <w:rsid w:val="2F871646"/>
    <w:rsid w:val="2F880DEC"/>
    <w:rsid w:val="2F9037FD"/>
    <w:rsid w:val="2FB90FA6"/>
    <w:rsid w:val="2FC17E5A"/>
    <w:rsid w:val="2FF15938"/>
    <w:rsid w:val="2FFE4C0B"/>
    <w:rsid w:val="30085A89"/>
    <w:rsid w:val="30185CCC"/>
    <w:rsid w:val="30360848"/>
    <w:rsid w:val="303B5E5F"/>
    <w:rsid w:val="30405223"/>
    <w:rsid w:val="304E5B92"/>
    <w:rsid w:val="308275EA"/>
    <w:rsid w:val="30850E88"/>
    <w:rsid w:val="308D7B9E"/>
    <w:rsid w:val="30980BBB"/>
    <w:rsid w:val="30B359F5"/>
    <w:rsid w:val="30D14E34"/>
    <w:rsid w:val="30E91417"/>
    <w:rsid w:val="31210BB1"/>
    <w:rsid w:val="312B5ED3"/>
    <w:rsid w:val="31CF685F"/>
    <w:rsid w:val="31EC5663"/>
    <w:rsid w:val="31F77B64"/>
    <w:rsid w:val="320C360F"/>
    <w:rsid w:val="3220530C"/>
    <w:rsid w:val="322C1F03"/>
    <w:rsid w:val="32A01FA9"/>
    <w:rsid w:val="32AC094E"/>
    <w:rsid w:val="32B819E9"/>
    <w:rsid w:val="32E77BD8"/>
    <w:rsid w:val="337D325C"/>
    <w:rsid w:val="338F2B21"/>
    <w:rsid w:val="33BC2E13"/>
    <w:rsid w:val="33FE0F6A"/>
    <w:rsid w:val="340622E0"/>
    <w:rsid w:val="34270BD4"/>
    <w:rsid w:val="34476B80"/>
    <w:rsid w:val="345319C9"/>
    <w:rsid w:val="347B2CCE"/>
    <w:rsid w:val="34E73EBF"/>
    <w:rsid w:val="35103416"/>
    <w:rsid w:val="351A6043"/>
    <w:rsid w:val="354237EC"/>
    <w:rsid w:val="356D0868"/>
    <w:rsid w:val="35721391"/>
    <w:rsid w:val="35860952"/>
    <w:rsid w:val="358838F4"/>
    <w:rsid w:val="358931C8"/>
    <w:rsid w:val="35D501BC"/>
    <w:rsid w:val="362058DB"/>
    <w:rsid w:val="362A0508"/>
    <w:rsid w:val="365732C7"/>
    <w:rsid w:val="365E6403"/>
    <w:rsid w:val="36A007CA"/>
    <w:rsid w:val="36A75FFC"/>
    <w:rsid w:val="36AA1648"/>
    <w:rsid w:val="36CE17DB"/>
    <w:rsid w:val="36FA437E"/>
    <w:rsid w:val="36FD79CA"/>
    <w:rsid w:val="372C4753"/>
    <w:rsid w:val="372E4027"/>
    <w:rsid w:val="3768578B"/>
    <w:rsid w:val="377D4FFA"/>
    <w:rsid w:val="378E0F6A"/>
    <w:rsid w:val="380F3E59"/>
    <w:rsid w:val="38594008"/>
    <w:rsid w:val="38B22A36"/>
    <w:rsid w:val="38F82B3F"/>
    <w:rsid w:val="394E275F"/>
    <w:rsid w:val="39634D68"/>
    <w:rsid w:val="399A3BF6"/>
    <w:rsid w:val="39CB3DB0"/>
    <w:rsid w:val="39D802D2"/>
    <w:rsid w:val="39FF0051"/>
    <w:rsid w:val="3A015A23"/>
    <w:rsid w:val="3A1439A9"/>
    <w:rsid w:val="3A323E2F"/>
    <w:rsid w:val="3A414072"/>
    <w:rsid w:val="3A606BEE"/>
    <w:rsid w:val="3A810D66"/>
    <w:rsid w:val="3AA12D62"/>
    <w:rsid w:val="3AC0143A"/>
    <w:rsid w:val="3ADE3FB6"/>
    <w:rsid w:val="3AEE41FA"/>
    <w:rsid w:val="3AF47336"/>
    <w:rsid w:val="3B111C96"/>
    <w:rsid w:val="3B2220F5"/>
    <w:rsid w:val="3B2C087E"/>
    <w:rsid w:val="3B385475"/>
    <w:rsid w:val="3B4756B8"/>
    <w:rsid w:val="3B7566C9"/>
    <w:rsid w:val="3BAE3989"/>
    <w:rsid w:val="3BB6283D"/>
    <w:rsid w:val="3BBD597A"/>
    <w:rsid w:val="3BD11425"/>
    <w:rsid w:val="3BF27D19"/>
    <w:rsid w:val="3BFE66BE"/>
    <w:rsid w:val="3C410359"/>
    <w:rsid w:val="3C8666B4"/>
    <w:rsid w:val="3C9E1C4F"/>
    <w:rsid w:val="3CB46D7D"/>
    <w:rsid w:val="3CED228F"/>
    <w:rsid w:val="3CEF4259"/>
    <w:rsid w:val="3CF17528"/>
    <w:rsid w:val="3D1729DA"/>
    <w:rsid w:val="3D22462E"/>
    <w:rsid w:val="3D474095"/>
    <w:rsid w:val="3D8C2A82"/>
    <w:rsid w:val="3DA6700D"/>
    <w:rsid w:val="3DC079A3"/>
    <w:rsid w:val="3E015FF2"/>
    <w:rsid w:val="3E0E6961"/>
    <w:rsid w:val="3E502AD5"/>
    <w:rsid w:val="3E6F5651"/>
    <w:rsid w:val="3E75253C"/>
    <w:rsid w:val="3E864749"/>
    <w:rsid w:val="3E88226F"/>
    <w:rsid w:val="3E90381A"/>
    <w:rsid w:val="3E95498C"/>
    <w:rsid w:val="3EA03A5D"/>
    <w:rsid w:val="3EBC63BD"/>
    <w:rsid w:val="3EBE0387"/>
    <w:rsid w:val="3ECF4342"/>
    <w:rsid w:val="3EE37DED"/>
    <w:rsid w:val="3F067638"/>
    <w:rsid w:val="3F165ACD"/>
    <w:rsid w:val="3F224721"/>
    <w:rsid w:val="3F253F62"/>
    <w:rsid w:val="3F2A5A1C"/>
    <w:rsid w:val="3F367F1D"/>
    <w:rsid w:val="3F38244F"/>
    <w:rsid w:val="3F4A5777"/>
    <w:rsid w:val="3F7B1DD4"/>
    <w:rsid w:val="3F7D78FA"/>
    <w:rsid w:val="3F8073EA"/>
    <w:rsid w:val="3F84512C"/>
    <w:rsid w:val="3F9D1D4A"/>
    <w:rsid w:val="3F9D62F1"/>
    <w:rsid w:val="3FAC4683"/>
    <w:rsid w:val="3FB83028"/>
    <w:rsid w:val="3FCE0156"/>
    <w:rsid w:val="404B5C4A"/>
    <w:rsid w:val="405132A9"/>
    <w:rsid w:val="40DD3529"/>
    <w:rsid w:val="40F938F8"/>
    <w:rsid w:val="41016309"/>
    <w:rsid w:val="41153572"/>
    <w:rsid w:val="4134048C"/>
    <w:rsid w:val="417C1E33"/>
    <w:rsid w:val="421A1D78"/>
    <w:rsid w:val="423050F8"/>
    <w:rsid w:val="423544BC"/>
    <w:rsid w:val="427A6373"/>
    <w:rsid w:val="427D40B5"/>
    <w:rsid w:val="427E2307"/>
    <w:rsid w:val="42B45D29"/>
    <w:rsid w:val="42BA2C13"/>
    <w:rsid w:val="42F36125"/>
    <w:rsid w:val="430B16C1"/>
    <w:rsid w:val="43544E16"/>
    <w:rsid w:val="43570317"/>
    <w:rsid w:val="436112E1"/>
    <w:rsid w:val="43A0005B"/>
    <w:rsid w:val="440A69B9"/>
    <w:rsid w:val="443F1622"/>
    <w:rsid w:val="446C618F"/>
    <w:rsid w:val="44760DBC"/>
    <w:rsid w:val="44770058"/>
    <w:rsid w:val="44901E7E"/>
    <w:rsid w:val="44915BF6"/>
    <w:rsid w:val="449B113C"/>
    <w:rsid w:val="45230F44"/>
    <w:rsid w:val="45D264C6"/>
    <w:rsid w:val="45DF58F6"/>
    <w:rsid w:val="45F60406"/>
    <w:rsid w:val="462705C0"/>
    <w:rsid w:val="462907DC"/>
    <w:rsid w:val="4642189D"/>
    <w:rsid w:val="466475F5"/>
    <w:rsid w:val="468869CF"/>
    <w:rsid w:val="46961DFE"/>
    <w:rsid w:val="469A5235"/>
    <w:rsid w:val="46F81F5C"/>
    <w:rsid w:val="47596E9F"/>
    <w:rsid w:val="47AA76FA"/>
    <w:rsid w:val="47CA38F8"/>
    <w:rsid w:val="484F2050"/>
    <w:rsid w:val="48627FD5"/>
    <w:rsid w:val="48691363"/>
    <w:rsid w:val="487D6BBD"/>
    <w:rsid w:val="48945014"/>
    <w:rsid w:val="48945CB4"/>
    <w:rsid w:val="489A776F"/>
    <w:rsid w:val="48A405ED"/>
    <w:rsid w:val="48B14AB8"/>
    <w:rsid w:val="49117305"/>
    <w:rsid w:val="494B6CBB"/>
    <w:rsid w:val="49B900C8"/>
    <w:rsid w:val="49C8030C"/>
    <w:rsid w:val="4A0550BC"/>
    <w:rsid w:val="4A2A4B22"/>
    <w:rsid w:val="4A2F3EE7"/>
    <w:rsid w:val="4A4200BE"/>
    <w:rsid w:val="4A4756D4"/>
    <w:rsid w:val="4A712751"/>
    <w:rsid w:val="4A8A55C1"/>
    <w:rsid w:val="4B0C5FD6"/>
    <w:rsid w:val="4B386DCB"/>
    <w:rsid w:val="4B4E2A92"/>
    <w:rsid w:val="4B7A5635"/>
    <w:rsid w:val="4B840262"/>
    <w:rsid w:val="4B92472D"/>
    <w:rsid w:val="4BA6467C"/>
    <w:rsid w:val="4BAB15F5"/>
    <w:rsid w:val="4BAF3531"/>
    <w:rsid w:val="4BC13264"/>
    <w:rsid w:val="4BCA036B"/>
    <w:rsid w:val="4BD9797C"/>
    <w:rsid w:val="4BF03B4A"/>
    <w:rsid w:val="4BF947AC"/>
    <w:rsid w:val="4C0118B3"/>
    <w:rsid w:val="4C100436"/>
    <w:rsid w:val="4C136B47"/>
    <w:rsid w:val="4C4D71D8"/>
    <w:rsid w:val="4C765DFD"/>
    <w:rsid w:val="4C786019"/>
    <w:rsid w:val="4C910E89"/>
    <w:rsid w:val="4C940979"/>
    <w:rsid w:val="4C991AEB"/>
    <w:rsid w:val="4C9E7102"/>
    <w:rsid w:val="4CCE5C39"/>
    <w:rsid w:val="4CD15729"/>
    <w:rsid w:val="4CD64F53"/>
    <w:rsid w:val="4CDB2104"/>
    <w:rsid w:val="4CE00721"/>
    <w:rsid w:val="4CEF5BAF"/>
    <w:rsid w:val="4CF82CB6"/>
    <w:rsid w:val="4D3E79AE"/>
    <w:rsid w:val="4D785BA5"/>
    <w:rsid w:val="4D87403A"/>
    <w:rsid w:val="4DA370C6"/>
    <w:rsid w:val="4DBC46DA"/>
    <w:rsid w:val="4DBE3EFF"/>
    <w:rsid w:val="4DCD7C9F"/>
    <w:rsid w:val="4DE17BEE"/>
    <w:rsid w:val="4DEB6377"/>
    <w:rsid w:val="4E355844"/>
    <w:rsid w:val="4E3917D8"/>
    <w:rsid w:val="4E3C4E24"/>
    <w:rsid w:val="4E3E6842"/>
    <w:rsid w:val="4E7B76FB"/>
    <w:rsid w:val="4E8F13F8"/>
    <w:rsid w:val="4EB90223"/>
    <w:rsid w:val="4ED4505D"/>
    <w:rsid w:val="4EFD45B3"/>
    <w:rsid w:val="4F082F58"/>
    <w:rsid w:val="4F156A35"/>
    <w:rsid w:val="4F2E0C11"/>
    <w:rsid w:val="4F563CC4"/>
    <w:rsid w:val="4F7F321A"/>
    <w:rsid w:val="4FA233AD"/>
    <w:rsid w:val="4FB1539E"/>
    <w:rsid w:val="4FC31D6A"/>
    <w:rsid w:val="4FE439C5"/>
    <w:rsid w:val="50041972"/>
    <w:rsid w:val="502A7A5E"/>
    <w:rsid w:val="50354221"/>
    <w:rsid w:val="50795EBC"/>
    <w:rsid w:val="508A1E77"/>
    <w:rsid w:val="50CD61D2"/>
    <w:rsid w:val="513444D8"/>
    <w:rsid w:val="51646B6C"/>
    <w:rsid w:val="51940CA9"/>
    <w:rsid w:val="51A74CAA"/>
    <w:rsid w:val="51AA02F7"/>
    <w:rsid w:val="51B66C9C"/>
    <w:rsid w:val="51DF1549"/>
    <w:rsid w:val="51E90E1F"/>
    <w:rsid w:val="52140592"/>
    <w:rsid w:val="521560B8"/>
    <w:rsid w:val="522E5DDA"/>
    <w:rsid w:val="52456432"/>
    <w:rsid w:val="52877104"/>
    <w:rsid w:val="52AA6800"/>
    <w:rsid w:val="52AB3A05"/>
    <w:rsid w:val="52BB6C5F"/>
    <w:rsid w:val="52CF3116"/>
    <w:rsid w:val="52E53138"/>
    <w:rsid w:val="52F51160"/>
    <w:rsid w:val="53004672"/>
    <w:rsid w:val="53AB0A82"/>
    <w:rsid w:val="53B042EA"/>
    <w:rsid w:val="53CC6C4A"/>
    <w:rsid w:val="54190391"/>
    <w:rsid w:val="542425E2"/>
    <w:rsid w:val="547F6E4E"/>
    <w:rsid w:val="54B011B8"/>
    <w:rsid w:val="54C142D5"/>
    <w:rsid w:val="55511774"/>
    <w:rsid w:val="556478EA"/>
    <w:rsid w:val="55674E7D"/>
    <w:rsid w:val="55B57CB6"/>
    <w:rsid w:val="55BE39A6"/>
    <w:rsid w:val="55C71477"/>
    <w:rsid w:val="55F93BD0"/>
    <w:rsid w:val="56660C90"/>
    <w:rsid w:val="568455BA"/>
    <w:rsid w:val="568B4B9B"/>
    <w:rsid w:val="56CD51B3"/>
    <w:rsid w:val="56DE116E"/>
    <w:rsid w:val="56EA18C1"/>
    <w:rsid w:val="56F444EE"/>
    <w:rsid w:val="576B22D6"/>
    <w:rsid w:val="57C33EC0"/>
    <w:rsid w:val="57D12A81"/>
    <w:rsid w:val="57F45A45"/>
    <w:rsid w:val="58117322"/>
    <w:rsid w:val="58337298"/>
    <w:rsid w:val="587D0CE0"/>
    <w:rsid w:val="58951D01"/>
    <w:rsid w:val="5898359F"/>
    <w:rsid w:val="58D26AB1"/>
    <w:rsid w:val="591946E0"/>
    <w:rsid w:val="59396B30"/>
    <w:rsid w:val="59423B63"/>
    <w:rsid w:val="594B0611"/>
    <w:rsid w:val="598C3104"/>
    <w:rsid w:val="59AC5554"/>
    <w:rsid w:val="59CF2FF0"/>
    <w:rsid w:val="59F842F5"/>
    <w:rsid w:val="5A056A12"/>
    <w:rsid w:val="5A146E53"/>
    <w:rsid w:val="5A1B4488"/>
    <w:rsid w:val="5A292701"/>
    <w:rsid w:val="5A2A0227"/>
    <w:rsid w:val="5A3A2B60"/>
    <w:rsid w:val="5A4A664D"/>
    <w:rsid w:val="5B136F0D"/>
    <w:rsid w:val="5B152C85"/>
    <w:rsid w:val="5B1C04B7"/>
    <w:rsid w:val="5B1E7D8B"/>
    <w:rsid w:val="5B5A4B3C"/>
    <w:rsid w:val="5B63039E"/>
    <w:rsid w:val="5B81031A"/>
    <w:rsid w:val="5B9462A0"/>
    <w:rsid w:val="5BAA5AC3"/>
    <w:rsid w:val="5BBC75A4"/>
    <w:rsid w:val="5BCD17B1"/>
    <w:rsid w:val="5BFE7BBD"/>
    <w:rsid w:val="5C361105"/>
    <w:rsid w:val="5C4750C0"/>
    <w:rsid w:val="5C5679F9"/>
    <w:rsid w:val="5C594DF3"/>
    <w:rsid w:val="5C78796F"/>
    <w:rsid w:val="5C82259C"/>
    <w:rsid w:val="5C9B540C"/>
    <w:rsid w:val="5CC15018"/>
    <w:rsid w:val="5CE96177"/>
    <w:rsid w:val="5CEA6F12"/>
    <w:rsid w:val="5CF76AE6"/>
    <w:rsid w:val="5D2378DB"/>
    <w:rsid w:val="5D616655"/>
    <w:rsid w:val="5D79574D"/>
    <w:rsid w:val="5D9C143B"/>
    <w:rsid w:val="5DB46785"/>
    <w:rsid w:val="5DC170F4"/>
    <w:rsid w:val="5DDB1F64"/>
    <w:rsid w:val="5E2C0A11"/>
    <w:rsid w:val="5E3B2A02"/>
    <w:rsid w:val="5E413D91"/>
    <w:rsid w:val="5E504EAF"/>
    <w:rsid w:val="5E56783C"/>
    <w:rsid w:val="5E5E2B95"/>
    <w:rsid w:val="5F2B0CC9"/>
    <w:rsid w:val="5F64242D"/>
    <w:rsid w:val="5F677827"/>
    <w:rsid w:val="5F8328B3"/>
    <w:rsid w:val="5F8403D9"/>
    <w:rsid w:val="600B4656"/>
    <w:rsid w:val="60255718"/>
    <w:rsid w:val="60406588"/>
    <w:rsid w:val="60545FFD"/>
    <w:rsid w:val="60726717"/>
    <w:rsid w:val="609D79A4"/>
    <w:rsid w:val="60B46A9C"/>
    <w:rsid w:val="60C34F31"/>
    <w:rsid w:val="60F375C4"/>
    <w:rsid w:val="61354081"/>
    <w:rsid w:val="6138147B"/>
    <w:rsid w:val="61477910"/>
    <w:rsid w:val="619E1C26"/>
    <w:rsid w:val="61B03707"/>
    <w:rsid w:val="61BC3E5A"/>
    <w:rsid w:val="61D54F1C"/>
    <w:rsid w:val="61EE1B3B"/>
    <w:rsid w:val="61F061FA"/>
    <w:rsid w:val="621023F8"/>
    <w:rsid w:val="622D6B06"/>
    <w:rsid w:val="623E51B7"/>
    <w:rsid w:val="624F2F20"/>
    <w:rsid w:val="6280757E"/>
    <w:rsid w:val="629628FD"/>
    <w:rsid w:val="62B86D17"/>
    <w:rsid w:val="62C03E1E"/>
    <w:rsid w:val="62C27B96"/>
    <w:rsid w:val="62C51434"/>
    <w:rsid w:val="631F28F3"/>
    <w:rsid w:val="633B4D74"/>
    <w:rsid w:val="63774968"/>
    <w:rsid w:val="63870498"/>
    <w:rsid w:val="63A4104A"/>
    <w:rsid w:val="63BF7C32"/>
    <w:rsid w:val="63C139AA"/>
    <w:rsid w:val="63C811DC"/>
    <w:rsid w:val="63D60230"/>
    <w:rsid w:val="641E0DFC"/>
    <w:rsid w:val="642B52C7"/>
    <w:rsid w:val="64446389"/>
    <w:rsid w:val="646627A3"/>
    <w:rsid w:val="646F78AA"/>
    <w:rsid w:val="649B069F"/>
    <w:rsid w:val="64AD3F2E"/>
    <w:rsid w:val="64BE25DF"/>
    <w:rsid w:val="64C03C61"/>
    <w:rsid w:val="64C33752"/>
    <w:rsid w:val="65222B6E"/>
    <w:rsid w:val="652F0DE7"/>
    <w:rsid w:val="653F54CE"/>
    <w:rsid w:val="65426D6C"/>
    <w:rsid w:val="656960A7"/>
    <w:rsid w:val="657A02B4"/>
    <w:rsid w:val="65A96DEB"/>
    <w:rsid w:val="65BF660F"/>
    <w:rsid w:val="65C9123C"/>
    <w:rsid w:val="65F04A1A"/>
    <w:rsid w:val="65F94FCF"/>
    <w:rsid w:val="66544FA9"/>
    <w:rsid w:val="666920D7"/>
    <w:rsid w:val="6692162D"/>
    <w:rsid w:val="66A01F9C"/>
    <w:rsid w:val="66A6332B"/>
    <w:rsid w:val="66AD6467"/>
    <w:rsid w:val="66BB54E2"/>
    <w:rsid w:val="66C832A1"/>
    <w:rsid w:val="66D9725C"/>
    <w:rsid w:val="66E005EB"/>
    <w:rsid w:val="66E83943"/>
    <w:rsid w:val="66F978FF"/>
    <w:rsid w:val="672C797F"/>
    <w:rsid w:val="675D60DF"/>
    <w:rsid w:val="67801DCE"/>
    <w:rsid w:val="67876CB8"/>
    <w:rsid w:val="67931B01"/>
    <w:rsid w:val="67982C74"/>
    <w:rsid w:val="67A930D3"/>
    <w:rsid w:val="67D57A24"/>
    <w:rsid w:val="680A4F11"/>
    <w:rsid w:val="680E73DA"/>
    <w:rsid w:val="68294213"/>
    <w:rsid w:val="6837248C"/>
    <w:rsid w:val="68874699"/>
    <w:rsid w:val="68A815DC"/>
    <w:rsid w:val="68CE44E2"/>
    <w:rsid w:val="68F55EA4"/>
    <w:rsid w:val="69085BD7"/>
    <w:rsid w:val="691427CE"/>
    <w:rsid w:val="69365825"/>
    <w:rsid w:val="693B4E23"/>
    <w:rsid w:val="69603C65"/>
    <w:rsid w:val="69653029"/>
    <w:rsid w:val="69733998"/>
    <w:rsid w:val="69790883"/>
    <w:rsid w:val="699243C7"/>
    <w:rsid w:val="69A00505"/>
    <w:rsid w:val="69B813AB"/>
    <w:rsid w:val="6A220F1A"/>
    <w:rsid w:val="6A274783"/>
    <w:rsid w:val="6A372DF9"/>
    <w:rsid w:val="6A7109DF"/>
    <w:rsid w:val="6A723D53"/>
    <w:rsid w:val="6AD246EE"/>
    <w:rsid w:val="6B272C8C"/>
    <w:rsid w:val="6B362ECF"/>
    <w:rsid w:val="6B5275DD"/>
    <w:rsid w:val="6B80414A"/>
    <w:rsid w:val="6B851761"/>
    <w:rsid w:val="6BB34F40"/>
    <w:rsid w:val="6BB40298"/>
    <w:rsid w:val="6BC009EB"/>
    <w:rsid w:val="6BC32289"/>
    <w:rsid w:val="6BD36970"/>
    <w:rsid w:val="6C07486C"/>
    <w:rsid w:val="6C0905E4"/>
    <w:rsid w:val="6C3F4006"/>
    <w:rsid w:val="6C953C26"/>
    <w:rsid w:val="6CAF118B"/>
    <w:rsid w:val="6CB93DB8"/>
    <w:rsid w:val="6CC10EBE"/>
    <w:rsid w:val="6CDC7AA6"/>
    <w:rsid w:val="6D3C6797"/>
    <w:rsid w:val="6D426B4F"/>
    <w:rsid w:val="6D5C5302"/>
    <w:rsid w:val="6DA265FA"/>
    <w:rsid w:val="6E1312A6"/>
    <w:rsid w:val="6E160D96"/>
    <w:rsid w:val="6E1B63AC"/>
    <w:rsid w:val="6E217E67"/>
    <w:rsid w:val="6E3B6A4F"/>
    <w:rsid w:val="6E7D2BC3"/>
    <w:rsid w:val="6EBD7464"/>
    <w:rsid w:val="6EF2710D"/>
    <w:rsid w:val="6EF74724"/>
    <w:rsid w:val="6F0155A2"/>
    <w:rsid w:val="6F1B2B08"/>
    <w:rsid w:val="6F232C4D"/>
    <w:rsid w:val="6F525DFE"/>
    <w:rsid w:val="6F6873CF"/>
    <w:rsid w:val="6F7E6BF3"/>
    <w:rsid w:val="6FC0545D"/>
    <w:rsid w:val="6FDE7692"/>
    <w:rsid w:val="700215D2"/>
    <w:rsid w:val="70903082"/>
    <w:rsid w:val="70C44AD9"/>
    <w:rsid w:val="70D34D1C"/>
    <w:rsid w:val="70F74C48"/>
    <w:rsid w:val="70FA674D"/>
    <w:rsid w:val="70FF1FB5"/>
    <w:rsid w:val="71397275"/>
    <w:rsid w:val="714D4ACF"/>
    <w:rsid w:val="71640FCB"/>
    <w:rsid w:val="717D03D8"/>
    <w:rsid w:val="71C11019"/>
    <w:rsid w:val="71C31235"/>
    <w:rsid w:val="72457E9C"/>
    <w:rsid w:val="728C5ACB"/>
    <w:rsid w:val="72A36E84"/>
    <w:rsid w:val="72DA6836"/>
    <w:rsid w:val="72DE60AC"/>
    <w:rsid w:val="72FF004B"/>
    <w:rsid w:val="7327134F"/>
    <w:rsid w:val="73661E78"/>
    <w:rsid w:val="736A5E0C"/>
    <w:rsid w:val="738642C8"/>
    <w:rsid w:val="739C7F8F"/>
    <w:rsid w:val="73A350ED"/>
    <w:rsid w:val="73AF381F"/>
    <w:rsid w:val="73B928EF"/>
    <w:rsid w:val="73E21E46"/>
    <w:rsid w:val="73F751C6"/>
    <w:rsid w:val="740A6CA7"/>
    <w:rsid w:val="74147B26"/>
    <w:rsid w:val="743B50B2"/>
    <w:rsid w:val="74566390"/>
    <w:rsid w:val="749F1AE5"/>
    <w:rsid w:val="75093403"/>
    <w:rsid w:val="751F2C26"/>
    <w:rsid w:val="75327235"/>
    <w:rsid w:val="75461F61"/>
    <w:rsid w:val="75703482"/>
    <w:rsid w:val="75986535"/>
    <w:rsid w:val="75A849CA"/>
    <w:rsid w:val="75D25EEA"/>
    <w:rsid w:val="76124539"/>
    <w:rsid w:val="762322A2"/>
    <w:rsid w:val="76311F32"/>
    <w:rsid w:val="76483D31"/>
    <w:rsid w:val="764C777C"/>
    <w:rsid w:val="7671125F"/>
    <w:rsid w:val="76B61368"/>
    <w:rsid w:val="76CA582B"/>
    <w:rsid w:val="76FD3648"/>
    <w:rsid w:val="77096AFC"/>
    <w:rsid w:val="771A5453"/>
    <w:rsid w:val="77212C85"/>
    <w:rsid w:val="77A92C7B"/>
    <w:rsid w:val="77CD6969"/>
    <w:rsid w:val="77DA0571"/>
    <w:rsid w:val="78126A72"/>
    <w:rsid w:val="785D63BB"/>
    <w:rsid w:val="786A065C"/>
    <w:rsid w:val="787B01CA"/>
    <w:rsid w:val="78A771BA"/>
    <w:rsid w:val="78BB0EB8"/>
    <w:rsid w:val="78F61EF0"/>
    <w:rsid w:val="78FB12B4"/>
    <w:rsid w:val="791D747D"/>
    <w:rsid w:val="792F0F5E"/>
    <w:rsid w:val="79305402"/>
    <w:rsid w:val="794A5D98"/>
    <w:rsid w:val="795E40AC"/>
    <w:rsid w:val="79752E15"/>
    <w:rsid w:val="79A8143C"/>
    <w:rsid w:val="79B24069"/>
    <w:rsid w:val="79DD09BA"/>
    <w:rsid w:val="7A173ECC"/>
    <w:rsid w:val="7A3251AA"/>
    <w:rsid w:val="7A462A03"/>
    <w:rsid w:val="7A603AC5"/>
    <w:rsid w:val="7A6D7F90"/>
    <w:rsid w:val="7A756E44"/>
    <w:rsid w:val="7AA5597C"/>
    <w:rsid w:val="7AAC08C3"/>
    <w:rsid w:val="7AAC0AB8"/>
    <w:rsid w:val="7AC1208A"/>
    <w:rsid w:val="7AD93877"/>
    <w:rsid w:val="7B05641A"/>
    <w:rsid w:val="7B2368A0"/>
    <w:rsid w:val="7B3D5BB4"/>
    <w:rsid w:val="7B4E6013"/>
    <w:rsid w:val="7B971768"/>
    <w:rsid w:val="7BD007D6"/>
    <w:rsid w:val="7BD5403F"/>
    <w:rsid w:val="7BF81ADB"/>
    <w:rsid w:val="7C330D65"/>
    <w:rsid w:val="7C6333F8"/>
    <w:rsid w:val="7C727ADF"/>
    <w:rsid w:val="7CA57EB5"/>
    <w:rsid w:val="7CAF663E"/>
    <w:rsid w:val="7CC2155E"/>
    <w:rsid w:val="7CD662C0"/>
    <w:rsid w:val="7CED7166"/>
    <w:rsid w:val="7D1E1A15"/>
    <w:rsid w:val="7D513B99"/>
    <w:rsid w:val="7D7E4262"/>
    <w:rsid w:val="7D831878"/>
    <w:rsid w:val="7DA71A0B"/>
    <w:rsid w:val="7DAE0FEB"/>
    <w:rsid w:val="7DC4436B"/>
    <w:rsid w:val="7E046E5D"/>
    <w:rsid w:val="7E1370A0"/>
    <w:rsid w:val="7E696CC0"/>
    <w:rsid w:val="7E751B09"/>
    <w:rsid w:val="7E867872"/>
    <w:rsid w:val="7E9F0934"/>
    <w:rsid w:val="7EF23159"/>
    <w:rsid w:val="7EFD2C23"/>
    <w:rsid w:val="7F0013D2"/>
    <w:rsid w:val="7F1D01D6"/>
    <w:rsid w:val="7F1E3F4E"/>
    <w:rsid w:val="7F1F3A88"/>
    <w:rsid w:val="7F231565"/>
    <w:rsid w:val="7F8E2E82"/>
    <w:rsid w:val="7FBF303C"/>
    <w:rsid w:val="7FD85EAB"/>
    <w:rsid w:val="7FDC1E3F"/>
    <w:rsid w:val="7FFD591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33"/>
    <w:qFormat/>
    <w:uiPriority w:val="0"/>
    <w:pPr>
      <w:keepNext/>
      <w:keepLines/>
      <w:spacing w:before="340" w:beforeLines="0" w:after="330" w:afterLines="0" w:line="576" w:lineRule="auto"/>
      <w:outlineLvl w:val="0"/>
    </w:pPr>
    <w:rPr>
      <w:b/>
      <w:bCs/>
      <w:kern w:val="44"/>
      <w:sz w:val="30"/>
      <w:szCs w:val="44"/>
    </w:rPr>
  </w:style>
  <w:style w:type="paragraph" w:styleId="3">
    <w:name w:val="heading 2"/>
    <w:basedOn w:val="1"/>
    <w:next w:val="1"/>
    <w:link w:val="34"/>
    <w:qFormat/>
    <w:uiPriority w:val="0"/>
    <w:pPr>
      <w:keepNext/>
      <w:keepLines/>
      <w:spacing w:before="260" w:beforeLines="0" w:after="260" w:afterLines="0" w:line="413" w:lineRule="auto"/>
      <w:outlineLvl w:val="1"/>
    </w:pPr>
    <w:rPr>
      <w:rFonts w:ascii="Cambria" w:hAnsi="Cambria"/>
      <w:b/>
      <w:bCs/>
      <w:sz w:val="32"/>
      <w:szCs w:val="32"/>
    </w:rPr>
  </w:style>
  <w:style w:type="paragraph" w:styleId="4">
    <w:name w:val="heading 3"/>
    <w:basedOn w:val="1"/>
    <w:next w:val="1"/>
    <w:qFormat/>
    <w:uiPriority w:val="0"/>
    <w:pPr>
      <w:keepNext/>
      <w:widowControl w:val="0"/>
      <w:snapToGrid w:val="0"/>
      <w:spacing w:before="0" w:beforeLines="0" w:after="0" w:afterLines="0" w:line="240" w:lineRule="auto"/>
      <w:ind w:left="0" w:right="0"/>
      <w:jc w:val="both"/>
      <w:outlineLvl w:val="2"/>
    </w:pPr>
    <w:rPr>
      <w:rFonts w:ascii="Times New Roman" w:hAnsi="Times New Roman" w:eastAsia="宋体" w:cs="Times New Roman"/>
      <w:kern w:val="2"/>
      <w:sz w:val="28"/>
      <w:szCs w:val="20"/>
      <w:lang w:val="en-US" w:eastAsia="zh-CN" w:bidi="ar-SA"/>
    </w:rPr>
  </w:style>
  <w:style w:type="paragraph" w:styleId="5">
    <w:name w:val="heading 4"/>
    <w:basedOn w:val="1"/>
    <w:next w:val="1"/>
    <w:qFormat/>
    <w:uiPriority w:val="0"/>
    <w:pPr>
      <w:keepNext/>
      <w:keepLines/>
      <w:spacing w:before="280" w:beforeLines="0" w:after="290" w:afterLines="0" w:line="372" w:lineRule="auto"/>
      <w:outlineLvl w:val="3"/>
    </w:pPr>
    <w:rPr>
      <w:rFonts w:ascii="Arial" w:hAnsi="Arial" w:eastAsia="黑体"/>
      <w:b/>
      <w:bCs/>
      <w:sz w:val="28"/>
      <w:szCs w:val="28"/>
    </w:rPr>
  </w:style>
  <w:style w:type="character" w:default="1" w:styleId="27">
    <w:name w:val="Default Paragraph Font"/>
    <w:uiPriority w:val="0"/>
  </w:style>
  <w:style w:type="table" w:default="1" w:styleId="25">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table of authorities"/>
    <w:basedOn w:val="1"/>
    <w:next w:val="1"/>
    <w:uiPriority w:val="0"/>
    <w:pPr>
      <w:ind w:left="420" w:leftChars="200"/>
    </w:pPr>
    <w:rPr>
      <w:sz w:val="28"/>
      <w:szCs w:val="20"/>
    </w:rPr>
  </w:style>
  <w:style w:type="paragraph" w:styleId="7">
    <w:name w:val="Normal Indent"/>
    <w:basedOn w:val="1"/>
    <w:next w:val="1"/>
    <w:qFormat/>
    <w:uiPriority w:val="0"/>
    <w:pPr>
      <w:ind w:firstLine="420"/>
    </w:pPr>
    <w:rPr>
      <w:szCs w:val="20"/>
    </w:rPr>
  </w:style>
  <w:style w:type="paragraph" w:styleId="8">
    <w:name w:val="Document Map"/>
    <w:basedOn w:val="1"/>
    <w:qFormat/>
    <w:uiPriority w:val="0"/>
    <w:pPr>
      <w:shd w:val="clear" w:color="auto" w:fill="000080"/>
    </w:pPr>
  </w:style>
  <w:style w:type="paragraph" w:styleId="9">
    <w:name w:val="annotation text"/>
    <w:basedOn w:val="1"/>
    <w:qFormat/>
    <w:uiPriority w:val="0"/>
    <w:pPr>
      <w:jc w:val="left"/>
    </w:pPr>
  </w:style>
  <w:style w:type="paragraph" w:styleId="10">
    <w:name w:val="Body Text"/>
    <w:basedOn w:val="1"/>
    <w:next w:val="11"/>
    <w:qFormat/>
    <w:uiPriority w:val="0"/>
    <w:pPr>
      <w:spacing w:after="120" w:afterLines="0"/>
    </w:pPr>
    <w:rPr>
      <w:sz w:val="21"/>
    </w:rPr>
  </w:style>
  <w:style w:type="paragraph" w:styleId="11">
    <w:name w:val="Body Text Indent"/>
    <w:basedOn w:val="1"/>
    <w:link w:val="35"/>
    <w:qFormat/>
    <w:uiPriority w:val="0"/>
    <w:pPr>
      <w:spacing w:after="120" w:afterLines="0"/>
      <w:ind w:left="420" w:leftChars="200"/>
    </w:pPr>
    <w:rPr>
      <w:sz w:val="21"/>
    </w:rPr>
  </w:style>
  <w:style w:type="paragraph" w:styleId="12">
    <w:name w:val="Plain Text"/>
    <w:basedOn w:val="1"/>
    <w:link w:val="36"/>
    <w:qFormat/>
    <w:uiPriority w:val="0"/>
    <w:rPr>
      <w:rFonts w:ascii="宋体" w:hAnsi="Courier New"/>
      <w:sz w:val="21"/>
      <w:szCs w:val="21"/>
    </w:rPr>
  </w:style>
  <w:style w:type="paragraph" w:styleId="13">
    <w:name w:val="Date"/>
    <w:basedOn w:val="1"/>
    <w:next w:val="1"/>
    <w:qFormat/>
    <w:uiPriority w:val="0"/>
    <w:pPr>
      <w:ind w:left="100" w:leftChars="2500"/>
    </w:pPr>
    <w:rPr>
      <w:rFonts w:eastAsia="仿宋_GB2312"/>
      <w:sz w:val="32"/>
    </w:rPr>
  </w:style>
  <w:style w:type="paragraph" w:styleId="14">
    <w:name w:val="Balloon Text"/>
    <w:basedOn w:val="1"/>
    <w:qFormat/>
    <w:uiPriority w:val="0"/>
    <w:rPr>
      <w:sz w:val="18"/>
      <w:szCs w:val="18"/>
    </w:rPr>
  </w:style>
  <w:style w:type="paragraph" w:styleId="15">
    <w:name w:val="footer"/>
    <w:basedOn w:val="1"/>
    <w:link w:val="37"/>
    <w:qFormat/>
    <w:uiPriority w:val="0"/>
    <w:pPr>
      <w:tabs>
        <w:tab w:val="center" w:pos="4153"/>
        <w:tab w:val="right" w:pos="8306"/>
      </w:tabs>
      <w:snapToGrid w:val="0"/>
      <w:jc w:val="left"/>
    </w:pPr>
    <w:rPr>
      <w:sz w:val="18"/>
      <w:szCs w:val="18"/>
    </w:rPr>
  </w:style>
  <w:style w:type="paragraph" w:styleId="16">
    <w:name w:val="header"/>
    <w:basedOn w:val="1"/>
    <w:link w:val="38"/>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pPr>
      <w:spacing w:before="120" w:beforeLines="0" w:after="120" w:afterLines="0" w:line="400" w:lineRule="exact"/>
      <w:ind w:firstLine="200" w:firstLineChars="200"/>
      <w:jc w:val="left"/>
    </w:pPr>
    <w:rPr>
      <w:rFonts w:ascii="Calibri" w:hAnsi="Calibri"/>
      <w:b/>
      <w:bCs/>
      <w:caps/>
      <w:sz w:val="24"/>
      <w:szCs w:val="20"/>
    </w:rPr>
  </w:style>
  <w:style w:type="paragraph" w:styleId="18">
    <w:name w:val="toc 4"/>
    <w:basedOn w:val="1"/>
    <w:next w:val="1"/>
    <w:qFormat/>
    <w:uiPriority w:val="0"/>
    <w:pPr>
      <w:ind w:left="630"/>
      <w:jc w:val="left"/>
    </w:pPr>
    <w:rPr>
      <w:sz w:val="18"/>
      <w:szCs w:val="18"/>
    </w:rPr>
  </w:style>
  <w:style w:type="paragraph" w:styleId="19">
    <w:name w:val="Subtitle"/>
    <w:basedOn w:val="1"/>
    <w:next w:val="1"/>
    <w:link w:val="39"/>
    <w:qFormat/>
    <w:uiPriority w:val="0"/>
    <w:pPr>
      <w:spacing w:before="240" w:beforeLines="0" w:after="60" w:afterLines="0" w:line="312" w:lineRule="auto"/>
      <w:jc w:val="center"/>
      <w:outlineLvl w:val="1"/>
    </w:pPr>
    <w:rPr>
      <w:rFonts w:ascii="Cambria" w:hAnsi="Cambria"/>
      <w:b/>
      <w:bCs/>
      <w:kern w:val="28"/>
      <w:sz w:val="32"/>
      <w:szCs w:val="32"/>
    </w:rPr>
  </w:style>
  <w:style w:type="paragraph" w:styleId="20">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sz w:val="24"/>
    </w:rPr>
  </w:style>
  <w:style w:type="paragraph" w:styleId="2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kern w:val="0"/>
      <w:sz w:val="21"/>
      <w:szCs w:val="21"/>
    </w:rPr>
  </w:style>
  <w:style w:type="paragraph" w:styleId="22">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 w:type="paragraph" w:styleId="23">
    <w:name w:val="Title"/>
    <w:basedOn w:val="1"/>
    <w:next w:val="1"/>
    <w:link w:val="40"/>
    <w:qFormat/>
    <w:uiPriority w:val="0"/>
    <w:pPr>
      <w:spacing w:before="240" w:beforeLines="0" w:after="60" w:afterLines="0"/>
      <w:jc w:val="center"/>
      <w:outlineLvl w:val="0"/>
    </w:pPr>
    <w:rPr>
      <w:rFonts w:ascii="Cambria" w:hAnsi="Cambria"/>
      <w:b/>
      <w:bCs/>
      <w:sz w:val="36"/>
      <w:szCs w:val="32"/>
    </w:rPr>
  </w:style>
  <w:style w:type="paragraph" w:styleId="24">
    <w:name w:val="Body Text First Indent 2"/>
    <w:basedOn w:val="11"/>
    <w:link w:val="41"/>
    <w:qFormat/>
    <w:uiPriority w:val="0"/>
    <w:pPr>
      <w:spacing w:after="120" w:afterLines="0" w:line="240" w:lineRule="auto"/>
      <w:ind w:left="420" w:leftChars="200" w:firstLine="420" w:firstLineChars="200"/>
    </w:pPr>
    <w:rPr>
      <w:rFonts w:hint="eastAsia" w:ascii="仿宋_GB2312" w:eastAsia="仿宋_GB2312"/>
      <w:spacing w:val="15"/>
      <w:kern w:val="10"/>
      <w:sz w:val="20"/>
      <w:szCs w:val="20"/>
    </w:rPr>
  </w:style>
  <w:style w:type="table" w:styleId="26">
    <w:name w:val="Table Grid"/>
    <w:basedOn w:val="2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8">
    <w:name w:val="Strong"/>
    <w:qFormat/>
    <w:uiPriority w:val="0"/>
    <w:rPr>
      <w:b/>
      <w:bCs/>
    </w:rPr>
  </w:style>
  <w:style w:type="character" w:styleId="29">
    <w:name w:val="page number"/>
    <w:basedOn w:val="27"/>
    <w:qFormat/>
    <w:uiPriority w:val="0"/>
  </w:style>
  <w:style w:type="character" w:styleId="30">
    <w:name w:val="FollowedHyperlink"/>
    <w:qFormat/>
    <w:uiPriority w:val="0"/>
    <w:rPr>
      <w:color w:val="000000"/>
      <w:u w:val="none"/>
    </w:rPr>
  </w:style>
  <w:style w:type="character" w:styleId="31">
    <w:name w:val="Emphasis"/>
    <w:qFormat/>
    <w:uiPriority w:val="0"/>
  </w:style>
  <w:style w:type="character" w:styleId="32">
    <w:name w:val="Hyperlink"/>
    <w:qFormat/>
    <w:uiPriority w:val="0"/>
    <w:rPr>
      <w:color w:val="000000"/>
      <w:u w:val="none"/>
    </w:rPr>
  </w:style>
  <w:style w:type="character" w:customStyle="1" w:styleId="33">
    <w:name w:val="标题 1 Char"/>
    <w:link w:val="2"/>
    <w:qFormat/>
    <w:uiPriority w:val="0"/>
    <w:rPr>
      <w:b/>
      <w:bCs/>
      <w:kern w:val="44"/>
      <w:sz w:val="30"/>
      <w:szCs w:val="44"/>
    </w:rPr>
  </w:style>
  <w:style w:type="character" w:customStyle="1" w:styleId="34">
    <w:name w:val="标题 2 Char"/>
    <w:link w:val="3"/>
    <w:qFormat/>
    <w:uiPriority w:val="0"/>
    <w:rPr>
      <w:rFonts w:ascii="Cambria" w:hAnsi="Cambria"/>
      <w:b/>
      <w:bCs/>
      <w:kern w:val="2"/>
      <w:sz w:val="32"/>
      <w:szCs w:val="32"/>
    </w:rPr>
  </w:style>
  <w:style w:type="character" w:customStyle="1" w:styleId="35">
    <w:name w:val="正文文本缩进 Char"/>
    <w:link w:val="11"/>
    <w:qFormat/>
    <w:uiPriority w:val="0"/>
    <w:rPr>
      <w:kern w:val="2"/>
      <w:sz w:val="21"/>
      <w:szCs w:val="24"/>
    </w:rPr>
  </w:style>
  <w:style w:type="character" w:customStyle="1" w:styleId="36">
    <w:name w:val="纯文本 Char"/>
    <w:link w:val="12"/>
    <w:qFormat/>
    <w:uiPriority w:val="0"/>
    <w:rPr>
      <w:rFonts w:ascii="宋体" w:hAnsi="Courier New" w:cs="Courier New"/>
      <w:kern w:val="2"/>
      <w:sz w:val="21"/>
      <w:szCs w:val="21"/>
    </w:rPr>
  </w:style>
  <w:style w:type="character" w:customStyle="1" w:styleId="37">
    <w:name w:val="页脚 Char"/>
    <w:link w:val="15"/>
    <w:qFormat/>
    <w:uiPriority w:val="0"/>
    <w:rPr>
      <w:kern w:val="2"/>
      <w:sz w:val="18"/>
      <w:szCs w:val="18"/>
    </w:rPr>
  </w:style>
  <w:style w:type="character" w:customStyle="1" w:styleId="38">
    <w:name w:val="页眉 Char"/>
    <w:link w:val="16"/>
    <w:qFormat/>
    <w:uiPriority w:val="0"/>
    <w:rPr>
      <w:kern w:val="2"/>
      <w:sz w:val="18"/>
      <w:szCs w:val="18"/>
    </w:rPr>
  </w:style>
  <w:style w:type="character" w:customStyle="1" w:styleId="39">
    <w:name w:val="副标题 Char"/>
    <w:link w:val="19"/>
    <w:qFormat/>
    <w:uiPriority w:val="0"/>
    <w:rPr>
      <w:rFonts w:ascii="Cambria" w:hAnsi="Cambria"/>
      <w:b/>
      <w:bCs/>
      <w:kern w:val="28"/>
      <w:sz w:val="32"/>
      <w:szCs w:val="32"/>
    </w:rPr>
  </w:style>
  <w:style w:type="character" w:customStyle="1" w:styleId="40">
    <w:name w:val="标题 Char"/>
    <w:link w:val="23"/>
    <w:qFormat/>
    <w:uiPriority w:val="0"/>
    <w:rPr>
      <w:rFonts w:ascii="Cambria" w:hAnsi="Cambria"/>
      <w:b/>
      <w:bCs/>
      <w:kern w:val="2"/>
      <w:sz w:val="36"/>
      <w:szCs w:val="32"/>
    </w:rPr>
  </w:style>
  <w:style w:type="character" w:customStyle="1" w:styleId="41">
    <w:name w:val="正文首行缩进 2 Char"/>
    <w:link w:val="24"/>
    <w:qFormat/>
    <w:uiPriority w:val="0"/>
    <w:rPr>
      <w:rFonts w:hint="eastAsia" w:ascii="仿宋_GB2312" w:eastAsia="仿宋_GB2312"/>
      <w:spacing w:val="15"/>
      <w:kern w:val="10"/>
    </w:rPr>
  </w:style>
  <w:style w:type="character" w:customStyle="1" w:styleId="42">
    <w:name w:val="NormalCharacter"/>
    <w:qFormat/>
    <w:uiPriority w:val="0"/>
  </w:style>
  <w:style w:type="character" w:customStyle="1" w:styleId="43">
    <w:name w:val="bg02"/>
    <w:basedOn w:val="27"/>
    <w:qFormat/>
    <w:uiPriority w:val="0"/>
  </w:style>
  <w:style w:type="character" w:customStyle="1" w:styleId="44">
    <w:name w:val="font21"/>
    <w:qFormat/>
    <w:uiPriority w:val="0"/>
    <w:rPr>
      <w:rFonts w:hint="eastAsia" w:ascii="宋体" w:hAnsi="宋体" w:eastAsia="宋体" w:cs="宋体"/>
      <w:color w:val="000000"/>
      <w:sz w:val="20"/>
      <w:szCs w:val="20"/>
      <w:u w:val="none"/>
    </w:rPr>
  </w:style>
  <w:style w:type="character" w:customStyle="1" w:styleId="45">
    <w:name w:val="more"/>
    <w:qFormat/>
    <w:uiPriority w:val="0"/>
    <w:rPr>
      <w:color w:val="666666"/>
      <w:sz w:val="18"/>
      <w:szCs w:val="18"/>
    </w:rPr>
  </w:style>
  <w:style w:type="character" w:customStyle="1" w:styleId="46">
    <w:name w:val="eop"/>
    <w:basedOn w:val="27"/>
    <w:qFormat/>
    <w:uiPriority w:val="0"/>
  </w:style>
  <w:style w:type="character" w:customStyle="1" w:styleId="47">
    <w:name w:val="bg01"/>
    <w:basedOn w:val="27"/>
    <w:qFormat/>
    <w:uiPriority w:val="0"/>
  </w:style>
  <w:style w:type="character" w:customStyle="1" w:styleId="48">
    <w:name w:val="副标题 Char1"/>
    <w:qFormat/>
    <w:uiPriority w:val="0"/>
    <w:rPr>
      <w:rFonts w:ascii="Cambria" w:hAnsi="Cambria" w:cs="Times New Roman"/>
      <w:b/>
      <w:bCs/>
      <w:kern w:val="28"/>
      <w:sz w:val="32"/>
      <w:szCs w:val="32"/>
    </w:rPr>
  </w:style>
  <w:style w:type="character" w:customStyle="1" w:styleId="49">
    <w:name w:val="font11"/>
    <w:qFormat/>
    <w:uiPriority w:val="0"/>
    <w:rPr>
      <w:rFonts w:hint="eastAsia" w:ascii="宋体" w:hAnsi="宋体" w:eastAsia="宋体" w:cs="宋体"/>
      <w:color w:val="000000"/>
      <w:sz w:val="21"/>
      <w:szCs w:val="21"/>
      <w:u w:val="none"/>
    </w:rPr>
  </w:style>
  <w:style w:type="character" w:customStyle="1" w:styleId="50">
    <w:name w:val="标题 Char1"/>
    <w:qFormat/>
    <w:uiPriority w:val="0"/>
    <w:rPr>
      <w:rFonts w:ascii="Cambria" w:hAnsi="Cambria" w:cs="Times New Roman"/>
      <w:b/>
      <w:bCs/>
      <w:kern w:val="2"/>
      <w:sz w:val="32"/>
      <w:szCs w:val="32"/>
    </w:rPr>
  </w:style>
  <w:style w:type="character" w:customStyle="1" w:styleId="51">
    <w:name w:val="15"/>
    <w:qFormat/>
    <w:uiPriority w:val="0"/>
    <w:rPr>
      <w:rFonts w:hint="default" w:ascii="Times New Roman" w:hAnsi="Times New Roman" w:cs="Times New Roman"/>
    </w:rPr>
  </w:style>
  <w:style w:type="character" w:customStyle="1" w:styleId="52">
    <w:name w:val="normaltextrun"/>
    <w:basedOn w:val="27"/>
    <w:qFormat/>
    <w:uiPriority w:val="0"/>
  </w:style>
  <w:style w:type="character" w:customStyle="1" w:styleId="53">
    <w:name w:val="tabg"/>
    <w:qFormat/>
    <w:uiPriority w:val="0"/>
    <w:rPr>
      <w:rFonts w:ascii="微软雅黑" w:hAnsi="微软雅黑" w:eastAsia="微软雅黑" w:cs="微软雅黑"/>
      <w:color w:val="FFFFFF"/>
      <w:sz w:val="27"/>
      <w:szCs w:val="27"/>
    </w:rPr>
  </w:style>
  <w:style w:type="character" w:customStyle="1" w:styleId="54">
    <w:name w:val="16"/>
    <w:qFormat/>
    <w:uiPriority w:val="0"/>
    <w:rPr>
      <w:rFonts w:hint="default" w:ascii="font-weight : 400" w:hAnsi="font-weight : 400"/>
      <w:color w:val="000000"/>
      <w:sz w:val="22"/>
      <w:szCs w:val="22"/>
    </w:rPr>
  </w:style>
  <w:style w:type="character" w:customStyle="1" w:styleId="55">
    <w:name w:val="font01"/>
    <w:qFormat/>
    <w:uiPriority w:val="0"/>
    <w:rPr>
      <w:rFonts w:hint="eastAsia" w:ascii="新宋体" w:hAnsi="新宋体" w:eastAsia="新宋体" w:cs="新宋体"/>
      <w:color w:val="FF0000"/>
      <w:sz w:val="21"/>
      <w:szCs w:val="21"/>
      <w:u w:val="none"/>
    </w:rPr>
  </w:style>
  <w:style w:type="character" w:customStyle="1" w:styleId="56">
    <w:name w:val="font31"/>
    <w:qFormat/>
    <w:uiPriority w:val="0"/>
    <w:rPr>
      <w:rFonts w:hint="eastAsia" w:ascii="宋体" w:hAnsi="宋体" w:eastAsia="宋体" w:cs="宋体"/>
      <w:color w:val="000000"/>
      <w:sz w:val="22"/>
      <w:szCs w:val="22"/>
      <w:u w:val="none"/>
    </w:rPr>
  </w:style>
  <w:style w:type="character" w:customStyle="1" w:styleId="57">
    <w:name w:val="font51"/>
    <w:basedOn w:val="27"/>
    <w:qFormat/>
    <w:uiPriority w:val="0"/>
    <w:rPr>
      <w:rFonts w:hint="eastAsia" w:ascii="宋体" w:hAnsi="宋体" w:eastAsia="宋体" w:cs="宋体"/>
      <w:color w:val="000000"/>
      <w:sz w:val="24"/>
      <w:szCs w:val="24"/>
      <w:u w:val="none"/>
    </w:rPr>
  </w:style>
  <w:style w:type="character" w:customStyle="1" w:styleId="58">
    <w:name w:val="font41"/>
    <w:basedOn w:val="27"/>
    <w:qFormat/>
    <w:uiPriority w:val="0"/>
    <w:rPr>
      <w:rFonts w:hint="eastAsia" w:ascii="新宋体" w:hAnsi="新宋体" w:eastAsia="新宋体" w:cs="新宋体"/>
      <w:color w:val="000000"/>
      <w:sz w:val="21"/>
      <w:szCs w:val="21"/>
      <w:u w:val="none"/>
    </w:rPr>
  </w:style>
  <w:style w:type="paragraph" w:customStyle="1" w:styleId="59">
    <w:name w:val="Table Paragraph"/>
    <w:basedOn w:val="1"/>
    <w:qFormat/>
    <w:uiPriority w:val="1"/>
    <w:pPr>
      <w:ind w:left="107"/>
    </w:pPr>
  </w:style>
  <w:style w:type="paragraph" w:customStyle="1" w:styleId="60">
    <w:name w:val="_Style 31"/>
    <w:basedOn w:val="8"/>
    <w:qFormat/>
    <w:uiPriority w:val="0"/>
    <w:rPr>
      <w:szCs w:val="20"/>
      <w:shd w:val="clear" w:color="auto" w:fill="000080"/>
    </w:rPr>
  </w:style>
  <w:style w:type="paragraph" w:customStyle="1" w:styleId="61">
    <w:name w:val="List Paragraph1"/>
    <w:basedOn w:val="1"/>
    <w:qFormat/>
    <w:uiPriority w:val="34"/>
    <w:pPr>
      <w:ind w:firstLine="420" w:firstLineChars="200"/>
    </w:pPr>
  </w:style>
  <w:style w:type="paragraph" w:customStyle="1" w:styleId="62">
    <w:name w:val="样式1"/>
    <w:basedOn w:val="1"/>
    <w:qFormat/>
    <w:uiPriority w:val="0"/>
    <w:rPr>
      <w:rFonts w:eastAsia="仿宋_GB2312"/>
      <w:sz w:val="32"/>
    </w:rPr>
  </w:style>
  <w:style w:type="paragraph" w:styleId="63">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TOC 标题1"/>
    <w:basedOn w:val="2"/>
    <w:next w:val="1"/>
    <w:qFormat/>
    <w:uiPriority w:val="0"/>
    <w:pPr>
      <w:widowControl/>
      <w:tabs>
        <w:tab w:val="left" w:pos="360"/>
      </w:tabs>
      <w:autoSpaceDE/>
      <w:autoSpaceDN/>
      <w:spacing w:before="480" w:beforeLines="0" w:line="276" w:lineRule="auto"/>
      <w:ind w:left="0"/>
      <w:jc w:val="left"/>
      <w:outlineLvl w:val="9"/>
    </w:pPr>
    <w:rPr>
      <w:rFonts w:ascii="Cambria" w:hAnsi="Cambria" w:cs="Arial"/>
      <w:b w:val="0"/>
      <w:color w:val="365F91"/>
      <w:sz w:val="28"/>
      <w:szCs w:val="28"/>
      <w:lang w:val="en-US" w:bidi="ar-SA"/>
    </w:rPr>
  </w:style>
  <w:style w:type="paragraph" w:customStyle="1" w:styleId="65">
    <w:name w:val=" Char"/>
    <w:basedOn w:val="1"/>
    <w:qFormat/>
    <w:uiPriority w:val="0"/>
    <w:rPr>
      <w:szCs w:val="21"/>
    </w:rPr>
  </w:style>
  <w:style w:type="paragraph" w:styleId="66">
    <w:name w:val="List Paragraph"/>
    <w:basedOn w:val="1"/>
    <w:qFormat/>
    <w:uiPriority w:val="0"/>
    <w:pPr>
      <w:ind w:firstLine="420" w:firstLineChars="200"/>
    </w:pPr>
  </w:style>
  <w:style w:type="paragraph" w:customStyle="1" w:styleId="67">
    <w:name w:val="样式3"/>
    <w:basedOn w:val="68"/>
    <w:qFormat/>
    <w:uiPriority w:val="0"/>
    <w:pPr>
      <w:jc w:val="center"/>
    </w:pPr>
  </w:style>
  <w:style w:type="paragraph" w:customStyle="1" w:styleId="68">
    <w:name w:val="样式2"/>
    <w:basedOn w:val="1"/>
    <w:qFormat/>
    <w:uiPriority w:val="0"/>
    <w:rPr>
      <w:rFonts w:eastAsia="华文中宋"/>
      <w:sz w:val="44"/>
    </w:rPr>
  </w:style>
  <w:style w:type="character" w:customStyle="1" w:styleId="69">
    <w:name w:val="fontstyle01"/>
    <w:qFormat/>
    <w:uiPriority w:val="0"/>
    <w:rPr>
      <w:rFonts w:hint="eastAsia" w:ascii="宋体" w:hAnsi="宋体" w:eastAsia="宋体"/>
      <w:color w:val="000000"/>
      <w:sz w:val="24"/>
      <w:szCs w:val="24"/>
    </w:rPr>
  </w:style>
  <w:style w:type="paragraph" w:customStyle="1" w:styleId="70">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71">
    <w:name w:val="179"/>
    <w:basedOn w:val="1"/>
    <w:qFormat/>
    <w:uiPriority w:val="0"/>
    <w:pPr>
      <w:ind w:firstLine="420" w:firstLineChars="200"/>
      <w:textAlignment w:val="baseline"/>
    </w:pPr>
  </w:style>
  <w:style w:type="character" w:customStyle="1" w:styleId="72">
    <w:name w:val="font61"/>
    <w:basedOn w:val="27"/>
    <w:qFormat/>
    <w:uiPriority w:val="0"/>
    <w:rPr>
      <w:rFonts w:ascii="Malgun Gothic Semilight" w:hAnsi="Malgun Gothic Semilight" w:eastAsia="Malgun Gothic Semilight" w:cs="Malgun Gothic Semilight"/>
      <w:color w:val="000000"/>
      <w:sz w:val="12"/>
      <w:szCs w:val="1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113</Pages>
  <Words>57634</Words>
  <Characters>63173</Characters>
  <Lines>441</Lines>
  <Paragraphs>124</Paragraphs>
  <TotalTime>45</TotalTime>
  <ScaleCrop>false</ScaleCrop>
  <LinksUpToDate>false</LinksUpToDate>
  <CharactersWithSpaces>66095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2024-03-28T03:29:00Z</dcterms:created>
  <dc:creator>太子弹琴</dc:creator>
  <cp:lastModifiedBy>紫雨</cp:lastModifiedBy>
  <cp:lastPrinted>2024-03-27T00:46:00Z</cp:lastPrinted>
  <dcterms:modified xsi:type="dcterms:W3CDTF">2025-01-10T14:37:08Z</dcterms:modified>
  <dc:title>公开招标文件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89DDE40FC9004649ACF3C95BD765ED05_13</vt:lpwstr>
  </property>
  <property fmtid="{D5CDD505-2E9C-101B-9397-08002B2CF9AE}" pid="4" name="KSOTemplateDocerSaveRecord">
    <vt:lpwstr>eyJoZGlkIjoiZDg4NzQ1Zjk1OTc4OTg3OTE2YzAyNjQ3YTBiNDVmMGYiLCJ1c2VySWQiOiIzOTk0NTg2OTIifQ==</vt:lpwstr>
  </property>
</Properties>
</file>