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36882F0A">
      <w:pPr>
        <w:adjustRightInd w:val="0"/>
        <w:spacing w:line="360" w:lineRule="auto"/>
        <w:jc w:val="center"/>
        <w:textAlignment w:val="baseline"/>
        <w:rPr>
          <w:rFonts w:ascii="宋体" w:hAnsi="宋体"/>
          <w:b/>
          <w:sz w:val="48"/>
          <w:szCs w:val="48"/>
        </w:rPr>
      </w:pPr>
    </w:p>
    <w:p w14:paraId="40CC3DAE">
      <w:pPr>
        <w:adjustRightInd w:val="0"/>
        <w:spacing w:line="360" w:lineRule="auto"/>
        <w:jc w:val="center"/>
        <w:textAlignment w:val="baseline"/>
        <w:rPr>
          <w:rFonts w:ascii="宋体" w:hAnsi="宋体"/>
          <w:sz w:val="48"/>
          <w:szCs w:val="48"/>
        </w:rPr>
      </w:pPr>
    </w:p>
    <w:p w14:paraId="34E51DEA">
      <w:pPr>
        <w:adjustRightInd w:val="0"/>
        <w:spacing w:line="360" w:lineRule="auto"/>
        <w:jc w:val="center"/>
        <w:textAlignment w:val="baseline"/>
        <w:rPr>
          <w:rFonts w:ascii="宋体" w:hAnsi="宋体"/>
          <w:sz w:val="32"/>
        </w:rPr>
      </w:pPr>
    </w:p>
    <w:p w14:paraId="515BD415">
      <w:pPr>
        <w:pStyle w:val="30"/>
        <w:spacing w:before="0" w:after="0" w:line="360" w:lineRule="auto"/>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62290970">
      <w:pPr>
        <w:widowControl/>
        <w:adjustRightInd w:val="0"/>
        <w:snapToGrid w:val="0"/>
        <w:spacing w:line="480" w:lineRule="auto"/>
        <w:ind w:left="1281" w:leftChars="304" w:hanging="643" w:hangingChars="2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湟中区李家山镇上坪村青绣文化产业传承</w:t>
      </w:r>
    </w:p>
    <w:p w14:paraId="1FAE5C73">
      <w:pPr>
        <w:widowControl/>
        <w:adjustRightInd w:val="0"/>
        <w:snapToGrid w:val="0"/>
        <w:spacing w:line="480" w:lineRule="auto"/>
        <w:ind w:firstLine="2891" w:firstLineChars="9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lang w:eastAsia="zh-CN"/>
        </w:rPr>
        <w:t>研发中心建设项目</w:t>
      </w:r>
    </w:p>
    <w:p w14:paraId="6925E108">
      <w:pPr>
        <w:widowControl/>
        <w:adjustRightInd w:val="0"/>
        <w:snapToGrid w:val="0"/>
        <w:spacing w:line="480" w:lineRule="auto"/>
        <w:ind w:firstLine="643" w:firstLineChars="2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青海丰研竞磋（货物）2025-004</w:t>
      </w:r>
    </w:p>
    <w:p w14:paraId="171213A0">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西宁市湟中区农业农村局</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w:t>
      </w:r>
      <w:r>
        <w:rPr>
          <w:rFonts w:hint="eastAsia" w:ascii="宋体" w:hAnsi="宋体"/>
          <w:b/>
          <w:bCs/>
          <w:sz w:val="32"/>
          <w:szCs w:val="32"/>
          <w:lang w:val="en-US" w:eastAsia="zh-CN"/>
        </w:rPr>
        <w:t>4</w:t>
      </w:r>
      <w:r>
        <w:rPr>
          <w:rFonts w:hint="eastAsia" w:ascii="宋体" w:hAnsi="宋体"/>
          <w:b/>
          <w:bCs/>
          <w:sz w:val="32"/>
          <w:szCs w:val="32"/>
          <w:lang w:eastAsia="zh-CN"/>
        </w:rPr>
        <w:t>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1"/>
      </w:pPr>
    </w:p>
    <w:p w14:paraId="18554BFB">
      <w:pPr>
        <w:pStyle w:val="23"/>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3"/>
        <w:jc w:val="center"/>
        <w:rPr>
          <w:rFonts w:asciiTheme="minorHAnsi" w:hAnsiTheme="minorHAnsi" w:eastAsiaTheme="minorEastAsia" w:cstheme="minorBidi"/>
          <w:szCs w:val="22"/>
        </w:rPr>
      </w:pPr>
    </w:p>
    <w:p w14:paraId="78C3AEDE">
      <w:pPr>
        <w:pStyle w:val="23"/>
        <w:spacing w:line="360" w:lineRule="auto"/>
        <w:jc w:val="both"/>
        <w:rPr>
          <w:rFonts w:ascii="宋体" w:hAnsi="宋体"/>
          <w:bCs/>
          <w:sz w:val="24"/>
        </w:rPr>
      </w:pPr>
      <w:r>
        <w:rPr>
          <w:rFonts w:ascii="宋体" w:hAnsi="宋体"/>
          <w:bCs/>
          <w:sz w:val="24"/>
        </w:rPr>
        <w:fldChar w:fldCharType="end"/>
      </w:r>
    </w:p>
    <w:p w14:paraId="0BA50832">
      <w:pPr>
        <w:pStyle w:val="24"/>
        <w:spacing w:before="0" w:after="0" w:line="360" w:lineRule="auto"/>
        <w:rPr>
          <w:rFonts w:ascii="宋体" w:hAnsi="宋体"/>
          <w:sz w:val="48"/>
        </w:rPr>
      </w:pPr>
      <w:bookmarkStart w:id="1" w:name="_Toc444715732"/>
      <w:bookmarkStart w:id="2" w:name="_Toc1575293"/>
      <w:bookmarkStart w:id="3" w:name="_Hlk503427406"/>
    </w:p>
    <w:p w14:paraId="7BCEBE63">
      <w:pPr>
        <w:pStyle w:val="24"/>
        <w:spacing w:before="0" w:after="0" w:line="360" w:lineRule="auto"/>
        <w:rPr>
          <w:rFonts w:hint="eastAsia" w:ascii="宋体" w:hAnsi="宋体"/>
          <w:sz w:val="48"/>
        </w:rPr>
      </w:pPr>
    </w:p>
    <w:p w14:paraId="691E1AB3">
      <w:pPr>
        <w:pStyle w:val="24"/>
        <w:spacing w:before="0" w:after="0" w:line="360" w:lineRule="auto"/>
        <w:rPr>
          <w:rFonts w:hint="eastAsia" w:ascii="宋体" w:hAnsi="宋体"/>
          <w:sz w:val="48"/>
        </w:rPr>
      </w:pPr>
    </w:p>
    <w:p w14:paraId="05753C72">
      <w:pPr>
        <w:pStyle w:val="24"/>
        <w:spacing w:before="0" w:after="0" w:line="360" w:lineRule="auto"/>
        <w:rPr>
          <w:rFonts w:hint="eastAsia" w:ascii="宋体" w:hAnsi="宋体"/>
          <w:sz w:val="48"/>
        </w:rPr>
      </w:pPr>
    </w:p>
    <w:p w14:paraId="5748D4D1">
      <w:pPr>
        <w:pStyle w:val="24"/>
        <w:spacing w:before="0" w:after="0" w:line="360" w:lineRule="auto"/>
        <w:rPr>
          <w:rFonts w:hint="eastAsia" w:ascii="宋体" w:hAnsi="宋体"/>
          <w:sz w:val="48"/>
        </w:rPr>
      </w:pPr>
    </w:p>
    <w:p w14:paraId="73FCA6DD">
      <w:pPr>
        <w:pStyle w:val="24"/>
        <w:spacing w:before="0" w:after="0" w:line="360" w:lineRule="auto"/>
        <w:rPr>
          <w:rFonts w:hint="eastAsia" w:ascii="宋体" w:hAnsi="宋体"/>
          <w:sz w:val="48"/>
        </w:rPr>
      </w:pPr>
    </w:p>
    <w:p w14:paraId="06372FF4">
      <w:pPr>
        <w:pStyle w:val="24"/>
        <w:spacing w:before="0" w:after="0" w:line="360" w:lineRule="auto"/>
        <w:rPr>
          <w:rFonts w:hint="eastAsia" w:ascii="宋体" w:hAnsi="宋体"/>
          <w:sz w:val="48"/>
        </w:rPr>
      </w:pPr>
    </w:p>
    <w:p w14:paraId="7909051C">
      <w:pPr>
        <w:pStyle w:val="24"/>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湟中区李家山镇上坪村青绣文化产业传承研发中心建设项目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w:t>
      </w:r>
      <w:r>
        <w:rPr>
          <w:rFonts w:hint="eastAsia" w:ascii="宋体" w:hAnsi="宋体" w:cs="宋体"/>
          <w:color w:val="auto"/>
          <w:sz w:val="24"/>
          <w:u w:val="single"/>
          <w:lang w:val="zh-CN" w:eastAsia="zh-CN"/>
        </w:rPr>
        <w:t>湟中区李家山镇上坪村青绣文化产业传承研发中心建设项目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highlight w:val="none"/>
        </w:rPr>
      </w:pPr>
      <w:bookmarkStart w:id="5" w:name="_Toc35393621"/>
      <w:bookmarkStart w:id="6" w:name="_Toc35393790"/>
      <w:bookmarkStart w:id="7" w:name="_Toc22251"/>
      <w:bookmarkStart w:id="8" w:name="_Toc6352"/>
      <w:bookmarkStart w:id="9" w:name="_Toc8609"/>
      <w:bookmarkStart w:id="10" w:name="_Toc27050"/>
      <w:bookmarkStart w:id="11" w:name="_Toc28359079"/>
      <w:bookmarkStart w:id="12" w:name="_Toc4576"/>
      <w:bookmarkStart w:id="13" w:name="_Toc28359002"/>
      <w:bookmarkStart w:id="14" w:name="_Hlk24379207"/>
      <w:r>
        <w:rPr>
          <w:rFonts w:hint="eastAsia" w:ascii="宋体" w:hAnsi="宋体" w:cs="宋体"/>
          <w:b/>
          <w:bCs/>
          <w:color w:val="auto"/>
          <w:sz w:val="24"/>
          <w:highlight w:val="none"/>
        </w:rPr>
        <w:t>一、项目基本情况</w:t>
      </w:r>
      <w:bookmarkEnd w:id="5"/>
      <w:bookmarkEnd w:id="6"/>
      <w:bookmarkEnd w:id="7"/>
      <w:bookmarkEnd w:id="8"/>
      <w:bookmarkEnd w:id="9"/>
      <w:bookmarkEnd w:id="10"/>
      <w:bookmarkEnd w:id="11"/>
      <w:bookmarkEnd w:id="12"/>
      <w:bookmarkEnd w:id="13"/>
    </w:p>
    <w:p w14:paraId="4DCD7EE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val="0"/>
          <w:bCs w:val="0"/>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val="0"/>
          <w:bCs w:val="0"/>
          <w:color w:val="auto"/>
          <w:sz w:val="24"/>
          <w:highlight w:val="none"/>
          <w:lang w:eastAsia="zh-CN"/>
        </w:rPr>
        <w:t>青海丰研竞磋（货物）2025-004</w:t>
      </w:r>
    </w:p>
    <w:p w14:paraId="18BAB1B5">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highlight w:val="none"/>
          <w:u w:val="none"/>
          <w:lang w:val="zh-CN"/>
        </w:rPr>
      </w:pPr>
      <w:r>
        <w:rPr>
          <w:rFonts w:hint="eastAsia" w:ascii="宋体" w:hAnsi="宋体" w:cs="宋体"/>
          <w:b/>
          <w:bCs/>
          <w:color w:val="auto"/>
          <w:sz w:val="24"/>
          <w:highlight w:val="none"/>
          <w:u w:val="none"/>
        </w:rPr>
        <w:t>项目名称：</w:t>
      </w:r>
      <w:r>
        <w:rPr>
          <w:rFonts w:hint="eastAsia" w:ascii="宋体" w:hAnsi="宋体" w:cs="宋体"/>
          <w:color w:val="auto"/>
          <w:sz w:val="24"/>
          <w:highlight w:val="none"/>
          <w:u w:val="none"/>
          <w:lang w:val="zh-CN"/>
        </w:rPr>
        <w:t>湟中区李家山镇上坪村青绣文化产业传承研发中心建设项目</w:t>
      </w:r>
    </w:p>
    <w:p w14:paraId="15AEA2D4">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rPr>
        <w:t>采购方式：</w:t>
      </w:r>
      <w:r>
        <w:rPr>
          <w:rFonts w:hint="eastAsia" w:ascii="宋体" w:hAnsi="宋体" w:cs="宋体"/>
          <w:color w:val="auto"/>
          <w:sz w:val="24"/>
          <w:szCs w:val="24"/>
          <w:highlight w:val="none"/>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none"/>
          <w:u w:val="none"/>
          <w:lang w:val="en-US"/>
        </w:rPr>
      </w:pPr>
      <w:r>
        <w:rPr>
          <w:rFonts w:hint="eastAsia" w:ascii="宋体" w:hAnsi="宋体" w:cs="宋体"/>
          <w:b/>
          <w:bCs/>
          <w:color w:val="auto"/>
          <w:sz w:val="24"/>
          <w:highlight w:val="none"/>
          <w:u w:val="none"/>
        </w:rPr>
        <w:t>预算金额：</w:t>
      </w:r>
      <w:r>
        <w:rPr>
          <w:rFonts w:hint="eastAsia" w:ascii="宋体" w:hAnsi="宋体" w:cs="宋体"/>
          <w:color w:val="auto"/>
          <w:sz w:val="24"/>
          <w:highlight w:val="none"/>
          <w:u w:val="none"/>
          <w:lang w:val="en-US" w:eastAsia="zh-CN"/>
        </w:rPr>
        <w:t>740000.00元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自合同签订之日起30个日历日</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359080"/>
      <w:bookmarkStart w:id="16" w:name="_Toc2854"/>
      <w:bookmarkStart w:id="17" w:name="_Toc18625"/>
      <w:bookmarkStart w:id="18" w:name="_Toc28359003"/>
      <w:bookmarkStart w:id="19" w:name="_Toc29515"/>
      <w:bookmarkStart w:id="20" w:name="_Toc35393791"/>
      <w:bookmarkStart w:id="21" w:name="_Toc25034"/>
      <w:bookmarkStart w:id="22" w:name="_Toc31044"/>
      <w:bookmarkStart w:id="23" w:name="_Toc35393622"/>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35393623"/>
      <w:bookmarkStart w:id="25" w:name="_Toc10138"/>
      <w:bookmarkStart w:id="26" w:name="_Toc27458"/>
      <w:bookmarkStart w:id="27" w:name="_Toc18348"/>
      <w:bookmarkStart w:id="28" w:name="_Toc17750"/>
      <w:bookmarkStart w:id="29" w:name="_Toc28359081"/>
      <w:bookmarkStart w:id="30" w:name="_Toc35393792"/>
      <w:bookmarkStart w:id="31" w:name="_Toc6195"/>
      <w:bookmarkStart w:id="32" w:name="_Toc28359004"/>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B8B2B41">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2、落实政府采购政策需满足的资格要求：本项目专门面向中小微企业采购（监狱企业、残疾人福利性单位视同小型、微型企业）。</w:t>
      </w:r>
    </w:p>
    <w:p w14:paraId="590669B8">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04</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18</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04</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25</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0:00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28359082"/>
      <w:bookmarkStart w:id="34" w:name="_Toc29703"/>
      <w:bookmarkStart w:id="35" w:name="_Toc28359005"/>
      <w:bookmarkStart w:id="36" w:name="_Toc35393624"/>
      <w:bookmarkStart w:id="37" w:name="_Toc35393793"/>
      <w:bookmarkStart w:id="38" w:name="_Toc13059"/>
      <w:bookmarkStart w:id="39" w:name="_Toc24601"/>
      <w:bookmarkStart w:id="40" w:name="_Toc24699"/>
      <w:bookmarkStart w:id="41" w:name="_Toc4607"/>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28</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7260"/>
      <w:bookmarkStart w:id="43" w:name="_Toc24901"/>
      <w:bookmarkStart w:id="44" w:name="_Toc28597"/>
      <w:bookmarkStart w:id="45" w:name="_Toc35393795"/>
      <w:bookmarkStart w:id="46" w:name="_Toc35393626"/>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cs="宋体"/>
          <w:color w:val="auto"/>
          <w:sz w:val="24"/>
          <w:highlight w:val="none"/>
          <w:u w:val="none"/>
          <w:lang w:val="en-US" w:eastAsia="zh-CN"/>
        </w:rPr>
        <w:t>4</w:t>
      </w:r>
      <w:r>
        <w:rPr>
          <w:rFonts w:hint="eastAsia" w:ascii="宋体" w:hAnsi="宋体" w:cs="宋体"/>
          <w:color w:val="auto"/>
          <w:sz w:val="24"/>
          <w:highlight w:val="none"/>
          <w:u w:val="none"/>
          <w:lang w:eastAsia="zh-CN"/>
        </w:rPr>
        <w:t>月</w:t>
      </w:r>
      <w:r>
        <w:rPr>
          <w:rFonts w:hint="eastAsia" w:cs="宋体"/>
          <w:color w:val="auto"/>
          <w:sz w:val="24"/>
          <w:highlight w:val="none"/>
          <w:u w:val="none"/>
          <w:lang w:val="en-US" w:eastAsia="zh-CN"/>
        </w:rPr>
        <w:t>28</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18313"/>
      <w:bookmarkStart w:id="48" w:name="_Toc2039"/>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85D9C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kern w:val="0"/>
          <w:sz w:val="24"/>
          <w:szCs w:val="24"/>
          <w:lang w:bidi="ar"/>
        </w:rPr>
      </w:pPr>
      <w:bookmarkStart w:id="49" w:name="_Toc11490"/>
      <w:bookmarkStart w:id="50" w:name="_Toc2752"/>
      <w:bookmarkStart w:id="51" w:name="_Toc26651"/>
      <w:bookmarkStart w:id="52" w:name="_Toc14683"/>
      <w:bookmarkStart w:id="53" w:name="_Toc26803"/>
      <w:r>
        <w:rPr>
          <w:rFonts w:hint="eastAsia" w:ascii="宋体" w:hAnsi="宋体" w:cs="宋体"/>
          <w:b/>
          <w:bCs/>
          <w:color w:val="auto"/>
          <w:sz w:val="24"/>
        </w:rPr>
        <w:t>七、其他补充事宜</w:t>
      </w:r>
      <w:bookmarkEnd w:id="45"/>
      <w:bookmarkEnd w:id="46"/>
      <w:bookmarkEnd w:id="49"/>
      <w:bookmarkEnd w:id="50"/>
      <w:bookmarkEnd w:id="51"/>
      <w:bookmarkEnd w:id="52"/>
      <w:bookmarkEnd w:id="53"/>
      <w:r>
        <w:rPr>
          <w:rFonts w:hint="eastAsia" w:ascii="宋体" w:hAnsi="宋体" w:cs="宋体"/>
          <w:color w:val="auto"/>
          <w:kern w:val="0"/>
          <w:sz w:val="24"/>
          <w:szCs w:val="24"/>
          <w:lang w:val="en-US" w:eastAsia="zh-CN" w:bidi="ar"/>
        </w:rPr>
        <w:t>。</w:t>
      </w:r>
    </w:p>
    <w:p w14:paraId="4A22833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w:t>
      </w:r>
      <w:r>
        <w:rPr>
          <w:rFonts w:hint="eastAsia" w:ascii="宋体" w:hAnsi="宋体" w:cs="宋体"/>
          <w:color w:val="auto"/>
          <w:kern w:val="0"/>
          <w:sz w:val="24"/>
          <w:szCs w:val="24"/>
          <w:lang w:val="en-US" w:eastAsia="zh-CN" w:bidi="ar"/>
        </w:rPr>
        <w:t>省</w:t>
      </w:r>
      <w:r>
        <w:rPr>
          <w:rFonts w:hint="eastAsia" w:ascii="宋体" w:hAnsi="宋体" w:cs="宋体"/>
          <w:color w:val="auto"/>
          <w:kern w:val="0"/>
          <w:sz w:val="24"/>
          <w:szCs w:val="24"/>
          <w:lang w:val="zh-CN" w:bidi="ar"/>
        </w:rPr>
        <w:t>政府采购网》上发布；</w:t>
      </w:r>
    </w:p>
    <w:p w14:paraId="0CE0FF2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1249"/>
      <w:bookmarkStart w:id="55" w:name="_Toc16079"/>
      <w:bookmarkStart w:id="56" w:name="_Toc12783"/>
      <w:bookmarkStart w:id="57" w:name="_Toc15107"/>
      <w:bookmarkStart w:id="58" w:name="_Toc22544"/>
      <w:bookmarkStart w:id="59" w:name="_Toc35393627"/>
      <w:bookmarkStart w:id="60" w:name="_Toc28359008"/>
      <w:bookmarkStart w:id="61" w:name="_Toc28359085"/>
      <w:bookmarkStart w:id="62" w:name="_Toc35393796"/>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3B87E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西宁市湟中区农业农村局</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西宁市湟中区通宁路27号</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马先生</w:t>
      </w:r>
    </w:p>
    <w:p w14:paraId="70C81874">
      <w:pPr>
        <w:keepNext w:val="0"/>
        <w:keepLines w:val="0"/>
        <w:widowControl/>
        <w:suppressLineNumbers w:val="0"/>
        <w:ind w:firstLine="480" w:firstLineChars="200"/>
        <w:jc w:val="left"/>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项目联系方式（询问）</w:t>
      </w:r>
      <w:bookmarkStart w:id="63" w:name="_Toc28359086"/>
      <w:bookmarkStart w:id="64" w:name="_Toc28359009"/>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0971-2236027</w:t>
      </w:r>
    </w:p>
    <w:p w14:paraId="427D7D3B">
      <w:pPr>
        <w:keepNext w:val="0"/>
        <w:keepLines w:val="0"/>
        <w:widowControl/>
        <w:suppressLineNumbers w:val="0"/>
        <w:ind w:firstLine="420" w:firstLineChars="200"/>
        <w:jc w:val="left"/>
        <w:rPr>
          <w:highlight w:val="none"/>
        </w:rPr>
      </w:pP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zh-CN"/>
        </w:rPr>
      </w:pP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青海省西宁市城中区湟源大街151号14号楼7层1072室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4"/>
        <w:spacing w:before="0" w:after="0" w:line="360" w:lineRule="auto"/>
        <w:rPr>
          <w:rFonts w:ascii="宋体" w:hAnsi="宋体"/>
          <w:sz w:val="36"/>
          <w:szCs w:val="36"/>
          <w:lang w:val="zh-CN"/>
        </w:rPr>
      </w:pPr>
      <w:r>
        <w:rPr>
          <w:rFonts w:ascii="宋体" w:hAnsi="宋体"/>
          <w:sz w:val="24"/>
        </w:rPr>
        <w:br w:type="page"/>
      </w:r>
      <w:bookmarkStart w:id="65" w:name="_Toc1575294"/>
      <w:bookmarkStart w:id="66" w:name="_Toc444715733"/>
      <w:r>
        <w:rPr>
          <w:rFonts w:hint="eastAsia" w:ascii="宋体" w:hAnsi="宋体"/>
          <w:sz w:val="36"/>
          <w:szCs w:val="36"/>
        </w:rPr>
        <w:t>第二部分</w:t>
      </w:r>
      <w:r>
        <w:rPr>
          <w:rFonts w:hint="eastAsia" w:ascii="宋体" w:hAnsi="宋体"/>
          <w:sz w:val="36"/>
          <w:szCs w:val="36"/>
          <w:lang w:val="en-US" w:eastAsia="zh-CN"/>
        </w:rPr>
        <w:t xml:space="preserve">  </w:t>
      </w:r>
      <w:r>
        <w:rPr>
          <w:rFonts w:hint="eastAsia" w:ascii="宋体" w:hAnsi="宋体"/>
          <w:sz w:val="36"/>
          <w:szCs w:val="36"/>
        </w:rPr>
        <w:t>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shd w:val="clear" w:color="auto" w:fill="auto"/>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ascii="宋体" w:hAnsi="宋体" w:cs="宋体"/>
                <w:color w:val="auto"/>
                <w:kern w:val="0"/>
                <w:sz w:val="24"/>
                <w:highlight w:val="none"/>
                <w:lang w:val="zh-CN" w:eastAsia="zh-CN"/>
              </w:rPr>
              <w:t>湟中区李家山镇上坪村青绣文化产业传承研发中心建设项目</w:t>
            </w:r>
          </w:p>
        </w:tc>
      </w:tr>
      <w:tr w14:paraId="1496CEDE">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zh-CN"/>
              </w:rPr>
              <w:t>青海丰研竞磋（货物）2025-0</w:t>
            </w:r>
            <w:r>
              <w:rPr>
                <w:rFonts w:hint="eastAsia" w:ascii="宋体" w:hAnsi="宋体" w:cs="宋体"/>
                <w:bCs/>
                <w:color w:val="auto"/>
                <w:kern w:val="0"/>
                <w:sz w:val="24"/>
                <w:highlight w:val="none"/>
                <w:lang w:val="en-US" w:eastAsia="zh-CN"/>
              </w:rPr>
              <w:t>04</w:t>
            </w:r>
          </w:p>
        </w:tc>
      </w:tr>
      <w:tr w14:paraId="21E44AC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西宁市湟中区农业农村局</w:t>
            </w:r>
          </w:p>
        </w:tc>
      </w:tr>
      <w:tr w14:paraId="6D37AB55">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740000.00元</w:t>
            </w:r>
          </w:p>
        </w:tc>
      </w:tr>
      <w:tr w14:paraId="64E4035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autoSpaceDE w:val="0"/>
              <w:autoSpaceDN w:val="0"/>
              <w:spacing w:line="360" w:lineRule="auto"/>
              <w:jc w:val="left"/>
              <w:rPr>
                <w:rFonts w:hint="eastAsia"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21529">
            <w:pPr>
              <w:autoSpaceDE w:val="0"/>
              <w:autoSpaceDN w:val="0"/>
              <w:spacing w:line="360" w:lineRule="auto"/>
              <w:jc w:val="left"/>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w:t>
            </w:r>
          </w:p>
        </w:tc>
      </w:tr>
      <w:tr w14:paraId="2632BE72">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6FF236A7">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val="zh-CN"/>
              </w:rPr>
              <w:t>符合《政府采购法》第22条规定，并提供下列材料：</w:t>
            </w:r>
          </w:p>
          <w:p w14:paraId="3F5C8793">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1）供应商的营业执照等证明文件，自然人的身份证明。</w:t>
            </w:r>
          </w:p>
          <w:p w14:paraId="0B52F725">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2）财务状况报告，依法缴纳税收和社会保障资金的相关材料。</w:t>
            </w:r>
          </w:p>
          <w:p w14:paraId="2F77FA5D">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3）具备履行合同所必需的设备和专业技术能力的证明材料。</w:t>
            </w:r>
          </w:p>
          <w:p w14:paraId="3CA05D1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4）参加政府采购活动前3年内在经营活动中没有重大违法记录的书面声明。</w:t>
            </w:r>
          </w:p>
          <w:p w14:paraId="3CA3FA2F">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rPr>
            </w:pPr>
            <w:r>
              <w:rPr>
                <w:rFonts w:hint="eastAsia" w:ascii="宋体" w:hAnsi="宋体"/>
                <w:color w:val="auto"/>
                <w:kern w:val="0"/>
                <w:sz w:val="24"/>
                <w:highlight w:val="none"/>
                <w:lang w:val="zh-CN"/>
              </w:rPr>
              <w:t>5）具备法律、行政法规规定的其他条件的证明材料。</w:t>
            </w:r>
          </w:p>
          <w:p w14:paraId="03669A79">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2、落实政府采购政策需满足的资格要求：本项目专门面向中小微企业采购（监狱企业、残疾人福利性单位视同小型、微型企业）。</w:t>
            </w:r>
          </w:p>
          <w:p w14:paraId="75D94C7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单位负责人为同一人或者存在直接控股、管理关系的不同供应商，不得参加同一合同项下的政府采购活动。否则，皆取消磋商资格。</w:t>
            </w:r>
          </w:p>
          <w:p w14:paraId="7BC49806">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val="zh-CN"/>
              </w:rPr>
              <w:t>为本采购项目提供整体设计、规范编制或者项目管理、监理、检测等服务的供应商，不得再参加该采购项目的其他采购活动。</w:t>
            </w:r>
          </w:p>
          <w:p w14:paraId="67B8B924">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eastAsia="zh-CN"/>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zh-CN" w:eastAsia="zh-CN"/>
              </w:rPr>
              <w:t>天内）。</w:t>
            </w:r>
          </w:p>
          <w:p w14:paraId="677DAC8E">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2"/>
              </w:numPr>
              <w:autoSpaceDE w:val="0"/>
              <w:autoSpaceDN w:val="0"/>
              <w:spacing w:line="360" w:lineRule="auto"/>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35176391"/>
            <w:bookmarkStart w:id="69" w:name="_Toc444762753"/>
            <w:bookmarkStart w:id="70" w:name="_Toc435175539"/>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本项目不需要缴纳保证金</w:t>
            </w:r>
          </w:p>
          <w:p w14:paraId="2DD6FC93">
            <w:pPr>
              <w:pStyle w:val="62"/>
              <w:spacing w:line="360"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rPr>
              <w:t>户  名：</w:t>
            </w:r>
            <w:r>
              <w:rPr>
                <w:rFonts w:hint="eastAsia" w:ascii="宋体" w:hAnsi="宋体" w:cs="宋体"/>
                <w:bCs/>
                <w:color w:val="auto"/>
                <w:kern w:val="0"/>
                <w:sz w:val="24"/>
                <w:highlight w:val="none"/>
                <w:lang w:val="en-US" w:eastAsia="zh-CN"/>
              </w:rPr>
              <w:t>/</w:t>
            </w:r>
          </w:p>
          <w:p w14:paraId="51DF3831">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帐  号：</w:t>
            </w:r>
            <w:r>
              <w:rPr>
                <w:rFonts w:hint="eastAsia" w:ascii="宋体" w:hAnsi="宋体" w:cs="宋体"/>
                <w:color w:val="auto"/>
                <w:sz w:val="24"/>
                <w:szCs w:val="24"/>
                <w:highlight w:val="none"/>
                <w:lang w:val="en-US" w:eastAsia="zh-CN"/>
              </w:rPr>
              <w:t>/</w:t>
            </w:r>
          </w:p>
          <w:p w14:paraId="6D6D0FCD">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开户行：</w:t>
            </w:r>
            <w:r>
              <w:rPr>
                <w:rFonts w:hint="eastAsia" w:ascii="宋体" w:hAnsi="宋体" w:cs="宋体"/>
                <w:color w:val="auto"/>
                <w:sz w:val="24"/>
                <w:szCs w:val="24"/>
                <w:highlight w:val="none"/>
                <w:lang w:val="en-US" w:eastAsia="zh-CN"/>
              </w:rPr>
              <w:t>/</w:t>
            </w:r>
          </w:p>
          <w:p w14:paraId="3C6DE9B1">
            <w:pPr>
              <w:pStyle w:val="62"/>
              <w:spacing w:line="360" w:lineRule="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rPr>
              <w:t>款项用途：</w:t>
            </w:r>
            <w:r>
              <w:rPr>
                <w:rFonts w:hint="eastAsia" w:ascii="宋体" w:hAnsi="宋体" w:cs="宋体"/>
                <w:bCs/>
                <w:color w:val="auto"/>
                <w:kern w:val="0"/>
                <w:sz w:val="24"/>
                <w:highlight w:val="none"/>
                <w:lang w:val="en-US" w:eastAsia="zh-CN"/>
              </w:rPr>
              <w:t>/</w:t>
            </w:r>
          </w:p>
          <w:p w14:paraId="667A2C92">
            <w:pPr>
              <w:pStyle w:val="62"/>
              <w:spacing w:line="360" w:lineRule="auto"/>
              <w:rPr>
                <w:rFonts w:ascii="宋体" w:hAnsi="宋体" w:cs="宋体"/>
                <w:color w:val="auto"/>
                <w:kern w:val="0"/>
                <w:highlight w:val="none"/>
                <w:lang w:val="zh-CN"/>
              </w:rPr>
            </w:pPr>
            <w:r>
              <w:rPr>
                <w:rFonts w:hint="eastAsia" w:ascii="宋体" w:hAnsi="宋体" w:cs="宋体"/>
                <w:bCs/>
                <w:color w:val="auto"/>
                <w:kern w:val="0"/>
                <w:sz w:val="24"/>
                <w:highlight w:val="none"/>
                <w:lang w:val="zh-CN"/>
              </w:rPr>
              <w:t>缴费时间：磋商截止时间前提交到以上指定帐户。以银行到账时间为准。</w:t>
            </w:r>
          </w:p>
        </w:tc>
      </w:tr>
      <w:tr w14:paraId="003C9E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0D197F2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条指定的账户。</w:t>
            </w:r>
          </w:p>
          <w:p w14:paraId="4BA57D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磋商供应商未按照磋商文件要求提交</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保证金的，磋商无效。</w:t>
            </w:r>
          </w:p>
        </w:tc>
      </w:tr>
      <w:tr w14:paraId="392E1326">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4B75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E16B9">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544B5D4">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未中标磋商供应商的</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保证金自中标通知书发出之日起5个工作日内退还（不退现金）；中标磋商供应商的磋商保证金，自政府采购合同签订之日起5个工作日内退还（不退现金）。</w:t>
            </w:r>
          </w:p>
        </w:tc>
      </w:tr>
      <w:tr w14:paraId="0389B9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shd w:val="clear" w:color="auto" w:fill="auto"/>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28</w:t>
            </w:r>
            <w:r>
              <w:rPr>
                <w:rFonts w:hint="eastAsia" w:ascii="宋体" w:hAnsi="宋体" w:cs="宋体"/>
                <w:b w:val="0"/>
                <w:bCs w:val="0"/>
                <w:color w:val="auto"/>
                <w:sz w:val="24"/>
                <w:highlight w:val="none"/>
                <w:lang w:eastAsia="zh-CN"/>
              </w:rPr>
              <w:t>日上午09时00分（北京时间）</w:t>
            </w:r>
          </w:p>
        </w:tc>
      </w:tr>
      <w:tr w14:paraId="15F7788A">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28</w:t>
            </w:r>
            <w:r>
              <w:rPr>
                <w:rFonts w:hint="eastAsia" w:ascii="宋体" w:hAnsi="宋体" w:cs="宋体"/>
                <w:b w:val="0"/>
                <w:bCs w:val="0"/>
                <w:color w:val="auto"/>
                <w:sz w:val="24"/>
                <w:highlight w:val="none"/>
                <w:lang w:eastAsia="zh-CN"/>
              </w:rPr>
              <w:t>日上午09时00分（北京时间）</w:t>
            </w:r>
          </w:p>
        </w:tc>
      </w:tr>
      <w:tr w14:paraId="3CEDBAF9">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按照国家发展改革委文件（会计计价字〔2002〕1980号文件、计价〔2002〕10号等文件）计价向采购人一次性收取10000.00元</w:t>
            </w:r>
          </w:p>
        </w:tc>
      </w:tr>
      <w:tr w14:paraId="687F65D8">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日内与采购人签订服务合同</w:t>
            </w:r>
          </w:p>
        </w:tc>
      </w:tr>
      <w:tr w14:paraId="3720A23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贰</w:t>
            </w:r>
            <w:r>
              <w:rPr>
                <w:rFonts w:hint="eastAsia" w:ascii="宋体" w:hAnsi="宋体" w:cs="宋体"/>
                <w:b w:val="0"/>
                <w:bCs w:val="0"/>
                <w:color w:val="auto"/>
                <w:sz w:val="24"/>
                <w:highlight w:val="none"/>
                <w:lang w:val="zh-CN"/>
              </w:rPr>
              <w:t>份原件备案。</w:t>
            </w:r>
          </w:p>
        </w:tc>
      </w:tr>
      <w:tr w14:paraId="0C34012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ascii="宋体" w:hAnsi="宋体" w:eastAsia="宋体" w:cs="宋体"/>
                <w:b w:val="0"/>
                <w:bCs w:val="0"/>
                <w:color w:val="auto"/>
                <w:kern w:val="0"/>
                <w:sz w:val="24"/>
                <w:highlight w:val="yellow"/>
                <w:lang w:val="en-US" w:eastAsia="zh-CN"/>
              </w:rPr>
            </w:pPr>
            <w:r>
              <w:rPr>
                <w:rFonts w:hint="eastAsia" w:ascii="宋体" w:hAnsi="宋体" w:cs="宋体"/>
                <w:b w:val="0"/>
                <w:bCs w:val="0"/>
                <w:color w:val="auto"/>
                <w:sz w:val="24"/>
                <w:highlight w:val="none"/>
              </w:rPr>
              <w:t>磋商有效期为自磋商开始之日起60</w:t>
            </w:r>
            <w:r>
              <w:rPr>
                <w:rFonts w:hint="eastAsia" w:ascii="宋体" w:hAnsi="宋体" w:cs="宋体"/>
                <w:b w:val="0"/>
                <w:bCs w:val="0"/>
                <w:color w:val="auto"/>
                <w:sz w:val="24"/>
                <w:highlight w:val="none"/>
                <w:lang w:val="en-US" w:eastAsia="zh-CN"/>
              </w:rPr>
              <w:t>个日历日</w:t>
            </w:r>
          </w:p>
        </w:tc>
      </w:tr>
      <w:tr w14:paraId="543B671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w:t>
            </w:r>
            <w:r>
              <w:rPr>
                <w:rFonts w:hint="eastAsia" w:ascii="宋体" w:hAnsi="宋体" w:cs="宋体"/>
                <w:b w:val="0"/>
                <w:bCs w:val="0"/>
                <w:color w:val="auto"/>
                <w:kern w:val="0"/>
                <w:sz w:val="24"/>
                <w:highlight w:val="none"/>
                <w:lang w:val="en-US" w:eastAsia="zh-CN"/>
              </w:rPr>
              <w:t>省</w:t>
            </w:r>
            <w:r>
              <w:rPr>
                <w:rFonts w:hint="eastAsia" w:ascii="宋体" w:hAnsi="宋体" w:cs="宋体"/>
                <w:b w:val="0"/>
                <w:bCs w:val="0"/>
                <w:color w:val="auto"/>
                <w:kern w:val="0"/>
                <w:sz w:val="24"/>
                <w:highlight w:val="none"/>
                <w:lang w:val="zh-CN"/>
              </w:rPr>
              <w:t>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4"/>
        <w:spacing w:before="0" w:after="0" w:line="360" w:lineRule="auto"/>
        <w:rPr>
          <w:rFonts w:ascii="宋体" w:hAnsi="宋体"/>
          <w:sz w:val="36"/>
          <w:szCs w:val="36"/>
          <w:lang w:val="zh-CN"/>
        </w:rPr>
      </w:pPr>
      <w:r>
        <w:rPr>
          <w:rFonts w:ascii="宋体" w:hAnsi="宋体"/>
          <w:b w:val="0"/>
          <w:sz w:val="44"/>
        </w:rPr>
        <w:br w:type="page"/>
      </w:r>
      <w:bookmarkStart w:id="71" w:name="_Toc1575295"/>
      <w:bookmarkStart w:id="72" w:name="_Toc444715734"/>
      <w:r>
        <w:rPr>
          <w:rFonts w:hint="eastAsia" w:ascii="宋体" w:hAnsi="宋体"/>
          <w:sz w:val="36"/>
          <w:szCs w:val="36"/>
        </w:rPr>
        <w:t>第三部分磋商供应商须知</w:t>
      </w:r>
      <w:bookmarkEnd w:id="71"/>
      <w:bookmarkEnd w:id="72"/>
    </w:p>
    <w:p w14:paraId="06E8AB74">
      <w:pPr>
        <w:pStyle w:val="4"/>
        <w:jc w:val="center"/>
        <w:rPr>
          <w:rFonts w:hAnsi="宋体"/>
          <w:b/>
          <w:sz w:val="32"/>
          <w:szCs w:val="21"/>
        </w:rPr>
      </w:pPr>
      <w:bookmarkStart w:id="73" w:name="_Toc1575296"/>
      <w:r>
        <w:rPr>
          <w:rFonts w:hint="eastAsia" w:hAnsi="宋体"/>
          <w:b/>
          <w:sz w:val="32"/>
          <w:szCs w:val="21"/>
        </w:rPr>
        <w:t>说明</w:t>
      </w:r>
      <w:bookmarkEnd w:id="73"/>
    </w:p>
    <w:p w14:paraId="4895C6A9">
      <w:pPr>
        <w:pStyle w:val="5"/>
        <w:numPr>
          <w:ilvl w:val="0"/>
          <w:numId w:val="3"/>
        </w:numPr>
        <w:spacing w:before="0" w:after="0" w:line="360" w:lineRule="auto"/>
        <w:rPr>
          <w:rFonts w:ascii="宋体" w:hAnsi="宋体"/>
          <w:b w:val="0"/>
        </w:rPr>
      </w:pPr>
      <w:bookmarkStart w:id="74" w:name="_Toc488691479"/>
      <w:bookmarkStart w:id="75" w:name="_Toc459377860"/>
      <w:bookmarkStart w:id="76" w:name="_Toc446427794"/>
      <w:bookmarkStart w:id="77" w:name="_Toc495570969"/>
      <w:bookmarkStart w:id="78" w:name="_Toc1575297"/>
      <w:r>
        <w:rPr>
          <w:rFonts w:ascii="宋体" w:hAnsi="宋体"/>
          <w:b w:val="0"/>
        </w:rPr>
        <w:t>磋商内容及要求</w:t>
      </w:r>
      <w:bookmarkEnd w:id="74"/>
      <w:bookmarkEnd w:id="75"/>
      <w:bookmarkEnd w:id="76"/>
      <w:bookmarkEnd w:id="77"/>
      <w:bookmarkEnd w:id="78"/>
    </w:p>
    <w:p w14:paraId="4329303F">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5"/>
        <w:numPr>
          <w:ilvl w:val="0"/>
          <w:numId w:val="3"/>
        </w:numPr>
        <w:spacing w:before="0" w:after="0" w:line="360" w:lineRule="auto"/>
        <w:rPr>
          <w:rFonts w:ascii="宋体" w:hAnsi="宋体"/>
          <w:b w:val="0"/>
        </w:rPr>
      </w:pPr>
      <w:bookmarkStart w:id="79" w:name="_Toc1575298"/>
      <w:bookmarkStart w:id="80" w:name="_Toc488673614"/>
      <w:r>
        <w:rPr>
          <w:rFonts w:hint="eastAsia" w:ascii="宋体" w:hAnsi="宋体"/>
          <w:b w:val="0"/>
        </w:rPr>
        <w:t>采购方式、合格的磋商供应商</w:t>
      </w:r>
      <w:bookmarkEnd w:id="79"/>
      <w:bookmarkEnd w:id="80"/>
    </w:p>
    <w:p w14:paraId="3900B480">
      <w:pPr>
        <w:pStyle w:val="17"/>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7"/>
        <w:numPr>
          <w:ilvl w:val="1"/>
          <w:numId w:val="4"/>
        </w:numPr>
        <w:spacing w:line="360" w:lineRule="auto"/>
        <w:rPr>
          <w:rFonts w:hAnsi="宋体"/>
          <w:sz w:val="24"/>
          <w:szCs w:val="28"/>
        </w:rPr>
      </w:pPr>
      <w:r>
        <w:rPr>
          <w:rFonts w:hAnsi="宋体" w:cs="Arial"/>
          <w:sz w:val="24"/>
          <w:szCs w:val="24"/>
        </w:rPr>
        <w:t>合格的磋商供应商：</w:t>
      </w:r>
    </w:p>
    <w:p w14:paraId="281905F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bookmarkStart w:id="81" w:name="_Toc488673615"/>
      <w:bookmarkStart w:id="82" w:name="_Toc1575299"/>
      <w:r>
        <w:rPr>
          <w:rFonts w:hint="eastAsia" w:ascii="宋体" w:hAnsi="Cambria" w:cs="宋体"/>
          <w:kern w:val="0"/>
          <w:sz w:val="24"/>
          <w:lang w:val="zh-CN"/>
        </w:rPr>
        <w:t>1、符合《政府采购法》第22条规定，并提供下列材料：</w:t>
      </w:r>
    </w:p>
    <w:p w14:paraId="1D1C95A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0C9BC2B7">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79F51AD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65E166C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081CB09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5AD12096">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2、落实政府采购政策需满足的资格要求：本项目专门面向中小微企业采购（监狱企业、残疾人福利性单位视同小型、微型企业）。</w:t>
      </w:r>
    </w:p>
    <w:p w14:paraId="3A15659F">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3、单位负责人为同一人或者存在直接控股、管理关系的不同供应商，不得参加同一合同项下的政府采购活动。否则，皆取消磋商资格。</w:t>
      </w:r>
    </w:p>
    <w:p w14:paraId="5C5F952A">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14:paraId="4B6A6A5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10天内）。</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6、本项目不接受以联合体方式进行投标。</w:t>
      </w:r>
    </w:p>
    <w:p w14:paraId="62451D93">
      <w:pPr>
        <w:pStyle w:val="5"/>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5"/>
        <w:numPr>
          <w:ilvl w:val="0"/>
          <w:numId w:val="3"/>
        </w:numPr>
        <w:spacing w:before="0" w:after="0" w:line="360" w:lineRule="auto"/>
        <w:rPr>
          <w:rFonts w:ascii="宋体" w:hAnsi="宋体"/>
          <w:b w:val="0"/>
        </w:rPr>
      </w:pPr>
      <w:bookmarkStart w:id="84" w:name="_Toc488673617"/>
      <w:bookmarkStart w:id="85" w:name="_Toc1575301"/>
      <w:r>
        <w:rPr>
          <w:rFonts w:hint="eastAsia" w:ascii="宋体" w:hAnsi="宋体"/>
          <w:b w:val="0"/>
        </w:rPr>
        <w:t>磋商文件的构成</w:t>
      </w:r>
      <w:bookmarkEnd w:id="84"/>
      <w:bookmarkEnd w:id="85"/>
    </w:p>
    <w:p w14:paraId="525AD084">
      <w:pPr>
        <w:pStyle w:val="17"/>
        <w:numPr>
          <w:ilvl w:val="1"/>
          <w:numId w:val="5"/>
        </w:numPr>
        <w:spacing w:line="360" w:lineRule="auto"/>
        <w:rPr>
          <w:rFonts w:hAnsi="宋体"/>
          <w:sz w:val="24"/>
          <w:szCs w:val="28"/>
        </w:rPr>
      </w:pPr>
      <w:r>
        <w:rPr>
          <w:rFonts w:hint="eastAsia" w:hAnsi="宋体"/>
          <w:sz w:val="24"/>
          <w:szCs w:val="28"/>
        </w:rPr>
        <w:t>磋商文件包括：</w:t>
      </w:r>
    </w:p>
    <w:p w14:paraId="5228AD9C">
      <w:pPr>
        <w:pStyle w:val="17"/>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7"/>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5"/>
        <w:numPr>
          <w:ilvl w:val="0"/>
          <w:numId w:val="3"/>
        </w:numPr>
        <w:spacing w:before="0" w:after="0" w:line="360" w:lineRule="auto"/>
        <w:rPr>
          <w:rFonts w:ascii="宋体" w:hAnsi="宋体"/>
          <w:b w:val="0"/>
        </w:rPr>
      </w:pPr>
      <w:bookmarkStart w:id="86" w:name="_Toc488673618"/>
      <w:bookmarkStart w:id="87" w:name="_Toc1575302"/>
      <w:r>
        <w:rPr>
          <w:rFonts w:hint="eastAsia" w:ascii="宋体" w:hAnsi="宋体"/>
          <w:b w:val="0"/>
        </w:rPr>
        <w:t>磋商文件、磋商活动和中标结果的质疑</w:t>
      </w:r>
      <w:bookmarkEnd w:id="86"/>
      <w:bookmarkEnd w:id="87"/>
    </w:p>
    <w:p w14:paraId="566EBF38">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7"/>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5"/>
        <w:numPr>
          <w:ilvl w:val="0"/>
          <w:numId w:val="3"/>
        </w:numPr>
        <w:spacing w:before="0" w:after="0" w:line="360" w:lineRule="auto"/>
        <w:rPr>
          <w:rFonts w:ascii="宋体" w:hAnsi="宋体"/>
          <w:b w:val="0"/>
        </w:rPr>
      </w:pPr>
      <w:bookmarkStart w:id="88" w:name="_Toc1575303"/>
      <w:bookmarkStart w:id="89" w:name="_Toc488673619"/>
      <w:r>
        <w:rPr>
          <w:rFonts w:hint="eastAsia" w:ascii="宋体" w:hAnsi="宋体"/>
          <w:b w:val="0"/>
        </w:rPr>
        <w:t>磋商文件的修改</w:t>
      </w:r>
      <w:bookmarkEnd w:id="88"/>
      <w:bookmarkEnd w:id="89"/>
    </w:p>
    <w:p w14:paraId="68427C57">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4"/>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5"/>
        <w:numPr>
          <w:ilvl w:val="0"/>
          <w:numId w:val="3"/>
        </w:numPr>
        <w:spacing w:before="0" w:after="0" w:line="360" w:lineRule="auto"/>
        <w:rPr>
          <w:rFonts w:ascii="宋体" w:hAnsi="宋体"/>
          <w:b w:val="0"/>
        </w:rPr>
      </w:pPr>
      <w:bookmarkStart w:id="91" w:name="_Toc488673621"/>
      <w:bookmarkStart w:id="92" w:name="_Toc1575305"/>
      <w:r>
        <w:rPr>
          <w:rFonts w:hint="eastAsia" w:ascii="宋体" w:hAnsi="宋体"/>
          <w:b w:val="0"/>
        </w:rPr>
        <w:t>磋商响应文件的语言及度量衡单位</w:t>
      </w:r>
      <w:bookmarkEnd w:id="91"/>
      <w:bookmarkEnd w:id="92"/>
    </w:p>
    <w:p w14:paraId="79D1C920">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5"/>
        <w:numPr>
          <w:ilvl w:val="0"/>
          <w:numId w:val="3"/>
        </w:numPr>
        <w:spacing w:before="0" w:after="0" w:line="360" w:lineRule="auto"/>
        <w:rPr>
          <w:rFonts w:ascii="宋体" w:hAnsi="宋体"/>
          <w:b w:val="0"/>
        </w:rPr>
      </w:pPr>
      <w:bookmarkStart w:id="93" w:name="_Toc1575306"/>
      <w:bookmarkStart w:id="94" w:name="_Toc488673622"/>
      <w:r>
        <w:rPr>
          <w:rFonts w:hint="eastAsia" w:ascii="宋体" w:hAnsi="宋体"/>
          <w:b w:val="0"/>
        </w:rPr>
        <w:t>磋商报价及币种</w:t>
      </w:r>
      <w:bookmarkEnd w:id="93"/>
      <w:bookmarkEnd w:id="94"/>
    </w:p>
    <w:p w14:paraId="7C724CAD">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7"/>
        <w:numPr>
          <w:ilvl w:val="1"/>
          <w:numId w:val="11"/>
        </w:numPr>
        <w:spacing w:line="360" w:lineRule="auto"/>
        <w:rPr>
          <w:rFonts w:hAnsi="宋体"/>
          <w:sz w:val="24"/>
          <w:szCs w:val="28"/>
        </w:rPr>
      </w:pPr>
      <w:r>
        <w:rPr>
          <w:rFonts w:hint="eastAsia" w:hAnsi="宋体"/>
          <w:sz w:val="24"/>
          <w:szCs w:val="28"/>
        </w:rPr>
        <w:t>磋商币种为人民币。</w:t>
      </w:r>
    </w:p>
    <w:p w14:paraId="57A1E446">
      <w:pPr>
        <w:pStyle w:val="5"/>
        <w:numPr>
          <w:ilvl w:val="0"/>
          <w:numId w:val="3"/>
        </w:numPr>
        <w:spacing w:before="0" w:after="0" w:line="360" w:lineRule="auto"/>
        <w:rPr>
          <w:rFonts w:ascii="宋体" w:hAnsi="宋体"/>
          <w:b w:val="0"/>
        </w:rPr>
      </w:pPr>
      <w:bookmarkStart w:id="96" w:name="_Toc1575307"/>
      <w:bookmarkStart w:id="97" w:name="_Toc488673623"/>
      <w:r>
        <w:rPr>
          <w:rFonts w:hint="eastAsia" w:ascii="宋体" w:hAnsi="宋体"/>
          <w:b w:val="0"/>
        </w:rPr>
        <w:t>磋商保证金</w:t>
      </w:r>
      <w:bookmarkEnd w:id="96"/>
      <w:bookmarkEnd w:id="97"/>
    </w:p>
    <w:p w14:paraId="1AF87184">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7"/>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7"/>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本项目不需要缴纳保证金。</w:t>
      </w:r>
    </w:p>
    <w:p w14:paraId="213DF837">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5"/>
        <w:numPr>
          <w:ilvl w:val="0"/>
          <w:numId w:val="3"/>
        </w:numPr>
        <w:spacing w:before="0" w:after="0" w:line="360" w:lineRule="auto"/>
        <w:rPr>
          <w:rFonts w:ascii="宋体" w:hAnsi="宋体"/>
          <w:b w:val="0"/>
        </w:rPr>
      </w:pPr>
      <w:bookmarkStart w:id="98" w:name="_Toc1575308"/>
      <w:bookmarkStart w:id="99" w:name="_Toc488673624"/>
      <w:r>
        <w:rPr>
          <w:rFonts w:ascii="宋体" w:hAnsi="宋体"/>
          <w:b w:val="0"/>
        </w:rPr>
        <w:t>磋商有效期</w:t>
      </w:r>
      <w:bookmarkEnd w:id="98"/>
      <w:bookmarkEnd w:id="99"/>
    </w:p>
    <w:p w14:paraId="11C82B76">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5"/>
        <w:numPr>
          <w:ilvl w:val="0"/>
          <w:numId w:val="3"/>
        </w:numPr>
        <w:spacing w:before="0" w:after="0" w:line="360" w:lineRule="auto"/>
        <w:rPr>
          <w:rFonts w:ascii="宋体" w:hAnsi="宋体"/>
          <w:b w:val="0"/>
        </w:rPr>
      </w:pPr>
      <w:bookmarkStart w:id="100" w:name="_Toc1575309"/>
      <w:bookmarkStart w:id="101" w:name="_Toc488673625"/>
      <w:r>
        <w:rPr>
          <w:rFonts w:hint="eastAsia" w:ascii="宋体" w:hAnsi="宋体"/>
          <w:b w:val="0"/>
        </w:rPr>
        <w:t>磋商响应文件的构成</w:t>
      </w:r>
      <w:bookmarkEnd w:id="100"/>
      <w:bookmarkEnd w:id="101"/>
    </w:p>
    <w:p w14:paraId="42F0EC31">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64E7331D">
      <w:pPr>
        <w:autoSpaceDE w:val="0"/>
        <w:autoSpaceDN w:val="0"/>
        <w:spacing w:line="360" w:lineRule="auto"/>
        <w:ind w:left="426"/>
        <w:rPr>
          <w:rFonts w:hint="eastAsia"/>
          <w:kern w:val="0"/>
          <w:sz w:val="24"/>
          <w:lang w:val="zh-CN"/>
        </w:rPr>
      </w:pP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7"/>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7"/>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7"/>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7"/>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7"/>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7"/>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7"/>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5"/>
        <w:numPr>
          <w:ilvl w:val="0"/>
          <w:numId w:val="3"/>
        </w:numPr>
        <w:spacing w:before="0" w:after="0" w:line="360" w:lineRule="auto"/>
        <w:rPr>
          <w:rFonts w:ascii="宋体" w:hAnsi="宋体"/>
          <w:b w:val="0"/>
        </w:rPr>
      </w:pPr>
      <w:bookmarkStart w:id="102" w:name="_Toc1575310"/>
      <w:bookmarkStart w:id="103" w:name="_Toc488673626"/>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1349"/>
      <w:bookmarkStart w:id="105" w:name="_Toc28078162"/>
      <w:bookmarkStart w:id="106" w:name="_Toc27211"/>
      <w:bookmarkStart w:id="107" w:name="_Toc14261"/>
      <w:bookmarkStart w:id="108" w:name="_Toc9147"/>
      <w:bookmarkStart w:id="109" w:name="_Toc376936750"/>
      <w:bookmarkStart w:id="110" w:name="_Toc5644"/>
      <w:bookmarkStart w:id="111" w:name="_Toc325726019"/>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412617731"/>
      <w:bookmarkStart w:id="113" w:name="_Toc325726016"/>
      <w:bookmarkStart w:id="114" w:name="_Toc373392582"/>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8078164"/>
      <w:bookmarkStart w:id="117" w:name="_Toc26106"/>
      <w:bookmarkStart w:id="118" w:name="_Toc1747"/>
      <w:bookmarkStart w:id="119"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56F441CD">
      <w:pPr>
        <w:widowControl/>
        <w:spacing w:line="360" w:lineRule="auto"/>
        <w:jc w:val="center"/>
        <w:outlineLvl w:val="1"/>
        <w:rPr>
          <w:rFonts w:hint="eastAsia" w:ascii="宋体" w:hAnsi="宋体"/>
          <w:b/>
          <w:bCs/>
          <w:color w:val="auto"/>
          <w:kern w:val="0"/>
          <w:sz w:val="32"/>
          <w:szCs w:val="32"/>
        </w:rPr>
      </w:pPr>
      <w:bookmarkStart w:id="121" w:name="_Toc28362"/>
      <w:bookmarkStart w:id="122" w:name="_Toc510171138"/>
      <w:bookmarkStart w:id="123" w:name="_Toc416183208"/>
      <w:bookmarkStart w:id="124" w:name="_Toc28078165"/>
      <w:bookmarkStart w:id="125" w:name="_Toc30309"/>
      <w:bookmarkStart w:id="126" w:name="_Toc19030"/>
      <w:bookmarkStart w:id="127" w:name="_Toc376936752"/>
      <w:bookmarkStart w:id="128" w:name="_Toc325726021"/>
      <w:bookmarkStart w:id="129" w:name="_Toc18107"/>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376936751"/>
      <w:bookmarkStart w:id="131" w:name="_Toc325726020"/>
      <w:bookmarkStart w:id="132" w:name="_Toc28078166"/>
      <w:bookmarkStart w:id="133" w:name="_Toc16475"/>
      <w:bookmarkStart w:id="134" w:name="_Toc510171139"/>
      <w:bookmarkStart w:id="135" w:name="_Toc416183209"/>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13386"/>
      <w:bookmarkStart w:id="137" w:name="_Toc28078167"/>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496189551"/>
      <w:bookmarkStart w:id="139" w:name="_Toc496004007"/>
      <w:bookmarkStart w:id="140" w:name="_Toc28078168"/>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496004008"/>
      <w:bookmarkStart w:id="142" w:name="_Toc496189552"/>
      <w:bookmarkStart w:id="143" w:name="_Toc28078169"/>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5834"/>
      <w:bookmarkStart w:id="145" w:name="_Toc28078170"/>
      <w:bookmarkStart w:id="146" w:name="_Toc14694"/>
      <w:bookmarkStart w:id="147" w:name="_Toc10790"/>
      <w:bookmarkStart w:id="148" w:name="_Toc325726023"/>
      <w:bookmarkStart w:id="149" w:name="_Toc376936754"/>
      <w:bookmarkStart w:id="150" w:name="_Toc27086"/>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25726022"/>
      <w:bookmarkStart w:id="152" w:name="_Toc28078171"/>
      <w:bookmarkStart w:id="153" w:name="_Toc3021"/>
      <w:bookmarkStart w:id="154" w:name="_Toc376936753"/>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4333"/>
      <w:bookmarkStart w:id="156" w:name="_Toc28078172"/>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20</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28078173"/>
      <w:bookmarkStart w:id="158" w:name="_Toc26628"/>
      <w:bookmarkStart w:id="159" w:name="_Toc496004012"/>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7"/>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pPr w:leftFromText="180" w:rightFromText="180" w:vertAnchor="text" w:horzAnchor="page" w:tblpXSpec="center" w:tblpY="7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42"/>
        <w:gridCol w:w="851"/>
        <w:gridCol w:w="6033"/>
      </w:tblGrid>
      <w:tr w14:paraId="6BF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43" w:type="dxa"/>
            <w:noWrap w:val="0"/>
            <w:vAlign w:val="center"/>
          </w:tcPr>
          <w:p w14:paraId="41AA2190">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类别</w:t>
            </w:r>
          </w:p>
        </w:tc>
        <w:tc>
          <w:tcPr>
            <w:tcW w:w="1842" w:type="dxa"/>
            <w:noWrap w:val="0"/>
            <w:vAlign w:val="center"/>
          </w:tcPr>
          <w:p w14:paraId="57098A21">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项目</w:t>
            </w:r>
          </w:p>
        </w:tc>
        <w:tc>
          <w:tcPr>
            <w:tcW w:w="851" w:type="dxa"/>
            <w:noWrap w:val="0"/>
            <w:vAlign w:val="center"/>
          </w:tcPr>
          <w:p w14:paraId="36300B49">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满分分值</w:t>
            </w:r>
          </w:p>
        </w:tc>
        <w:tc>
          <w:tcPr>
            <w:tcW w:w="6033" w:type="dxa"/>
            <w:noWrap w:val="0"/>
            <w:vAlign w:val="center"/>
          </w:tcPr>
          <w:p w14:paraId="25A09CA6">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评审标准</w:t>
            </w:r>
          </w:p>
        </w:tc>
      </w:tr>
      <w:tr w14:paraId="4E2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1243" w:type="dxa"/>
            <w:shd w:val="clear" w:color="000000" w:fill="FFFFFF"/>
            <w:noWrap w:val="0"/>
            <w:vAlign w:val="center"/>
          </w:tcPr>
          <w:p w14:paraId="3007419F">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投标报价（30分）</w:t>
            </w:r>
          </w:p>
        </w:tc>
        <w:tc>
          <w:tcPr>
            <w:tcW w:w="1842" w:type="dxa"/>
            <w:shd w:val="clear" w:color="000000" w:fill="FFFFFF"/>
            <w:noWrap w:val="0"/>
            <w:vAlign w:val="center"/>
          </w:tcPr>
          <w:p w14:paraId="6920517D">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报价分</w:t>
            </w:r>
          </w:p>
          <w:p w14:paraId="21FDC0CA">
            <w:pPr>
              <w:autoSpaceDE w:val="0"/>
              <w:autoSpaceDN w:val="0"/>
              <w:spacing w:line="240" w:lineRule="auto"/>
              <w:jc w:val="center"/>
              <w:rPr>
                <w:rFonts w:hint="eastAsia" w:ascii="宋体" w:hAnsi="宋体" w:eastAsia="宋体" w:cs="宋体"/>
                <w:lang w:val="zh-CN"/>
              </w:rPr>
            </w:pPr>
          </w:p>
        </w:tc>
        <w:tc>
          <w:tcPr>
            <w:tcW w:w="851" w:type="dxa"/>
            <w:shd w:val="clear" w:color="000000" w:fill="FFFFFF"/>
            <w:noWrap w:val="0"/>
            <w:vAlign w:val="center"/>
          </w:tcPr>
          <w:p w14:paraId="3508EA19">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30</w:t>
            </w:r>
          </w:p>
        </w:tc>
        <w:tc>
          <w:tcPr>
            <w:tcW w:w="6033" w:type="dxa"/>
            <w:shd w:val="clear" w:color="000000" w:fill="FFFFFF"/>
            <w:noWrap w:val="0"/>
            <w:vAlign w:val="center"/>
          </w:tcPr>
          <w:p w14:paraId="2F6B8025">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在所有的有效投标报价中，以最低投标报价为基准价，其价格分为满分。其他供应商的报价分统一按下列公式计算：投标报价得分=（评标基准价/投标报价）×价格权值（30%）×100（四舍五入后保留小数点后两位）。</w:t>
            </w:r>
          </w:p>
          <w:p w14:paraId="03549256">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注：根据《政府采购促进中小企业发展暂行办法》、《关于促进 残疾人就业政府采购政策的通知》的相关规定，对残疾人福利性单位、小型和微型企业制造（生产）产品的价格给予 10%的扣除，用扣除后的价格参与评标。残疾人福利性单位属于小型、微型企业的，不重复享受政策。</w:t>
            </w:r>
            <w:r>
              <w:rPr>
                <w:rFonts w:hint="eastAsia" w:ascii="宋体" w:hAnsi="宋体" w:eastAsia="宋体" w:cs="宋体"/>
                <w:b/>
                <w:bCs/>
                <w:lang w:val="en-US" w:eastAsia="zh-CN"/>
              </w:rPr>
              <w:t>价格分采用低价优先法计算，</w:t>
            </w:r>
            <w:r>
              <w:rPr>
                <w:rFonts w:hint="eastAsia" w:ascii="宋体" w:hAnsi="宋体" w:eastAsia="宋体" w:cs="宋体"/>
                <w:lang w:val="en-US" w:eastAsia="zh-CN"/>
              </w:rPr>
              <w:t xml:space="preserve">即满足招标文件要求且投标报价最低的投标报价为评标基准价，其价格分为满分。其他投标人的价格分统一按照下列公式计算： </w:t>
            </w:r>
          </w:p>
          <w:p w14:paraId="41E0D48C">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 xml:space="preserve">投标报价得分=(评标基准价／投标报价)×30 </w:t>
            </w:r>
          </w:p>
        </w:tc>
      </w:tr>
      <w:tr w14:paraId="13D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243" w:type="dxa"/>
            <w:vMerge w:val="restart"/>
            <w:shd w:val="clear" w:color="000000" w:fill="FFFFFF"/>
            <w:noWrap w:val="0"/>
            <w:vAlign w:val="center"/>
          </w:tcPr>
          <w:p w14:paraId="6D6C19A4">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商务评价（</w:t>
            </w:r>
            <w:r>
              <w:rPr>
                <w:rFonts w:hint="eastAsia" w:ascii="宋体" w:hAnsi="宋体" w:eastAsia="宋体" w:cs="宋体"/>
                <w:lang w:val="en-US" w:eastAsia="zh-CN"/>
              </w:rPr>
              <w:t>11</w:t>
            </w:r>
            <w:r>
              <w:rPr>
                <w:rFonts w:hint="eastAsia" w:ascii="宋体" w:hAnsi="宋体" w:eastAsia="宋体" w:cs="宋体"/>
                <w:lang w:val="zh-CN"/>
              </w:rPr>
              <w:t>分）</w:t>
            </w:r>
          </w:p>
        </w:tc>
        <w:tc>
          <w:tcPr>
            <w:tcW w:w="1842" w:type="dxa"/>
            <w:shd w:val="clear" w:color="000000" w:fill="FFFFFF"/>
            <w:noWrap w:val="0"/>
            <w:vAlign w:val="center"/>
          </w:tcPr>
          <w:p w14:paraId="5790437F">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业绩情况</w:t>
            </w:r>
          </w:p>
        </w:tc>
        <w:tc>
          <w:tcPr>
            <w:tcW w:w="851" w:type="dxa"/>
            <w:shd w:val="clear" w:color="000000" w:fill="FFFFFF"/>
            <w:noWrap w:val="0"/>
            <w:vAlign w:val="center"/>
          </w:tcPr>
          <w:p w14:paraId="70AC9A5C">
            <w:pPr>
              <w:autoSpaceDE w:val="0"/>
              <w:autoSpaceDN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033" w:type="dxa"/>
            <w:shd w:val="clear" w:color="000000" w:fill="FFFFFF"/>
            <w:noWrap w:val="0"/>
            <w:vAlign w:val="center"/>
          </w:tcPr>
          <w:p w14:paraId="25544B28">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提供自20</w:t>
            </w:r>
            <w:r>
              <w:rPr>
                <w:rFonts w:hint="eastAsia" w:ascii="宋体" w:hAnsi="宋体" w:eastAsia="宋体" w:cs="宋体"/>
                <w:lang w:val="en-US" w:eastAsia="zh-CN"/>
              </w:rPr>
              <w:t>22</w:t>
            </w:r>
            <w:r>
              <w:rPr>
                <w:rFonts w:hint="eastAsia" w:ascii="宋体" w:hAnsi="宋体" w:eastAsia="宋体" w:cs="宋体"/>
                <w:lang w:val="zh-CN"/>
              </w:rPr>
              <w:t>年</w:t>
            </w:r>
            <w:r>
              <w:rPr>
                <w:rFonts w:hint="eastAsia" w:ascii="宋体" w:hAnsi="宋体" w:eastAsia="宋体" w:cs="宋体"/>
                <w:lang w:val="en-US" w:eastAsia="zh-CN"/>
              </w:rPr>
              <w:t>4月1日</w:t>
            </w:r>
            <w:r>
              <w:rPr>
                <w:rFonts w:hint="eastAsia" w:ascii="宋体" w:hAnsi="宋体" w:eastAsia="宋体" w:cs="宋体"/>
                <w:lang w:val="zh-CN"/>
              </w:rPr>
              <w:t>以来的类似业绩证明材料，每提供一个得2分，最高得</w:t>
            </w:r>
            <w:r>
              <w:rPr>
                <w:rFonts w:hint="eastAsia" w:ascii="宋体" w:hAnsi="宋体" w:eastAsia="宋体" w:cs="宋体"/>
                <w:lang w:val="en-US" w:eastAsia="zh-CN"/>
              </w:rPr>
              <w:t>10</w:t>
            </w:r>
            <w:r>
              <w:rPr>
                <w:rFonts w:hint="eastAsia" w:ascii="宋体" w:hAnsi="宋体" w:eastAsia="宋体" w:cs="宋体"/>
                <w:lang w:val="zh-CN"/>
              </w:rPr>
              <w:t>分；未提供或其他情况的不得分。（需提供</w:t>
            </w:r>
            <w:r>
              <w:rPr>
                <w:rFonts w:hint="eastAsia" w:ascii="宋体" w:hAnsi="宋体" w:eastAsia="宋体" w:cs="宋体"/>
                <w:lang w:val="en-US" w:eastAsia="zh-CN"/>
              </w:rPr>
              <w:t>合同复印件</w:t>
            </w:r>
            <w:r>
              <w:rPr>
                <w:rFonts w:hint="eastAsia" w:ascii="宋体" w:hAnsi="宋体" w:eastAsia="宋体" w:cs="宋体"/>
                <w:lang w:val="zh-CN"/>
              </w:rPr>
              <w:t>包含合同首页、标的及金额所在页、供货合同签字盖章页的扫描（或复印）件。）</w:t>
            </w:r>
          </w:p>
        </w:tc>
      </w:tr>
      <w:tr w14:paraId="765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43" w:type="dxa"/>
            <w:vMerge w:val="continue"/>
            <w:shd w:val="clear" w:color="000000" w:fill="FFFFFF"/>
            <w:noWrap w:val="0"/>
            <w:vAlign w:val="center"/>
          </w:tcPr>
          <w:p w14:paraId="5B04F85E">
            <w:pPr>
              <w:autoSpaceDE w:val="0"/>
              <w:autoSpaceDN w:val="0"/>
              <w:spacing w:line="240" w:lineRule="auto"/>
              <w:jc w:val="center"/>
              <w:rPr>
                <w:rFonts w:hint="eastAsia" w:ascii="宋体" w:hAnsi="宋体" w:eastAsia="宋体" w:cs="宋体"/>
                <w:lang w:val="zh-CN"/>
              </w:rPr>
            </w:pPr>
          </w:p>
        </w:tc>
        <w:tc>
          <w:tcPr>
            <w:tcW w:w="1842" w:type="dxa"/>
            <w:shd w:val="clear" w:color="000000" w:fill="FFFFFF"/>
            <w:noWrap w:val="0"/>
            <w:vAlign w:val="center"/>
          </w:tcPr>
          <w:p w14:paraId="0FD725D0">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对招标文件规范性响应程度</w:t>
            </w:r>
          </w:p>
        </w:tc>
        <w:tc>
          <w:tcPr>
            <w:tcW w:w="851" w:type="dxa"/>
            <w:shd w:val="clear" w:color="000000" w:fill="FFFFFF"/>
            <w:noWrap w:val="0"/>
            <w:vAlign w:val="center"/>
          </w:tcPr>
          <w:p w14:paraId="67EF8536">
            <w:pPr>
              <w:autoSpaceDE w:val="0"/>
              <w:autoSpaceDN w:val="0"/>
              <w:spacing w:line="240" w:lineRule="auto"/>
              <w:jc w:val="center"/>
              <w:rPr>
                <w:rFonts w:hint="eastAsia" w:ascii="宋体" w:hAnsi="宋体" w:eastAsia="宋体" w:cs="宋体"/>
                <w:lang w:val="zh-CN" w:eastAsia="zh-CN"/>
              </w:rPr>
            </w:pPr>
            <w:r>
              <w:rPr>
                <w:rFonts w:hint="eastAsia" w:ascii="宋体" w:hAnsi="宋体" w:eastAsia="宋体" w:cs="宋体"/>
                <w:lang w:val="en-US" w:eastAsia="zh-CN"/>
              </w:rPr>
              <w:t>1</w:t>
            </w:r>
          </w:p>
        </w:tc>
        <w:tc>
          <w:tcPr>
            <w:tcW w:w="6033" w:type="dxa"/>
            <w:shd w:val="clear" w:color="000000" w:fill="FFFFFF"/>
            <w:noWrap w:val="0"/>
            <w:vAlign w:val="center"/>
          </w:tcPr>
          <w:p w14:paraId="3C0852F7">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完全响应招标文件格式要求编排的，得</w:t>
            </w:r>
            <w:r>
              <w:rPr>
                <w:rFonts w:hint="eastAsia" w:ascii="宋体" w:hAnsi="宋体" w:eastAsia="宋体" w:cs="宋体"/>
                <w:lang w:val="en-US" w:eastAsia="zh-CN"/>
              </w:rPr>
              <w:t>1</w:t>
            </w:r>
            <w:r>
              <w:rPr>
                <w:rFonts w:hint="eastAsia" w:ascii="宋体" w:hAnsi="宋体" w:eastAsia="宋体" w:cs="宋体"/>
                <w:lang w:val="zh-CN"/>
              </w:rPr>
              <w:t>分；有一项细微偏差扣</w:t>
            </w:r>
            <w:r>
              <w:rPr>
                <w:rFonts w:hint="eastAsia" w:ascii="宋体" w:hAnsi="宋体" w:eastAsia="宋体" w:cs="宋体"/>
                <w:lang w:val="en-US" w:eastAsia="zh-CN"/>
              </w:rPr>
              <w:t>0.5</w:t>
            </w:r>
            <w:r>
              <w:rPr>
                <w:rFonts w:hint="eastAsia" w:ascii="宋体" w:hAnsi="宋体" w:eastAsia="宋体" w:cs="宋体"/>
                <w:lang w:val="zh-CN"/>
              </w:rPr>
              <w:t>分，直至该项分值扣完为止。</w:t>
            </w:r>
          </w:p>
        </w:tc>
      </w:tr>
      <w:tr w14:paraId="54E4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243" w:type="dxa"/>
            <w:shd w:val="clear" w:color="000000" w:fill="FFFFFF"/>
            <w:noWrap w:val="0"/>
            <w:vAlign w:val="center"/>
          </w:tcPr>
          <w:p w14:paraId="10CED8C2">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技术质量方面</w:t>
            </w:r>
          </w:p>
          <w:p w14:paraId="4EB01944">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（20</w:t>
            </w:r>
            <w:r>
              <w:rPr>
                <w:rFonts w:hint="eastAsia" w:ascii="宋体" w:hAnsi="宋体" w:eastAsia="宋体" w:cs="宋体"/>
                <w:lang w:val="zh-CN"/>
              </w:rPr>
              <w:t>分）</w:t>
            </w:r>
          </w:p>
        </w:tc>
        <w:tc>
          <w:tcPr>
            <w:tcW w:w="1842" w:type="dxa"/>
            <w:shd w:val="clear" w:color="000000" w:fill="FFFFFF"/>
            <w:noWrap w:val="0"/>
            <w:vAlign w:val="center"/>
          </w:tcPr>
          <w:p w14:paraId="39E10856">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技术参数要求</w:t>
            </w:r>
          </w:p>
        </w:tc>
        <w:tc>
          <w:tcPr>
            <w:tcW w:w="851" w:type="dxa"/>
            <w:shd w:val="clear" w:color="000000" w:fill="FFFFFF"/>
            <w:noWrap w:val="0"/>
            <w:vAlign w:val="center"/>
          </w:tcPr>
          <w:p w14:paraId="2818D6CF">
            <w:pPr>
              <w:autoSpaceDE w:val="0"/>
              <w:autoSpaceDN w:val="0"/>
              <w:spacing w:line="240" w:lineRule="auto"/>
              <w:jc w:val="center"/>
              <w:rPr>
                <w:rFonts w:hint="eastAsia" w:ascii="宋体" w:hAnsi="宋体" w:eastAsia="宋体" w:cs="宋体"/>
                <w:lang w:val="zh-CN" w:eastAsia="zh-CN"/>
              </w:rPr>
            </w:pPr>
            <w:r>
              <w:rPr>
                <w:rFonts w:hint="eastAsia" w:ascii="宋体" w:hAnsi="宋体" w:eastAsia="宋体" w:cs="宋体"/>
                <w:lang w:val="en-US" w:eastAsia="zh-CN"/>
              </w:rPr>
              <w:t>20</w:t>
            </w:r>
          </w:p>
        </w:tc>
        <w:tc>
          <w:tcPr>
            <w:tcW w:w="6033" w:type="dxa"/>
            <w:shd w:val="clear" w:color="000000" w:fill="FFFFFF"/>
            <w:noWrap w:val="0"/>
            <w:vAlign w:val="center"/>
          </w:tcPr>
          <w:p w14:paraId="69984FA3">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投标产品技术参数要求和配置完全满足招标文件要求的得</w:t>
            </w:r>
            <w:r>
              <w:rPr>
                <w:rFonts w:hint="eastAsia" w:ascii="宋体" w:hAnsi="宋体" w:eastAsia="宋体" w:cs="宋体"/>
                <w:lang w:val="en-US" w:eastAsia="zh-CN"/>
              </w:rPr>
              <w:t>20</w:t>
            </w:r>
            <w:r>
              <w:rPr>
                <w:rFonts w:hint="eastAsia" w:ascii="宋体" w:hAnsi="宋体" w:eastAsia="宋体" w:cs="宋体"/>
                <w:lang w:val="zh-CN"/>
              </w:rPr>
              <w:t>分；每有一项负偏离扣</w:t>
            </w:r>
            <w:r>
              <w:rPr>
                <w:rFonts w:hint="eastAsia" w:ascii="宋体" w:hAnsi="宋体" w:eastAsia="宋体" w:cs="宋体"/>
                <w:lang w:val="en-US" w:eastAsia="zh-CN"/>
              </w:rPr>
              <w:t>4</w:t>
            </w:r>
            <w:r>
              <w:rPr>
                <w:rFonts w:hint="eastAsia" w:ascii="宋体" w:hAnsi="宋体" w:eastAsia="宋体" w:cs="宋体"/>
                <w:lang w:val="zh-CN"/>
              </w:rPr>
              <w:t>分，直至扣完为止。</w:t>
            </w:r>
          </w:p>
          <w:p w14:paraId="2E2C2578">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注：此项评分以生产厂商出具的证明文件或产品彩页或检测报告等为依据。</w:t>
            </w:r>
          </w:p>
        </w:tc>
      </w:tr>
      <w:tr w14:paraId="791C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43" w:type="dxa"/>
            <w:vMerge w:val="restart"/>
            <w:shd w:val="clear" w:color="000000" w:fill="FFFFFF"/>
            <w:noWrap w:val="0"/>
            <w:vAlign w:val="center"/>
          </w:tcPr>
          <w:p w14:paraId="560E5D4A">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产品质量保障、售后服务及项目实施方案</w:t>
            </w:r>
          </w:p>
          <w:p w14:paraId="6C0099DB">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（39</w:t>
            </w:r>
            <w:r>
              <w:rPr>
                <w:rFonts w:hint="eastAsia" w:ascii="宋体" w:hAnsi="宋体" w:eastAsia="宋体" w:cs="宋体"/>
                <w:lang w:val="zh-CN"/>
              </w:rPr>
              <w:t>分）</w:t>
            </w:r>
          </w:p>
        </w:tc>
        <w:tc>
          <w:tcPr>
            <w:tcW w:w="1842" w:type="dxa"/>
            <w:shd w:val="clear" w:color="000000" w:fill="FFFFFF"/>
            <w:noWrap w:val="0"/>
            <w:vAlign w:val="center"/>
          </w:tcPr>
          <w:p w14:paraId="3428EB85">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产品质量保障体系及措施</w:t>
            </w:r>
          </w:p>
        </w:tc>
        <w:tc>
          <w:tcPr>
            <w:tcW w:w="851" w:type="dxa"/>
            <w:shd w:val="clear" w:color="000000" w:fill="FFFFFF"/>
            <w:noWrap w:val="0"/>
            <w:vAlign w:val="center"/>
          </w:tcPr>
          <w:p w14:paraId="0A3EA03D">
            <w:pPr>
              <w:autoSpaceDE w:val="0"/>
              <w:autoSpaceDN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033" w:type="dxa"/>
            <w:shd w:val="clear" w:color="000000" w:fill="FFFFFF"/>
            <w:noWrap w:val="0"/>
            <w:vAlign w:val="center"/>
          </w:tcPr>
          <w:p w14:paraId="59E99630">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设置了产品质量保障体系，能够针对产品特点制定质量保障方案，并且提供详尽、具体的质量保证措施，优秀的得</w:t>
            </w:r>
            <w:r>
              <w:rPr>
                <w:rFonts w:hint="eastAsia" w:ascii="宋体" w:hAnsi="宋体" w:eastAsia="宋体" w:cs="宋体"/>
                <w:lang w:val="en-US" w:eastAsia="zh-CN"/>
              </w:rPr>
              <w:t>10</w:t>
            </w:r>
            <w:r>
              <w:rPr>
                <w:rFonts w:hint="eastAsia" w:ascii="宋体" w:hAnsi="宋体" w:eastAsia="宋体" w:cs="宋体"/>
                <w:lang w:val="zh-CN"/>
              </w:rPr>
              <w:t>分；较好的得6分；一般的得</w:t>
            </w:r>
            <w:r>
              <w:rPr>
                <w:rFonts w:hint="eastAsia" w:ascii="宋体" w:hAnsi="宋体" w:eastAsia="宋体" w:cs="宋体"/>
                <w:lang w:val="en-US" w:eastAsia="zh-CN"/>
              </w:rPr>
              <w:t>2</w:t>
            </w:r>
            <w:r>
              <w:rPr>
                <w:rFonts w:hint="eastAsia" w:ascii="宋体" w:hAnsi="宋体" w:eastAsia="宋体" w:cs="宋体"/>
                <w:lang w:val="zh-CN"/>
              </w:rPr>
              <w:t>分；未提供或其他情况不得分。</w:t>
            </w:r>
          </w:p>
        </w:tc>
      </w:tr>
      <w:tr w14:paraId="605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shd w:val="clear" w:color="000000" w:fill="FFFFFF"/>
            <w:noWrap w:val="0"/>
            <w:vAlign w:val="center"/>
          </w:tcPr>
          <w:p w14:paraId="185A526F">
            <w:pPr>
              <w:autoSpaceDE w:val="0"/>
              <w:autoSpaceDN w:val="0"/>
              <w:spacing w:line="240" w:lineRule="auto"/>
              <w:jc w:val="center"/>
              <w:rPr>
                <w:rFonts w:hint="eastAsia" w:ascii="宋体" w:hAnsi="宋体" w:eastAsia="宋体" w:cs="宋体"/>
                <w:lang w:val="zh-CN"/>
              </w:rPr>
            </w:pPr>
          </w:p>
        </w:tc>
        <w:tc>
          <w:tcPr>
            <w:tcW w:w="1842" w:type="dxa"/>
            <w:shd w:val="clear" w:color="000000" w:fill="FFFFFF"/>
            <w:noWrap w:val="0"/>
            <w:vAlign w:val="center"/>
          </w:tcPr>
          <w:p w14:paraId="16B126DA">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售后服务计划、措施</w:t>
            </w:r>
          </w:p>
        </w:tc>
        <w:tc>
          <w:tcPr>
            <w:tcW w:w="851" w:type="dxa"/>
            <w:shd w:val="clear" w:color="000000" w:fill="FFFFFF"/>
            <w:noWrap w:val="0"/>
            <w:vAlign w:val="center"/>
          </w:tcPr>
          <w:p w14:paraId="4F61C3A2">
            <w:pPr>
              <w:autoSpaceDE w:val="0"/>
              <w:autoSpaceDN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6033" w:type="dxa"/>
            <w:shd w:val="clear" w:color="000000" w:fill="FFFFFF"/>
            <w:noWrap w:val="0"/>
            <w:vAlign w:val="center"/>
          </w:tcPr>
          <w:p w14:paraId="6B6C1422">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针对该项目须有详尽的组织配送、验收、售后等方面的服务能力、措施及相关培训。所述内容响应招标文件要求，优秀的得</w:t>
            </w:r>
            <w:r>
              <w:rPr>
                <w:rFonts w:hint="eastAsia" w:ascii="宋体" w:hAnsi="宋体" w:eastAsia="宋体" w:cs="宋体"/>
                <w:lang w:val="en-US" w:eastAsia="zh-CN"/>
              </w:rPr>
              <w:t>12</w:t>
            </w:r>
            <w:r>
              <w:rPr>
                <w:rFonts w:hint="eastAsia" w:ascii="宋体" w:hAnsi="宋体" w:eastAsia="宋体" w:cs="宋体"/>
                <w:lang w:val="zh-CN"/>
              </w:rPr>
              <w:t>分；较好的得</w:t>
            </w:r>
            <w:r>
              <w:rPr>
                <w:rFonts w:hint="eastAsia" w:ascii="宋体" w:hAnsi="宋体" w:eastAsia="宋体" w:cs="宋体"/>
                <w:lang w:val="en-US" w:eastAsia="zh-CN"/>
              </w:rPr>
              <w:t>8</w:t>
            </w:r>
            <w:r>
              <w:rPr>
                <w:rFonts w:hint="eastAsia" w:ascii="宋体" w:hAnsi="宋体" w:eastAsia="宋体" w:cs="宋体"/>
                <w:lang w:val="zh-CN"/>
              </w:rPr>
              <w:t>分；一般的得</w:t>
            </w:r>
            <w:r>
              <w:rPr>
                <w:rFonts w:hint="eastAsia" w:ascii="宋体" w:hAnsi="宋体" w:eastAsia="宋体" w:cs="宋体"/>
                <w:lang w:val="en-US" w:eastAsia="zh-CN"/>
              </w:rPr>
              <w:t>2</w:t>
            </w:r>
            <w:r>
              <w:rPr>
                <w:rFonts w:hint="eastAsia" w:ascii="宋体" w:hAnsi="宋体" w:eastAsia="宋体" w:cs="宋体"/>
                <w:lang w:val="zh-CN"/>
              </w:rPr>
              <w:t>分；未提供或其他情况不得分。</w:t>
            </w:r>
          </w:p>
        </w:tc>
      </w:tr>
      <w:tr w14:paraId="61DF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243" w:type="dxa"/>
            <w:vMerge w:val="continue"/>
            <w:shd w:val="clear" w:color="000000" w:fill="FFFFFF"/>
            <w:noWrap w:val="0"/>
            <w:vAlign w:val="center"/>
          </w:tcPr>
          <w:p w14:paraId="28644BF8">
            <w:pPr>
              <w:autoSpaceDE w:val="0"/>
              <w:autoSpaceDN w:val="0"/>
              <w:spacing w:line="240" w:lineRule="auto"/>
              <w:jc w:val="center"/>
              <w:rPr>
                <w:rFonts w:hint="eastAsia" w:ascii="宋体" w:hAnsi="宋体" w:eastAsia="宋体" w:cs="宋体"/>
                <w:lang w:val="zh-CN"/>
              </w:rPr>
            </w:pPr>
          </w:p>
        </w:tc>
        <w:tc>
          <w:tcPr>
            <w:tcW w:w="1842" w:type="dxa"/>
            <w:shd w:val="clear" w:color="000000" w:fill="FFFFFF"/>
            <w:noWrap w:val="0"/>
            <w:vAlign w:val="center"/>
          </w:tcPr>
          <w:p w14:paraId="1ABB1937">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项目管理及实施方案</w:t>
            </w:r>
          </w:p>
        </w:tc>
        <w:tc>
          <w:tcPr>
            <w:tcW w:w="851" w:type="dxa"/>
            <w:shd w:val="clear" w:color="000000" w:fill="FFFFFF"/>
            <w:noWrap w:val="0"/>
            <w:vAlign w:val="center"/>
          </w:tcPr>
          <w:p w14:paraId="6A3FC64C">
            <w:pPr>
              <w:autoSpaceDE w:val="0"/>
              <w:autoSpaceDN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6033" w:type="dxa"/>
            <w:shd w:val="clear" w:color="000000" w:fill="FFFFFF"/>
            <w:noWrap w:val="0"/>
            <w:vAlign w:val="center"/>
          </w:tcPr>
          <w:p w14:paraId="024F0CB2">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zh-CN"/>
              </w:rPr>
              <w:t>项目管理及实施方案：设置了项目管理机构，并且有科学、具体的项目管理措施及质量保障方案，能够结合项目特点制定实施方案，优秀得</w:t>
            </w:r>
            <w:r>
              <w:rPr>
                <w:rFonts w:hint="eastAsia" w:ascii="宋体" w:hAnsi="宋体" w:eastAsia="宋体" w:cs="宋体"/>
                <w:lang w:val="en-US" w:eastAsia="zh-CN"/>
              </w:rPr>
              <w:t>12</w:t>
            </w:r>
            <w:r>
              <w:rPr>
                <w:rFonts w:hint="eastAsia" w:ascii="宋体" w:hAnsi="宋体" w:eastAsia="宋体" w:cs="宋体"/>
                <w:lang w:val="zh-CN"/>
              </w:rPr>
              <w:t>分；较好得</w:t>
            </w:r>
            <w:r>
              <w:rPr>
                <w:rFonts w:hint="eastAsia" w:ascii="宋体" w:hAnsi="宋体" w:eastAsia="宋体" w:cs="宋体"/>
                <w:lang w:val="en-US" w:eastAsia="zh-CN"/>
              </w:rPr>
              <w:t>8</w:t>
            </w:r>
            <w:r>
              <w:rPr>
                <w:rFonts w:hint="eastAsia" w:ascii="宋体" w:hAnsi="宋体" w:eastAsia="宋体" w:cs="宋体"/>
                <w:lang w:val="zh-CN"/>
              </w:rPr>
              <w:t>分；一般的，得</w:t>
            </w:r>
            <w:r>
              <w:rPr>
                <w:rFonts w:hint="eastAsia" w:ascii="宋体" w:hAnsi="宋体" w:eastAsia="宋体" w:cs="宋体"/>
                <w:lang w:val="en-US" w:eastAsia="zh-CN"/>
              </w:rPr>
              <w:t>2</w:t>
            </w:r>
            <w:r>
              <w:rPr>
                <w:rFonts w:hint="eastAsia" w:ascii="宋体" w:hAnsi="宋体" w:eastAsia="宋体" w:cs="宋体"/>
                <w:lang w:val="zh-CN"/>
              </w:rPr>
              <w:t>分；未提供或其他情况不得分。</w:t>
            </w:r>
          </w:p>
        </w:tc>
      </w:tr>
      <w:tr w14:paraId="43F9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243" w:type="dxa"/>
            <w:vMerge w:val="continue"/>
            <w:shd w:val="clear" w:color="000000" w:fill="FFFFFF"/>
            <w:noWrap w:val="0"/>
            <w:vAlign w:val="center"/>
          </w:tcPr>
          <w:p w14:paraId="38C1FF0C">
            <w:pPr>
              <w:autoSpaceDE w:val="0"/>
              <w:autoSpaceDN w:val="0"/>
              <w:spacing w:line="240" w:lineRule="auto"/>
              <w:jc w:val="center"/>
              <w:rPr>
                <w:rFonts w:hint="eastAsia" w:ascii="宋体" w:hAnsi="宋体" w:eastAsia="宋体" w:cs="宋体"/>
                <w:lang w:val="zh-CN"/>
              </w:rPr>
            </w:pPr>
          </w:p>
        </w:tc>
        <w:tc>
          <w:tcPr>
            <w:tcW w:w="1842" w:type="dxa"/>
            <w:shd w:val="clear" w:color="000000" w:fill="FFFFFF"/>
            <w:noWrap w:val="0"/>
            <w:vAlign w:val="center"/>
          </w:tcPr>
          <w:p w14:paraId="32E30394">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售后服务</w:t>
            </w:r>
          </w:p>
        </w:tc>
        <w:tc>
          <w:tcPr>
            <w:tcW w:w="851" w:type="dxa"/>
            <w:shd w:val="clear" w:color="000000" w:fill="FFFFFF"/>
            <w:noWrap w:val="0"/>
            <w:vAlign w:val="center"/>
          </w:tcPr>
          <w:p w14:paraId="426F289C">
            <w:pPr>
              <w:autoSpaceDE w:val="0"/>
              <w:autoSpaceDN w:val="0"/>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6033" w:type="dxa"/>
            <w:shd w:val="clear" w:color="000000" w:fill="FFFFFF"/>
            <w:noWrap w:val="0"/>
            <w:vAlign w:val="center"/>
          </w:tcPr>
          <w:p w14:paraId="4FA0F27F">
            <w:pPr>
              <w:autoSpaceDE w:val="0"/>
              <w:autoSpaceDN w:val="0"/>
              <w:spacing w:line="240" w:lineRule="auto"/>
              <w:jc w:val="center"/>
              <w:rPr>
                <w:rFonts w:hint="default" w:ascii="宋体" w:hAnsi="宋体" w:eastAsia="宋体" w:cs="宋体"/>
                <w:lang w:val="zh-CN" w:eastAsia="zh-CN"/>
              </w:rPr>
            </w:pPr>
            <w:r>
              <w:rPr>
                <w:rFonts w:hint="default" w:ascii="宋体" w:hAnsi="宋体" w:eastAsia="宋体" w:cs="宋体"/>
                <w:lang w:val="zh-CN" w:eastAsia="zh-CN"/>
              </w:rPr>
              <w:t>针对该项目须有详尽的组织验收、售后等方面的服务能力、措施及相关承诺。</w:t>
            </w:r>
          </w:p>
          <w:p w14:paraId="5754F33B">
            <w:pPr>
              <w:autoSpaceDE w:val="0"/>
              <w:autoSpaceDN w:val="0"/>
              <w:spacing w:line="240" w:lineRule="auto"/>
              <w:jc w:val="center"/>
              <w:rPr>
                <w:rFonts w:hint="default" w:ascii="宋体" w:hAnsi="宋体" w:eastAsia="宋体" w:cs="宋体"/>
                <w:lang w:val="zh-CN" w:eastAsia="zh-CN"/>
              </w:rPr>
            </w:pPr>
            <w:r>
              <w:rPr>
                <w:rFonts w:hint="default" w:ascii="宋体" w:hAnsi="宋体" w:eastAsia="宋体" w:cs="宋体"/>
                <w:lang w:val="zh-CN" w:eastAsia="zh-CN"/>
              </w:rPr>
              <w:t>1）内容详细、科学、合理、切实可行，完全满足项目需求的，得</w:t>
            </w:r>
            <w:r>
              <w:rPr>
                <w:rFonts w:hint="eastAsia" w:ascii="宋体" w:hAnsi="宋体" w:eastAsia="宋体" w:cs="宋体"/>
                <w:lang w:val="en-US" w:eastAsia="zh-CN"/>
              </w:rPr>
              <w:t>5</w:t>
            </w:r>
            <w:r>
              <w:rPr>
                <w:rFonts w:hint="default" w:ascii="宋体" w:hAnsi="宋体" w:eastAsia="宋体" w:cs="宋体"/>
                <w:lang w:val="zh-CN" w:eastAsia="zh-CN"/>
              </w:rPr>
              <w:t>分；</w:t>
            </w:r>
          </w:p>
          <w:p w14:paraId="73A10621">
            <w:pPr>
              <w:autoSpaceDE w:val="0"/>
              <w:autoSpaceDN w:val="0"/>
              <w:spacing w:line="240" w:lineRule="auto"/>
              <w:jc w:val="center"/>
              <w:rPr>
                <w:rFonts w:hint="default" w:ascii="宋体" w:hAnsi="宋体" w:eastAsia="宋体" w:cs="宋体"/>
                <w:lang w:val="zh-CN" w:eastAsia="zh-CN"/>
              </w:rPr>
            </w:pPr>
            <w:r>
              <w:rPr>
                <w:rFonts w:hint="default" w:ascii="宋体" w:hAnsi="宋体" w:eastAsia="宋体" w:cs="宋体"/>
                <w:lang w:val="zh-CN" w:eastAsia="zh-CN"/>
              </w:rPr>
              <w:t>2）内容较为详细、科学、合理、可行性一般，满足项目需求的，得</w:t>
            </w:r>
            <w:r>
              <w:rPr>
                <w:rFonts w:hint="eastAsia" w:ascii="宋体" w:hAnsi="宋体" w:eastAsia="宋体" w:cs="宋体"/>
                <w:lang w:val="en-US" w:eastAsia="zh-CN"/>
              </w:rPr>
              <w:t>3</w:t>
            </w:r>
            <w:r>
              <w:rPr>
                <w:rFonts w:hint="default" w:ascii="宋体" w:hAnsi="宋体" w:eastAsia="宋体" w:cs="宋体"/>
                <w:lang w:val="zh-CN" w:eastAsia="zh-CN"/>
              </w:rPr>
              <w:t>分；</w:t>
            </w:r>
          </w:p>
          <w:p w14:paraId="314D18BE">
            <w:pPr>
              <w:autoSpaceDE w:val="0"/>
              <w:autoSpaceDN w:val="0"/>
              <w:spacing w:line="240" w:lineRule="auto"/>
              <w:jc w:val="center"/>
              <w:rPr>
                <w:rFonts w:hint="default" w:ascii="宋体" w:hAnsi="宋体" w:eastAsia="宋体" w:cs="宋体"/>
                <w:lang w:val="zh-CN" w:eastAsia="zh-CN"/>
              </w:rPr>
            </w:pPr>
            <w:r>
              <w:rPr>
                <w:rFonts w:hint="default" w:ascii="宋体" w:hAnsi="宋体" w:eastAsia="宋体" w:cs="宋体"/>
                <w:lang w:val="zh-CN" w:eastAsia="zh-CN"/>
              </w:rPr>
              <w:t>3）内容简单、可行性较差的得</w:t>
            </w:r>
            <w:r>
              <w:rPr>
                <w:rFonts w:hint="eastAsia" w:ascii="宋体" w:hAnsi="宋体" w:eastAsia="宋体" w:cs="宋体"/>
                <w:lang w:val="en-US" w:eastAsia="zh-CN"/>
              </w:rPr>
              <w:t>1</w:t>
            </w:r>
            <w:r>
              <w:rPr>
                <w:rFonts w:hint="default" w:ascii="宋体" w:hAnsi="宋体" w:eastAsia="宋体" w:cs="宋体"/>
                <w:lang w:val="zh-CN" w:eastAsia="zh-CN"/>
              </w:rPr>
              <w:t>分；</w:t>
            </w:r>
          </w:p>
          <w:p w14:paraId="133DB7C5">
            <w:pPr>
              <w:autoSpaceDE w:val="0"/>
              <w:autoSpaceDN w:val="0"/>
              <w:spacing w:line="240" w:lineRule="auto"/>
              <w:jc w:val="center"/>
              <w:rPr>
                <w:rFonts w:hint="eastAsia" w:ascii="宋体" w:hAnsi="宋体" w:eastAsia="宋体" w:cs="宋体"/>
                <w:lang w:val="zh-CN"/>
              </w:rPr>
            </w:pPr>
            <w:r>
              <w:rPr>
                <w:rFonts w:hint="eastAsia" w:ascii="宋体" w:hAnsi="宋体" w:eastAsia="宋体" w:cs="宋体"/>
                <w:lang w:val="en-US" w:eastAsia="zh-CN"/>
              </w:rPr>
              <w:t>4）内容不合理，不能满足项目需求或</w:t>
            </w:r>
            <w:r>
              <w:rPr>
                <w:rFonts w:hint="eastAsia" w:ascii="宋体" w:hAnsi="宋体" w:eastAsia="宋体" w:cs="宋体"/>
                <w:lang w:val="zh-CN" w:eastAsia="zh-CN"/>
              </w:rPr>
              <w:t>未提供的的不得分。</w:t>
            </w:r>
          </w:p>
        </w:tc>
      </w:tr>
    </w:tbl>
    <w:p w14:paraId="560B6809">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25726025"/>
      <w:bookmarkStart w:id="165" w:name="_Toc376936756"/>
      <w:bookmarkStart w:id="166" w:name="_Toc25290"/>
      <w:bookmarkStart w:id="167" w:name="_Toc6689"/>
      <w:bookmarkStart w:id="168" w:name="_Toc2506"/>
      <w:bookmarkStart w:id="169" w:name="_Toc7357"/>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5"/>
        <w:numPr>
          <w:ilvl w:val="0"/>
          <w:numId w:val="0"/>
        </w:numPr>
        <w:spacing w:before="0" w:after="0" w:line="360" w:lineRule="auto"/>
        <w:ind w:leftChars="0"/>
        <w:rPr>
          <w:rFonts w:ascii="宋体" w:hAnsi="宋体"/>
          <w:b w:val="0"/>
        </w:rPr>
      </w:pPr>
      <w:bookmarkStart w:id="170" w:name="_Toc1575322"/>
      <w:bookmarkStart w:id="171" w:name="_Toc488673637"/>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7"/>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7"/>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5"/>
        <w:numPr>
          <w:ilvl w:val="0"/>
          <w:numId w:val="0"/>
        </w:numPr>
        <w:spacing w:before="0" w:after="0" w:line="360" w:lineRule="auto"/>
        <w:ind w:leftChars="0"/>
        <w:rPr>
          <w:rFonts w:ascii="宋体" w:hAnsi="宋体"/>
          <w:b w:val="0"/>
        </w:rPr>
      </w:pPr>
      <w:bookmarkStart w:id="172" w:name="_Toc1575323"/>
      <w:bookmarkStart w:id="173" w:name="_Toc488673638"/>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5"/>
        <w:numPr>
          <w:ilvl w:val="0"/>
          <w:numId w:val="0"/>
        </w:numPr>
        <w:spacing w:before="0" w:after="0" w:line="360" w:lineRule="auto"/>
        <w:ind w:leftChars="0"/>
        <w:rPr>
          <w:rFonts w:ascii="宋体" w:hAnsi="宋体"/>
          <w:b w:val="0"/>
        </w:rPr>
      </w:pPr>
      <w:bookmarkStart w:id="175" w:name="_Toc488673640"/>
      <w:bookmarkStart w:id="176" w:name="_Toc1575325"/>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5"/>
        <w:numPr>
          <w:ilvl w:val="0"/>
          <w:numId w:val="0"/>
        </w:numPr>
        <w:spacing w:before="0" w:after="0" w:line="360" w:lineRule="auto"/>
        <w:ind w:leftChars="0"/>
        <w:rPr>
          <w:rFonts w:ascii="宋体" w:hAnsi="宋体"/>
          <w:b w:val="0"/>
        </w:rPr>
      </w:pPr>
      <w:bookmarkStart w:id="178" w:name="_Toc1575327"/>
      <w:bookmarkStart w:id="179" w:name="_Toc488673642"/>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7"/>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7"/>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7"/>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7"/>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7"/>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3E10530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5"/>
        <w:numPr>
          <w:ilvl w:val="0"/>
          <w:numId w:val="0"/>
        </w:numPr>
        <w:spacing w:before="0" w:after="0" w:line="360" w:lineRule="auto"/>
        <w:ind w:leftChars="0"/>
        <w:rPr>
          <w:rFonts w:ascii="宋体" w:hAnsi="宋体"/>
          <w:b w:val="0"/>
        </w:rPr>
      </w:pPr>
      <w:bookmarkStart w:id="181" w:name="_Toc1575329"/>
      <w:bookmarkStart w:id="182" w:name="_Toc488673644"/>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7"/>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7"/>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7"/>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4"/>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第四部分青海省政府采购合同文本样式</w:t>
      </w:r>
      <w:bookmarkEnd w:id="183"/>
    </w:p>
    <w:p w14:paraId="7467AAAC">
      <w:pPr>
        <w:pStyle w:val="17"/>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0213283C">
      <w:pPr>
        <w:spacing w:line="360" w:lineRule="auto"/>
        <w:ind w:firstLine="723" w:firstLineChars="300"/>
        <w:rPr>
          <w:rFonts w:hint="eastAsia" w:ascii="宋体" w:hAnsi="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湟中区李家山镇上坪村青绣文化产业传承研发中心建设项目</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w:t>
      </w:r>
      <w:r>
        <w:rPr>
          <w:rFonts w:hint="eastAsia" w:ascii="宋体" w:hAnsi="宋体"/>
          <w:b/>
          <w:sz w:val="24"/>
          <w:szCs w:val="28"/>
          <w:u w:val="single"/>
          <w:lang w:val="en-US" w:eastAsia="zh-CN"/>
        </w:rPr>
        <w:t>4</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04</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湟中区李家山镇上坪村青绣文化产业传承研发中心建设项</w:t>
      </w:r>
      <w:r>
        <w:rPr>
          <w:rFonts w:hint="eastAsia" w:ascii="宋体" w:hAnsi="宋体" w:cs="宋体"/>
          <w:sz w:val="24"/>
          <w:u w:val="single"/>
          <w:lang w:val="zh-CN"/>
        </w:rPr>
        <w:t>目</w:t>
      </w:r>
      <w:r>
        <w:rPr>
          <w:rFonts w:hint="eastAsia" w:ascii="宋体" w:hAnsi="宋体" w:cs="宋体"/>
          <w:sz w:val="24"/>
        </w:rPr>
        <w:t>（</w:t>
      </w:r>
      <w:r>
        <w:rPr>
          <w:rFonts w:hint="eastAsia" w:ascii="宋体" w:hAnsi="宋体" w:cs="宋体"/>
          <w:sz w:val="24"/>
          <w:lang w:eastAsia="zh-CN"/>
        </w:rPr>
        <w:t>青海丰研竞磋（货物）2025-00</w:t>
      </w:r>
      <w:r>
        <w:rPr>
          <w:rFonts w:hint="eastAsia" w:ascii="宋体" w:hAnsi="宋体" w:cs="宋体"/>
          <w:sz w:val="24"/>
          <w:lang w:val="en-US" w:eastAsia="zh-CN"/>
        </w:rPr>
        <w:t>4</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shd w:val="clear" w:color="auto" w:fill="auto"/>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4"/>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4"/>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1"/>
        <w:rPr>
          <w:rFonts w:ascii="宋体" w:hAnsi="宋体"/>
          <w:sz w:val="32"/>
        </w:rPr>
      </w:pPr>
    </w:p>
    <w:p w14:paraId="6F2D00D7">
      <w:pPr>
        <w:rPr>
          <w:rFonts w:ascii="宋体" w:hAnsi="宋体"/>
          <w:sz w:val="32"/>
        </w:rPr>
      </w:pPr>
    </w:p>
    <w:p w14:paraId="13AAD765">
      <w:pPr>
        <w:pStyle w:val="11"/>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4"/>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4"/>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湟中区李家山镇上坪村青绣文化产业传承研发中心建设项目</w:t>
      </w:r>
      <w:r>
        <w:rPr>
          <w:rFonts w:hint="eastAsia" w:ascii="宋体" w:hAnsi="宋体"/>
          <w:sz w:val="24"/>
          <w:u w:val="single"/>
        </w:rPr>
        <w:t>（</w:t>
      </w:r>
      <w:r>
        <w:rPr>
          <w:rFonts w:hint="eastAsia" w:ascii="宋体" w:hAnsi="宋体"/>
          <w:sz w:val="24"/>
          <w:u w:val="single"/>
          <w:lang w:eastAsia="zh-CN"/>
        </w:rPr>
        <w:t>青海丰研竞磋（货物）2025-00</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highlight w:val="none"/>
        </w:rPr>
        <w:t>2.磋商有效期自磋商之日起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个</w:t>
      </w:r>
      <w:r>
        <w:rPr>
          <w:rFonts w:hint="eastAsia" w:ascii="宋体" w:hAnsi="宋体"/>
          <w:sz w:val="24"/>
          <w:highlight w:val="none"/>
        </w:rPr>
        <w:t>日历日有效</w:t>
      </w:r>
      <w:r>
        <w:rPr>
          <w:rFonts w:hint="eastAsia" w:ascii="宋体" w:hAnsi="宋体"/>
          <w:sz w:val="24"/>
        </w:rPr>
        <w:t>。如果在规定的开标时间后，我方在磋商有效期内撤回磋商或中标后不签约的，磋商保证金将被贵方没收。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444715737"/>
      <w:bookmarkStart w:id="192" w:name="_Toc25583"/>
    </w:p>
    <w:bookmarkEnd w:id="191"/>
    <w:bookmarkEnd w:id="192"/>
    <w:p w14:paraId="660702A9">
      <w:pPr>
        <w:bidi w:val="0"/>
      </w:pPr>
    </w:p>
    <w:p w14:paraId="76A3FF84">
      <w:pPr>
        <w:pStyle w:val="4"/>
        <w:numPr>
          <w:ilvl w:val="0"/>
          <w:numId w:val="0"/>
        </w:numPr>
        <w:ind w:left="709" w:hanging="709"/>
        <w:rPr>
          <w:rFonts w:hint="eastAsia" w:hAnsi="宋体"/>
          <w:b/>
          <w:sz w:val="32"/>
          <w:lang w:val="zh-CN"/>
        </w:rPr>
        <w:sectPr>
          <w:headerReference r:id="rId4" w:type="first"/>
          <w:headerReference r:id="rId3" w:type="default"/>
          <w:footerReference r:id="rId5" w:type="default"/>
          <w:pgSz w:w="11906" w:h="16838"/>
          <w:pgMar w:top="1440" w:right="1077" w:bottom="1440" w:left="1077" w:header="851" w:footer="992" w:gutter="0"/>
          <w:pgNumType w:start="0"/>
          <w:cols w:space="720" w:num="1"/>
          <w:titlePg/>
          <w:docGrid w:linePitch="312" w:charSpace="0"/>
        </w:sectPr>
      </w:pPr>
      <w:bookmarkStart w:id="193" w:name="_Toc1575335"/>
    </w:p>
    <w:p w14:paraId="2B11FB4F">
      <w:pPr>
        <w:pStyle w:val="4"/>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444715738"/>
      <w:bookmarkStart w:id="195" w:name="_Toc1685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4"/>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4"/>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4"/>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444715739"/>
      <w:bookmarkStart w:id="200" w:name="_Toc17097"/>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4"/>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4"/>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20673"/>
      <w:bookmarkStart w:id="204" w:name="_Toc444715740"/>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highlight w:val="none"/>
          <w:lang w:val="zh-CN"/>
        </w:rPr>
        <w:t>投标人是法人的，提供基本</w:t>
      </w:r>
      <w:r>
        <w:rPr>
          <w:rFonts w:hint="eastAsia" w:ascii="宋体" w:hAnsi="宋体" w:cs="宋体"/>
          <w:kern w:val="0"/>
          <w:sz w:val="24"/>
          <w:lang w:val="zh-CN"/>
        </w:rPr>
        <w:t>开户银行近三个月内出具的资信证明（同时提供基本存款账户开户许可证）或（</w:t>
      </w:r>
      <w:r>
        <w:rPr>
          <w:rFonts w:hint="eastAsia" w:ascii="宋体" w:hAnsi="宋体" w:cs="宋体"/>
          <w:kern w:val="0"/>
          <w:sz w:val="24"/>
          <w:lang w:val="en-US" w:eastAsia="zh-CN"/>
        </w:rPr>
        <w:t>2023年或2024年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4"/>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4"/>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highlight w:val="none"/>
          <w:lang w:val="zh-CN"/>
        </w:rPr>
      </w:pPr>
    </w:p>
    <w:p w14:paraId="44E36E1D">
      <w:pPr>
        <w:autoSpaceDE w:val="0"/>
        <w:autoSpaceDN w:val="0"/>
        <w:adjustRightIn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注：本项目不收取磋商保证金，可不提供此函。</w:t>
      </w: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4"/>
        <w:numPr>
          <w:ilvl w:val="0"/>
          <w:numId w:val="0"/>
        </w:numPr>
        <w:ind w:left="709" w:hanging="709"/>
        <w:rPr>
          <w:rFonts w:hAnsi="宋体" w:cs="宋体"/>
        </w:rPr>
      </w:pPr>
      <w:r>
        <w:rPr>
          <w:rFonts w:hAnsi="宋体" w:cs="宋体"/>
          <w:kern w:val="0"/>
          <w:sz w:val="24"/>
          <w:lang w:val="zh-CN"/>
        </w:rPr>
        <w:br w:type="page"/>
      </w:r>
      <w:bookmarkStart w:id="208" w:name="_Toc428180589"/>
      <w:bookmarkStart w:id="209" w:name="_Toc444715741"/>
      <w:bookmarkStart w:id="210" w:name="_Toc21450"/>
      <w:bookmarkStart w:id="211" w:name="_Toc1575343"/>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4"/>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1"/>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4"/>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4"/>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9"/>
              <w:spacing w:line="360" w:lineRule="auto"/>
              <w:jc w:val="center"/>
              <w:rPr>
                <w:rFonts w:ascii="宋体" w:hAnsi="宋体" w:cs="宋体"/>
              </w:rPr>
            </w:pPr>
          </w:p>
        </w:tc>
        <w:tc>
          <w:tcPr>
            <w:tcW w:w="2514" w:type="dxa"/>
            <w:vAlign w:val="center"/>
          </w:tcPr>
          <w:p w14:paraId="40D16EA8">
            <w:pPr>
              <w:pStyle w:val="9"/>
              <w:spacing w:line="360" w:lineRule="auto"/>
              <w:jc w:val="center"/>
              <w:rPr>
                <w:rFonts w:ascii="宋体" w:hAnsi="宋体" w:cs="宋体"/>
              </w:rPr>
            </w:pPr>
          </w:p>
        </w:tc>
        <w:tc>
          <w:tcPr>
            <w:tcW w:w="2266" w:type="dxa"/>
            <w:vAlign w:val="center"/>
          </w:tcPr>
          <w:p w14:paraId="5D08537E">
            <w:pPr>
              <w:pStyle w:val="9"/>
              <w:spacing w:line="360" w:lineRule="auto"/>
              <w:jc w:val="center"/>
              <w:rPr>
                <w:rFonts w:ascii="宋体" w:hAnsi="宋体" w:cs="宋体"/>
              </w:rPr>
            </w:pPr>
          </w:p>
        </w:tc>
        <w:tc>
          <w:tcPr>
            <w:tcW w:w="2966" w:type="dxa"/>
            <w:vAlign w:val="center"/>
          </w:tcPr>
          <w:p w14:paraId="24417D2C">
            <w:pPr>
              <w:pStyle w:val="9"/>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9"/>
              <w:spacing w:line="360" w:lineRule="auto"/>
              <w:jc w:val="center"/>
              <w:rPr>
                <w:rFonts w:ascii="宋体" w:hAnsi="宋体" w:cs="宋体"/>
              </w:rPr>
            </w:pPr>
          </w:p>
        </w:tc>
        <w:tc>
          <w:tcPr>
            <w:tcW w:w="2514" w:type="dxa"/>
            <w:vAlign w:val="center"/>
          </w:tcPr>
          <w:p w14:paraId="6FD066D9">
            <w:pPr>
              <w:pStyle w:val="9"/>
              <w:spacing w:line="360" w:lineRule="auto"/>
              <w:jc w:val="center"/>
              <w:rPr>
                <w:rFonts w:ascii="宋体" w:hAnsi="宋体" w:cs="宋体"/>
              </w:rPr>
            </w:pPr>
          </w:p>
        </w:tc>
        <w:tc>
          <w:tcPr>
            <w:tcW w:w="2266" w:type="dxa"/>
            <w:vAlign w:val="center"/>
          </w:tcPr>
          <w:p w14:paraId="30941073">
            <w:pPr>
              <w:pStyle w:val="9"/>
              <w:spacing w:line="360" w:lineRule="auto"/>
              <w:jc w:val="center"/>
              <w:rPr>
                <w:rFonts w:ascii="宋体" w:hAnsi="宋体" w:cs="宋体"/>
              </w:rPr>
            </w:pPr>
          </w:p>
        </w:tc>
        <w:tc>
          <w:tcPr>
            <w:tcW w:w="2966" w:type="dxa"/>
            <w:vAlign w:val="center"/>
          </w:tcPr>
          <w:p w14:paraId="787E3067">
            <w:pPr>
              <w:pStyle w:val="9"/>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9"/>
              <w:spacing w:line="360" w:lineRule="auto"/>
              <w:jc w:val="center"/>
              <w:rPr>
                <w:rFonts w:ascii="宋体" w:hAnsi="宋体" w:cs="宋体"/>
              </w:rPr>
            </w:pPr>
          </w:p>
        </w:tc>
        <w:tc>
          <w:tcPr>
            <w:tcW w:w="2514" w:type="dxa"/>
            <w:vAlign w:val="center"/>
          </w:tcPr>
          <w:p w14:paraId="3D28F73D">
            <w:pPr>
              <w:pStyle w:val="9"/>
              <w:spacing w:line="360" w:lineRule="auto"/>
              <w:jc w:val="center"/>
              <w:rPr>
                <w:rFonts w:ascii="宋体" w:hAnsi="宋体" w:cs="宋体"/>
              </w:rPr>
            </w:pPr>
          </w:p>
        </w:tc>
        <w:tc>
          <w:tcPr>
            <w:tcW w:w="2266" w:type="dxa"/>
            <w:vAlign w:val="center"/>
          </w:tcPr>
          <w:p w14:paraId="1483C1B4">
            <w:pPr>
              <w:pStyle w:val="9"/>
              <w:spacing w:line="360" w:lineRule="auto"/>
              <w:jc w:val="center"/>
              <w:rPr>
                <w:rFonts w:ascii="宋体" w:hAnsi="宋体" w:cs="宋体"/>
              </w:rPr>
            </w:pPr>
          </w:p>
        </w:tc>
        <w:tc>
          <w:tcPr>
            <w:tcW w:w="2966" w:type="dxa"/>
            <w:vAlign w:val="center"/>
          </w:tcPr>
          <w:p w14:paraId="0585990D">
            <w:pPr>
              <w:pStyle w:val="9"/>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9"/>
              <w:spacing w:line="360" w:lineRule="auto"/>
              <w:jc w:val="center"/>
              <w:rPr>
                <w:rFonts w:ascii="宋体" w:hAnsi="宋体" w:cs="宋体"/>
              </w:rPr>
            </w:pPr>
          </w:p>
        </w:tc>
        <w:tc>
          <w:tcPr>
            <w:tcW w:w="2514" w:type="dxa"/>
            <w:vAlign w:val="center"/>
          </w:tcPr>
          <w:p w14:paraId="18B03D45">
            <w:pPr>
              <w:pStyle w:val="9"/>
              <w:spacing w:line="360" w:lineRule="auto"/>
              <w:jc w:val="center"/>
              <w:rPr>
                <w:rFonts w:ascii="宋体" w:hAnsi="宋体" w:cs="宋体"/>
              </w:rPr>
            </w:pPr>
          </w:p>
        </w:tc>
        <w:tc>
          <w:tcPr>
            <w:tcW w:w="2266" w:type="dxa"/>
            <w:vAlign w:val="center"/>
          </w:tcPr>
          <w:p w14:paraId="2D258FC1">
            <w:pPr>
              <w:pStyle w:val="9"/>
              <w:spacing w:line="360" w:lineRule="auto"/>
              <w:jc w:val="center"/>
              <w:rPr>
                <w:rFonts w:ascii="宋体" w:hAnsi="宋体" w:cs="宋体"/>
              </w:rPr>
            </w:pPr>
          </w:p>
        </w:tc>
        <w:tc>
          <w:tcPr>
            <w:tcW w:w="2966" w:type="dxa"/>
            <w:vAlign w:val="center"/>
          </w:tcPr>
          <w:p w14:paraId="1D57D57A">
            <w:pPr>
              <w:pStyle w:val="9"/>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9"/>
              <w:spacing w:line="360" w:lineRule="auto"/>
              <w:jc w:val="center"/>
              <w:rPr>
                <w:rFonts w:ascii="宋体" w:hAnsi="宋体" w:cs="宋体"/>
              </w:rPr>
            </w:pPr>
          </w:p>
        </w:tc>
        <w:tc>
          <w:tcPr>
            <w:tcW w:w="2514" w:type="dxa"/>
            <w:vAlign w:val="center"/>
          </w:tcPr>
          <w:p w14:paraId="02165037">
            <w:pPr>
              <w:pStyle w:val="9"/>
              <w:spacing w:line="360" w:lineRule="auto"/>
              <w:jc w:val="center"/>
              <w:rPr>
                <w:rFonts w:ascii="宋体" w:hAnsi="宋体" w:cs="宋体"/>
              </w:rPr>
            </w:pPr>
          </w:p>
        </w:tc>
        <w:tc>
          <w:tcPr>
            <w:tcW w:w="2266" w:type="dxa"/>
            <w:vAlign w:val="center"/>
          </w:tcPr>
          <w:p w14:paraId="267DABE6">
            <w:pPr>
              <w:pStyle w:val="9"/>
              <w:spacing w:line="360" w:lineRule="auto"/>
              <w:jc w:val="center"/>
              <w:rPr>
                <w:rFonts w:ascii="宋体" w:hAnsi="宋体" w:cs="宋体"/>
              </w:rPr>
            </w:pPr>
          </w:p>
        </w:tc>
        <w:tc>
          <w:tcPr>
            <w:tcW w:w="2966" w:type="dxa"/>
            <w:vAlign w:val="center"/>
          </w:tcPr>
          <w:p w14:paraId="71590E45">
            <w:pPr>
              <w:pStyle w:val="9"/>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9"/>
              <w:spacing w:line="360" w:lineRule="auto"/>
              <w:jc w:val="center"/>
              <w:rPr>
                <w:rFonts w:ascii="宋体" w:hAnsi="宋体" w:cs="宋体"/>
              </w:rPr>
            </w:pPr>
          </w:p>
        </w:tc>
        <w:tc>
          <w:tcPr>
            <w:tcW w:w="2514" w:type="dxa"/>
            <w:vAlign w:val="center"/>
          </w:tcPr>
          <w:p w14:paraId="64FF534A">
            <w:pPr>
              <w:pStyle w:val="9"/>
              <w:spacing w:line="360" w:lineRule="auto"/>
              <w:jc w:val="center"/>
              <w:rPr>
                <w:rFonts w:ascii="宋体" w:hAnsi="宋体" w:cs="宋体"/>
              </w:rPr>
            </w:pPr>
          </w:p>
        </w:tc>
        <w:tc>
          <w:tcPr>
            <w:tcW w:w="2266" w:type="dxa"/>
            <w:vAlign w:val="center"/>
          </w:tcPr>
          <w:p w14:paraId="35FE9F55">
            <w:pPr>
              <w:pStyle w:val="9"/>
              <w:spacing w:line="360" w:lineRule="auto"/>
              <w:jc w:val="center"/>
              <w:rPr>
                <w:rFonts w:ascii="宋体" w:hAnsi="宋体" w:cs="宋体"/>
              </w:rPr>
            </w:pPr>
          </w:p>
        </w:tc>
        <w:tc>
          <w:tcPr>
            <w:tcW w:w="2966" w:type="dxa"/>
            <w:vAlign w:val="center"/>
          </w:tcPr>
          <w:p w14:paraId="15750DBB">
            <w:pPr>
              <w:pStyle w:val="9"/>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4"/>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shd w:val="clear" w:color="auto" w:fill="auto"/>
        <w:tblLayout w:type="fixed"/>
        <w:tblCellMar>
          <w:top w:w="0" w:type="dxa"/>
          <w:left w:w="108" w:type="dxa"/>
          <w:bottom w:w="0" w:type="dxa"/>
          <w:right w:w="108" w:type="dxa"/>
        </w:tblCellMar>
      </w:tblPr>
      <w:tblGrid>
        <w:gridCol w:w="3516"/>
        <w:gridCol w:w="2829"/>
        <w:gridCol w:w="2016"/>
        <w:gridCol w:w="1607"/>
      </w:tblGrid>
      <w:tr w14:paraId="0670D91B">
        <w:tblPrEx>
          <w:shd w:val="clear" w:color="auto" w:fill="auto"/>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FABA0EB">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r>
      <w:tr w14:paraId="5AB3C5AC">
        <w:tblPrEx>
          <w:shd w:val="clear" w:color="auto" w:fill="auto"/>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r>
      <w:tr w14:paraId="74ED430C">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E352">
            <w:pPr>
              <w:autoSpaceDE w:val="0"/>
              <w:autoSpaceDN w:val="0"/>
              <w:spacing w:line="360" w:lineRule="auto"/>
              <w:rPr>
                <w:rFonts w:ascii="Arial" w:hAnsi="Arial" w:cs="Arial"/>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3"/>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4"/>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shd w:val="clear" w:color="auto" w:fill="auto"/>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shd w:val="clear" w:color="auto" w:fill="auto"/>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4"/>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20510"/>
      <w:bookmarkStart w:id="221" w:name="_Toc25742"/>
      <w:bookmarkStart w:id="222" w:name="_Toc444715742"/>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4"/>
        <w:numPr>
          <w:ilvl w:val="0"/>
          <w:numId w:val="0"/>
        </w:numPr>
        <w:ind w:left="709" w:hanging="709"/>
        <w:rPr>
          <w:rFonts w:hAnsi="宋体"/>
          <w:b/>
          <w:sz w:val="32"/>
        </w:rPr>
      </w:pPr>
      <w:r>
        <w:rPr>
          <w:rFonts w:hAnsi="宋体"/>
          <w:bCs/>
          <w:szCs w:val="28"/>
        </w:rPr>
        <w:br w:type="page"/>
      </w:r>
      <w:bookmarkStart w:id="223" w:name="_Toc1575350"/>
    </w:p>
    <w:p w14:paraId="0905B697">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4"/>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0A018D9">
      <w:pPr>
        <w:pStyle w:val="4"/>
        <w:numPr>
          <w:ilvl w:val="0"/>
          <w:numId w:val="0"/>
        </w:numPr>
        <w:ind w:left="869" w:leftChars="414" w:firstLine="151" w:firstLineChars="63"/>
        <w:rPr>
          <w:rFonts w:ascii="宋体" w:hAnsi="宋体" w:cs="宋体"/>
          <w:kern w:val="0"/>
          <w:sz w:val="28"/>
          <w:szCs w:val="28"/>
          <w:lang w:val="zh-CN"/>
        </w:rPr>
      </w:pPr>
      <w:r>
        <w:rPr>
          <w:rFonts w:hint="eastAsia" w:ascii="宋体" w:hAnsi="宋体" w:cs="宋体"/>
          <w:kern w:val="0"/>
          <w:sz w:val="24"/>
          <w:highlight w:val="none"/>
          <w:lang w:val="zh-CN"/>
        </w:rPr>
        <w:t>提供</w:t>
      </w:r>
      <w:r>
        <w:rPr>
          <w:rFonts w:hint="eastAsia" w:ascii="宋体" w:hAnsi="宋体" w:cs="宋体"/>
          <w:kern w:val="0"/>
          <w:sz w:val="24"/>
          <w:highlight w:val="none"/>
        </w:rPr>
        <w:t>20</w:t>
      </w:r>
      <w:r>
        <w:rPr>
          <w:rFonts w:hint="eastAsia" w:ascii="宋体" w:hAnsi="宋体" w:cs="宋体"/>
          <w:kern w:val="0"/>
          <w:sz w:val="24"/>
          <w:highlight w:val="none"/>
          <w:lang w:val="en-US" w:eastAsia="zh-CN"/>
        </w:rPr>
        <w:t>22</w:t>
      </w:r>
      <w:r>
        <w:rPr>
          <w:rFonts w:hint="eastAsia" w:ascii="宋体" w:hAnsi="宋体" w:cs="宋体"/>
          <w:kern w:val="0"/>
          <w:sz w:val="24"/>
          <w:highlight w:val="none"/>
        </w:rPr>
        <w:t>年</w:t>
      </w:r>
      <w:r>
        <w:rPr>
          <w:rFonts w:hint="eastAsia" w:ascii="宋体" w:hAnsi="宋体" w:cs="宋体"/>
          <w:kern w:val="0"/>
          <w:sz w:val="24"/>
          <w:highlight w:val="none"/>
          <w:lang w:val="en-US" w:eastAsia="zh-CN"/>
        </w:rPr>
        <w:t>4月1日</w:t>
      </w:r>
      <w:r>
        <w:rPr>
          <w:rFonts w:hint="eastAsia" w:ascii="宋体" w:hAnsi="宋体" w:cs="宋体"/>
          <w:kern w:val="0"/>
          <w:sz w:val="24"/>
          <w:highlight w:val="none"/>
        </w:rPr>
        <w:t>以</w:t>
      </w:r>
      <w:r>
        <w:rPr>
          <w:rFonts w:hint="eastAsia" w:ascii="宋体" w:hAnsi="宋体" w:cs="宋体"/>
          <w:kern w:val="0"/>
          <w:sz w:val="24"/>
        </w:rPr>
        <w:t>来</w:t>
      </w:r>
      <w:r>
        <w:rPr>
          <w:rFonts w:hint="eastAsia" w:ascii="宋体" w:hAnsi="宋体" w:cs="宋体"/>
          <w:kern w:val="0"/>
          <w:sz w:val="24"/>
          <w:lang w:val="zh-CN"/>
        </w:rPr>
        <w:t>的投标人类似业绩证明材料。类似业绩是指与采购项目在产品类型、使用功能、合同规模等方面相同或相近的项目。（需提供</w:t>
      </w:r>
      <w:r>
        <w:rPr>
          <w:rFonts w:hint="eastAsia" w:ascii="宋体" w:hAnsi="宋体" w:cs="宋体"/>
          <w:kern w:val="0"/>
          <w:sz w:val="24"/>
          <w:lang w:val="zh-CN" w:eastAsia="zh-CN"/>
        </w:rPr>
        <w:t>合同复印件</w:t>
      </w:r>
      <w:r>
        <w:rPr>
          <w:rFonts w:hint="eastAsia" w:ascii="宋体" w:hAnsi="宋体" w:cs="宋体"/>
          <w:kern w:val="0"/>
          <w:sz w:val="24"/>
          <w:lang w:val="zh-CN"/>
        </w:rPr>
        <w:t>包含合同首页、标的及金额所在页、供货合同签字盖章页的扫描（或复印）件。）</w:t>
      </w: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val="0"/>
          <w:iCs/>
          <w:color w:val="000000"/>
          <w:kern w:val="0"/>
          <w:sz w:val="24"/>
          <w:szCs w:val="24"/>
          <w:highlight w:val="none"/>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highlight w:val="none"/>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4"/>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881"/>
      <w:bookmarkStart w:id="228" w:name="_Toc500160598"/>
      <w:bookmarkStart w:id="229" w:name="_Toc500160642"/>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4"/>
      <w:bookmarkStart w:id="231" w:name="OLE_LINK13"/>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4"/>
        <w:numPr>
          <w:ilvl w:val="0"/>
          <w:numId w:val="0"/>
        </w:numPr>
        <w:ind w:left="709" w:hanging="709"/>
        <w:rPr>
          <w:lang w:val="zh-CN"/>
        </w:rPr>
      </w:pPr>
      <w:r>
        <w:rPr>
          <w:lang w:val="zh-CN"/>
        </w:rPr>
        <w:br w:type="page"/>
      </w:r>
    </w:p>
    <w:p w14:paraId="6938527B">
      <w:pPr>
        <w:pStyle w:val="4"/>
        <w:numPr>
          <w:ilvl w:val="0"/>
          <w:numId w:val="0"/>
        </w:numPr>
        <w:ind w:left="709" w:hanging="709"/>
        <w:rPr>
          <w:rFonts w:hAnsi="宋体" w:cs="宋体"/>
        </w:rPr>
      </w:pPr>
      <w:bookmarkStart w:id="233" w:name="_Toc1575354"/>
      <w:bookmarkStart w:id="234" w:name="_Toc31287"/>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4"/>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shd w:val="clear" w:color="auto" w:fill="auto"/>
        <w:tblLayout w:type="fixed"/>
        <w:tblCellMar>
          <w:top w:w="0" w:type="dxa"/>
          <w:left w:w="108" w:type="dxa"/>
          <w:bottom w:w="0" w:type="dxa"/>
          <w:right w:w="108" w:type="dxa"/>
        </w:tblCellMar>
      </w:tblPr>
      <w:tblGrid>
        <w:gridCol w:w="3458"/>
        <w:gridCol w:w="2951"/>
        <w:gridCol w:w="2313"/>
        <w:gridCol w:w="1246"/>
      </w:tblGrid>
      <w:tr w14:paraId="3F3B564D">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804BE55">
        <w:tblPrEx>
          <w:shd w:val="clear" w:color="auto" w:fill="auto"/>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r>
      <w:tr w14:paraId="560A1C5F">
        <w:tblPrEx>
          <w:shd w:val="clear" w:color="auto" w:fill="auto"/>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r>
      <w:tr w14:paraId="4DB147DB">
        <w:tblPrEx>
          <w:shd w:val="clear" w:color="auto" w:fill="auto"/>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4D2B7">
            <w:pPr>
              <w:autoSpaceDE w:val="0"/>
              <w:autoSpaceDN w:val="0"/>
              <w:spacing w:line="360" w:lineRule="auto"/>
              <w:rPr>
                <w:rFonts w:ascii="Arial" w:hAnsi="Arial" w:cs="Arial"/>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4"/>
        <w:spacing w:before="0" w:after="0" w:line="360" w:lineRule="auto"/>
        <w:rPr>
          <w:rFonts w:ascii="宋体" w:hAnsi="宋体"/>
          <w:sz w:val="36"/>
          <w:szCs w:val="36"/>
        </w:rPr>
      </w:pPr>
      <w:r>
        <w:rPr>
          <w:rFonts w:ascii="宋体" w:hAnsi="宋体"/>
          <w:b w:val="0"/>
          <w:szCs w:val="44"/>
        </w:rPr>
        <w:br w:type="page"/>
      </w:r>
      <w:bookmarkStart w:id="236" w:name="_Toc444715745"/>
      <w:bookmarkStart w:id="237" w:name="_Toc1575356"/>
      <w:bookmarkStart w:id="238" w:name="_Toc29404"/>
      <w:r>
        <w:rPr>
          <w:rFonts w:hint="eastAsia" w:ascii="宋体" w:hAnsi="宋体"/>
          <w:sz w:val="36"/>
          <w:szCs w:val="36"/>
        </w:rPr>
        <w:t>第六部分采购项目要求及技术参数</w:t>
      </w:r>
      <w:bookmarkEnd w:id="236"/>
      <w:bookmarkEnd w:id="237"/>
      <w:bookmarkEnd w:id="238"/>
    </w:p>
    <w:p w14:paraId="258C580E">
      <w:pPr>
        <w:pStyle w:val="4"/>
        <w:keepNext/>
        <w:keepLines/>
        <w:numPr>
          <w:ilvl w:val="0"/>
          <w:numId w:val="0"/>
        </w:numPr>
        <w:tabs>
          <w:tab w:val="clear" w:pos="425"/>
        </w:tabs>
        <w:snapToGrid/>
        <w:ind w:left="567" w:hanging="567"/>
        <w:jc w:val="center"/>
        <w:rPr>
          <w:rFonts w:hAnsi="宋体"/>
          <w:b/>
          <w:bCs/>
          <w:kern w:val="0"/>
          <w:sz w:val="32"/>
          <w:szCs w:val="32"/>
        </w:rPr>
      </w:pPr>
      <w:bookmarkStart w:id="239" w:name="_Toc1575357"/>
      <w:bookmarkStart w:id="240" w:name="_Toc428180595"/>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rPr>
          <w:highlight w:val="none"/>
        </w:rPr>
      </w:pPr>
      <w:bookmarkStart w:id="245" w:name="_Toc488673674"/>
      <w:r>
        <w:rPr>
          <w:rFonts w:ascii="宋体" w:hAnsi="Calibri" w:cs="宋体"/>
          <w:kern w:val="0"/>
          <w:sz w:val="24"/>
          <w:highlight w:val="none"/>
          <w:lang w:val="zh-CN"/>
        </w:rPr>
        <w:t>4.1.</w:t>
      </w:r>
      <w:r>
        <w:rPr>
          <w:rFonts w:hint="eastAsia" w:ascii="宋体" w:hAnsi="Calibri" w:cs="宋体"/>
          <w:kern w:val="0"/>
          <w:sz w:val="24"/>
          <w:highlight w:val="none"/>
          <w:lang w:val="zh-CN"/>
        </w:rPr>
        <w:t>交货期：</w:t>
      </w:r>
      <w:bookmarkEnd w:id="245"/>
      <w:r>
        <w:rPr>
          <w:rFonts w:hint="eastAsia" w:ascii="宋体" w:hAnsi="Calibri" w:cs="宋体"/>
          <w:kern w:val="0"/>
          <w:sz w:val="24"/>
          <w:highlight w:val="none"/>
          <w:lang w:val="en-US" w:eastAsia="zh-CN"/>
        </w:rPr>
        <w:t>自合同签订之日起30个日历日</w:t>
      </w:r>
      <w:r>
        <w:rPr>
          <w:rFonts w:hint="eastAsia" w:ascii="宋体" w:hAnsi="宋体" w:cs="宋体"/>
          <w:kern w:val="0"/>
          <w:sz w:val="24"/>
          <w:highlight w:val="none"/>
          <w:lang w:val="zh-CN"/>
        </w:rPr>
        <w:t>；</w:t>
      </w:r>
    </w:p>
    <w:p w14:paraId="788C77F9">
      <w:pPr>
        <w:autoSpaceDE w:val="0"/>
        <w:autoSpaceDN w:val="0"/>
        <w:adjustRightInd w:val="0"/>
        <w:spacing w:line="360" w:lineRule="auto"/>
        <w:ind w:firstLine="240" w:firstLineChars="100"/>
        <w:rPr>
          <w:rFonts w:ascii="宋体" w:hAnsi="宋体"/>
          <w:sz w:val="24"/>
          <w:highlight w:val="none"/>
          <w:u w:val="single"/>
        </w:rPr>
      </w:pPr>
      <w:bookmarkStart w:id="246" w:name="_Toc488673675"/>
      <w:r>
        <w:rPr>
          <w:rFonts w:ascii="宋体" w:hAnsi="Calibri" w:cs="宋体"/>
          <w:kern w:val="0"/>
          <w:sz w:val="24"/>
          <w:highlight w:val="none"/>
          <w:lang w:val="zh-CN"/>
        </w:rPr>
        <w:t>4.2.</w:t>
      </w:r>
      <w:r>
        <w:rPr>
          <w:rFonts w:hint="eastAsia" w:ascii="宋体" w:hAnsi="Calibri" w:cs="宋体"/>
          <w:kern w:val="0"/>
          <w:sz w:val="24"/>
          <w:highlight w:val="none"/>
          <w:lang w:val="zh-CN"/>
        </w:rPr>
        <w:t>交货地点：</w:t>
      </w:r>
      <w:bookmarkEnd w:id="246"/>
      <w:r>
        <w:rPr>
          <w:rFonts w:hint="eastAsia" w:ascii="宋体" w:hAnsi="Calibri" w:cs="宋体"/>
          <w:kern w:val="0"/>
          <w:sz w:val="24"/>
          <w:highlight w:val="none"/>
          <w:lang w:val="en-US" w:eastAsia="zh-CN"/>
        </w:rPr>
        <w:t>采购人指定地点</w:t>
      </w:r>
      <w:r>
        <w:rPr>
          <w:rFonts w:hint="eastAsia" w:ascii="宋体" w:hAnsi="宋体"/>
          <w:sz w:val="24"/>
          <w:highlight w:val="none"/>
        </w:rPr>
        <w:t>；</w:t>
      </w:r>
    </w:p>
    <w:p w14:paraId="0339E717">
      <w:pPr>
        <w:autoSpaceDE w:val="0"/>
        <w:autoSpaceDN w:val="0"/>
        <w:adjustRightInd w:val="0"/>
        <w:spacing w:line="360" w:lineRule="auto"/>
        <w:ind w:firstLine="240" w:firstLineChars="100"/>
        <w:rPr>
          <w:rFonts w:hint="default" w:ascii="宋体" w:hAnsi="Calibri" w:eastAsia="宋体" w:cs="宋体"/>
          <w:kern w:val="0"/>
          <w:sz w:val="24"/>
          <w:highlight w:val="none"/>
          <w:lang w:val="en-US" w:eastAsia="zh-CN"/>
        </w:rPr>
      </w:pPr>
      <w:bookmarkStart w:id="247" w:name="_Toc488673676"/>
      <w:r>
        <w:rPr>
          <w:rFonts w:hint="eastAsia" w:ascii="宋体" w:hAnsi="Calibri" w:cs="宋体"/>
          <w:kern w:val="0"/>
          <w:sz w:val="24"/>
          <w:highlight w:val="none"/>
          <w:lang w:val="en-US" w:eastAsia="zh-CN"/>
        </w:rPr>
        <w:t>4.3.</w:t>
      </w:r>
      <w:r>
        <w:rPr>
          <w:rFonts w:hint="eastAsia" w:ascii="宋体" w:hAnsi="宋体"/>
          <w:sz w:val="24"/>
          <w:highlight w:val="none"/>
        </w:rPr>
        <w:t>质保期：</w:t>
      </w:r>
      <w:r>
        <w:rPr>
          <w:rFonts w:hint="eastAsia" w:ascii="宋体" w:hAnsi="宋体"/>
          <w:sz w:val="24"/>
          <w:highlight w:val="none"/>
          <w:lang w:val="en-US" w:eastAsia="zh-CN"/>
        </w:rPr>
        <w:t>自项目验收完成后1年。</w:t>
      </w:r>
    </w:p>
    <w:p w14:paraId="3F4B010E">
      <w:pPr>
        <w:autoSpaceDE w:val="0"/>
        <w:autoSpaceDN w:val="0"/>
        <w:adjustRightInd w:val="0"/>
        <w:spacing w:line="360" w:lineRule="auto"/>
        <w:ind w:firstLine="240" w:firstLineChars="100"/>
        <w:rPr>
          <w:highlight w:val="none"/>
        </w:rPr>
      </w:pPr>
      <w:r>
        <w:rPr>
          <w:rFonts w:hint="eastAsia" w:ascii="宋体" w:hAnsi="Calibri" w:cs="宋体"/>
          <w:kern w:val="0"/>
          <w:sz w:val="24"/>
          <w:highlight w:val="none"/>
          <w:lang w:val="zh-CN"/>
        </w:rPr>
        <w:t>4.</w:t>
      </w:r>
      <w:r>
        <w:rPr>
          <w:rFonts w:hint="eastAsia" w:ascii="宋体" w:hAnsi="Calibri" w:cs="宋体"/>
          <w:kern w:val="0"/>
          <w:sz w:val="24"/>
          <w:highlight w:val="none"/>
          <w:lang w:val="en-US" w:eastAsia="zh-CN"/>
        </w:rPr>
        <w:t>4</w:t>
      </w:r>
      <w:r>
        <w:rPr>
          <w:rFonts w:hint="eastAsia" w:ascii="宋体" w:hAnsi="Calibri" w:cs="宋体"/>
          <w:kern w:val="0"/>
          <w:sz w:val="24"/>
          <w:highlight w:val="none"/>
          <w:lang w:val="zh-CN"/>
        </w:rPr>
        <w:t>.付款方式：</w:t>
      </w:r>
      <w:bookmarkEnd w:id="247"/>
      <w:bookmarkStart w:id="248" w:name="_Toc459377899"/>
      <w:bookmarkStart w:id="249" w:name="_Hlk486599483"/>
      <w:bookmarkStart w:id="250" w:name="_Toc480468113"/>
      <w:r>
        <w:rPr>
          <w:rFonts w:hint="eastAsia" w:ascii="宋体" w:hAnsi="宋体"/>
          <w:sz w:val="24"/>
          <w:highlight w:val="none"/>
          <w:lang w:val="en-US" w:eastAsia="zh-CN"/>
        </w:rPr>
        <w:t>按合同约定执行</w:t>
      </w:r>
      <w:r>
        <w:rPr>
          <w:kern w:val="0"/>
          <w:sz w:val="24"/>
          <w:highlight w:val="none"/>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start="0"/>
          <w:cols w:space="720" w:num="1"/>
          <w:titlePg/>
          <w:docGrid w:linePitch="312" w:charSpace="0"/>
        </w:sectPr>
      </w:pPr>
    </w:p>
    <w:bookmarkEnd w:id="248"/>
    <w:bookmarkEnd w:id="249"/>
    <w:bookmarkEnd w:id="250"/>
    <w:p w14:paraId="1AECD148">
      <w:pPr>
        <w:widowControl/>
        <w:numPr>
          <w:ilvl w:val="0"/>
          <w:numId w:val="21"/>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3"/>
        <w:numPr>
          <w:ilvl w:val="0"/>
          <w:numId w:val="0"/>
        </w:numPr>
        <w:ind w:leftChars="0"/>
        <w:rPr>
          <w:rFonts w:hint="eastAsia"/>
        </w:rPr>
      </w:pPr>
    </w:p>
    <w:p w14:paraId="4A764977">
      <w:pPr>
        <w:pStyle w:val="3"/>
        <w:numPr>
          <w:ilvl w:val="0"/>
          <w:numId w:val="22"/>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项目建设规模和内容</w:t>
      </w:r>
    </w:p>
    <w:p w14:paraId="6E219462">
      <w:pPr>
        <w:autoSpaceDE w:val="0"/>
        <w:autoSpaceDN w:val="0"/>
        <w:adjustRightInd w:val="0"/>
        <w:spacing w:line="360" w:lineRule="auto"/>
        <w:ind w:firstLine="480" w:firstLineChars="200"/>
        <w:rPr>
          <w:rFonts w:hint="eastAsia" w:ascii="宋体" w:hAnsi="Calibri" w:cs="宋体"/>
          <w:kern w:val="0"/>
          <w:sz w:val="24"/>
          <w:lang w:val="en-US" w:eastAsia="zh-CN"/>
        </w:rPr>
      </w:pPr>
    </w:p>
    <w:p w14:paraId="6CE82257">
      <w:pPr>
        <w:autoSpaceDE w:val="0"/>
        <w:autoSpaceDN w:val="0"/>
        <w:adjustRightInd w:val="0"/>
        <w:spacing w:line="360" w:lineRule="auto"/>
        <w:ind w:firstLine="643" w:firstLineChars="200"/>
        <w:rPr>
          <w:rFonts w:hint="eastAsia" w:ascii="宋体" w:hAnsi="Calibri" w:cs="宋体"/>
          <w:b/>
          <w:bCs/>
          <w:kern w:val="0"/>
          <w:sz w:val="32"/>
          <w:szCs w:val="32"/>
          <w:lang w:val="en-US" w:eastAsia="zh-CN"/>
        </w:rPr>
      </w:pPr>
      <w:r>
        <w:rPr>
          <w:rFonts w:hint="eastAsia" w:ascii="宋体" w:hAnsi="Calibri" w:cs="宋体"/>
          <w:b/>
          <w:bCs/>
          <w:kern w:val="0"/>
          <w:sz w:val="32"/>
          <w:szCs w:val="32"/>
          <w:lang w:val="en-US" w:eastAsia="zh-CN"/>
        </w:rPr>
        <w:t>建设规模：</w:t>
      </w:r>
    </w:p>
    <w:p w14:paraId="68770B7C">
      <w:pPr>
        <w:autoSpaceDE w:val="0"/>
        <w:autoSpaceDN w:val="0"/>
        <w:adjustRightInd w:val="0"/>
        <w:spacing w:line="360" w:lineRule="auto"/>
        <w:ind w:firstLine="480" w:firstLineChars="200"/>
        <w:rPr>
          <w:rFonts w:hint="eastAsia" w:ascii="宋体" w:hAnsi="Calibri" w:cs="宋体"/>
          <w:kern w:val="0"/>
          <w:sz w:val="24"/>
          <w:lang w:val="en-US" w:eastAsia="zh-CN"/>
        </w:rPr>
      </w:pPr>
      <w:r>
        <w:rPr>
          <w:rFonts w:hint="eastAsia" w:ascii="宋体" w:hAnsi="Calibri" w:cs="宋体"/>
          <w:kern w:val="0"/>
          <w:sz w:val="24"/>
          <w:lang w:val="en-US" w:eastAsia="zh-CN"/>
        </w:rPr>
        <w:t xml:space="preserve">项目建成后，预计年生产青绣系列产品约 </w:t>
      </w:r>
      <w:r>
        <w:rPr>
          <w:rFonts w:hint="default" w:ascii="宋体" w:hAnsi="Calibri" w:cs="宋体"/>
          <w:kern w:val="0"/>
          <w:sz w:val="24"/>
          <w:lang w:val="en-US" w:eastAsia="zh-CN"/>
        </w:rPr>
        <w:t xml:space="preserve">10 </w:t>
      </w:r>
      <w:r>
        <w:rPr>
          <w:rFonts w:hint="eastAsia" w:ascii="宋体" w:hAnsi="Calibri" w:cs="宋体"/>
          <w:kern w:val="0"/>
          <w:sz w:val="24"/>
          <w:lang w:val="en-US" w:eastAsia="zh-CN"/>
        </w:rPr>
        <w:t>万件以上</w:t>
      </w:r>
    </w:p>
    <w:p w14:paraId="3857154C">
      <w:pPr>
        <w:pStyle w:val="28"/>
        <w:spacing w:line="360" w:lineRule="auto"/>
        <w:ind w:firstLine="643" w:firstLineChars="200"/>
        <w:rPr>
          <w:rFonts w:hint="default"/>
          <w:b/>
          <w:bCs/>
          <w:sz w:val="32"/>
          <w:szCs w:val="32"/>
          <w:lang w:val="en-US"/>
        </w:rPr>
      </w:pPr>
      <w:r>
        <w:rPr>
          <w:rFonts w:hint="eastAsia" w:hAnsi="Calibri" w:cs="宋体"/>
          <w:b/>
          <w:bCs/>
          <w:kern w:val="0"/>
          <w:sz w:val="32"/>
          <w:szCs w:val="32"/>
          <w:lang w:val="en-US" w:eastAsia="zh-CN"/>
        </w:rPr>
        <w:t>建设内容：</w:t>
      </w:r>
    </w:p>
    <w:p w14:paraId="0C68D46E">
      <w:pPr>
        <w:widowControl/>
        <w:adjustRightInd w:val="0"/>
        <w:snapToGrid w:val="0"/>
        <w:spacing w:line="360" w:lineRule="auto"/>
        <w:ind w:firstLine="480" w:firstLineChars="200"/>
        <w:jc w:val="left"/>
        <w:rPr>
          <w:rFonts w:hint="default" w:ascii="宋体" w:hAnsi="宋体" w:eastAsia="宋体" w:cs="Times New Roman"/>
          <w:kern w:val="0"/>
          <w:sz w:val="24"/>
          <w:szCs w:val="22"/>
          <w:lang w:val="en-US" w:eastAsia="zh-CN"/>
        </w:rPr>
      </w:pPr>
      <w:r>
        <w:rPr>
          <w:rFonts w:hint="default" w:ascii="宋体" w:hAnsi="宋体" w:eastAsia="宋体" w:cs="Times New Roman"/>
          <w:kern w:val="0"/>
          <w:sz w:val="24"/>
          <w:szCs w:val="22"/>
          <w:lang w:val="en-US" w:eastAsia="zh-CN"/>
        </w:rPr>
        <w:t>项目主要购置生产车间设备 14 台/套/批，包括 LCD 显示设备 PC 拼接控制器、电脑自动全锁边包缝机、雕刻机配套电脑、 定制丝绸面料专用打印机、黑白绣样打印机、彩色绣样打印机、 定制刺绣专用多功能微电脑控制液晶热转能打印机、定制刺绣面料专用雕刻机、定制绣片电脑专用裁床、定制荷包专用充棉机、 绣架绣凳</w:t>
      </w:r>
      <w:r>
        <w:rPr>
          <w:rFonts w:hint="eastAsia" w:ascii="宋体" w:hAnsi="宋体" w:cs="Times New Roman"/>
          <w:kern w:val="0"/>
          <w:sz w:val="24"/>
          <w:szCs w:val="22"/>
          <w:lang w:val="en-US" w:eastAsia="zh-CN"/>
        </w:rPr>
        <w:t>等</w:t>
      </w:r>
      <w:r>
        <w:rPr>
          <w:rFonts w:hint="default" w:ascii="宋体" w:hAnsi="宋体" w:eastAsia="宋体" w:cs="Times New Roman"/>
          <w:kern w:val="0"/>
          <w:sz w:val="24"/>
          <w:szCs w:val="22"/>
          <w:lang w:val="en-US" w:eastAsia="zh-CN"/>
        </w:rPr>
        <w:t>。</w:t>
      </w:r>
    </w:p>
    <w:p w14:paraId="76AA2A2E">
      <w:pPr>
        <w:pStyle w:val="13"/>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694"/>
        <w:gridCol w:w="753"/>
        <w:gridCol w:w="909"/>
        <w:gridCol w:w="5863"/>
      </w:tblGrid>
      <w:tr w14:paraId="3596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0CC470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color w:val="000000"/>
                <w:sz w:val="21"/>
                <w:szCs w:val="21"/>
                <w:vertAlign w:val="baseline"/>
                <w:lang w:val="en-US" w:eastAsia="zh-CN"/>
              </w:rPr>
            </w:pPr>
            <w:r>
              <w:rPr>
                <w:rFonts w:hint="default" w:ascii="Times New Roman" w:hAnsi="Times New Roman" w:eastAsia="仿宋" w:cs="Times New Roman"/>
                <w:b/>
                <w:bCs/>
                <w:color w:val="000000"/>
                <w:sz w:val="21"/>
                <w:szCs w:val="21"/>
                <w:vertAlign w:val="baseline"/>
                <w:lang w:val="en-US" w:eastAsia="zh-CN"/>
              </w:rPr>
              <w:t>序号</w:t>
            </w:r>
          </w:p>
        </w:tc>
        <w:tc>
          <w:tcPr>
            <w:tcW w:w="850" w:type="pct"/>
            <w:noWrap w:val="0"/>
            <w:vAlign w:val="center"/>
          </w:tcPr>
          <w:p w14:paraId="5F1ED2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color w:val="000000"/>
                <w:sz w:val="21"/>
                <w:szCs w:val="21"/>
                <w:vertAlign w:val="baseline"/>
                <w:lang w:val="en-US" w:eastAsia="zh-CN"/>
              </w:rPr>
            </w:pPr>
            <w:r>
              <w:rPr>
                <w:rFonts w:hint="default" w:ascii="Times New Roman" w:hAnsi="Times New Roman" w:eastAsia="仿宋" w:cs="Times New Roman"/>
                <w:b/>
                <w:bCs/>
                <w:color w:val="000000"/>
                <w:sz w:val="21"/>
                <w:szCs w:val="21"/>
                <w:vertAlign w:val="baseline"/>
                <w:lang w:val="en-US" w:eastAsia="zh-CN"/>
              </w:rPr>
              <w:t>设备名称</w:t>
            </w:r>
          </w:p>
        </w:tc>
        <w:tc>
          <w:tcPr>
            <w:tcW w:w="378" w:type="pct"/>
            <w:noWrap w:val="0"/>
            <w:vAlign w:val="center"/>
          </w:tcPr>
          <w:p w14:paraId="6E410C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color w:val="000000"/>
                <w:sz w:val="21"/>
                <w:szCs w:val="21"/>
                <w:vertAlign w:val="baseline"/>
                <w:lang w:val="en-US" w:eastAsia="zh-CN"/>
              </w:rPr>
            </w:pPr>
            <w:r>
              <w:rPr>
                <w:rFonts w:hint="default" w:ascii="Times New Roman" w:hAnsi="Times New Roman" w:eastAsia="仿宋" w:cs="Times New Roman"/>
                <w:b/>
                <w:bCs/>
                <w:color w:val="000000"/>
                <w:sz w:val="21"/>
                <w:szCs w:val="21"/>
                <w:vertAlign w:val="baseline"/>
                <w:lang w:val="en-US" w:eastAsia="zh-CN"/>
              </w:rPr>
              <w:t>数量</w:t>
            </w:r>
          </w:p>
        </w:tc>
        <w:tc>
          <w:tcPr>
            <w:tcW w:w="456" w:type="pct"/>
            <w:noWrap w:val="0"/>
            <w:vAlign w:val="center"/>
          </w:tcPr>
          <w:p w14:paraId="5F939C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color w:val="000000"/>
                <w:sz w:val="21"/>
                <w:szCs w:val="21"/>
                <w:vertAlign w:val="baseline"/>
                <w:lang w:val="en-US" w:eastAsia="zh-CN"/>
              </w:rPr>
            </w:pPr>
            <w:r>
              <w:rPr>
                <w:rFonts w:hint="default" w:ascii="Times New Roman" w:hAnsi="Times New Roman" w:eastAsia="仿宋" w:cs="Times New Roman"/>
                <w:b/>
                <w:bCs/>
                <w:color w:val="000000"/>
                <w:sz w:val="21"/>
                <w:szCs w:val="21"/>
                <w:vertAlign w:val="baseline"/>
                <w:lang w:val="en-US" w:eastAsia="zh-CN"/>
              </w:rPr>
              <w:t>单位</w:t>
            </w:r>
          </w:p>
        </w:tc>
        <w:tc>
          <w:tcPr>
            <w:tcW w:w="2941" w:type="pct"/>
            <w:noWrap w:val="0"/>
            <w:vAlign w:val="center"/>
          </w:tcPr>
          <w:p w14:paraId="017849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color w:val="000000"/>
                <w:sz w:val="21"/>
                <w:szCs w:val="21"/>
                <w:vertAlign w:val="baseline"/>
                <w:lang w:val="en-US" w:eastAsia="zh-CN"/>
              </w:rPr>
            </w:pPr>
            <w:r>
              <w:rPr>
                <w:rFonts w:hint="default" w:ascii="Times New Roman" w:hAnsi="Times New Roman" w:eastAsia="仿宋" w:cs="Times New Roman"/>
                <w:b/>
                <w:bCs/>
                <w:color w:val="000000"/>
                <w:sz w:val="21"/>
                <w:szCs w:val="21"/>
                <w:vertAlign w:val="baseline"/>
                <w:lang w:val="en-US" w:eastAsia="zh-CN"/>
              </w:rPr>
              <w:t>规格/参数</w:t>
            </w:r>
          </w:p>
        </w:tc>
      </w:tr>
      <w:tr w14:paraId="1E68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3BFF88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850" w:type="pct"/>
            <w:noWrap w:val="0"/>
            <w:vAlign w:val="center"/>
          </w:tcPr>
          <w:p w14:paraId="6EC96C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LCD显示设备PC拼接控制器</w:t>
            </w:r>
          </w:p>
        </w:tc>
        <w:tc>
          <w:tcPr>
            <w:tcW w:w="378" w:type="pct"/>
            <w:noWrap w:val="0"/>
            <w:vAlign w:val="center"/>
          </w:tcPr>
          <w:p w14:paraId="45F09E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289DC5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2941" w:type="pct"/>
            <w:noWrap w:val="0"/>
            <w:vAlign w:val="center"/>
          </w:tcPr>
          <w:p w14:paraId="2D7B337D">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点对点图处理器是一款工业级高性能产品，高清分辨率支持8K- FUHD</w:t>
            </w:r>
            <w:r>
              <w:rPr>
                <w:rFonts w:hint="eastAsia" w:eastAsia="仿宋" w:cs="Times New Roman"/>
                <w:i w:val="0"/>
                <w:iCs w:val="0"/>
                <w:color w:val="000000"/>
                <w:kern w:val="0"/>
                <w:sz w:val="21"/>
                <w:szCs w:val="21"/>
                <w:u w:val="none"/>
                <w:lang w:val="en-US" w:eastAsia="zh-CN" w:bidi="ar"/>
              </w:rPr>
              <w:t>。</w:t>
            </w:r>
          </w:p>
          <w:p w14:paraId="49AD1E93">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支持多种拼接模式：横屏拼接／竖屏拼接</w:t>
            </w:r>
            <w:r>
              <w:rPr>
                <w:rFonts w:hint="eastAsia" w:eastAsia="仿宋" w:cs="Times New Roman"/>
                <w:i w:val="0"/>
                <w:iCs w:val="0"/>
                <w:color w:val="000000"/>
                <w:kern w:val="0"/>
                <w:sz w:val="21"/>
                <w:szCs w:val="21"/>
                <w:u w:val="none"/>
                <w:lang w:val="en-US" w:eastAsia="zh-CN" w:bidi="ar"/>
              </w:rPr>
              <w:t>。</w:t>
            </w:r>
          </w:p>
          <w:p w14:paraId="11EF3D97">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采用宽电压（100-240V）集中供电，低功耗节能环保设计，内部采用传导散热＋主动散热的双重散热方式，不需要任何外部散热措施，可靠性极高</w:t>
            </w:r>
            <w:r>
              <w:rPr>
                <w:rFonts w:hint="eastAsia" w:eastAsia="仿宋" w:cs="Times New Roman"/>
                <w:i w:val="0"/>
                <w:iCs w:val="0"/>
                <w:color w:val="000000"/>
                <w:kern w:val="0"/>
                <w:sz w:val="21"/>
                <w:szCs w:val="21"/>
                <w:u w:val="none"/>
                <w:lang w:val="en-US" w:eastAsia="zh-CN" w:bidi="ar"/>
              </w:rPr>
              <w:t>。</w:t>
            </w:r>
          </w:p>
          <w:p w14:paraId="030B2252">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采用28nm工艺高端可编程 FPGA芯片，全硬件实时处理架构，快速处理不延迟</w:t>
            </w:r>
            <w:r>
              <w:rPr>
                <w:rFonts w:hint="eastAsia" w:eastAsia="仿宋" w:cs="Times New Roman"/>
                <w:i w:val="0"/>
                <w:iCs w:val="0"/>
                <w:color w:val="000000"/>
                <w:kern w:val="0"/>
                <w:sz w:val="21"/>
                <w:szCs w:val="21"/>
                <w:u w:val="none"/>
                <w:lang w:val="en-US" w:eastAsia="zh-CN" w:bidi="ar"/>
              </w:rPr>
              <w:t>。</w:t>
            </w:r>
          </w:p>
          <w:p w14:paraId="7FFAAC28">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工业级设计，加厚8层 PCB板材，16KV防静电能力，产品性能稳定</w:t>
            </w:r>
            <w:r>
              <w:rPr>
                <w:rFonts w:hint="eastAsia" w:eastAsia="仿宋" w:cs="Times New Roman"/>
                <w:i w:val="0"/>
                <w:iCs w:val="0"/>
                <w:color w:val="000000"/>
                <w:kern w:val="0"/>
                <w:sz w:val="21"/>
                <w:szCs w:val="21"/>
                <w:u w:val="none"/>
                <w:lang w:val="en-US" w:eastAsia="zh-CN" w:bidi="ar"/>
              </w:rPr>
              <w:t>。</w:t>
            </w:r>
          </w:p>
          <w:p w14:paraId="5BEA2043">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分辨率：【2*9横屏拼接：17280*2160@30HZ】【3*6横屏拼接：11520*3240@30HZ】速传3*6竖屏拼接：6480*5760@30HZ】【2*9竖屏拼接：9720*3840@30HZ】等向下兼容低分辨率</w:t>
            </w:r>
            <w:r>
              <w:rPr>
                <w:rFonts w:hint="eastAsia" w:eastAsia="仿宋" w:cs="Times New Roman"/>
                <w:i w:val="0"/>
                <w:iCs w:val="0"/>
                <w:color w:val="000000"/>
                <w:kern w:val="0"/>
                <w:sz w:val="21"/>
                <w:szCs w:val="21"/>
                <w:u w:val="none"/>
                <w:lang w:val="en-US" w:eastAsia="zh-CN" w:bidi="ar"/>
              </w:rPr>
              <w:t>。</w:t>
            </w:r>
          </w:p>
          <w:p w14:paraId="04E82778">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输入分辨率支持定制规格，横屏、竖屏分辨率都实现电脑自动识别推荐。输出单路支持1920x1080@60Hz 输出支持多种标准分</w:t>
            </w:r>
            <w:r>
              <w:rPr>
                <w:rFonts w:hint="eastAsia" w:eastAsia="仿宋" w:cs="Times New Roman"/>
                <w:i w:val="0"/>
                <w:iCs w:val="0"/>
                <w:color w:val="000000"/>
                <w:kern w:val="0"/>
                <w:sz w:val="21"/>
                <w:szCs w:val="21"/>
                <w:u w:val="none"/>
                <w:lang w:val="en-US" w:eastAsia="zh-CN" w:bidi="ar"/>
              </w:rPr>
              <w:t>。</w:t>
            </w:r>
          </w:p>
          <w:p w14:paraId="1CD2142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eastAsia" w:eastAsia="仿宋" w:cs="Times New Roman"/>
                <w:i w:val="0"/>
                <w:iCs w:val="0"/>
                <w:color w:val="000000"/>
                <w:kern w:val="0"/>
                <w:sz w:val="21"/>
                <w:szCs w:val="21"/>
                <w:u w:val="none"/>
                <w:lang w:val="en-US" w:eastAsia="zh-CN" w:bidi="ar"/>
              </w:rPr>
              <w:t>8.</w:t>
            </w:r>
            <w:r>
              <w:rPr>
                <w:rFonts w:hint="default" w:ascii="Times New Roman" w:hAnsi="Times New Roman" w:eastAsia="仿宋" w:cs="Times New Roman"/>
                <w:i w:val="0"/>
                <w:iCs w:val="0"/>
                <w:color w:val="000000"/>
                <w:kern w:val="0"/>
                <w:sz w:val="21"/>
                <w:szCs w:val="21"/>
                <w:u w:val="none"/>
                <w:lang w:val="en-US" w:eastAsia="zh-CN" w:bidi="ar"/>
              </w:rPr>
              <w:t>不拉伸，不变形，无需对输入源进行压缩处理，画面清晰。9.安装简单，调试方便，即插即用。</w:t>
            </w:r>
          </w:p>
        </w:tc>
      </w:tr>
      <w:tr w14:paraId="28C2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2193C92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w:t>
            </w:r>
          </w:p>
        </w:tc>
        <w:tc>
          <w:tcPr>
            <w:tcW w:w="850" w:type="pct"/>
            <w:noWrap w:val="0"/>
            <w:vAlign w:val="center"/>
          </w:tcPr>
          <w:p w14:paraId="064F92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电脑自动全锁边包缝机</w:t>
            </w:r>
          </w:p>
        </w:tc>
        <w:tc>
          <w:tcPr>
            <w:tcW w:w="378" w:type="pct"/>
            <w:noWrap w:val="0"/>
            <w:vAlign w:val="center"/>
          </w:tcPr>
          <w:p w14:paraId="0ACA3C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431299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1C503F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F7-5D/034，F7-5D+台板/3C</w:t>
            </w:r>
            <w:r>
              <w:rPr>
                <w:rFonts w:hint="eastAsia" w:eastAsia="仿宋" w:cs="Times New Roman"/>
                <w:i w:val="0"/>
                <w:iCs w:val="0"/>
                <w:color w:val="000000"/>
                <w:kern w:val="0"/>
                <w:sz w:val="21"/>
                <w:szCs w:val="21"/>
                <w:u w:val="none"/>
                <w:lang w:val="en-US" w:eastAsia="zh-CN" w:bidi="ar"/>
              </w:rPr>
              <w:t>，缝边密度达250以上</w:t>
            </w:r>
          </w:p>
        </w:tc>
      </w:tr>
      <w:tr w14:paraId="3604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2B0CDF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3</w:t>
            </w:r>
          </w:p>
        </w:tc>
        <w:tc>
          <w:tcPr>
            <w:tcW w:w="850" w:type="pct"/>
            <w:noWrap w:val="0"/>
            <w:vAlign w:val="center"/>
          </w:tcPr>
          <w:p w14:paraId="477D1B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雕刻机配套电脑</w:t>
            </w:r>
          </w:p>
        </w:tc>
        <w:tc>
          <w:tcPr>
            <w:tcW w:w="378" w:type="pct"/>
            <w:noWrap w:val="0"/>
            <w:vAlign w:val="center"/>
          </w:tcPr>
          <w:p w14:paraId="3E1D1B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456" w:type="pct"/>
            <w:noWrap w:val="0"/>
            <w:vAlign w:val="center"/>
          </w:tcPr>
          <w:p w14:paraId="607A9B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5D38F8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I5-12600H32内存，512G固态，3050-6G独显，百应系列</w:t>
            </w:r>
          </w:p>
        </w:tc>
      </w:tr>
      <w:tr w14:paraId="741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6024603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4</w:t>
            </w:r>
          </w:p>
        </w:tc>
        <w:tc>
          <w:tcPr>
            <w:tcW w:w="850" w:type="pct"/>
            <w:noWrap w:val="0"/>
            <w:vAlign w:val="center"/>
          </w:tcPr>
          <w:p w14:paraId="0F685C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定制丝绸面料专用打印机</w:t>
            </w:r>
          </w:p>
        </w:tc>
        <w:tc>
          <w:tcPr>
            <w:tcW w:w="378" w:type="pct"/>
            <w:noWrap w:val="0"/>
            <w:vAlign w:val="center"/>
          </w:tcPr>
          <w:p w14:paraId="71DDA0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4761C0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6445B3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最高输出1440</w:t>
            </w:r>
            <w:r>
              <w:rPr>
                <w:rFonts w:hint="eastAsia" w:eastAsia="仿宋" w:cs="Times New Roman"/>
                <w:i w:val="0"/>
                <w:iCs w:val="0"/>
                <w:color w:val="000000"/>
                <w:kern w:val="0"/>
                <w:sz w:val="21"/>
                <w:szCs w:val="21"/>
                <w:u w:val="none"/>
                <w:lang w:val="en-US" w:eastAsia="zh-CN" w:bidi="ar"/>
              </w:rPr>
              <w:t>-1740</w:t>
            </w:r>
            <w:r>
              <w:rPr>
                <w:rFonts w:hint="default" w:ascii="Times New Roman" w:hAnsi="Times New Roman" w:eastAsia="仿宋" w:cs="Times New Roman"/>
                <w:i w:val="0"/>
                <w:iCs w:val="0"/>
                <w:color w:val="000000"/>
                <w:kern w:val="0"/>
                <w:sz w:val="21"/>
                <w:szCs w:val="21"/>
                <w:u w:val="none"/>
                <w:lang w:val="en-US" w:eastAsia="zh-CN" w:bidi="ar"/>
              </w:rPr>
              <w:t>dpi高清晰画面；支持4色、6色或8色； 最大打印宽幅达到</w:t>
            </w:r>
            <w:r>
              <w:rPr>
                <w:rFonts w:hint="eastAsia" w:eastAsia="仿宋" w:cs="Times New Roman"/>
                <w:i w:val="0"/>
                <w:iCs w:val="0"/>
                <w:color w:val="000000"/>
                <w:kern w:val="0"/>
                <w:sz w:val="21"/>
                <w:szCs w:val="21"/>
                <w:u w:val="none"/>
                <w:lang w:val="en-US" w:eastAsia="zh-CN" w:bidi="ar"/>
              </w:rPr>
              <w:t>2000</w:t>
            </w:r>
            <w:r>
              <w:rPr>
                <w:rFonts w:hint="default" w:ascii="Times New Roman" w:hAnsi="Times New Roman" w:eastAsia="仿宋" w:cs="Times New Roman"/>
                <w:i w:val="0"/>
                <w:iCs w:val="0"/>
                <w:color w:val="000000"/>
                <w:kern w:val="0"/>
                <w:sz w:val="21"/>
                <w:szCs w:val="21"/>
                <w:u w:val="none"/>
                <w:lang w:val="en-US" w:eastAsia="zh-CN" w:bidi="ar"/>
              </w:rPr>
              <w:t>mm；自动吸墨墨栈保护系统；手动调节小车高度；适合梭织或针织类有张力及无张力面料打印；多文档打印和预览；嵌入式分光光度计（I1技术）黑迈光学介质进纸传感器；高质量的曲线处理能力并且控制语言简单；4支Epson DX5喷头；自动导带清洗、烘干系统；自动收放布张紧系统；红外加热烘干系统；记录打印耗材的使用情况及成本分析、多文档打印和预览作业管理、打印信息安全性加密保护；打印精度与速度：20*1460dpi26m2/h</w:t>
            </w:r>
            <w:r>
              <w:rPr>
                <w:rFonts w:hint="eastAsia" w:eastAsia="仿宋" w:cs="Times New Roman"/>
                <w:i w:val="0"/>
                <w:iCs w:val="0"/>
                <w:color w:val="000000"/>
                <w:kern w:val="0"/>
                <w:sz w:val="21"/>
                <w:szCs w:val="21"/>
                <w:u w:val="none"/>
                <w:lang w:val="en-US" w:eastAsia="zh-CN" w:bidi="ar"/>
              </w:rPr>
              <w:t>，</w:t>
            </w:r>
            <w:r>
              <w:rPr>
                <w:rFonts w:hint="default" w:ascii="Times New Roman" w:hAnsi="Times New Roman" w:eastAsia="仿宋" w:cs="Times New Roman"/>
                <w:i w:val="0"/>
                <w:iCs w:val="0"/>
                <w:color w:val="000000"/>
                <w:kern w:val="0"/>
                <w:sz w:val="21"/>
                <w:szCs w:val="21"/>
                <w:u w:val="none"/>
                <w:lang w:val="en-US" w:eastAsia="zh-CN" w:bidi="ar"/>
              </w:rPr>
              <w:t>360*1460dpi50m2/h</w:t>
            </w:r>
            <w:r>
              <w:rPr>
                <w:rFonts w:hint="eastAsia" w:eastAsia="仿宋" w:cs="Times New Roman"/>
                <w:i w:val="0"/>
                <w:iCs w:val="0"/>
                <w:color w:val="000000"/>
                <w:kern w:val="0"/>
                <w:sz w:val="21"/>
                <w:szCs w:val="21"/>
                <w:u w:val="none"/>
                <w:lang w:val="en-US" w:eastAsia="zh-CN" w:bidi="ar"/>
              </w:rPr>
              <w:t>，</w:t>
            </w:r>
            <w:r>
              <w:rPr>
                <w:rFonts w:hint="default" w:ascii="Times New Roman" w:hAnsi="Times New Roman" w:eastAsia="仿宋" w:cs="Times New Roman"/>
                <w:i w:val="0"/>
                <w:iCs w:val="0"/>
                <w:color w:val="000000"/>
                <w:kern w:val="0"/>
                <w:sz w:val="21"/>
                <w:szCs w:val="21"/>
                <w:u w:val="none"/>
                <w:lang w:val="en-US" w:eastAsia="zh-CN" w:bidi="ar"/>
              </w:rPr>
              <w:t>360*720dpi80m2/h；功率：5.5</w:t>
            </w:r>
            <w:r>
              <w:rPr>
                <w:rFonts w:hint="eastAsia" w:eastAsia="仿宋" w:cs="Times New Roman"/>
                <w:i w:val="0"/>
                <w:iCs w:val="0"/>
                <w:color w:val="000000"/>
                <w:kern w:val="0"/>
                <w:sz w:val="21"/>
                <w:szCs w:val="21"/>
                <w:u w:val="none"/>
                <w:lang w:val="en-US" w:eastAsia="zh-CN" w:bidi="ar"/>
              </w:rPr>
              <w:t>kW</w:t>
            </w:r>
            <w:r>
              <w:rPr>
                <w:rFonts w:hint="default" w:ascii="Times New Roman" w:hAnsi="Times New Roman" w:eastAsia="仿宋" w:cs="Times New Roman"/>
                <w:i w:val="0"/>
                <w:iCs w:val="0"/>
                <w:color w:val="000000"/>
                <w:kern w:val="0"/>
                <w:sz w:val="21"/>
                <w:szCs w:val="21"/>
                <w:u w:val="none"/>
                <w:lang w:val="en-US" w:eastAsia="zh-CN" w:bidi="ar"/>
              </w:rPr>
              <w:t>以下；设备尺寸：3000mm*1820mm*1900mm；设备重量不超过1000KG</w:t>
            </w:r>
          </w:p>
        </w:tc>
      </w:tr>
      <w:tr w14:paraId="383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7FDA55D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5</w:t>
            </w:r>
          </w:p>
        </w:tc>
        <w:tc>
          <w:tcPr>
            <w:tcW w:w="850" w:type="pct"/>
            <w:noWrap w:val="0"/>
            <w:vAlign w:val="center"/>
          </w:tcPr>
          <w:p w14:paraId="00BEC0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黑白绣样打印机</w:t>
            </w:r>
          </w:p>
        </w:tc>
        <w:tc>
          <w:tcPr>
            <w:tcW w:w="378" w:type="pct"/>
            <w:noWrap w:val="0"/>
            <w:vAlign w:val="center"/>
          </w:tcPr>
          <w:p w14:paraId="4C10EE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10D4B7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161437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u盘直连，支持jpeg,pdf,tiff等多种格式</w:t>
            </w:r>
            <w:r>
              <w:rPr>
                <w:rFonts w:hint="eastAsia" w:eastAsia="仿宋" w:cs="Times New Roman"/>
                <w:i w:val="0"/>
                <w:iCs w:val="0"/>
                <w:color w:val="000000"/>
                <w:kern w:val="0"/>
                <w:sz w:val="21"/>
                <w:szCs w:val="21"/>
                <w:u w:val="none"/>
                <w:lang w:val="en-US" w:eastAsia="zh-CN" w:bidi="ar"/>
              </w:rPr>
              <w:t>，特种打印机</w:t>
            </w:r>
          </w:p>
        </w:tc>
      </w:tr>
      <w:tr w14:paraId="6E7E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2961C85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6</w:t>
            </w:r>
          </w:p>
        </w:tc>
        <w:tc>
          <w:tcPr>
            <w:tcW w:w="850" w:type="pct"/>
            <w:noWrap w:val="0"/>
            <w:vAlign w:val="center"/>
          </w:tcPr>
          <w:p w14:paraId="7CC03C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彩色绣样打印机</w:t>
            </w:r>
          </w:p>
        </w:tc>
        <w:tc>
          <w:tcPr>
            <w:tcW w:w="378" w:type="pct"/>
            <w:noWrap w:val="0"/>
            <w:vAlign w:val="center"/>
          </w:tcPr>
          <w:p w14:paraId="2DCBDA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0BC2E2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4B3331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u盘直连，支持jpeg,pdf,tiff等多种格式</w:t>
            </w:r>
            <w:r>
              <w:rPr>
                <w:rFonts w:hint="eastAsia" w:eastAsia="仿宋" w:cs="Times New Roman"/>
                <w:i w:val="0"/>
                <w:iCs w:val="0"/>
                <w:color w:val="000000"/>
                <w:kern w:val="0"/>
                <w:sz w:val="21"/>
                <w:szCs w:val="21"/>
                <w:u w:val="none"/>
                <w:lang w:val="en-US" w:eastAsia="zh-CN" w:bidi="ar"/>
              </w:rPr>
              <w:t>，特种打印机</w:t>
            </w:r>
          </w:p>
        </w:tc>
      </w:tr>
      <w:tr w14:paraId="037B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3843168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7</w:t>
            </w:r>
          </w:p>
        </w:tc>
        <w:tc>
          <w:tcPr>
            <w:tcW w:w="850" w:type="pct"/>
            <w:noWrap w:val="0"/>
            <w:vAlign w:val="center"/>
          </w:tcPr>
          <w:p w14:paraId="1863FE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定制刺绣专用多功能微电脑控制液晶热转能打印机</w:t>
            </w:r>
          </w:p>
        </w:tc>
        <w:tc>
          <w:tcPr>
            <w:tcW w:w="378" w:type="pct"/>
            <w:noWrap w:val="0"/>
            <w:vAlign w:val="center"/>
          </w:tcPr>
          <w:p w14:paraId="3B9976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6C4DCA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2941" w:type="pct"/>
            <w:noWrap w:val="0"/>
            <w:vAlign w:val="center"/>
          </w:tcPr>
          <w:p w14:paraId="1DE7DD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耐高温达到350℃不变形，摇头烫画机，温度范围0-299℃，产品功率1800W，产品电压220V，时间范围0-999Sec，转印机操作简便批量制作5900，印照片印卫衣印T恤衫印抱枕印相框，印挂幅件，顶部7寸高清触屏服务器，转印机小米随身</w:t>
            </w:r>
            <w:r>
              <w:rPr>
                <w:rFonts w:hint="eastAsia" w:eastAsia="仿宋" w:cs="Times New Roman"/>
                <w:i w:val="0"/>
                <w:iCs w:val="0"/>
                <w:color w:val="000000"/>
                <w:kern w:val="0"/>
                <w:sz w:val="21"/>
                <w:szCs w:val="21"/>
                <w:u w:val="none"/>
                <w:lang w:val="en-US" w:eastAsia="zh-CN" w:bidi="ar"/>
              </w:rPr>
              <w:t>Wi-Fi，信息可变。</w:t>
            </w:r>
          </w:p>
        </w:tc>
      </w:tr>
      <w:tr w14:paraId="6DCE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533E95B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8</w:t>
            </w:r>
          </w:p>
        </w:tc>
        <w:tc>
          <w:tcPr>
            <w:tcW w:w="850" w:type="pct"/>
            <w:noWrap w:val="0"/>
            <w:vAlign w:val="center"/>
          </w:tcPr>
          <w:p w14:paraId="6F6FDC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定制刺绣面料专用雕刻机</w:t>
            </w:r>
          </w:p>
        </w:tc>
        <w:tc>
          <w:tcPr>
            <w:tcW w:w="378" w:type="pct"/>
            <w:noWrap w:val="0"/>
            <w:vAlign w:val="center"/>
          </w:tcPr>
          <w:p w14:paraId="152CFF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5F450C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2941" w:type="pct"/>
            <w:noWrap w:val="0"/>
            <w:vAlign w:val="center"/>
          </w:tcPr>
          <w:p w14:paraId="7D383DE8">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原装进口细分步进电机及驱动系统；</w:t>
            </w:r>
            <w:r>
              <w:rPr>
                <w:rFonts w:hint="eastAsia" w:ascii="Times New Roman" w:hAnsi="Times New Roman" w:eastAsia="仿宋" w:cs="Times New Roman"/>
                <w:i w:val="0"/>
                <w:iCs w:val="0"/>
                <w:color w:val="000000"/>
                <w:kern w:val="0"/>
                <w:sz w:val="21"/>
                <w:szCs w:val="21"/>
                <w:u w:val="none"/>
                <w:lang w:val="en-US" w:eastAsia="zh-CN" w:bidi="ar"/>
              </w:rPr>
              <w:t xml:space="preserve"> </w:t>
            </w:r>
          </w:p>
          <w:p w14:paraId="7C513BE6">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钰欣2023版本控制器，雕刻速度；</w:t>
            </w:r>
          </w:p>
          <w:p w14:paraId="5E9A322E">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进口六均衡运动导轨，一体化内轨结构设0~64 YX-1920型（特殊定制），切割面积：双轨全景自动送；</w:t>
            </w:r>
          </w:p>
          <w:p w14:paraId="1731DA44">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高清相机模组1900×2000 ，切割速度：料激光切割机；</w:t>
            </w:r>
          </w:p>
          <w:p w14:paraId="3E9558D4">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国产品牌代周激光管0~36 ；</w:t>
            </w:r>
          </w:p>
          <w:p w14:paraId="0C5F299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6.光路系统采用全套进口激光镜片。</w:t>
            </w:r>
          </w:p>
        </w:tc>
      </w:tr>
      <w:tr w14:paraId="2BF9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545A5F9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9</w:t>
            </w:r>
          </w:p>
        </w:tc>
        <w:tc>
          <w:tcPr>
            <w:tcW w:w="850" w:type="pct"/>
            <w:noWrap w:val="0"/>
            <w:vAlign w:val="center"/>
          </w:tcPr>
          <w:p w14:paraId="1EA32B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定制绣片电脑专用裁床</w:t>
            </w:r>
          </w:p>
        </w:tc>
        <w:tc>
          <w:tcPr>
            <w:tcW w:w="378" w:type="pct"/>
            <w:noWrap w:val="0"/>
            <w:vAlign w:val="center"/>
          </w:tcPr>
          <w:p w14:paraId="058FE1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080EB2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2941" w:type="pct"/>
            <w:noWrap w:val="0"/>
            <w:vAlign w:val="center"/>
          </w:tcPr>
          <w:p w14:paraId="14C133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定制裁剪高度1-</w:t>
            </w:r>
            <w:r>
              <w:rPr>
                <w:rFonts w:hint="eastAsia" w:eastAsia="仿宋" w:cs="Times New Roman"/>
                <w:i w:val="0"/>
                <w:iCs w:val="0"/>
                <w:color w:val="000000"/>
                <w:kern w:val="0"/>
                <w:sz w:val="21"/>
                <w:szCs w:val="21"/>
                <w:u w:val="none"/>
                <w:lang w:val="en-US" w:eastAsia="zh-CN" w:bidi="ar"/>
              </w:rPr>
              <w:t>20</w:t>
            </w:r>
            <w:r>
              <w:rPr>
                <w:rFonts w:hint="default" w:ascii="Times New Roman" w:hAnsi="Times New Roman" w:eastAsia="仿宋" w:cs="Times New Roman"/>
                <w:i w:val="0"/>
                <w:iCs w:val="0"/>
                <w:color w:val="000000"/>
                <w:kern w:val="0"/>
                <w:sz w:val="21"/>
                <w:szCs w:val="21"/>
                <w:u w:val="none"/>
                <w:lang w:val="en-US" w:eastAsia="zh-CN" w:bidi="ar"/>
              </w:rPr>
              <w:t>cm（吸附后），有效裁剪宽度2500mm，有效裁剪长度3000mm，运刀方式往复式运，双轮对旋研磨（自动磨刀吸附方式，变频真空恒压控制方式，安全装置，自动感应，裁剪速度自动调整，标准装配功能，感应式安全保护装置，刀冷却系统，支持排料图整体旋转、刀口转换、单片重裁、一键删除重叠，区域支持去除重复线 残留裁断</w:t>
            </w:r>
            <w:r>
              <w:rPr>
                <w:rFonts w:hint="eastAsia" w:eastAsia="仿宋" w:cs="Times New Roman"/>
                <w:i w:val="0"/>
                <w:iCs w:val="0"/>
                <w:color w:val="000000"/>
                <w:kern w:val="0"/>
                <w:sz w:val="21"/>
                <w:szCs w:val="21"/>
                <w:u w:val="none"/>
                <w:lang w:val="en-US" w:eastAsia="zh-CN" w:bidi="ar"/>
              </w:rPr>
              <w:t>；特种裁剪。</w:t>
            </w:r>
          </w:p>
        </w:tc>
      </w:tr>
      <w:tr w14:paraId="62C2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79E14C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10</w:t>
            </w:r>
          </w:p>
        </w:tc>
        <w:tc>
          <w:tcPr>
            <w:tcW w:w="850" w:type="pct"/>
            <w:noWrap w:val="0"/>
            <w:vAlign w:val="center"/>
          </w:tcPr>
          <w:p w14:paraId="7533FD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定制荷包专用充棉机</w:t>
            </w:r>
          </w:p>
        </w:tc>
        <w:tc>
          <w:tcPr>
            <w:tcW w:w="378" w:type="pct"/>
            <w:noWrap w:val="0"/>
            <w:vAlign w:val="center"/>
          </w:tcPr>
          <w:p w14:paraId="03215B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56" w:type="pct"/>
            <w:noWrap w:val="0"/>
            <w:vAlign w:val="center"/>
          </w:tcPr>
          <w:p w14:paraId="194D46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台</w:t>
            </w:r>
          </w:p>
        </w:tc>
        <w:tc>
          <w:tcPr>
            <w:tcW w:w="2941" w:type="pct"/>
            <w:noWrap w:val="0"/>
            <w:vAlign w:val="center"/>
          </w:tcPr>
          <w:p w14:paraId="01B010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自动一体机，气泵气管，漏斗式进绒口，升级电气，配合空压机使用，纱网出绒口，开关智能显示器，定量充绒机，羽绒制品。</w:t>
            </w:r>
          </w:p>
        </w:tc>
      </w:tr>
      <w:tr w14:paraId="2481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noWrap w:val="0"/>
            <w:vAlign w:val="center"/>
          </w:tcPr>
          <w:p w14:paraId="35C0D94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sz w:val="21"/>
                <w:szCs w:val="21"/>
                <w:vertAlign w:val="baseline"/>
                <w:lang w:val="en-US" w:eastAsia="zh-CN"/>
              </w:rPr>
            </w:pPr>
            <w:r>
              <w:rPr>
                <w:rFonts w:hint="eastAsia" w:eastAsia="仿宋" w:cs="Times New Roman"/>
                <w:sz w:val="21"/>
                <w:szCs w:val="21"/>
                <w:vertAlign w:val="baseline"/>
                <w:lang w:val="en-US" w:eastAsia="zh-CN"/>
              </w:rPr>
              <w:t>11</w:t>
            </w:r>
          </w:p>
        </w:tc>
        <w:tc>
          <w:tcPr>
            <w:tcW w:w="850" w:type="pct"/>
            <w:noWrap w:val="0"/>
            <w:vAlign w:val="center"/>
          </w:tcPr>
          <w:p w14:paraId="08193E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eastAsia="仿宋" w:cs="Times New Roman"/>
                <w:i w:val="0"/>
                <w:iCs w:val="0"/>
                <w:color w:val="000000"/>
                <w:kern w:val="0"/>
                <w:sz w:val="21"/>
                <w:szCs w:val="21"/>
                <w:u w:val="none"/>
                <w:lang w:val="en-US" w:eastAsia="zh-CN" w:bidi="ar"/>
              </w:rPr>
              <w:t>绣架绣凳</w:t>
            </w:r>
          </w:p>
        </w:tc>
        <w:tc>
          <w:tcPr>
            <w:tcW w:w="378" w:type="pct"/>
            <w:noWrap w:val="0"/>
            <w:vAlign w:val="center"/>
          </w:tcPr>
          <w:p w14:paraId="0436EB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eastAsia="仿宋" w:cs="Times New Roman"/>
                <w:i w:val="0"/>
                <w:iCs w:val="0"/>
                <w:color w:val="000000"/>
                <w:kern w:val="0"/>
                <w:sz w:val="21"/>
                <w:szCs w:val="21"/>
                <w:u w:val="none"/>
                <w:lang w:val="en-US" w:eastAsia="zh-CN" w:bidi="ar"/>
              </w:rPr>
              <w:t>1</w:t>
            </w:r>
          </w:p>
        </w:tc>
        <w:tc>
          <w:tcPr>
            <w:tcW w:w="456" w:type="pct"/>
            <w:noWrap w:val="0"/>
            <w:vAlign w:val="center"/>
          </w:tcPr>
          <w:p w14:paraId="25C21F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eastAsia="仿宋" w:cs="Times New Roman"/>
                <w:i w:val="0"/>
                <w:iCs w:val="0"/>
                <w:color w:val="000000"/>
                <w:kern w:val="0"/>
                <w:sz w:val="21"/>
                <w:szCs w:val="21"/>
                <w:u w:val="none"/>
                <w:lang w:val="en-US" w:eastAsia="zh-CN" w:bidi="ar"/>
              </w:rPr>
              <w:t>批</w:t>
            </w:r>
          </w:p>
        </w:tc>
        <w:tc>
          <w:tcPr>
            <w:tcW w:w="2941" w:type="pct"/>
            <w:noWrap w:val="0"/>
            <w:vAlign w:val="center"/>
          </w:tcPr>
          <w:p w14:paraId="028476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eastAsia="仿宋" w:cs="Times New Roman"/>
                <w:i w:val="0"/>
                <w:iCs w:val="0"/>
                <w:color w:val="000000"/>
                <w:kern w:val="0"/>
                <w:sz w:val="21"/>
                <w:szCs w:val="21"/>
                <w:u w:val="none"/>
                <w:lang w:val="en-US" w:eastAsia="zh-CN" w:bidi="ar"/>
              </w:rPr>
              <w:t>木质，300套</w:t>
            </w:r>
          </w:p>
        </w:tc>
      </w:tr>
      <w:tr w14:paraId="360B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3" w:type="pct"/>
            <w:gridSpan w:val="2"/>
            <w:noWrap w:val="0"/>
            <w:vAlign w:val="center"/>
          </w:tcPr>
          <w:p w14:paraId="3D2B986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bCs/>
                <w:kern w:val="2"/>
                <w:sz w:val="21"/>
                <w:szCs w:val="21"/>
                <w:vertAlign w:val="baseline"/>
                <w:lang w:val="en-US" w:eastAsia="zh-CN" w:bidi="ar-SA"/>
              </w:rPr>
            </w:pPr>
            <w:r>
              <w:rPr>
                <w:rFonts w:hint="default" w:ascii="Times New Roman" w:hAnsi="Times New Roman" w:eastAsia="仿宋" w:cs="Times New Roman"/>
                <w:b/>
                <w:bCs/>
                <w:kern w:val="2"/>
                <w:sz w:val="21"/>
                <w:szCs w:val="21"/>
                <w:vertAlign w:val="baseline"/>
                <w:lang w:val="en-US" w:eastAsia="zh-CN" w:bidi="ar-SA"/>
              </w:rPr>
              <w:t>合计</w:t>
            </w:r>
          </w:p>
        </w:tc>
        <w:tc>
          <w:tcPr>
            <w:tcW w:w="378" w:type="pct"/>
            <w:noWrap w:val="0"/>
            <w:vAlign w:val="center"/>
          </w:tcPr>
          <w:p w14:paraId="7737665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bCs/>
                <w:kern w:val="2"/>
                <w:sz w:val="21"/>
                <w:szCs w:val="21"/>
                <w:vertAlign w:val="baseline"/>
                <w:lang w:val="en-US" w:eastAsia="zh-CN" w:bidi="ar-SA"/>
              </w:rPr>
            </w:pPr>
            <w:r>
              <w:rPr>
                <w:rFonts w:hint="eastAsia" w:eastAsia="仿宋" w:cs="Times New Roman"/>
                <w:b/>
                <w:bCs/>
                <w:kern w:val="2"/>
                <w:sz w:val="21"/>
                <w:szCs w:val="21"/>
                <w:vertAlign w:val="baseline"/>
                <w:lang w:val="en-US" w:eastAsia="zh-CN" w:bidi="ar-SA"/>
              </w:rPr>
              <w:t>14</w:t>
            </w:r>
          </w:p>
        </w:tc>
        <w:tc>
          <w:tcPr>
            <w:tcW w:w="456" w:type="pct"/>
            <w:noWrap w:val="0"/>
            <w:vAlign w:val="center"/>
          </w:tcPr>
          <w:p w14:paraId="0F4B34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sz w:val="21"/>
                <w:szCs w:val="21"/>
                <w:vertAlign w:val="baseline"/>
                <w:lang w:val="en-US" w:eastAsia="zh-CN"/>
              </w:rPr>
            </w:pPr>
          </w:p>
        </w:tc>
        <w:tc>
          <w:tcPr>
            <w:tcW w:w="2941" w:type="pct"/>
            <w:noWrap w:val="0"/>
            <w:vAlign w:val="center"/>
          </w:tcPr>
          <w:p w14:paraId="36EBA32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bCs/>
                <w:sz w:val="21"/>
                <w:szCs w:val="21"/>
                <w:vertAlign w:val="baseline"/>
                <w:lang w:val="en-US" w:eastAsia="zh-CN"/>
              </w:rPr>
            </w:pPr>
            <w:r>
              <w:rPr>
                <w:rFonts w:hint="eastAsia" w:eastAsia="仿宋" w:cs="Times New Roman"/>
                <w:b/>
                <w:bCs/>
                <w:sz w:val="21"/>
                <w:szCs w:val="21"/>
                <w:vertAlign w:val="baseline"/>
                <w:lang w:val="en-US" w:eastAsia="zh-CN"/>
              </w:rPr>
              <w:t>台/批/套</w:t>
            </w:r>
            <w:bookmarkStart w:id="251" w:name="_GoBack"/>
            <w:bookmarkEnd w:id="251"/>
          </w:p>
        </w:tc>
      </w:tr>
    </w:tbl>
    <w:p w14:paraId="5B5248E0">
      <w:pPr>
        <w:pStyle w:val="13"/>
        <w:rPr>
          <w:rFonts w:hint="default" w:ascii="宋体" w:hAnsi="宋体" w:eastAsia="宋体" w:cs="Times New Roman"/>
          <w:kern w:val="0"/>
          <w:sz w:val="24"/>
          <w:szCs w:val="22"/>
          <w:lang w:val="en-US" w:eastAsia="zh-CN" w:bidi="ar-SA"/>
        </w:rPr>
      </w:pPr>
    </w:p>
    <w:sectPr>
      <w:footerReference r:id="rId7" w:type="first"/>
      <w:footerReference r:id="rId6" w:type="default"/>
      <w:pgSz w:w="11906" w:h="16838"/>
      <w:pgMar w:top="1440" w:right="1077" w:bottom="1440" w:left="107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B43B">
    <w:pPr>
      <w:pStyle w:val="21"/>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64</w:t>
    </w:r>
    <w:r>
      <w:rPr>
        <w:rFonts w:ascii="宋体" w:hAnsi="宋体"/>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1"/>
      <w:rPr>
        <w:rFonts w:ascii="宋体" w:hAnsi="宋体"/>
        <w:b/>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2"/>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2"/>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ADAE4"/>
    <w:multiLevelType w:val="singleLevel"/>
    <w:tmpl w:val="C46ADAE4"/>
    <w:lvl w:ilvl="0" w:tentative="0">
      <w:start w:val="1"/>
      <w:numFmt w:val="decimal"/>
      <w:lvlText w:val="%1."/>
      <w:lvlJc w:val="left"/>
      <w:pPr>
        <w:tabs>
          <w:tab w:val="left" w:pos="312"/>
        </w:tabs>
      </w:pPr>
    </w:lvl>
  </w:abstractNum>
  <w:abstractNum w:abstractNumId="1">
    <w:nsid w:val="C57F7C3C"/>
    <w:multiLevelType w:val="singleLevel"/>
    <w:tmpl w:val="C57F7C3C"/>
    <w:lvl w:ilvl="0" w:tentative="0">
      <w:start w:val="1"/>
      <w:numFmt w:val="chineseCounting"/>
      <w:suff w:val="nothing"/>
      <w:lvlText w:val="（%1）"/>
      <w:lvlJc w:val="left"/>
      <w:rPr>
        <w:rFonts w:hint="eastAsia"/>
      </w:rPr>
    </w:lvl>
  </w:abstractNum>
  <w:abstractNum w:abstractNumId="2">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3">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20745BA9"/>
    <w:multiLevelType w:val="singleLevel"/>
    <w:tmpl w:val="20745BA9"/>
    <w:lvl w:ilvl="0" w:tentative="0">
      <w:start w:val="1"/>
      <w:numFmt w:val="decimal"/>
      <w:lvlText w:val="%1."/>
      <w:lvlJc w:val="left"/>
      <w:pPr>
        <w:tabs>
          <w:tab w:val="left" w:pos="312"/>
        </w:tabs>
      </w:pPr>
    </w:lvl>
  </w:abstractNum>
  <w:abstractNum w:abstractNumId="9">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2"/>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2">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4">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1">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79D0C494"/>
    <w:multiLevelType w:val="singleLevel"/>
    <w:tmpl w:val="79D0C494"/>
    <w:lvl w:ilvl="0" w:tentative="0">
      <w:start w:val="2"/>
      <w:numFmt w:val="chineseCounting"/>
      <w:suff w:val="nothing"/>
      <w:lvlText w:val="%1、"/>
      <w:lvlJc w:val="left"/>
      <w:rPr>
        <w:rFonts w:hint="eastAsia"/>
      </w:rPr>
    </w:lvl>
  </w:abstractNum>
  <w:abstractNum w:abstractNumId="23">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0"/>
  </w:num>
  <w:num w:numId="2">
    <w:abstractNumId w:val="13"/>
  </w:num>
  <w:num w:numId="3">
    <w:abstractNumId w:val="3"/>
  </w:num>
  <w:num w:numId="4">
    <w:abstractNumId w:val="6"/>
  </w:num>
  <w:num w:numId="5">
    <w:abstractNumId w:val="21"/>
  </w:num>
  <w:num w:numId="6">
    <w:abstractNumId w:val="5"/>
  </w:num>
  <w:num w:numId="7">
    <w:abstractNumId w:val="18"/>
  </w:num>
  <w:num w:numId="8">
    <w:abstractNumId w:val="7"/>
  </w:num>
  <w:num w:numId="9">
    <w:abstractNumId w:val="16"/>
  </w:num>
  <w:num w:numId="10">
    <w:abstractNumId w:val="19"/>
  </w:num>
  <w:num w:numId="11">
    <w:abstractNumId w:val="17"/>
  </w:num>
  <w:num w:numId="12">
    <w:abstractNumId w:val="20"/>
  </w:num>
  <w:num w:numId="13">
    <w:abstractNumId w:val="12"/>
  </w:num>
  <w:num w:numId="14">
    <w:abstractNumId w:val="9"/>
  </w:num>
  <w:num w:numId="15">
    <w:abstractNumId w:val="2"/>
  </w:num>
  <w:num w:numId="16">
    <w:abstractNumId w:val="15"/>
  </w:num>
  <w:num w:numId="17">
    <w:abstractNumId w:val="11"/>
  </w:num>
  <w:num w:numId="18">
    <w:abstractNumId w:val="4"/>
  </w:num>
  <w:num w:numId="19">
    <w:abstractNumId w:val="14"/>
  </w:num>
  <w:num w:numId="20">
    <w:abstractNumId w:val="23"/>
  </w:num>
  <w:num w:numId="21">
    <w:abstractNumId w:val="22"/>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D63433"/>
    <w:rsid w:val="20F32178"/>
    <w:rsid w:val="20F43A76"/>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EB0EC7"/>
    <w:rsid w:val="283C5FD5"/>
    <w:rsid w:val="286333C7"/>
    <w:rsid w:val="287D36CF"/>
    <w:rsid w:val="288D6E96"/>
    <w:rsid w:val="28C57065"/>
    <w:rsid w:val="28CB21A2"/>
    <w:rsid w:val="28E13773"/>
    <w:rsid w:val="291C22BF"/>
    <w:rsid w:val="2987431B"/>
    <w:rsid w:val="29891E41"/>
    <w:rsid w:val="299E1CB4"/>
    <w:rsid w:val="29D831D3"/>
    <w:rsid w:val="2A225BAB"/>
    <w:rsid w:val="2A503E49"/>
    <w:rsid w:val="2AC04004"/>
    <w:rsid w:val="2AD215C5"/>
    <w:rsid w:val="2B177920"/>
    <w:rsid w:val="2C087541"/>
    <w:rsid w:val="2C374C20"/>
    <w:rsid w:val="2C610E53"/>
    <w:rsid w:val="2C6703F1"/>
    <w:rsid w:val="2C726454"/>
    <w:rsid w:val="2C7D1033"/>
    <w:rsid w:val="2D0B5263"/>
    <w:rsid w:val="2D705672"/>
    <w:rsid w:val="2D7A3C56"/>
    <w:rsid w:val="2DAE2509"/>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9317F7"/>
    <w:rsid w:val="30A809F3"/>
    <w:rsid w:val="31377344"/>
    <w:rsid w:val="31501DEB"/>
    <w:rsid w:val="315E0057"/>
    <w:rsid w:val="31811153"/>
    <w:rsid w:val="320504D2"/>
    <w:rsid w:val="320878FA"/>
    <w:rsid w:val="32123C90"/>
    <w:rsid w:val="32131E5F"/>
    <w:rsid w:val="322E3BC4"/>
    <w:rsid w:val="323A1719"/>
    <w:rsid w:val="3255145A"/>
    <w:rsid w:val="32654666"/>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83E4E"/>
    <w:rsid w:val="3931104F"/>
    <w:rsid w:val="39666B02"/>
    <w:rsid w:val="39AB3A35"/>
    <w:rsid w:val="3A1219DE"/>
    <w:rsid w:val="3A153C47"/>
    <w:rsid w:val="3A573895"/>
    <w:rsid w:val="3A680DD0"/>
    <w:rsid w:val="3A6C6DF6"/>
    <w:rsid w:val="3A7F4CDA"/>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F0F0AE4"/>
    <w:rsid w:val="3F823162"/>
    <w:rsid w:val="3FA31841"/>
    <w:rsid w:val="3FDD2A8F"/>
    <w:rsid w:val="40385959"/>
    <w:rsid w:val="40530676"/>
    <w:rsid w:val="407B1AFB"/>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497DF5"/>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727E44"/>
    <w:rsid w:val="5BC8419B"/>
    <w:rsid w:val="5BCC5A39"/>
    <w:rsid w:val="5BDF612D"/>
    <w:rsid w:val="5C4D3844"/>
    <w:rsid w:val="5C531C3C"/>
    <w:rsid w:val="5CD240E6"/>
    <w:rsid w:val="5D2613BD"/>
    <w:rsid w:val="5D2676FF"/>
    <w:rsid w:val="5D4019D1"/>
    <w:rsid w:val="5D5932FD"/>
    <w:rsid w:val="5DEB2C03"/>
    <w:rsid w:val="5DF07947"/>
    <w:rsid w:val="5E262101"/>
    <w:rsid w:val="5EA66A16"/>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B47905"/>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9B0F84"/>
    <w:rsid w:val="6BBB50D5"/>
    <w:rsid w:val="6C4B5D4D"/>
    <w:rsid w:val="6C4E249B"/>
    <w:rsid w:val="6CAC6281"/>
    <w:rsid w:val="6CFE17CB"/>
    <w:rsid w:val="6D6B018C"/>
    <w:rsid w:val="6D810075"/>
    <w:rsid w:val="6DB31B27"/>
    <w:rsid w:val="6DD8306F"/>
    <w:rsid w:val="6DFB3FB2"/>
    <w:rsid w:val="6E3B07FD"/>
    <w:rsid w:val="6E3B60EF"/>
    <w:rsid w:val="6E495A0D"/>
    <w:rsid w:val="6E970AB9"/>
    <w:rsid w:val="6EA152D5"/>
    <w:rsid w:val="6EA350FB"/>
    <w:rsid w:val="6ECE06F6"/>
    <w:rsid w:val="6F084B83"/>
    <w:rsid w:val="6F0E07F9"/>
    <w:rsid w:val="6F5A2F04"/>
    <w:rsid w:val="6F7C7252"/>
    <w:rsid w:val="6F802595"/>
    <w:rsid w:val="6F995618"/>
    <w:rsid w:val="6FA32AFD"/>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6DC549F"/>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2">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2"/>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link w:val="88"/>
    <w:autoRedefine/>
    <w:qFormat/>
    <w:uiPriority w:val="0"/>
    <w:pPr>
      <w:spacing w:after="120"/>
    </w:pPr>
    <w:rPr>
      <w:kern w:val="0"/>
      <w:sz w:val="20"/>
    </w:rPr>
  </w:style>
  <w:style w:type="paragraph" w:styleId="14">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autoRedefine/>
    <w:semiHidden/>
    <w:unhideWhenUsed/>
    <w:qFormat/>
    <w:uiPriority w:val="99"/>
    <w:pPr>
      <w:ind w:left="600" w:leftChars="600"/>
    </w:pPr>
  </w:style>
  <w:style w:type="paragraph" w:styleId="16">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next w:val="1"/>
    <w:link w:val="90"/>
    <w:autoRedefine/>
    <w:qFormat/>
    <w:uiPriority w:val="0"/>
    <w:rPr>
      <w:rFonts w:ascii="宋体" w:hAnsi="Courier New"/>
      <w:kern w:val="0"/>
      <w:sz w:val="20"/>
      <w:szCs w:val="20"/>
    </w:rPr>
  </w:style>
  <w:style w:type="paragraph" w:styleId="18">
    <w:name w:val="Date"/>
    <w:basedOn w:val="1"/>
    <w:next w:val="1"/>
    <w:link w:val="98"/>
    <w:autoRedefine/>
    <w:qFormat/>
    <w:uiPriority w:val="0"/>
    <w:pPr>
      <w:ind w:left="100" w:leftChars="2500"/>
    </w:pPr>
    <w:rPr>
      <w:kern w:val="0"/>
      <w:sz w:val="20"/>
    </w:rPr>
  </w:style>
  <w:style w:type="paragraph" w:styleId="19">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link w:val="75"/>
    <w:autoRedefine/>
    <w:qFormat/>
    <w:uiPriority w:val="0"/>
    <w:rPr>
      <w:kern w:val="0"/>
      <w:sz w:val="18"/>
      <w:szCs w:val="18"/>
    </w:rPr>
  </w:style>
  <w:style w:type="paragraph" w:styleId="21">
    <w:name w:val="footer"/>
    <w:basedOn w:val="1"/>
    <w:link w:val="74"/>
    <w:autoRedefine/>
    <w:qFormat/>
    <w:uiPriority w:val="99"/>
    <w:pPr>
      <w:tabs>
        <w:tab w:val="center" w:pos="4153"/>
        <w:tab w:val="right" w:pos="8306"/>
      </w:tabs>
      <w:snapToGrid w:val="0"/>
      <w:jc w:val="left"/>
    </w:pPr>
    <w:rPr>
      <w:kern w:val="0"/>
      <w:sz w:val="18"/>
      <w:szCs w:val="20"/>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uiPriority w:val="39"/>
    <w:pPr>
      <w:tabs>
        <w:tab w:val="right" w:leader="dot" w:pos="8296"/>
      </w:tabs>
      <w:jc w:val="left"/>
    </w:pPr>
  </w:style>
  <w:style w:type="paragraph" w:styleId="24">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6"/>
    <w:autoRedefine/>
    <w:qFormat/>
    <w:uiPriority w:val="0"/>
    <w:pPr>
      <w:spacing w:after="120"/>
      <w:ind w:left="420" w:leftChars="200"/>
    </w:pPr>
    <w:rPr>
      <w:kern w:val="0"/>
      <w:sz w:val="16"/>
      <w:szCs w:val="16"/>
    </w:rPr>
  </w:style>
  <w:style w:type="paragraph" w:styleId="26">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7">
    <w:name w:val="toc 9"/>
    <w:basedOn w:val="1"/>
    <w:next w:val="1"/>
    <w:autoRedefine/>
    <w:qFormat/>
    <w:uiPriority w:val="0"/>
    <w:pPr>
      <w:ind w:left="3360" w:leftChars="1600"/>
    </w:pPr>
  </w:style>
  <w:style w:type="paragraph" w:styleId="28">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73"/>
    <w:autoRedefine/>
    <w:qFormat/>
    <w:uiPriority w:val="99"/>
    <w:rPr>
      <w:b/>
      <w:bCs/>
    </w:rPr>
  </w:style>
  <w:style w:type="paragraph" w:styleId="32">
    <w:name w:val="Body Text First Indent"/>
    <w:basedOn w:val="13"/>
    <w:link w:val="87"/>
    <w:autoRedefine/>
    <w:qFormat/>
    <w:uiPriority w:val="0"/>
    <w:pPr>
      <w:ind w:firstLine="420" w:firstLineChars="100"/>
    </w:pPr>
  </w:style>
  <w:style w:type="paragraph" w:styleId="33">
    <w:name w:val="Body Text First Indent 2"/>
    <w:basedOn w:val="14"/>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3"/>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3"/>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1"/>
    <w:autoRedefine/>
    <w:qFormat/>
    <w:uiPriority w:val="99"/>
    <w:rPr>
      <w:rFonts w:ascii="Times New Roman" w:hAnsi="Times New Roman" w:eastAsia="宋体" w:cs="Times New Roman"/>
      <w:sz w:val="18"/>
      <w:szCs w:val="20"/>
    </w:rPr>
  </w:style>
  <w:style w:type="character" w:customStyle="1" w:styleId="75">
    <w:name w:val="批注框文本 Char"/>
    <w:link w:val="20"/>
    <w:autoRedefine/>
    <w:qFormat/>
    <w:uiPriority w:val="0"/>
    <w:rPr>
      <w:rFonts w:ascii="Times New Roman" w:hAnsi="Times New Roman" w:eastAsia="宋体" w:cs="Times New Roman"/>
      <w:sz w:val="18"/>
      <w:szCs w:val="18"/>
    </w:rPr>
  </w:style>
  <w:style w:type="character" w:customStyle="1" w:styleId="76">
    <w:name w:val="正文文本缩进 3 Char"/>
    <w:link w:val="25"/>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2"/>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4"/>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7"/>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2"/>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8"/>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8"/>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2"/>
    <w:next w:val="15"/>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62</Pages>
  <Words>23300</Words>
  <Characters>24401</Characters>
  <Lines>403</Lines>
  <Paragraphs>113</Paragraphs>
  <TotalTime>5</TotalTime>
  <ScaleCrop>false</ScaleCrop>
  <LinksUpToDate>false</LinksUpToDate>
  <CharactersWithSpaces>32420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2025-04-18T08:46:52Z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EBFC722E70564F1FB91BD5770C2F39F3_13</vt:lpwstr>
  </property>
  <property fmtid="{D5CDD505-2E9C-101B-9397-08002B2CF9AE}" pid="4" name="KSOTemplateDocerSaveRecord">
    <vt:lpwstr>eyJoZGlkIjoiOGRhZjRlNDdlYmYzMDZjNDdmZDk2MDhjYjg5NWExMzYiLCJ1c2VySWQiOiIxNjc5OTE3MTQyIn0=</vt:lpwstr>
  </property>
</Properties>
</file>