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8C7D18">
      <w:pPr>
        <w:pageBreakBefore w:val="0"/>
        <w:wordWrap/>
        <w:overflowPunct/>
        <w:topLinePunct w:val="0"/>
        <w:bidi w:val="0"/>
        <w:snapToGrid w:val="0"/>
        <w:spacing w:line="560" w:lineRule="exact"/>
        <w:ind w:left="0" w:leftChars="0" w:right="0" w:rightChars="0"/>
        <w:jc w:val="left"/>
        <w:rPr>
          <w:rFonts w:hint="eastAsia" w:ascii="宋体" w:hAnsi="宋体" w:eastAsia="宋体" w:cs="宋体"/>
          <w:color w:val="auto"/>
          <w:sz w:val="24"/>
          <w:szCs w:val="24"/>
          <w:highlight w:val="none"/>
        </w:rPr>
      </w:pPr>
    </w:p>
    <w:p w14:paraId="12EBFA29">
      <w:pPr>
        <w:pStyle w:val="40"/>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6949C330">
      <w:pPr>
        <w:rPr>
          <w:rFonts w:hint="eastAsia" w:ascii="宋体" w:hAnsi="宋体" w:eastAsia="宋体" w:cs="宋体"/>
          <w:color w:val="auto"/>
          <w:sz w:val="24"/>
          <w:szCs w:val="24"/>
          <w:highlight w:val="none"/>
        </w:rPr>
      </w:pPr>
    </w:p>
    <w:p w14:paraId="78566635">
      <w:pPr>
        <w:rPr>
          <w:rFonts w:hint="eastAsia" w:ascii="宋体" w:hAnsi="宋体" w:eastAsia="宋体" w:cs="宋体"/>
          <w:color w:val="auto"/>
          <w:sz w:val="24"/>
          <w:szCs w:val="24"/>
          <w:highlight w:val="none"/>
        </w:rPr>
      </w:pPr>
    </w:p>
    <w:p w14:paraId="7240B658">
      <w:pPr>
        <w:rPr>
          <w:rFonts w:hint="eastAsia" w:ascii="宋体" w:hAnsi="宋体" w:eastAsia="宋体" w:cs="宋体"/>
          <w:color w:val="auto"/>
          <w:sz w:val="24"/>
          <w:szCs w:val="24"/>
          <w:highlight w:val="none"/>
        </w:rPr>
      </w:pPr>
    </w:p>
    <w:p w14:paraId="7E2C74D0">
      <w:pPr>
        <w:rPr>
          <w:rFonts w:hint="eastAsia" w:ascii="宋体" w:hAnsi="宋体" w:eastAsia="宋体" w:cs="宋体"/>
          <w:color w:val="auto"/>
          <w:sz w:val="24"/>
          <w:szCs w:val="24"/>
          <w:highlight w:val="none"/>
        </w:rPr>
      </w:pPr>
    </w:p>
    <w:p w14:paraId="675D4F68">
      <w:pPr>
        <w:pageBreakBefore w:val="0"/>
        <w:wordWrap/>
        <w:overflowPunct/>
        <w:topLinePunct w:val="0"/>
        <w:bidi w:val="0"/>
        <w:snapToGrid w:val="0"/>
        <w:spacing w:line="240" w:lineRule="auto"/>
        <w:ind w:left="0" w:leftChars="0" w:right="0" w:rightChars="0"/>
        <w:jc w:val="center"/>
        <w:rPr>
          <w:rStyle w:val="45"/>
          <w:rFonts w:hint="eastAsia" w:ascii="宋体" w:hAnsi="宋体" w:eastAsia="宋体" w:cs="宋体"/>
          <w:color w:val="auto"/>
          <w:sz w:val="72"/>
          <w:szCs w:val="72"/>
          <w:highlight w:val="none"/>
        </w:rPr>
      </w:pPr>
      <w:r>
        <w:rPr>
          <w:rFonts w:hint="eastAsia" w:ascii="宋体" w:hAnsi="宋体" w:eastAsia="宋体" w:cs="宋体"/>
          <w:b/>
          <w:color w:val="auto"/>
          <w:sz w:val="72"/>
          <w:szCs w:val="72"/>
          <w:highlight w:val="none"/>
        </w:rPr>
        <w:t>招 标 文 件</w:t>
      </w:r>
    </w:p>
    <w:p w14:paraId="5E00EBC3">
      <w:pPr>
        <w:pStyle w:val="40"/>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3BB1AA13">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46E93B4A">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10E30A58">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273A0066">
      <w:pPr>
        <w:pStyle w:val="29"/>
        <w:ind w:left="0" w:leftChars="0" w:firstLine="0" w:firstLineChars="0"/>
        <w:rPr>
          <w:rFonts w:hint="eastAsia" w:ascii="宋体" w:hAnsi="宋体" w:eastAsia="宋体" w:cs="宋体"/>
          <w:color w:val="auto"/>
          <w:sz w:val="24"/>
          <w:szCs w:val="24"/>
          <w:highlight w:val="none"/>
        </w:rPr>
      </w:pPr>
    </w:p>
    <w:p w14:paraId="1D2C07A3">
      <w:pPr>
        <w:rPr>
          <w:rFonts w:hint="eastAsia" w:ascii="宋体" w:hAnsi="宋体" w:eastAsia="宋体" w:cs="宋体"/>
          <w:color w:val="auto"/>
          <w:sz w:val="24"/>
          <w:szCs w:val="24"/>
          <w:highlight w:val="none"/>
        </w:rPr>
      </w:pPr>
    </w:p>
    <w:p w14:paraId="789983FA">
      <w:pPr>
        <w:keepNext w:val="0"/>
        <w:keepLines w:val="0"/>
        <w:pageBreakBefore w:val="0"/>
        <w:widowControl w:val="0"/>
        <w:kinsoku/>
        <w:wordWrap/>
        <w:overflowPunct/>
        <w:topLinePunct w:val="0"/>
        <w:autoSpaceDE/>
        <w:autoSpaceDN/>
        <w:bidi w:val="0"/>
        <w:adjustRightInd/>
        <w:snapToGrid w:val="0"/>
        <w:spacing w:line="400" w:lineRule="exact"/>
        <w:ind w:right="0" w:rightChars="0"/>
        <w:textAlignment w:val="auto"/>
        <w:rPr>
          <w:rStyle w:val="43"/>
          <w:rFonts w:hint="eastAsia" w:ascii="宋体" w:hAnsi="宋体" w:eastAsia="宋体" w:cs="宋体"/>
          <w:bCs/>
          <w:color w:val="auto"/>
          <w:sz w:val="24"/>
          <w:szCs w:val="24"/>
          <w:highlight w:val="none"/>
          <w:lang w:eastAsia="zh-CN"/>
        </w:rPr>
      </w:pPr>
    </w:p>
    <w:p w14:paraId="6EE3423A">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val="en-US" w:eastAsia="zh-CN"/>
        </w:rPr>
      </w:pPr>
      <w:r>
        <w:rPr>
          <w:rStyle w:val="43"/>
          <w:rFonts w:hint="eastAsia" w:ascii="宋体" w:hAnsi="宋体" w:eastAsia="宋体" w:cs="宋体"/>
          <w:bCs/>
          <w:color w:val="auto"/>
          <w:sz w:val="24"/>
          <w:szCs w:val="24"/>
          <w:highlight w:val="none"/>
          <w:lang w:eastAsia="zh-CN"/>
        </w:rPr>
        <w:t>项目名称：新疆医科大学附属肿瘤医院</w:t>
      </w:r>
      <w:r>
        <w:rPr>
          <w:rStyle w:val="43"/>
          <w:rFonts w:hint="eastAsia" w:ascii="宋体" w:hAnsi="宋体" w:cs="宋体"/>
          <w:bCs/>
          <w:color w:val="auto"/>
          <w:sz w:val="24"/>
          <w:szCs w:val="24"/>
          <w:highlight w:val="none"/>
          <w:lang w:val="en-US" w:eastAsia="zh-CN"/>
        </w:rPr>
        <w:t>内窥镜</w:t>
      </w:r>
      <w:r>
        <w:rPr>
          <w:rStyle w:val="43"/>
          <w:rFonts w:hint="eastAsia" w:ascii="宋体" w:hAnsi="宋体" w:eastAsia="宋体" w:cs="宋体"/>
          <w:bCs/>
          <w:color w:val="auto"/>
          <w:sz w:val="24"/>
          <w:szCs w:val="24"/>
          <w:highlight w:val="none"/>
          <w:lang w:eastAsia="zh-CN"/>
        </w:rPr>
        <w:t>超声诊断设备采购项目</w:t>
      </w:r>
    </w:p>
    <w:p w14:paraId="555E2804">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default" w:ascii="宋体" w:hAnsi="宋体" w:eastAsia="宋体" w:cs="宋体"/>
          <w:bCs/>
          <w:color w:val="auto"/>
          <w:sz w:val="24"/>
          <w:szCs w:val="24"/>
          <w:highlight w:val="none"/>
          <w:lang w:val="en-US"/>
        </w:rPr>
      </w:pPr>
      <w:r>
        <w:rPr>
          <w:rStyle w:val="43"/>
          <w:rFonts w:hint="eastAsia" w:ascii="宋体" w:hAnsi="宋体" w:eastAsia="宋体" w:cs="宋体"/>
          <w:bCs/>
          <w:color w:val="auto"/>
          <w:sz w:val="24"/>
          <w:szCs w:val="24"/>
          <w:highlight w:val="none"/>
        </w:rPr>
        <w:t>项目编号：SXFD（SFY-ZC）20250</w:t>
      </w:r>
      <w:r>
        <w:rPr>
          <w:rStyle w:val="43"/>
          <w:rFonts w:hint="eastAsia" w:ascii="宋体" w:hAnsi="宋体" w:eastAsia="宋体" w:cs="宋体"/>
          <w:bCs/>
          <w:color w:val="auto"/>
          <w:sz w:val="24"/>
          <w:szCs w:val="24"/>
          <w:highlight w:val="none"/>
          <w:lang w:val="en-US"/>
        </w:rPr>
        <w:t>301</w:t>
      </w:r>
    </w:p>
    <w:p w14:paraId="64C47148">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eastAsia="zh-CN"/>
        </w:rPr>
      </w:pPr>
      <w:r>
        <w:rPr>
          <w:rStyle w:val="43"/>
          <w:rFonts w:hint="eastAsia" w:ascii="宋体" w:hAnsi="宋体" w:eastAsia="宋体" w:cs="宋体"/>
          <w:bCs/>
          <w:color w:val="auto"/>
          <w:sz w:val="24"/>
          <w:szCs w:val="24"/>
          <w:highlight w:val="none"/>
          <w:lang w:eastAsia="zh-CN"/>
        </w:rPr>
        <w:t>采购人（盖章）：</w:t>
      </w:r>
      <w:r>
        <w:rPr>
          <w:rFonts w:hint="eastAsia" w:ascii="宋体" w:hAnsi="宋体" w:eastAsia="宋体" w:cs="宋体"/>
          <w:i w:val="0"/>
          <w:iCs w:val="0"/>
          <w:color w:val="auto"/>
          <w:sz w:val="24"/>
          <w:szCs w:val="24"/>
          <w:highlight w:val="none"/>
          <w:lang w:val="en-US" w:eastAsia="zh-CN"/>
        </w:rPr>
        <w:t>新疆医科大学附属肿瘤医院</w:t>
      </w:r>
    </w:p>
    <w:p w14:paraId="65AF9F54">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val="en-US" w:eastAsia="zh-CN"/>
        </w:rPr>
      </w:pPr>
      <w:r>
        <w:rPr>
          <w:rStyle w:val="43"/>
          <w:rFonts w:hint="eastAsia" w:ascii="宋体" w:hAnsi="宋体" w:eastAsia="宋体" w:cs="宋体"/>
          <w:bCs/>
          <w:color w:val="auto"/>
          <w:sz w:val="24"/>
          <w:szCs w:val="24"/>
          <w:highlight w:val="none"/>
          <w:lang w:eastAsia="zh-CN"/>
        </w:rPr>
        <w:t>联系人：</w:t>
      </w:r>
      <w:r>
        <w:rPr>
          <w:rStyle w:val="43"/>
          <w:rFonts w:hint="eastAsia" w:ascii="宋体" w:hAnsi="宋体" w:eastAsia="宋体" w:cs="宋体"/>
          <w:bCs/>
          <w:color w:val="auto"/>
          <w:sz w:val="24"/>
          <w:szCs w:val="24"/>
          <w:highlight w:val="none"/>
          <w:lang w:val="en-US" w:eastAsia="zh-CN"/>
        </w:rPr>
        <w:t>丁老师</w:t>
      </w:r>
    </w:p>
    <w:p w14:paraId="418F0986">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val="en-US" w:eastAsia="zh-CN"/>
        </w:rPr>
      </w:pPr>
      <w:r>
        <w:rPr>
          <w:rStyle w:val="43"/>
          <w:rFonts w:hint="eastAsia" w:ascii="宋体" w:hAnsi="宋体" w:eastAsia="宋体" w:cs="宋体"/>
          <w:bCs/>
          <w:color w:val="auto"/>
          <w:sz w:val="24"/>
          <w:szCs w:val="24"/>
          <w:highlight w:val="none"/>
          <w:lang w:eastAsia="zh-CN"/>
        </w:rPr>
        <w:t>电话：0991-7819055</w:t>
      </w:r>
    </w:p>
    <w:p w14:paraId="623BB119">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eastAsia="zh-CN"/>
        </w:rPr>
      </w:pPr>
      <w:r>
        <w:rPr>
          <w:rStyle w:val="43"/>
          <w:rFonts w:hint="eastAsia" w:ascii="宋体" w:hAnsi="宋体" w:eastAsia="宋体" w:cs="宋体"/>
          <w:bCs/>
          <w:color w:val="auto"/>
          <w:sz w:val="24"/>
          <w:szCs w:val="24"/>
          <w:highlight w:val="none"/>
          <w:lang w:eastAsia="zh-CN"/>
        </w:rPr>
        <w:t>地址：乌鲁木齐市苏州东街789号</w:t>
      </w:r>
    </w:p>
    <w:p w14:paraId="56BB4280">
      <w:pPr>
        <w:keepNext w:val="0"/>
        <w:keepLines w:val="0"/>
        <w:pageBreakBefore w:val="0"/>
        <w:widowControl w:val="0"/>
        <w:kinsoku/>
        <w:wordWrap/>
        <w:overflowPunct/>
        <w:topLinePunct w:val="0"/>
        <w:autoSpaceDE/>
        <w:autoSpaceDN/>
        <w:bidi w:val="0"/>
        <w:adjustRightInd/>
        <w:snapToGrid w:val="0"/>
        <w:spacing w:line="500" w:lineRule="exact"/>
        <w:ind w:left="0" w:leftChars="0" w:right="0" w:rightChars="0" w:firstLine="357"/>
        <w:textAlignment w:val="auto"/>
        <w:rPr>
          <w:rStyle w:val="43"/>
          <w:rFonts w:hint="eastAsia" w:ascii="宋体" w:hAnsi="宋体" w:eastAsia="宋体" w:cs="宋体"/>
          <w:bCs/>
          <w:color w:val="auto"/>
          <w:sz w:val="24"/>
          <w:szCs w:val="24"/>
          <w:highlight w:val="none"/>
          <w:lang w:eastAsia="zh-CN"/>
        </w:rPr>
      </w:pPr>
    </w:p>
    <w:p w14:paraId="3E8C7224">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rPr>
      </w:pPr>
      <w:r>
        <w:rPr>
          <w:rStyle w:val="43"/>
          <w:rFonts w:hint="eastAsia" w:ascii="宋体" w:hAnsi="宋体" w:eastAsia="宋体" w:cs="宋体"/>
          <w:bCs/>
          <w:color w:val="auto"/>
          <w:sz w:val="24"/>
          <w:szCs w:val="24"/>
          <w:highlight w:val="none"/>
        </w:rPr>
        <w:t>采购代理机构（盖章）</w:t>
      </w:r>
      <w:r>
        <w:rPr>
          <w:rStyle w:val="43"/>
          <w:rFonts w:hint="eastAsia" w:ascii="宋体" w:hAnsi="宋体" w:eastAsia="宋体" w:cs="宋体"/>
          <w:bCs/>
          <w:color w:val="auto"/>
          <w:sz w:val="24"/>
          <w:szCs w:val="24"/>
          <w:highlight w:val="none"/>
          <w:lang w:eastAsia="zh-CN"/>
        </w:rPr>
        <w:t>：陕西方得项目管理有限公司</w:t>
      </w:r>
    </w:p>
    <w:p w14:paraId="0CD5AEAD">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eastAsia="zh-CN"/>
        </w:rPr>
      </w:pPr>
      <w:r>
        <w:rPr>
          <w:rStyle w:val="43"/>
          <w:rFonts w:hint="eastAsia" w:ascii="宋体" w:hAnsi="宋体" w:eastAsia="宋体" w:cs="宋体"/>
          <w:bCs/>
          <w:color w:val="auto"/>
          <w:sz w:val="24"/>
          <w:szCs w:val="24"/>
          <w:highlight w:val="none"/>
          <w:lang w:eastAsia="zh-CN"/>
        </w:rPr>
        <w:t>联系人：</w:t>
      </w:r>
      <w:r>
        <w:rPr>
          <w:rStyle w:val="43"/>
          <w:rFonts w:hint="eastAsia" w:ascii="宋体" w:hAnsi="宋体" w:cs="宋体"/>
          <w:bCs/>
          <w:color w:val="auto"/>
          <w:sz w:val="24"/>
          <w:szCs w:val="24"/>
          <w:highlight w:val="none"/>
          <w:lang w:val="en-US" w:eastAsia="zh-CN"/>
        </w:rPr>
        <w:t>王浩、</w:t>
      </w:r>
      <w:r>
        <w:rPr>
          <w:rFonts w:hint="eastAsia" w:ascii="宋体" w:hAnsi="宋体" w:cs="宋体"/>
          <w:i w:val="0"/>
          <w:iCs w:val="0"/>
          <w:color w:val="auto"/>
          <w:sz w:val="24"/>
          <w:szCs w:val="24"/>
          <w:highlight w:val="none"/>
          <w:lang w:val="en-US" w:eastAsia="zh-CN"/>
        </w:rPr>
        <w:t>马平利、胡雅洁、马泽新</w:t>
      </w:r>
    </w:p>
    <w:p w14:paraId="4651914D">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val="en-US" w:eastAsia="zh-CN"/>
        </w:rPr>
      </w:pPr>
      <w:r>
        <w:rPr>
          <w:rStyle w:val="43"/>
          <w:rFonts w:hint="eastAsia" w:ascii="宋体" w:hAnsi="宋体" w:eastAsia="宋体" w:cs="宋体"/>
          <w:bCs/>
          <w:color w:val="auto"/>
          <w:sz w:val="24"/>
          <w:szCs w:val="24"/>
          <w:highlight w:val="none"/>
          <w:lang w:eastAsia="zh-CN"/>
        </w:rPr>
        <w:t>电话</w:t>
      </w:r>
      <w:r>
        <w:rPr>
          <w:rStyle w:val="43"/>
          <w:rFonts w:hint="eastAsia" w:ascii="宋体" w:hAnsi="宋体" w:eastAsia="宋体" w:cs="宋体"/>
          <w:bCs/>
          <w:color w:val="auto"/>
          <w:sz w:val="24"/>
          <w:szCs w:val="24"/>
          <w:highlight w:val="none"/>
        </w:rPr>
        <w:t>：</w:t>
      </w:r>
      <w:r>
        <w:rPr>
          <w:rFonts w:hint="eastAsia" w:ascii="宋体" w:hAnsi="宋体" w:cs="宋体"/>
          <w:i w:val="0"/>
          <w:iCs w:val="0"/>
          <w:color w:val="auto"/>
          <w:sz w:val="24"/>
          <w:szCs w:val="24"/>
          <w:highlight w:val="none"/>
          <w:lang w:val="en-US" w:eastAsia="zh-CN"/>
        </w:rPr>
        <w:t>15699133769、</w:t>
      </w:r>
      <w:r>
        <w:rPr>
          <w:rFonts w:hint="eastAsia" w:ascii="宋体" w:hAnsi="宋体" w:eastAsia="宋体" w:cs="宋体"/>
          <w:i w:val="0"/>
          <w:iCs w:val="0"/>
          <w:color w:val="auto"/>
          <w:sz w:val="24"/>
          <w:szCs w:val="24"/>
          <w:highlight w:val="none"/>
          <w:lang w:val="en-US" w:eastAsia="zh-CN"/>
        </w:rPr>
        <w:t>16699192061</w:t>
      </w:r>
    </w:p>
    <w:p w14:paraId="237392E2">
      <w:pPr>
        <w:keepNext w:val="0"/>
        <w:keepLines w:val="0"/>
        <w:pageBreakBefore w:val="0"/>
        <w:widowControl w:val="0"/>
        <w:kinsoku/>
        <w:wordWrap/>
        <w:overflowPunct/>
        <w:topLinePunct w:val="0"/>
        <w:autoSpaceDE/>
        <w:autoSpaceDN/>
        <w:bidi w:val="0"/>
        <w:adjustRightInd/>
        <w:snapToGrid w:val="0"/>
        <w:spacing w:line="500" w:lineRule="exact"/>
        <w:ind w:right="0" w:rightChars="0"/>
        <w:textAlignment w:val="auto"/>
        <w:rPr>
          <w:rStyle w:val="43"/>
          <w:rFonts w:hint="eastAsia" w:ascii="宋体" w:hAnsi="宋体" w:eastAsia="宋体" w:cs="宋体"/>
          <w:bCs/>
          <w:color w:val="auto"/>
          <w:sz w:val="24"/>
          <w:szCs w:val="24"/>
          <w:highlight w:val="none"/>
          <w:lang w:eastAsia="zh-CN"/>
        </w:rPr>
      </w:pPr>
      <w:r>
        <w:rPr>
          <w:rStyle w:val="43"/>
          <w:rFonts w:hint="eastAsia" w:ascii="宋体" w:hAnsi="宋体" w:eastAsia="宋体" w:cs="宋体"/>
          <w:bCs/>
          <w:color w:val="auto"/>
          <w:sz w:val="24"/>
          <w:szCs w:val="24"/>
          <w:highlight w:val="none"/>
          <w:lang w:eastAsia="zh-CN"/>
        </w:rPr>
        <w:t>地址：</w:t>
      </w:r>
      <w:r>
        <w:rPr>
          <w:rFonts w:hint="eastAsia" w:ascii="宋体" w:hAnsi="宋体" w:eastAsia="宋体" w:cs="宋体"/>
          <w:i w:val="0"/>
          <w:iCs w:val="0"/>
          <w:color w:val="auto"/>
          <w:sz w:val="24"/>
          <w:szCs w:val="24"/>
          <w:highlight w:val="none"/>
          <w:lang w:val="en-US" w:eastAsia="zh-CN"/>
        </w:rPr>
        <w:t>新疆乌鲁木齐市水磨沟区恒大绿洲二期10-2-1905室</w:t>
      </w:r>
    </w:p>
    <w:p w14:paraId="6534A6AB">
      <w:pPr>
        <w:pageBreakBefore w:val="0"/>
        <w:wordWrap/>
        <w:overflowPunct/>
        <w:topLinePunct w:val="0"/>
        <w:bidi w:val="0"/>
        <w:spacing w:line="560" w:lineRule="exact"/>
        <w:ind w:left="0" w:leftChars="0" w:right="0" w:rightChars="0"/>
        <w:jc w:val="center"/>
        <w:rPr>
          <w:rFonts w:hint="eastAsia" w:ascii="宋体" w:hAnsi="宋体" w:eastAsia="宋体" w:cs="宋体"/>
          <w:b/>
          <w:color w:val="auto"/>
          <w:sz w:val="24"/>
          <w:szCs w:val="24"/>
          <w:highlight w:val="none"/>
        </w:rPr>
      </w:pPr>
      <w:bookmarkStart w:id="0" w:name="_Toc31371"/>
    </w:p>
    <w:p w14:paraId="6D487009">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14291A66">
      <w:pPr>
        <w:pageBreakBefore w:val="0"/>
        <w:wordWrap/>
        <w:overflowPunct/>
        <w:topLinePunct w:val="0"/>
        <w:bidi w:val="0"/>
        <w:spacing w:line="560" w:lineRule="exact"/>
        <w:ind w:left="0" w:leftChars="0" w:right="0" w:rightChars="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目    录</w:t>
      </w:r>
      <w:bookmarkEnd w:id="0"/>
    </w:p>
    <w:p w14:paraId="2D617441">
      <w:pPr>
        <w:pStyle w:val="18"/>
        <w:pageBreakBefore w:val="0"/>
        <w:tabs>
          <w:tab w:val="right" w:leader="dot" w:pos="8959"/>
        </w:tabs>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4B9A9C38">
      <w:pPr>
        <w:pStyle w:val="18"/>
        <w:tabs>
          <w:tab w:val="right" w:leader="dot" w:pos="8307"/>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"1-1"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_Toc9087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color w:val="auto"/>
          <w:sz w:val="24"/>
          <w:szCs w:val="24"/>
          <w:highlight w:val="none"/>
        </w:rPr>
        <w:t>第一章  招标公告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_Toc9087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635D5114">
      <w:pPr>
        <w:pStyle w:val="18"/>
        <w:tabs>
          <w:tab w:val="right" w:leader="dot" w:pos="8307"/>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_Toc5608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color w:val="auto"/>
          <w:sz w:val="24"/>
          <w:szCs w:val="24"/>
          <w:highlight w:val="none"/>
        </w:rPr>
        <w:t>第二章  投标人须知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_Toc5608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71D30E77">
      <w:pPr>
        <w:pStyle w:val="18"/>
        <w:tabs>
          <w:tab w:val="right" w:leader="dot" w:pos="8307"/>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_Toc1522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color w:val="auto"/>
          <w:sz w:val="24"/>
          <w:szCs w:val="24"/>
          <w:highlight w:val="none"/>
        </w:rPr>
        <w:t>第三章  投标文件格式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_Toc1522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2B613A6C">
      <w:pPr>
        <w:pStyle w:val="18"/>
        <w:tabs>
          <w:tab w:val="right" w:leader="dot" w:pos="8307"/>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_Toc25336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color w:val="auto"/>
          <w:kern w:val="2"/>
          <w:sz w:val="24"/>
          <w:szCs w:val="24"/>
          <w:highlight w:val="none"/>
          <w:lang w:eastAsia="zh-CN"/>
        </w:rPr>
        <w:t>第四章  项目采购需求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_Toc25336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1784F51B">
      <w:pPr>
        <w:pStyle w:val="18"/>
        <w:tabs>
          <w:tab w:val="right" w:leader="dot" w:pos="8307"/>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_Toc1378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val="0"/>
          <w:color w:val="auto"/>
          <w:sz w:val="24"/>
          <w:szCs w:val="24"/>
          <w:highlight w:val="none"/>
          <w:lang w:eastAsia="zh-CN"/>
        </w:rPr>
        <w:t>第五章  评标办法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_Toc1378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1C7383C9">
      <w:pPr>
        <w:pStyle w:val="18"/>
        <w:tabs>
          <w:tab w:val="right" w:leader="dot" w:pos="8307"/>
        </w:tabs>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_Toc6803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第六章  拟签订的合同文本</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_Toc6803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4A919C15">
      <w:pPr>
        <w:pStyle w:val="10"/>
        <w:pageBreakBefore w:val="0"/>
        <w:wordWrap/>
        <w:overflowPunct/>
        <w:topLinePunct w:val="0"/>
        <w:bidi w:val="0"/>
        <w:spacing w:after="0" w:line="560" w:lineRule="exact"/>
        <w:ind w:left="0" w:leftChars="0" w:right="0" w:rightChars="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fldChar w:fldCharType="end"/>
      </w:r>
    </w:p>
    <w:p w14:paraId="47BEE189">
      <w:pPr>
        <w:pStyle w:val="2"/>
        <w:pageBreakBefore w:val="0"/>
        <w:wordWrap/>
        <w:overflowPunct/>
        <w:topLinePunct w:val="0"/>
        <w:bidi w:val="0"/>
        <w:spacing w:before="0" w:after="0" w:line="560" w:lineRule="exact"/>
        <w:ind w:left="0" w:leftChars="0" w:right="0" w:rightChars="0"/>
        <w:rPr>
          <w:rFonts w:hint="eastAsia" w:ascii="宋体" w:hAnsi="宋体" w:eastAsia="宋体" w:cs="宋体"/>
          <w:bCs w:val="0"/>
          <w:color w:val="auto"/>
          <w:sz w:val="24"/>
          <w:szCs w:val="24"/>
          <w:highlight w:val="none"/>
        </w:rPr>
        <w:sectPr>
          <w:headerReference r:id="rId3" w:type="default"/>
          <w:pgSz w:w="11907" w:h="16840"/>
          <w:pgMar w:top="1440" w:right="1800" w:bottom="1440" w:left="1800" w:header="851" w:footer="992" w:gutter="0"/>
          <w:pgNumType w:fmt="decimal" w:start="1"/>
          <w:cols w:space="720" w:num="1"/>
          <w:docGrid w:linePitch="312" w:charSpace="0"/>
        </w:sectPr>
      </w:pPr>
    </w:p>
    <w:p w14:paraId="5EAD9D2F">
      <w:pPr>
        <w:pStyle w:val="2"/>
        <w:pageBreakBefore w:val="0"/>
        <w:kinsoku/>
        <w:wordWrap/>
        <w:overflowPunct/>
        <w:topLinePunct w:val="0"/>
        <w:autoSpaceDE/>
        <w:autoSpaceDN/>
        <w:bidi w:val="0"/>
        <w:adjustRightInd/>
        <w:snapToGrid/>
        <w:spacing w:before="0" w:after="0" w:line="380" w:lineRule="exact"/>
        <w:ind w:left="0" w:leftChars="0" w:right="0" w:rightChars="0"/>
        <w:jc w:val="center"/>
        <w:textAlignment w:val="auto"/>
        <w:rPr>
          <w:rFonts w:hint="eastAsia" w:ascii="宋体" w:hAnsi="宋体" w:eastAsia="宋体" w:cs="宋体"/>
          <w:b/>
          <w:bCs/>
          <w:color w:val="auto"/>
          <w:sz w:val="28"/>
          <w:szCs w:val="28"/>
          <w:highlight w:val="none"/>
        </w:rPr>
      </w:pPr>
      <w:bookmarkStart w:id="1" w:name="_Toc647_WPSOffice_Level1"/>
      <w:bookmarkStart w:id="2" w:name="_Toc9087"/>
      <w:r>
        <w:rPr>
          <w:rFonts w:hint="eastAsia" w:ascii="宋体" w:hAnsi="宋体" w:eastAsia="宋体" w:cs="宋体"/>
          <w:b/>
          <w:bCs/>
          <w:color w:val="auto"/>
          <w:sz w:val="28"/>
          <w:szCs w:val="28"/>
          <w:highlight w:val="none"/>
        </w:rPr>
        <w:t xml:space="preserve">第一章  </w:t>
      </w:r>
      <w:bookmarkEnd w:id="1"/>
      <w:r>
        <w:rPr>
          <w:rFonts w:hint="eastAsia" w:ascii="宋体" w:hAnsi="宋体" w:eastAsia="宋体" w:cs="宋体"/>
          <w:b/>
          <w:bCs/>
          <w:color w:val="auto"/>
          <w:sz w:val="28"/>
          <w:szCs w:val="28"/>
          <w:highlight w:val="none"/>
        </w:rPr>
        <w:t>招标公告</w:t>
      </w:r>
      <w:bookmarkEnd w:id="2"/>
    </w:p>
    <w:p w14:paraId="669BAC62">
      <w:pPr>
        <w:pageBreakBefore w:val="0"/>
        <w:kinsoku/>
        <w:wordWrap/>
        <w:overflowPunct/>
        <w:topLinePunct w:val="0"/>
        <w:bidi w:val="0"/>
        <w:spacing w:line="380" w:lineRule="exact"/>
        <w:ind w:left="0" w:leftChars="0" w:right="0" w:rightChars="0"/>
        <w:textAlignment w:val="auto"/>
        <w:rPr>
          <w:rFonts w:hint="eastAsia" w:ascii="宋体" w:hAnsi="宋体" w:eastAsia="宋体" w:cs="宋体"/>
          <w:color w:val="auto"/>
          <w:sz w:val="24"/>
          <w:szCs w:val="24"/>
          <w:highlight w:val="none"/>
        </w:rPr>
      </w:pPr>
    </w:p>
    <w:p w14:paraId="0BC5BAFB">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ind w:left="0" w:leftChars="0" w:right="0" w:rightChars="0"/>
        <w:jc w:val="center"/>
        <w:textAlignment w:val="auto"/>
        <w:rPr>
          <w:rFonts w:hint="eastAsia" w:ascii="宋体" w:hAnsi="宋体" w:eastAsia="宋体" w:cs="宋体"/>
          <w:color w:val="auto"/>
          <w:sz w:val="24"/>
          <w:szCs w:val="24"/>
          <w:highlight w:val="none"/>
        </w:rPr>
      </w:pPr>
      <w:bookmarkStart w:id="3" w:name="_Toc213496267"/>
      <w:bookmarkStart w:id="4" w:name="_Toc856_WPSOffice_Level1"/>
      <w:bookmarkStart w:id="5" w:name="_Toc213397009"/>
      <w:bookmarkStart w:id="6" w:name="_Toc213396945"/>
      <w:bookmarkStart w:id="7" w:name="_Toc217446031"/>
      <w:bookmarkStart w:id="8" w:name="_Toc213396759"/>
      <w:r>
        <w:rPr>
          <w:rFonts w:hint="eastAsia" w:ascii="宋体" w:hAnsi="宋体" w:eastAsia="宋体" w:cs="宋体"/>
          <w:color w:val="auto"/>
          <w:sz w:val="24"/>
          <w:szCs w:val="24"/>
          <w:highlight w:val="none"/>
        </w:rPr>
        <w:t>项目概况</w:t>
      </w:r>
    </w:p>
    <w:p w14:paraId="038FA1A0">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Style w:val="43"/>
          <w:rFonts w:hint="eastAsia" w:ascii="宋体" w:hAnsi="宋体" w:eastAsia="宋体" w:cs="宋体"/>
          <w:bCs/>
          <w:color w:val="auto"/>
          <w:sz w:val="24"/>
          <w:szCs w:val="24"/>
          <w:highlight w:val="none"/>
          <w:u w:val="single"/>
          <w:lang w:eastAsia="zh-CN"/>
        </w:rPr>
        <w:t>新疆医科大学附属肿瘤医院</w:t>
      </w:r>
      <w:r>
        <w:rPr>
          <w:rStyle w:val="43"/>
          <w:rFonts w:hint="eastAsia" w:ascii="宋体" w:hAnsi="宋体" w:cs="宋体"/>
          <w:bCs/>
          <w:color w:val="auto"/>
          <w:sz w:val="24"/>
          <w:szCs w:val="24"/>
          <w:highlight w:val="none"/>
          <w:u w:val="single"/>
          <w:lang w:val="en-US" w:eastAsia="zh-CN"/>
        </w:rPr>
        <w:t>内窥镜</w:t>
      </w:r>
      <w:r>
        <w:rPr>
          <w:rStyle w:val="43"/>
          <w:rFonts w:hint="eastAsia" w:ascii="宋体" w:hAnsi="宋体" w:eastAsia="宋体" w:cs="宋体"/>
          <w:bCs/>
          <w:color w:val="auto"/>
          <w:sz w:val="24"/>
          <w:szCs w:val="24"/>
          <w:highlight w:val="none"/>
          <w:u w:val="single"/>
          <w:lang w:eastAsia="zh-CN"/>
        </w:rPr>
        <w:t>超声诊断设备采购项目</w:t>
      </w:r>
      <w:r>
        <w:rPr>
          <w:rFonts w:hint="eastAsia" w:ascii="宋体" w:hAnsi="宋体" w:eastAsia="宋体" w:cs="宋体"/>
          <w:color w:val="auto"/>
          <w:sz w:val="24"/>
          <w:szCs w:val="24"/>
          <w:highlight w:val="none"/>
        </w:rPr>
        <w:t>招标项目的潜在投标人应在</w:t>
      </w:r>
      <w:r>
        <w:rPr>
          <w:rFonts w:hint="eastAsia" w:ascii="宋体" w:hAnsi="宋体" w:eastAsia="宋体" w:cs="宋体"/>
          <w:bCs/>
          <w:color w:val="auto"/>
          <w:sz w:val="24"/>
          <w:szCs w:val="24"/>
          <w:highlight w:val="none"/>
          <w:u w:val="single"/>
        </w:rPr>
        <w:t>新疆政府采购云平台https://www.zcygov.cn/</w:t>
      </w:r>
      <w:r>
        <w:rPr>
          <w:rFonts w:hint="eastAsia" w:ascii="宋体" w:hAnsi="宋体" w:eastAsia="宋体" w:cs="宋体"/>
          <w:color w:val="auto"/>
          <w:sz w:val="24"/>
          <w:szCs w:val="24"/>
          <w:highlight w:val="none"/>
        </w:rPr>
        <w:t>获取招标文件，并于</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cs="宋体"/>
          <w:bCs/>
          <w:color w:val="auto"/>
          <w:sz w:val="24"/>
          <w:szCs w:val="24"/>
          <w:highlight w:val="none"/>
          <w:u w:val="single"/>
          <w:lang w:val="en-US" w:eastAsia="zh-CN"/>
        </w:rPr>
        <w:t>04</w:t>
      </w:r>
      <w:r>
        <w:rPr>
          <w:rFonts w:hint="eastAsia" w:ascii="宋体" w:hAnsi="宋体" w:eastAsia="宋体" w:cs="宋体"/>
          <w:bCs/>
          <w:color w:val="auto"/>
          <w:sz w:val="24"/>
          <w:szCs w:val="24"/>
          <w:highlight w:val="none"/>
          <w:u w:val="single"/>
          <w:lang w:val="en-US" w:eastAsia="zh-CN"/>
        </w:rPr>
        <w:t>月</w:t>
      </w:r>
      <w:r>
        <w:rPr>
          <w:rFonts w:hint="eastAsia" w:ascii="宋体" w:hAnsi="宋体" w:cs="宋体"/>
          <w:bCs/>
          <w:color w:val="auto"/>
          <w:sz w:val="24"/>
          <w:szCs w:val="24"/>
          <w:highlight w:val="none"/>
          <w:u w:val="single"/>
          <w:lang w:val="en-US" w:eastAsia="zh-CN"/>
        </w:rPr>
        <w:t>24日</w:t>
      </w:r>
      <w:r>
        <w:rPr>
          <w:rFonts w:hint="eastAsia" w:ascii="宋体" w:hAnsi="宋体" w:eastAsia="宋体" w:cs="宋体"/>
          <w:bCs/>
          <w:color w:val="auto"/>
          <w:sz w:val="24"/>
          <w:szCs w:val="24"/>
          <w:highlight w:val="none"/>
          <w:u w:val="single"/>
        </w:rPr>
        <w:t>1</w:t>
      </w:r>
      <w:r>
        <w:rPr>
          <w:rFonts w:hint="eastAsia" w:ascii="宋体" w:hAnsi="宋体" w:eastAsia="宋体" w:cs="宋体"/>
          <w:bCs/>
          <w:color w:val="auto"/>
          <w:sz w:val="24"/>
          <w:szCs w:val="24"/>
          <w:highlight w:val="none"/>
          <w:u w:val="single"/>
          <w:lang w:val="en-US" w:eastAsia="zh-CN"/>
        </w:rPr>
        <w:t>1</w:t>
      </w:r>
      <w:r>
        <w:rPr>
          <w:rFonts w:hint="eastAsia" w:ascii="宋体" w:hAnsi="宋体" w:eastAsia="宋体" w:cs="宋体"/>
          <w:bCs/>
          <w:color w:val="auto"/>
          <w:sz w:val="24"/>
          <w:szCs w:val="24"/>
          <w:highlight w:val="none"/>
          <w:u w:val="single"/>
        </w:rPr>
        <w:t>点00分（</w:t>
      </w:r>
      <w:r>
        <w:rPr>
          <w:rFonts w:hint="eastAsia" w:ascii="宋体" w:hAnsi="宋体" w:eastAsia="宋体" w:cs="宋体"/>
          <w:bCs/>
          <w:color w:val="auto"/>
          <w:sz w:val="24"/>
          <w:szCs w:val="24"/>
          <w:highlight w:val="none"/>
        </w:rPr>
        <w:t>北京时间）前上传投标文件</w:t>
      </w:r>
      <w:r>
        <w:rPr>
          <w:rFonts w:hint="eastAsia" w:ascii="宋体" w:hAnsi="宋体" w:eastAsia="宋体" w:cs="宋体"/>
          <w:color w:val="auto"/>
          <w:sz w:val="24"/>
          <w:szCs w:val="24"/>
          <w:highlight w:val="none"/>
        </w:rPr>
        <w:t>。</w:t>
      </w:r>
    </w:p>
    <w:p w14:paraId="1051DB52">
      <w:pPr>
        <w:pageBreakBefore w:val="0"/>
        <w:kinsoku/>
        <w:wordWrap/>
        <w:overflowPunct/>
        <w:topLinePunct w:val="0"/>
        <w:autoSpaceDE/>
        <w:autoSpaceDN/>
        <w:bidi w:val="0"/>
        <w:adjustRightInd/>
        <w:snapToGrid/>
        <w:spacing w:line="380" w:lineRule="exact"/>
        <w:ind w:left="0" w:leftChars="0" w:right="0" w:rightChars="0"/>
        <w:textAlignment w:val="auto"/>
        <w:rPr>
          <w:rFonts w:hint="eastAsia" w:ascii="宋体" w:hAnsi="宋体" w:eastAsia="宋体" w:cs="宋体"/>
          <w:b/>
          <w:bCs/>
          <w:color w:val="auto"/>
          <w:sz w:val="24"/>
          <w:szCs w:val="24"/>
          <w:highlight w:val="none"/>
        </w:rPr>
      </w:pPr>
      <w:bookmarkStart w:id="9" w:name="_Toc35393790"/>
      <w:bookmarkStart w:id="10" w:name="_Toc35393621"/>
      <w:bookmarkStart w:id="11" w:name="_Toc28359002"/>
      <w:bookmarkStart w:id="12" w:name="_Toc28359079"/>
      <w:bookmarkStart w:id="13" w:name="_Hlk24379207"/>
      <w:r>
        <w:rPr>
          <w:rFonts w:hint="eastAsia" w:ascii="宋体" w:hAnsi="宋体" w:eastAsia="宋体" w:cs="宋体"/>
          <w:b/>
          <w:bCs/>
          <w:color w:val="auto"/>
          <w:sz w:val="24"/>
          <w:szCs w:val="24"/>
          <w:highlight w:val="none"/>
        </w:rPr>
        <w:t>一、项目基本情况</w:t>
      </w:r>
      <w:bookmarkEnd w:id="9"/>
      <w:bookmarkEnd w:id="10"/>
      <w:bookmarkEnd w:id="11"/>
      <w:bookmarkEnd w:id="12"/>
    </w:p>
    <w:p w14:paraId="7AD67922">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r>
        <w:rPr>
          <w:rStyle w:val="43"/>
          <w:rFonts w:hint="eastAsia" w:ascii="宋体" w:hAnsi="宋体" w:eastAsia="宋体" w:cs="宋体"/>
          <w:bCs/>
          <w:color w:val="auto"/>
          <w:sz w:val="24"/>
          <w:szCs w:val="24"/>
          <w:highlight w:val="none"/>
        </w:rPr>
        <w:t>SXFD（SFY-ZC）20250</w:t>
      </w:r>
      <w:r>
        <w:rPr>
          <w:rStyle w:val="43"/>
          <w:rFonts w:hint="eastAsia" w:ascii="宋体" w:hAnsi="宋体" w:eastAsia="宋体" w:cs="宋体"/>
          <w:bCs/>
          <w:color w:val="auto"/>
          <w:sz w:val="24"/>
          <w:szCs w:val="24"/>
          <w:highlight w:val="none"/>
          <w:lang w:val="en-US"/>
        </w:rPr>
        <w:t>301</w:t>
      </w:r>
    </w:p>
    <w:p w14:paraId="539EC78D">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bookmarkEnd w:id="13"/>
      <w:r>
        <w:rPr>
          <w:rFonts w:hint="eastAsia" w:ascii="宋体" w:hAnsi="宋体" w:eastAsia="宋体" w:cs="宋体"/>
          <w:color w:val="auto"/>
          <w:sz w:val="24"/>
          <w:szCs w:val="24"/>
          <w:highlight w:val="none"/>
        </w:rPr>
        <w:t>新疆医科大学附属肿瘤医院</w:t>
      </w:r>
      <w:r>
        <w:rPr>
          <w:rFonts w:hint="eastAsia" w:ascii="宋体" w:hAnsi="宋体" w:cs="宋体"/>
          <w:color w:val="auto"/>
          <w:sz w:val="24"/>
          <w:szCs w:val="24"/>
          <w:highlight w:val="none"/>
          <w:lang w:val="en-US" w:eastAsia="zh-CN"/>
        </w:rPr>
        <w:t>内窥镜</w:t>
      </w:r>
      <w:r>
        <w:rPr>
          <w:rFonts w:hint="eastAsia" w:ascii="宋体" w:hAnsi="宋体" w:eastAsia="宋体" w:cs="宋体"/>
          <w:color w:val="auto"/>
          <w:sz w:val="24"/>
          <w:szCs w:val="24"/>
          <w:highlight w:val="none"/>
        </w:rPr>
        <w:t>超声诊断设备采购项目</w:t>
      </w:r>
    </w:p>
    <w:p w14:paraId="4E4B7775">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采购方式：</w:t>
      </w:r>
      <w:r>
        <w:rPr>
          <w:rFonts w:hint="eastAsia" w:ascii="宋体" w:hAnsi="宋体" w:eastAsia="宋体" w:cs="宋体"/>
          <w:color w:val="auto"/>
          <w:sz w:val="24"/>
          <w:szCs w:val="24"/>
          <w:highlight w:val="none"/>
          <w:lang w:val="en-US" w:eastAsia="zh-CN"/>
        </w:rPr>
        <w:t>公开招标</w:t>
      </w:r>
      <w:r>
        <w:rPr>
          <w:rFonts w:hint="eastAsia" w:ascii="宋体" w:hAnsi="宋体" w:eastAsia="宋体" w:cs="宋体"/>
          <w:color w:val="auto"/>
          <w:sz w:val="24"/>
          <w:szCs w:val="24"/>
          <w:highlight w:val="none"/>
          <w:lang w:eastAsia="zh-CN"/>
        </w:rPr>
        <w:t> </w:t>
      </w:r>
    </w:p>
    <w:p w14:paraId="3F753872">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预算金额（元）：</w:t>
      </w:r>
      <w:r>
        <w:rPr>
          <w:rFonts w:hint="eastAsia" w:ascii="宋体" w:hAnsi="宋体" w:eastAsia="宋体" w:cs="宋体"/>
          <w:color w:val="auto"/>
          <w:sz w:val="24"/>
          <w:szCs w:val="24"/>
          <w:highlight w:val="none"/>
          <w:lang w:val="en-US" w:eastAsia="zh-CN"/>
        </w:rPr>
        <w:t>90万元</w:t>
      </w:r>
    </w:p>
    <w:p w14:paraId="4F80A7DE">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最高限价（</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90万元</w:t>
      </w:r>
    </w:p>
    <w:p w14:paraId="3A616372">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3155CE97">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 xml:space="preserve">   标项名称:</w:t>
      </w:r>
      <w:r>
        <w:rPr>
          <w:rStyle w:val="43"/>
          <w:rFonts w:hint="eastAsia" w:ascii="宋体" w:hAnsi="宋体" w:eastAsia="宋体" w:cs="宋体"/>
          <w:bCs/>
          <w:color w:val="auto"/>
          <w:sz w:val="24"/>
          <w:szCs w:val="24"/>
          <w:highlight w:val="none"/>
          <w:lang w:eastAsia="zh-CN"/>
        </w:rPr>
        <w:t>新疆医科大学附属肿瘤医院</w:t>
      </w:r>
      <w:r>
        <w:rPr>
          <w:rStyle w:val="43"/>
          <w:rFonts w:hint="eastAsia" w:ascii="宋体" w:hAnsi="宋体" w:cs="宋体"/>
          <w:bCs/>
          <w:color w:val="auto"/>
          <w:sz w:val="24"/>
          <w:szCs w:val="24"/>
          <w:highlight w:val="none"/>
          <w:lang w:val="en-US" w:eastAsia="zh-CN"/>
        </w:rPr>
        <w:t>内窥镜</w:t>
      </w:r>
      <w:r>
        <w:rPr>
          <w:rStyle w:val="43"/>
          <w:rFonts w:hint="eastAsia" w:ascii="宋体" w:hAnsi="宋体" w:eastAsia="宋体" w:cs="宋体"/>
          <w:bCs/>
          <w:color w:val="auto"/>
          <w:sz w:val="24"/>
          <w:szCs w:val="24"/>
          <w:highlight w:val="none"/>
          <w:lang w:eastAsia="zh-CN"/>
        </w:rPr>
        <w:t>超声诊断设备采购项目</w:t>
      </w:r>
    </w:p>
    <w:p w14:paraId="2FD0C083">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数量:1</w:t>
      </w:r>
      <w:r>
        <w:rPr>
          <w:rFonts w:hint="eastAsia" w:ascii="宋体" w:hAnsi="宋体" w:eastAsia="宋体" w:cs="宋体"/>
          <w:color w:val="auto"/>
          <w:sz w:val="24"/>
          <w:szCs w:val="24"/>
          <w:highlight w:val="none"/>
          <w:lang w:val="en-US" w:eastAsia="zh-CN"/>
        </w:rPr>
        <w:t>批</w:t>
      </w:r>
    </w:p>
    <w:p w14:paraId="127BA4C8">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简要规格描述或项目基本概况介绍、用途：</w:t>
      </w:r>
    </w:p>
    <w:p w14:paraId="3ED3E5C7">
      <w:pPr>
        <w:pageBreakBefore w:val="0"/>
        <w:kinsoku/>
        <w:wordWrap/>
        <w:overflowPunct/>
        <w:topLinePunct w:val="0"/>
        <w:autoSpaceDE/>
        <w:autoSpaceDN/>
        <w:bidi w:val="0"/>
        <w:adjustRightInd/>
        <w:snapToGrid/>
        <w:spacing w:line="380" w:lineRule="exact"/>
        <w:ind w:left="0" w:leftChars="0" w:right="0" w:rightChars="0"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标项一：</w:t>
      </w:r>
      <w:r>
        <w:rPr>
          <w:rFonts w:hint="eastAsia" w:ascii="宋体" w:hAnsi="宋体" w:eastAsia="宋体" w:cs="宋体"/>
          <w:b w:val="0"/>
          <w:bCs w:val="0"/>
          <w:color w:val="auto"/>
          <w:sz w:val="24"/>
          <w:szCs w:val="24"/>
          <w:highlight w:val="none"/>
          <w:lang w:val="en-US" w:eastAsia="zh-CN"/>
        </w:rPr>
        <w:t>超声诊断设备采购</w:t>
      </w:r>
      <w:r>
        <w:rPr>
          <w:rFonts w:hint="eastAsia" w:ascii="宋体" w:hAnsi="宋体" w:eastAsia="宋体" w:cs="宋体"/>
          <w:color w:val="auto"/>
          <w:sz w:val="24"/>
          <w:szCs w:val="24"/>
          <w:highlight w:val="none"/>
        </w:rPr>
        <w:t xml:space="preserve">，详见招标文件“第四章  </w:t>
      </w:r>
      <w:r>
        <w:rPr>
          <w:rFonts w:hint="eastAsia" w:ascii="宋体" w:hAnsi="宋体" w:eastAsia="宋体" w:cs="宋体"/>
          <w:color w:val="auto"/>
          <w:sz w:val="24"/>
          <w:szCs w:val="24"/>
          <w:highlight w:val="none"/>
          <w:lang w:eastAsia="zh-CN"/>
        </w:rPr>
        <w:t>项目采购需求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p>
    <w:p w14:paraId="30A37ED2">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lang w:val="en-US" w:eastAsia="zh-CN"/>
        </w:rPr>
        <w:t>否</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lang w:val="en-US" w:eastAsia="zh-CN"/>
        </w:rPr>
        <w:t>接受</w:t>
      </w:r>
      <w:r>
        <w:rPr>
          <w:rFonts w:hint="eastAsia" w:ascii="宋体" w:hAnsi="宋体" w:eastAsia="宋体" w:cs="宋体"/>
          <w:color w:val="auto"/>
          <w:sz w:val="24"/>
          <w:szCs w:val="24"/>
          <w:highlight w:val="none"/>
          <w:u w:val="none"/>
        </w:rPr>
        <w:t>联</w:t>
      </w:r>
      <w:r>
        <w:rPr>
          <w:rFonts w:hint="eastAsia" w:ascii="宋体" w:hAnsi="宋体" w:eastAsia="宋体" w:cs="宋体"/>
          <w:color w:val="auto"/>
          <w:sz w:val="24"/>
          <w:szCs w:val="24"/>
          <w:highlight w:val="none"/>
        </w:rPr>
        <w:t>合体投标。</w:t>
      </w:r>
    </w:p>
    <w:p w14:paraId="1272F1D6">
      <w:pPr>
        <w:pageBreakBefore w:val="0"/>
        <w:kinsoku/>
        <w:wordWrap/>
        <w:overflowPunct/>
        <w:topLinePunct w:val="0"/>
        <w:autoSpaceDE/>
        <w:autoSpaceDN/>
        <w:bidi w:val="0"/>
        <w:adjustRightInd/>
        <w:snapToGrid/>
        <w:spacing w:line="380" w:lineRule="exact"/>
        <w:ind w:left="0" w:leftChars="0" w:right="0" w:rightChars="0"/>
        <w:textAlignment w:val="auto"/>
        <w:rPr>
          <w:rFonts w:hint="eastAsia" w:ascii="宋体" w:hAnsi="宋体" w:eastAsia="宋体" w:cs="宋体"/>
          <w:b/>
          <w:bCs/>
          <w:color w:val="auto"/>
          <w:sz w:val="24"/>
          <w:szCs w:val="24"/>
          <w:highlight w:val="none"/>
        </w:rPr>
      </w:pPr>
      <w:bookmarkStart w:id="14" w:name="_Toc35393622"/>
      <w:bookmarkStart w:id="15" w:name="_Toc28359080"/>
      <w:bookmarkStart w:id="16" w:name="_Toc28359003"/>
      <w:bookmarkStart w:id="17" w:name="_Toc35393791"/>
      <w:r>
        <w:rPr>
          <w:rFonts w:hint="eastAsia" w:ascii="宋体" w:hAnsi="宋体" w:eastAsia="宋体" w:cs="宋体"/>
          <w:b/>
          <w:bCs/>
          <w:color w:val="auto"/>
          <w:sz w:val="24"/>
          <w:szCs w:val="24"/>
          <w:highlight w:val="none"/>
        </w:rPr>
        <w:t>二、申请人的资格要求：</w:t>
      </w:r>
      <w:bookmarkEnd w:id="14"/>
      <w:bookmarkEnd w:id="15"/>
      <w:bookmarkEnd w:id="16"/>
      <w:bookmarkEnd w:id="17"/>
    </w:p>
    <w:p w14:paraId="2455D6F9">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0037EA7E">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eastAsia="zh-CN"/>
        </w:rPr>
      </w:pPr>
      <w:bookmarkStart w:id="18" w:name="_Toc28359081"/>
      <w:bookmarkStart w:id="19" w:name="_Toc28359004"/>
      <w:r>
        <w:rPr>
          <w:rFonts w:hint="eastAsia" w:ascii="宋体" w:hAnsi="宋体" w:eastAsia="宋体" w:cs="宋体"/>
          <w:color w:val="auto"/>
          <w:sz w:val="24"/>
          <w:szCs w:val="24"/>
          <w:highlight w:val="none"/>
        </w:rPr>
        <w:t>2.落实政府采购政策需满足的资格要求：本项目为专门面向中小企业（含中型、小型、微型）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专门面向中小企业采购的项目或者采购标包，</w:t>
      </w:r>
      <w:r>
        <w:rPr>
          <w:rFonts w:hint="eastAsia" w:ascii="宋体" w:hAnsi="宋体" w:eastAsia="宋体" w:cs="宋体"/>
          <w:color w:val="auto"/>
          <w:sz w:val="24"/>
          <w:szCs w:val="24"/>
          <w:highlight w:val="none"/>
          <w:lang w:val="en-US" w:eastAsia="zh-CN"/>
        </w:rPr>
        <w:t>给予</w:t>
      </w:r>
      <w:r>
        <w:rPr>
          <w:rFonts w:hint="eastAsia" w:ascii="宋体" w:hAnsi="宋体" w:eastAsia="宋体" w:cs="宋体"/>
          <w:color w:val="auto"/>
          <w:sz w:val="24"/>
          <w:szCs w:val="24"/>
          <w:highlight w:val="none"/>
        </w:rPr>
        <w:t>价格评审优惠的扶持政策</w:t>
      </w:r>
      <w:r>
        <w:rPr>
          <w:rFonts w:hint="eastAsia" w:ascii="宋体" w:hAnsi="宋体" w:eastAsia="宋体" w:cs="宋体"/>
          <w:color w:val="auto"/>
          <w:sz w:val="24"/>
          <w:szCs w:val="24"/>
          <w:highlight w:val="none"/>
          <w:lang w:eastAsia="zh-CN"/>
        </w:rPr>
        <w:t>，报价给予10%的扣除，用扣除后的价格参加评审。</w:t>
      </w:r>
    </w:p>
    <w:p w14:paraId="049C27CC">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3.本项目的特定资格要求：</w:t>
      </w:r>
      <w:r>
        <w:rPr>
          <w:rFonts w:hint="eastAsia" w:ascii="宋体" w:hAnsi="宋体" w:eastAsia="宋体" w:cs="宋体"/>
          <w:color w:val="auto"/>
          <w:sz w:val="24"/>
          <w:szCs w:val="24"/>
          <w:highlight w:val="none"/>
          <w:lang w:val="en-US" w:eastAsia="zh-CN"/>
        </w:rPr>
        <w:t>投标人具有医疗器械经营资格；属于医疗器械管理的产品需根据《医疗器械监督管理条例》 有关内容办理医疗器械产品注册或备案.</w:t>
      </w:r>
    </w:p>
    <w:p w14:paraId="450266A0">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本项目不接受联合体</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w:t>
      </w:r>
    </w:p>
    <w:p w14:paraId="033C661A">
      <w:pPr>
        <w:pageBreakBefore w:val="0"/>
        <w:kinsoku/>
        <w:wordWrap/>
        <w:overflowPunct/>
        <w:topLinePunct w:val="0"/>
        <w:autoSpaceDE/>
        <w:autoSpaceDN/>
        <w:bidi w:val="0"/>
        <w:adjustRightInd/>
        <w:snapToGrid/>
        <w:spacing w:line="380" w:lineRule="exact"/>
        <w:ind w:left="0" w:leftChars="0" w:right="0" w:rightChars="0"/>
        <w:textAlignment w:val="auto"/>
        <w:rPr>
          <w:rFonts w:hint="eastAsia" w:ascii="宋体" w:hAnsi="宋体" w:eastAsia="宋体" w:cs="宋体"/>
          <w:b/>
          <w:bCs/>
          <w:color w:val="auto"/>
          <w:sz w:val="24"/>
          <w:szCs w:val="24"/>
          <w:highlight w:val="none"/>
        </w:rPr>
      </w:pPr>
      <w:bookmarkStart w:id="20" w:name="_Toc35393792"/>
      <w:bookmarkStart w:id="21" w:name="_Toc35393623"/>
      <w:r>
        <w:rPr>
          <w:rFonts w:hint="eastAsia" w:ascii="宋体" w:hAnsi="宋体" w:eastAsia="宋体" w:cs="宋体"/>
          <w:b/>
          <w:bCs/>
          <w:color w:val="auto"/>
          <w:sz w:val="24"/>
          <w:szCs w:val="24"/>
          <w:highlight w:val="none"/>
        </w:rPr>
        <w:t>三、获取招标文件</w:t>
      </w:r>
      <w:bookmarkEnd w:id="18"/>
      <w:bookmarkEnd w:id="19"/>
      <w:bookmarkEnd w:id="20"/>
      <w:bookmarkEnd w:id="21"/>
    </w:p>
    <w:p w14:paraId="4AEEB0CB">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日至202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日，每天上午00:00至23：59（北京时间，线上获取法定节假日均可）；</w:t>
      </w:r>
    </w:p>
    <w:p w14:paraId="7607427E">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地点：投标人</w:t>
      </w:r>
      <w:r>
        <w:rPr>
          <w:rFonts w:hint="eastAsia" w:ascii="宋体" w:hAnsi="宋体" w:eastAsia="宋体" w:cs="宋体"/>
          <w:color w:val="auto"/>
          <w:sz w:val="24"/>
          <w:szCs w:val="24"/>
          <w:highlight w:val="none"/>
          <w:lang w:eastAsia="zh-CN"/>
        </w:rPr>
        <w:t>登录</w:t>
      </w:r>
      <w:r>
        <w:rPr>
          <w:rFonts w:hint="eastAsia" w:ascii="宋体" w:hAnsi="宋体" w:eastAsia="宋体" w:cs="宋体"/>
          <w:color w:val="auto"/>
          <w:sz w:val="24"/>
          <w:szCs w:val="24"/>
          <w:highlight w:val="none"/>
        </w:rPr>
        <w:t>政采云平台http://www.zcygov.cn/，在线申请获取招标文件（登录政府采购云平台→项目采购→获取招标文件→申请</w:t>
      </w:r>
      <w:r>
        <w:rPr>
          <w:rFonts w:hint="eastAsia" w:ascii="宋体" w:hAnsi="宋体" w:eastAsia="宋体" w:cs="宋体"/>
          <w:color w:val="auto"/>
          <w:sz w:val="24"/>
          <w:szCs w:val="24"/>
          <w:highlight w:val="none"/>
          <w:lang w:eastAsia="zh-CN"/>
        </w:rPr>
        <w:t>即</w:t>
      </w:r>
      <w:r>
        <w:rPr>
          <w:rFonts w:hint="eastAsia" w:ascii="宋体" w:hAnsi="宋体" w:eastAsia="宋体" w:cs="宋体"/>
          <w:color w:val="auto"/>
          <w:sz w:val="24"/>
          <w:szCs w:val="24"/>
          <w:highlight w:val="none"/>
        </w:rPr>
        <w:t>可下载招标文件，如有操作性问题，可与政采云在线客服进行咨询，咨询电话：95763）。</w:t>
      </w:r>
      <w:bookmarkStart w:id="182" w:name="_GoBack"/>
      <w:bookmarkEnd w:id="182"/>
    </w:p>
    <w:p w14:paraId="7F9A598C">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方式：投标人登录新疆政府采购云平台https://www.zcygov.cn/在线申请获取招标文件（登录政府采购云平台→项目采购→获取招标文件→下载招标文件）</w:t>
      </w:r>
    </w:p>
    <w:p w14:paraId="51816285">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w:t>
      </w:r>
      <w:r>
        <w:rPr>
          <w:rFonts w:hint="eastAsia" w:ascii="宋体" w:hAnsi="宋体" w:eastAsia="宋体" w:cs="宋体"/>
          <w:color w:val="auto"/>
          <w:kern w:val="0"/>
          <w:sz w:val="24"/>
          <w:szCs w:val="24"/>
          <w:highlight w:val="none"/>
        </w:rPr>
        <w:t>免费获取</w:t>
      </w:r>
    </w:p>
    <w:p w14:paraId="25E40EB4">
      <w:pPr>
        <w:pageBreakBefore w:val="0"/>
        <w:kinsoku/>
        <w:wordWrap/>
        <w:overflowPunct/>
        <w:topLinePunct w:val="0"/>
        <w:autoSpaceDE/>
        <w:autoSpaceDN/>
        <w:bidi w:val="0"/>
        <w:adjustRightInd/>
        <w:snapToGrid/>
        <w:spacing w:line="380" w:lineRule="exact"/>
        <w:ind w:left="0" w:leftChars="0" w:right="0" w:rightChars="0"/>
        <w:textAlignment w:val="auto"/>
        <w:rPr>
          <w:rFonts w:hint="eastAsia" w:ascii="宋体" w:hAnsi="宋体" w:eastAsia="宋体" w:cs="宋体"/>
          <w:b/>
          <w:bCs/>
          <w:color w:val="auto"/>
          <w:sz w:val="24"/>
          <w:szCs w:val="24"/>
          <w:highlight w:val="none"/>
        </w:rPr>
      </w:pPr>
      <w:bookmarkStart w:id="22" w:name="_Toc28359005"/>
      <w:bookmarkStart w:id="23" w:name="_Toc28359082"/>
      <w:bookmarkStart w:id="24" w:name="_Toc35393793"/>
      <w:bookmarkStart w:id="25" w:name="_Toc35393624"/>
      <w:r>
        <w:rPr>
          <w:rFonts w:hint="eastAsia" w:ascii="宋体" w:hAnsi="宋体" w:eastAsia="宋体" w:cs="宋体"/>
          <w:b/>
          <w:bCs/>
          <w:color w:val="auto"/>
          <w:sz w:val="24"/>
          <w:szCs w:val="24"/>
          <w:highlight w:val="none"/>
        </w:rPr>
        <w:t>四、提交投标文件</w:t>
      </w:r>
      <w:bookmarkEnd w:id="22"/>
      <w:bookmarkEnd w:id="23"/>
      <w:r>
        <w:rPr>
          <w:rFonts w:hint="eastAsia" w:ascii="宋体" w:hAnsi="宋体" w:eastAsia="宋体" w:cs="宋体"/>
          <w:b/>
          <w:bCs/>
          <w:color w:val="auto"/>
          <w:sz w:val="24"/>
          <w:szCs w:val="24"/>
          <w:highlight w:val="none"/>
        </w:rPr>
        <w:t>截止时间、开标时间和地点</w:t>
      </w:r>
      <w:bookmarkEnd w:id="24"/>
      <w:bookmarkEnd w:id="25"/>
    </w:p>
    <w:p w14:paraId="25F8002D">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cs="宋体"/>
          <w:bCs/>
          <w:color w:val="auto"/>
          <w:sz w:val="24"/>
          <w:szCs w:val="24"/>
          <w:highlight w:val="none"/>
          <w:u w:val="single"/>
          <w:lang w:val="en-US" w:eastAsia="zh-CN"/>
        </w:rPr>
        <w:t>04</w:t>
      </w:r>
      <w:r>
        <w:rPr>
          <w:rFonts w:hint="eastAsia" w:ascii="宋体" w:hAnsi="宋体" w:eastAsia="宋体" w:cs="宋体"/>
          <w:bCs/>
          <w:color w:val="auto"/>
          <w:sz w:val="24"/>
          <w:szCs w:val="24"/>
          <w:highlight w:val="none"/>
          <w:u w:val="single"/>
          <w:lang w:val="en-US" w:eastAsia="zh-CN"/>
        </w:rPr>
        <w:t>月</w:t>
      </w:r>
      <w:r>
        <w:rPr>
          <w:rFonts w:hint="eastAsia" w:ascii="宋体" w:hAnsi="宋体" w:cs="宋体"/>
          <w:bCs/>
          <w:color w:val="auto"/>
          <w:sz w:val="24"/>
          <w:szCs w:val="24"/>
          <w:highlight w:val="none"/>
          <w:u w:val="single"/>
          <w:lang w:val="en-US" w:eastAsia="zh-CN"/>
        </w:rPr>
        <w:t>24日</w:t>
      </w:r>
      <w:r>
        <w:rPr>
          <w:rFonts w:hint="eastAsia" w:ascii="宋体" w:hAnsi="宋体" w:eastAsia="宋体" w:cs="宋体"/>
          <w:bCs/>
          <w:color w:val="auto"/>
          <w:sz w:val="24"/>
          <w:szCs w:val="24"/>
          <w:highlight w:val="none"/>
          <w:u w:val="single"/>
        </w:rPr>
        <w:t>1</w:t>
      </w:r>
      <w:r>
        <w:rPr>
          <w:rFonts w:hint="eastAsia" w:ascii="宋体" w:hAnsi="宋体" w:eastAsia="宋体" w:cs="宋体"/>
          <w:bCs/>
          <w:color w:val="auto"/>
          <w:sz w:val="24"/>
          <w:szCs w:val="24"/>
          <w:highlight w:val="none"/>
          <w:u w:val="single"/>
          <w:lang w:val="en-US" w:eastAsia="zh-CN"/>
        </w:rPr>
        <w:t>1</w:t>
      </w:r>
      <w:r>
        <w:rPr>
          <w:rFonts w:hint="eastAsia" w:ascii="宋体" w:hAnsi="宋体" w:eastAsia="宋体" w:cs="宋体"/>
          <w:bCs/>
          <w:color w:val="auto"/>
          <w:sz w:val="24"/>
          <w:szCs w:val="24"/>
          <w:highlight w:val="none"/>
          <w:u w:val="single"/>
        </w:rPr>
        <w:t>点00分</w:t>
      </w:r>
      <w:r>
        <w:rPr>
          <w:rFonts w:hint="eastAsia" w:ascii="宋体" w:hAnsi="宋体" w:eastAsia="宋体" w:cs="宋体"/>
          <w:color w:val="auto"/>
          <w:sz w:val="24"/>
          <w:szCs w:val="24"/>
          <w:highlight w:val="none"/>
        </w:rPr>
        <w:t>（北京时间）</w:t>
      </w:r>
    </w:p>
    <w:p w14:paraId="03E9F39A">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cs="宋体"/>
          <w:bCs/>
          <w:color w:val="auto"/>
          <w:sz w:val="24"/>
          <w:szCs w:val="24"/>
          <w:highlight w:val="none"/>
          <w:u w:val="single"/>
          <w:lang w:val="en-US" w:eastAsia="zh-CN"/>
        </w:rPr>
        <w:t>04</w:t>
      </w:r>
      <w:r>
        <w:rPr>
          <w:rFonts w:hint="eastAsia" w:ascii="宋体" w:hAnsi="宋体" w:eastAsia="宋体" w:cs="宋体"/>
          <w:bCs/>
          <w:color w:val="auto"/>
          <w:sz w:val="24"/>
          <w:szCs w:val="24"/>
          <w:highlight w:val="none"/>
          <w:u w:val="single"/>
          <w:lang w:val="en-US" w:eastAsia="zh-CN"/>
        </w:rPr>
        <w:t>月</w:t>
      </w:r>
      <w:r>
        <w:rPr>
          <w:rFonts w:hint="eastAsia" w:ascii="宋体" w:hAnsi="宋体" w:cs="宋体"/>
          <w:bCs/>
          <w:color w:val="auto"/>
          <w:sz w:val="24"/>
          <w:szCs w:val="24"/>
          <w:highlight w:val="none"/>
          <w:u w:val="single"/>
          <w:lang w:val="en-US" w:eastAsia="zh-CN"/>
        </w:rPr>
        <w:t>24日</w:t>
      </w:r>
      <w:r>
        <w:rPr>
          <w:rFonts w:hint="eastAsia" w:ascii="宋体" w:hAnsi="宋体" w:eastAsia="宋体" w:cs="宋体"/>
          <w:bCs/>
          <w:color w:val="auto"/>
          <w:sz w:val="24"/>
          <w:szCs w:val="24"/>
          <w:highlight w:val="none"/>
          <w:u w:val="single"/>
        </w:rPr>
        <w:t>1</w:t>
      </w:r>
      <w:r>
        <w:rPr>
          <w:rFonts w:hint="eastAsia" w:ascii="宋体" w:hAnsi="宋体" w:eastAsia="宋体" w:cs="宋体"/>
          <w:bCs/>
          <w:color w:val="auto"/>
          <w:sz w:val="24"/>
          <w:szCs w:val="24"/>
          <w:highlight w:val="none"/>
          <w:u w:val="single"/>
          <w:lang w:val="en-US" w:eastAsia="zh-CN"/>
        </w:rPr>
        <w:t>1</w:t>
      </w:r>
      <w:r>
        <w:rPr>
          <w:rFonts w:hint="eastAsia" w:ascii="宋体" w:hAnsi="宋体" w:eastAsia="宋体" w:cs="宋体"/>
          <w:bCs/>
          <w:color w:val="auto"/>
          <w:sz w:val="24"/>
          <w:szCs w:val="24"/>
          <w:highlight w:val="none"/>
          <w:u w:val="single"/>
        </w:rPr>
        <w:t>点00分</w:t>
      </w:r>
      <w:r>
        <w:rPr>
          <w:rFonts w:hint="eastAsia" w:ascii="宋体" w:hAnsi="宋体" w:eastAsia="宋体" w:cs="宋体"/>
          <w:color w:val="auto"/>
          <w:sz w:val="24"/>
          <w:szCs w:val="24"/>
          <w:highlight w:val="none"/>
        </w:rPr>
        <w:t>（北京时间）</w:t>
      </w:r>
    </w:p>
    <w:p w14:paraId="4489298C">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w:t>
      </w:r>
      <w:bookmarkStart w:id="26" w:name="_Toc35393794"/>
      <w:bookmarkStart w:id="27" w:name="_Toc28359007"/>
      <w:bookmarkStart w:id="28" w:name="_Toc35393625"/>
      <w:bookmarkStart w:id="29" w:name="_Toc28359084"/>
      <w:r>
        <w:rPr>
          <w:rFonts w:hint="eastAsia" w:ascii="宋体" w:hAnsi="宋体" w:eastAsia="宋体" w:cs="宋体"/>
          <w:color w:val="auto"/>
          <w:sz w:val="24"/>
          <w:szCs w:val="24"/>
          <w:highlight w:val="none"/>
        </w:rPr>
        <w:t>政采云平台http://www.zcygov.cn/</w:t>
      </w:r>
    </w:p>
    <w:p w14:paraId="1FE3D5C0">
      <w:pPr>
        <w:pageBreakBefore w:val="0"/>
        <w:kinsoku/>
        <w:wordWrap/>
        <w:overflowPunct/>
        <w:topLinePunct w:val="0"/>
        <w:autoSpaceDE/>
        <w:autoSpaceDN/>
        <w:bidi w:val="0"/>
        <w:adjustRightInd/>
        <w:snapToGrid/>
        <w:spacing w:line="380" w:lineRule="exact"/>
        <w:ind w:left="0" w:leftChars="0" w:right="0" w:right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五、公告期限</w:t>
      </w:r>
      <w:bookmarkEnd w:id="26"/>
      <w:bookmarkEnd w:id="27"/>
      <w:bookmarkEnd w:id="28"/>
      <w:bookmarkEnd w:id="29"/>
    </w:p>
    <w:p w14:paraId="457D3B10">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0AD65499">
      <w:pPr>
        <w:pageBreakBefore w:val="0"/>
        <w:kinsoku/>
        <w:wordWrap/>
        <w:overflowPunct/>
        <w:topLinePunct w:val="0"/>
        <w:autoSpaceDE/>
        <w:autoSpaceDN/>
        <w:bidi w:val="0"/>
        <w:adjustRightInd/>
        <w:snapToGrid/>
        <w:spacing w:line="380" w:lineRule="exact"/>
        <w:ind w:left="0" w:leftChars="0" w:right="0" w:rightChars="0"/>
        <w:textAlignment w:val="auto"/>
        <w:rPr>
          <w:rFonts w:hint="eastAsia" w:ascii="宋体" w:hAnsi="宋体" w:eastAsia="宋体" w:cs="宋体"/>
          <w:b/>
          <w:bCs/>
          <w:color w:val="auto"/>
          <w:sz w:val="24"/>
          <w:szCs w:val="24"/>
          <w:highlight w:val="none"/>
        </w:rPr>
      </w:pPr>
      <w:bookmarkStart w:id="30" w:name="_Toc35393626"/>
      <w:bookmarkStart w:id="31" w:name="_Toc35393795"/>
      <w:r>
        <w:rPr>
          <w:rFonts w:hint="eastAsia" w:ascii="宋体" w:hAnsi="宋体" w:eastAsia="宋体" w:cs="宋体"/>
          <w:b/>
          <w:bCs/>
          <w:color w:val="auto"/>
          <w:sz w:val="24"/>
          <w:szCs w:val="24"/>
          <w:highlight w:val="none"/>
        </w:rPr>
        <w:t>六、其他补充事宜</w:t>
      </w:r>
      <w:bookmarkEnd w:id="30"/>
      <w:bookmarkEnd w:id="31"/>
    </w:p>
    <w:p w14:paraId="4B3A1DC8">
      <w:pPr>
        <w:pStyle w:val="46"/>
        <w:keepNext w:val="0"/>
        <w:keepLines w:val="0"/>
        <w:pageBreakBefore w:val="0"/>
        <w:widowControl/>
        <w:numPr>
          <w:ilvl w:val="0"/>
          <w:numId w:val="4"/>
        </w:numPr>
        <w:kinsoku/>
        <w:wordWrap/>
        <w:overflowPunct/>
        <w:topLinePunct w:val="0"/>
        <w:autoSpaceDE/>
        <w:autoSpaceDN/>
        <w:bidi w:val="0"/>
        <w:adjustRightInd/>
        <w:snapToGrid/>
        <w:spacing w:line="380" w:lineRule="exact"/>
        <w:ind w:left="0" w:leftChars="0" w:right="0" w:rightChars="0" w:firstLine="414"/>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本项目实行全流程</w:t>
      </w:r>
      <w:r>
        <w:rPr>
          <w:rFonts w:hint="eastAsia" w:ascii="宋体" w:hAnsi="宋体" w:eastAsia="宋体" w:cs="宋体"/>
          <w:color w:val="auto"/>
          <w:sz w:val="24"/>
          <w:szCs w:val="24"/>
          <w:highlight w:val="none"/>
        </w:rPr>
        <w:t>电子交易方式</w:t>
      </w:r>
      <w:r>
        <w:rPr>
          <w:rFonts w:hint="eastAsia" w:ascii="宋体" w:hAnsi="宋体" w:eastAsia="宋体" w:cs="宋体"/>
          <w:color w:val="auto"/>
          <w:kern w:val="0"/>
          <w:sz w:val="24"/>
          <w:szCs w:val="24"/>
          <w:highlight w:val="none"/>
        </w:rPr>
        <w:t>，采用电子加密</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上传方式；</w:t>
      </w:r>
    </w:p>
    <w:p w14:paraId="3747A1F0">
      <w:pPr>
        <w:pStyle w:val="46"/>
        <w:keepNext w:val="0"/>
        <w:keepLines w:val="0"/>
        <w:pageBreakBefore w:val="0"/>
        <w:widowControl/>
        <w:numPr>
          <w:ilvl w:val="0"/>
          <w:numId w:val="4"/>
        </w:numPr>
        <w:kinsoku/>
        <w:wordWrap/>
        <w:overflowPunct/>
        <w:topLinePunct w:val="0"/>
        <w:autoSpaceDE/>
        <w:autoSpaceDN/>
        <w:bidi w:val="0"/>
        <w:adjustRightInd/>
        <w:snapToGrid/>
        <w:spacing w:line="380" w:lineRule="exact"/>
        <w:ind w:left="0" w:leftChars="0" w:right="0" w:rightChars="0" w:firstLine="414"/>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各</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在</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前应确保成为新疆政府采购网正式注册入库</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，并完成CA数字证书（符合国密标准）申领。因未注册入库、未办理CA数字证书等原因造成无法上传或</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失败等后果由</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自行承担。有意向参与的</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，可访问新疆数字证书认证中心官方网站（https://www.xjca.com.cn/）或下载“新疆政务通”APP自行申领。如需咨询，请联系新疆CA服务热线0991-2819290；</w:t>
      </w:r>
    </w:p>
    <w:p w14:paraId="089D45F2">
      <w:pPr>
        <w:pStyle w:val="46"/>
        <w:keepNext w:val="0"/>
        <w:keepLines w:val="0"/>
        <w:pageBreakBefore w:val="0"/>
        <w:widowControl/>
        <w:numPr>
          <w:ilvl w:val="0"/>
          <w:numId w:val="4"/>
        </w:numPr>
        <w:kinsoku/>
        <w:wordWrap/>
        <w:overflowPunct/>
        <w:topLinePunct w:val="0"/>
        <w:autoSpaceDE/>
        <w:autoSpaceDN/>
        <w:bidi w:val="0"/>
        <w:adjustRightInd/>
        <w:snapToGrid/>
        <w:spacing w:line="380" w:lineRule="exact"/>
        <w:ind w:left="0" w:leftChars="0" w:right="0" w:rightChars="0" w:firstLine="414"/>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在完成政采云电子交易客户端下载、安装后，可通过账号密码或CA登录客户端进行</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的制作。在使用“政采云投标客户端”时，建议使用WIN7及以上操作系统。客户端请至新疆政府采购网（http://www.ccgp-xinjiang.gov.cn/）下载专区查看，如遇问题可拨打政采云客户服务热线95763进行咨询。如因</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自身原因导致在规定时间内无法正常解密的（如：浏览器故障、未安装相关驱动、网络故障、加密CA与解密CA不一致等），采购中心、代理机构不予异常处理，视为</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自动弃标；</w:t>
      </w:r>
    </w:p>
    <w:p w14:paraId="624DE4D4">
      <w:pPr>
        <w:pStyle w:val="46"/>
        <w:keepNext w:val="0"/>
        <w:keepLines w:val="0"/>
        <w:pageBreakBefore w:val="0"/>
        <w:widowControl/>
        <w:numPr>
          <w:ilvl w:val="0"/>
          <w:numId w:val="4"/>
        </w:numPr>
        <w:kinsoku/>
        <w:wordWrap/>
        <w:overflowPunct/>
        <w:topLinePunct w:val="0"/>
        <w:autoSpaceDE/>
        <w:autoSpaceDN/>
        <w:bidi w:val="0"/>
        <w:adjustRightInd/>
        <w:snapToGrid/>
        <w:spacing w:line="380" w:lineRule="exact"/>
        <w:ind w:left="0" w:leftChars="0" w:right="0" w:rightChars="0" w:firstLine="414"/>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应当在</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截止时间前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将生成的“电子加密</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”上传至“政府采购云平台”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截止时间以后上传的</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将被“政府采购云平台”拒收；</w:t>
      </w:r>
    </w:p>
    <w:p w14:paraId="2F3031B9">
      <w:pPr>
        <w:pStyle w:val="46"/>
        <w:keepNext w:val="0"/>
        <w:keepLines w:val="0"/>
        <w:pageBreakBefore w:val="0"/>
        <w:widowControl w:val="0"/>
        <w:numPr>
          <w:ilvl w:val="0"/>
          <w:numId w:val="4"/>
        </w:numPr>
        <w:kinsoku/>
        <w:wordWrap/>
        <w:overflowPunct/>
        <w:topLinePunct w:val="0"/>
        <w:autoSpaceDE/>
        <w:autoSpaceDN/>
        <w:bidi w:val="0"/>
        <w:adjustRightInd/>
        <w:snapToGrid/>
        <w:spacing w:line="380" w:lineRule="exact"/>
        <w:ind w:left="0" w:leftChars="0" w:right="0" w:rightChars="0" w:firstLine="414"/>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在</w:t>
      </w:r>
      <w:r>
        <w:rPr>
          <w:rFonts w:hint="eastAsia" w:ascii="宋体" w:hAnsi="宋体" w:eastAsia="宋体" w:cs="宋体"/>
          <w:color w:val="auto"/>
          <w:kern w:val="0"/>
          <w:sz w:val="24"/>
          <w:szCs w:val="24"/>
          <w:highlight w:val="none"/>
          <w:lang w:val="en-US" w:eastAsia="zh-CN"/>
        </w:rPr>
        <w:t>投标</w:t>
      </w:r>
      <w:r>
        <w:rPr>
          <w:rFonts w:hint="eastAsia" w:ascii="宋体" w:hAnsi="宋体" w:eastAsia="宋体" w:cs="宋体"/>
          <w:color w:val="auto"/>
          <w:kern w:val="0"/>
          <w:sz w:val="24"/>
          <w:szCs w:val="24"/>
          <w:highlight w:val="none"/>
        </w:rPr>
        <w:t>前须提前配置好电脑浏览器（建议使用360浏览器或谷歌浏览器）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开标时登录政采云平台，在“项目采购</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开标评审”功能中，使用制作加密</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电子标书的CA锁进行解密及报价确认。本项目</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的解密时间定为30分钟内</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若</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在规定时间内因自身原因导致无法正常解密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后果由</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自行承担；</w:t>
      </w:r>
    </w:p>
    <w:p w14:paraId="74DC6D42">
      <w:pPr>
        <w:pStyle w:val="46"/>
        <w:keepNext w:val="0"/>
        <w:keepLines w:val="0"/>
        <w:pageBreakBefore w:val="0"/>
        <w:widowControl w:val="0"/>
        <w:numPr>
          <w:ilvl w:val="0"/>
          <w:numId w:val="4"/>
        </w:numPr>
        <w:kinsoku/>
        <w:wordWrap/>
        <w:overflowPunct/>
        <w:topLinePunct w:val="0"/>
        <w:autoSpaceDE/>
        <w:autoSpaceDN/>
        <w:bidi w:val="0"/>
        <w:adjustRightInd/>
        <w:snapToGrid/>
        <w:spacing w:line="380" w:lineRule="exact"/>
        <w:ind w:left="0" w:leftChars="0" w:right="0" w:rightChars="0" w:firstLine="414"/>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登录政采云平台，在开标时间后30分钟内用“项目采购</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开标评审”功能进行解密</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，若</w:t>
      </w: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在规定时间内未按时解密的，视为响应无效。解密与加密</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rPr>
        <w:t>须使用同一个 CA。</w:t>
      </w:r>
    </w:p>
    <w:p w14:paraId="3E27967A">
      <w:pPr>
        <w:pStyle w:val="104"/>
        <w:pageBreakBefore w:val="0"/>
        <w:kinsoku/>
        <w:wordWrap/>
        <w:overflowPunct/>
        <w:topLinePunct w:val="0"/>
        <w:bidi w:val="0"/>
        <w:snapToGrid w:val="0"/>
        <w:spacing w:line="380" w:lineRule="exact"/>
        <w:ind w:left="0" w:leftChars="0" w:right="0" w:right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特别提示：</w:t>
      </w:r>
    </w:p>
    <w:p w14:paraId="713435BE">
      <w:pPr>
        <w:pStyle w:val="104"/>
        <w:pageBreakBefore w:val="0"/>
        <w:kinsoku/>
        <w:wordWrap/>
        <w:overflowPunct/>
        <w:topLinePunct w:val="0"/>
        <w:bidi w:val="0"/>
        <w:snapToGrid w:val="0"/>
        <w:spacing w:line="380" w:lineRule="exact"/>
        <w:ind w:left="0" w:leftChars="0" w:right="0" w:right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1、采购限额标准以上，200万元以下的货物和服务采购项目、400万元以下的工程采购项目，适宜由中小企业提供的，采购人应当专门面向中小企业采购。</w:t>
      </w:r>
    </w:p>
    <w:p w14:paraId="75A91128">
      <w:pPr>
        <w:pStyle w:val="104"/>
        <w:pageBreakBefore w:val="0"/>
        <w:kinsoku/>
        <w:wordWrap/>
        <w:overflowPunct/>
        <w:topLinePunct w:val="0"/>
        <w:bidi w:val="0"/>
        <w:snapToGrid w:val="0"/>
        <w:spacing w:line="380" w:lineRule="exact"/>
        <w:ind w:left="0" w:leftChars="0" w:right="0" w:right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2、超过200万元的货物和服务采购项目，预留该部分采购项目预算总额的30%以上专门面向中小企业采购，其中预留给小微企业的比例不低于60%。</w:t>
      </w:r>
    </w:p>
    <w:p w14:paraId="73DFEEB0">
      <w:pPr>
        <w:pStyle w:val="104"/>
        <w:pageBreakBefore w:val="0"/>
        <w:kinsoku/>
        <w:wordWrap/>
        <w:overflowPunct/>
        <w:topLinePunct w:val="0"/>
        <w:bidi w:val="0"/>
        <w:snapToGrid w:val="0"/>
        <w:spacing w:line="380" w:lineRule="exact"/>
        <w:ind w:left="0" w:leftChars="0" w:right="0" w:right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3、超过400万元的工程采购项目中适宜由中小企业提供的，预留该部分采购项目预算总额的40%以上专门面向中小企业采购，其中预留给小微企业的比例不低于60%。</w:t>
      </w:r>
    </w:p>
    <w:p w14:paraId="6737634D">
      <w:pPr>
        <w:pStyle w:val="104"/>
        <w:pageBreakBefore w:val="0"/>
        <w:kinsoku/>
        <w:wordWrap/>
        <w:overflowPunct/>
        <w:topLinePunct w:val="0"/>
        <w:bidi w:val="0"/>
        <w:snapToGrid w:val="0"/>
        <w:spacing w:line="380" w:lineRule="exact"/>
        <w:ind w:left="0" w:leftChars="0" w:right="0" w:right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4、对于未预留份额专门面向中小企业的采购项目，以及预留份额项目中的非预留部分采购包，采购人、采购代理机构应当对符合规定的小微企业报价给予10%</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20%（工程项目为3%</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5%）的扣除，用扣除后的价格参加评审。适用招标投标法的政府采购工程建设项目，采用综合评估法但未采用低价优先法计算价格分的，评标时应当在采用原报价进行评分的基础上增加其价格得分的3%</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5%作为其价格分。</w:t>
      </w:r>
    </w:p>
    <w:p w14:paraId="4C2DC246">
      <w:pPr>
        <w:pStyle w:val="104"/>
        <w:pageBreakBefore w:val="0"/>
        <w:kinsoku/>
        <w:wordWrap/>
        <w:overflowPunct/>
        <w:topLinePunct w:val="0"/>
        <w:bidi w:val="0"/>
        <w:snapToGrid w:val="0"/>
        <w:spacing w:line="380" w:lineRule="exact"/>
        <w:ind w:left="0" w:leftChars="0" w:right="0" w:rightChars="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6%（工程项目为1%</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2%）的扣除，用扣除后的价格参加评审。适用招标投标法的政府采购工程建设项目，采用综合评估法但未采用低价优先法计算价格分的，评标时应当在采用原报价进行评分的基础上增加其价格得分的1%</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2%作为其价格分。</w:t>
      </w:r>
    </w:p>
    <w:p w14:paraId="36C90F3F">
      <w:pPr>
        <w:pageBreakBefore w:val="0"/>
        <w:kinsoku/>
        <w:wordWrap/>
        <w:overflowPunct/>
        <w:topLinePunct w:val="0"/>
        <w:autoSpaceDE/>
        <w:autoSpaceDN/>
        <w:bidi w:val="0"/>
        <w:adjustRightInd/>
        <w:snapToGrid/>
        <w:spacing w:line="380" w:lineRule="exact"/>
        <w:ind w:left="0" w:leftChars="0" w:right="0" w:rightChars="0"/>
        <w:textAlignment w:val="auto"/>
        <w:rPr>
          <w:rFonts w:hint="eastAsia" w:ascii="宋体" w:hAnsi="宋体" w:eastAsia="宋体" w:cs="宋体"/>
          <w:b/>
          <w:bCs/>
          <w:color w:val="auto"/>
          <w:sz w:val="24"/>
          <w:szCs w:val="24"/>
          <w:highlight w:val="none"/>
        </w:rPr>
      </w:pPr>
      <w:bookmarkStart w:id="32" w:name="_Toc35393796"/>
      <w:bookmarkStart w:id="33" w:name="_Toc28359008"/>
      <w:bookmarkStart w:id="34" w:name="_Toc35393627"/>
      <w:bookmarkStart w:id="35" w:name="_Toc28359085"/>
      <w:r>
        <w:rPr>
          <w:rFonts w:hint="eastAsia" w:ascii="宋体" w:hAnsi="宋体" w:eastAsia="宋体" w:cs="宋体"/>
          <w:b/>
          <w:bCs/>
          <w:color w:val="auto"/>
          <w:sz w:val="24"/>
          <w:szCs w:val="24"/>
          <w:highlight w:val="none"/>
        </w:rPr>
        <w:t>七、对本次招标提出询问，请按以下方式联系</w:t>
      </w:r>
      <w:bookmarkEnd w:id="32"/>
      <w:bookmarkEnd w:id="33"/>
      <w:bookmarkEnd w:id="34"/>
      <w:bookmarkEnd w:id="35"/>
      <w:r>
        <w:rPr>
          <w:rFonts w:hint="eastAsia" w:ascii="宋体" w:hAnsi="宋体" w:eastAsia="宋体" w:cs="宋体"/>
          <w:b/>
          <w:bCs/>
          <w:color w:val="auto"/>
          <w:sz w:val="24"/>
          <w:szCs w:val="24"/>
          <w:highlight w:val="none"/>
        </w:rPr>
        <w:t>：</w:t>
      </w:r>
    </w:p>
    <w:p w14:paraId="0138FB4B">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07CB2E4B">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ascii="宋体" w:hAnsi="宋体" w:eastAsia="宋体" w:cs="宋体"/>
          <w:i w:val="0"/>
          <w:iCs w:val="0"/>
          <w:color w:val="auto"/>
          <w:sz w:val="24"/>
          <w:szCs w:val="24"/>
          <w:highlight w:val="none"/>
          <w:lang w:val="en-US" w:eastAsia="zh-CN"/>
        </w:rPr>
        <w:t>新疆医科大学附属肿瘤医院</w:t>
      </w:r>
    </w:p>
    <w:p w14:paraId="28DB82CF">
      <w:pPr>
        <w:pageBreakBefore w:val="0"/>
        <w:kinsoku/>
        <w:wordWrap/>
        <w:overflowPunct/>
        <w:topLinePunct w:val="0"/>
        <w:autoSpaceDE/>
        <w:autoSpaceDN/>
        <w:bidi w:val="0"/>
        <w:adjustRightInd/>
        <w:snapToGrid/>
        <w:spacing w:line="380" w:lineRule="exact"/>
        <w:ind w:left="0" w:leftChars="0" w:right="0" w:rightChars="0" w:firstLine="540"/>
        <w:textAlignment w:val="auto"/>
        <w:rPr>
          <w:rStyle w:val="43"/>
          <w:rFonts w:hint="eastAsia" w:ascii="宋体" w:hAnsi="宋体" w:eastAsia="宋体" w:cs="宋体"/>
          <w:bCs/>
          <w:color w:val="auto"/>
          <w:sz w:val="24"/>
          <w:szCs w:val="24"/>
          <w:highlight w:val="none"/>
          <w:lang w:val="en-US" w:eastAsia="zh-CN"/>
        </w:rPr>
      </w:pPr>
      <w:r>
        <w:rPr>
          <w:rFonts w:hint="eastAsia" w:ascii="宋体" w:hAnsi="宋体" w:eastAsia="宋体" w:cs="宋体"/>
          <w:color w:val="auto"/>
          <w:sz w:val="24"/>
          <w:szCs w:val="24"/>
          <w:highlight w:val="none"/>
        </w:rPr>
        <w:t>地址：乌鲁木齐市苏州东街789号</w:t>
      </w:r>
    </w:p>
    <w:p w14:paraId="61BFDDF9">
      <w:pPr>
        <w:pageBreakBefore w:val="0"/>
        <w:kinsoku/>
        <w:wordWrap/>
        <w:overflowPunct/>
        <w:topLinePunct w:val="0"/>
        <w:autoSpaceDE/>
        <w:autoSpaceDN/>
        <w:bidi w:val="0"/>
        <w:adjustRightInd/>
        <w:snapToGrid/>
        <w:spacing w:line="380" w:lineRule="exact"/>
        <w:ind w:left="0" w:leftChars="0" w:right="0" w:rightChars="0" w:firstLine="54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电话</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0991-7819055</w:t>
      </w:r>
      <w:r>
        <w:rPr>
          <w:rFonts w:hint="eastAsia" w:ascii="宋体" w:hAnsi="宋体" w:eastAsia="宋体" w:cs="宋体"/>
          <w:color w:val="auto"/>
          <w:sz w:val="24"/>
          <w:szCs w:val="24"/>
          <w:highlight w:val="none"/>
        </w:rPr>
        <w:t xml:space="preserve">　　　　　　　 </w:t>
      </w:r>
      <w:bookmarkStart w:id="36" w:name="_Toc28359009"/>
      <w:bookmarkStart w:id="37" w:name="_Toc28359086"/>
    </w:p>
    <w:p w14:paraId="6DE8F3C2">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bookmarkEnd w:id="36"/>
      <w:bookmarkEnd w:id="37"/>
    </w:p>
    <w:p w14:paraId="6EDDD68B">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Style w:val="43"/>
          <w:rFonts w:hint="eastAsia" w:ascii="宋体" w:hAnsi="宋体" w:eastAsia="宋体" w:cs="宋体"/>
          <w:bCs/>
          <w:color w:val="auto"/>
          <w:sz w:val="24"/>
          <w:szCs w:val="24"/>
          <w:highlight w:val="none"/>
          <w:lang w:eastAsia="zh-CN"/>
        </w:rPr>
        <w:t>陕西方得项目管理有限公司</w:t>
      </w:r>
    </w:p>
    <w:p w14:paraId="01E31360">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i w:val="0"/>
          <w:iCs w:val="0"/>
          <w:color w:val="auto"/>
          <w:sz w:val="24"/>
          <w:szCs w:val="24"/>
          <w:highlight w:val="none"/>
          <w:lang w:val="en-US" w:eastAsia="zh-CN"/>
        </w:rPr>
        <w:t>新疆乌鲁木齐市水磨沟区恒大绿洲二期10-2-1905室</w:t>
      </w:r>
    </w:p>
    <w:p w14:paraId="002B4C03">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i w:val="0"/>
          <w:iCs w:val="0"/>
          <w:color w:val="auto"/>
          <w:sz w:val="24"/>
          <w:szCs w:val="24"/>
          <w:highlight w:val="none"/>
          <w:lang w:val="en-US" w:eastAsia="zh-CN"/>
        </w:rPr>
        <w:t>马平利、胡雅洁、马泽新、王浩</w:t>
      </w:r>
    </w:p>
    <w:p w14:paraId="58428839">
      <w:pPr>
        <w:pageBreakBefore w:val="0"/>
        <w:kinsoku/>
        <w:wordWrap/>
        <w:overflowPunct/>
        <w:topLinePunct w:val="0"/>
        <w:autoSpaceDE/>
        <w:autoSpaceDN/>
        <w:bidi w:val="0"/>
        <w:adjustRightInd/>
        <w:snapToGrid/>
        <w:spacing w:line="38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电话：</w:t>
      </w:r>
      <w:r>
        <w:rPr>
          <w:rFonts w:hint="eastAsia" w:ascii="宋体" w:hAnsi="宋体" w:cs="宋体"/>
          <w:i w:val="0"/>
          <w:iCs w:val="0"/>
          <w:color w:val="auto"/>
          <w:sz w:val="24"/>
          <w:szCs w:val="24"/>
          <w:highlight w:val="none"/>
          <w:lang w:val="en-US" w:eastAsia="zh-CN"/>
        </w:rPr>
        <w:t>15699133769、</w:t>
      </w:r>
      <w:r>
        <w:rPr>
          <w:rFonts w:hint="eastAsia" w:ascii="宋体" w:hAnsi="宋体" w:eastAsia="宋体" w:cs="宋体"/>
          <w:i w:val="0"/>
          <w:iCs w:val="0"/>
          <w:color w:val="auto"/>
          <w:sz w:val="24"/>
          <w:szCs w:val="24"/>
          <w:highlight w:val="none"/>
          <w:lang w:val="en-US" w:eastAsia="zh-CN"/>
        </w:rPr>
        <w:t>16699192061</w:t>
      </w:r>
    </w:p>
    <w:p w14:paraId="5E34ABD8">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5383E874">
      <w:pPr>
        <w:pStyle w:val="2"/>
        <w:pageBreakBefore w:val="0"/>
        <w:kinsoku/>
        <w:wordWrap/>
        <w:overflowPunct/>
        <w:topLinePunct w:val="0"/>
        <w:autoSpaceDE/>
        <w:autoSpaceDN/>
        <w:bidi w:val="0"/>
        <w:spacing w:before="0" w:after="0" w:line="560" w:lineRule="exact"/>
        <w:ind w:left="0" w:leftChars="0" w:right="0" w:rightChars="0" w:firstLine="0" w:firstLineChars="0"/>
        <w:jc w:val="center"/>
        <w:textAlignment w:val="auto"/>
        <w:rPr>
          <w:rFonts w:hint="eastAsia" w:ascii="宋体" w:hAnsi="宋体" w:eastAsia="宋体" w:cs="宋体"/>
          <w:b/>
          <w:bCs/>
          <w:color w:val="auto"/>
          <w:sz w:val="28"/>
          <w:szCs w:val="28"/>
          <w:highlight w:val="none"/>
        </w:rPr>
      </w:pPr>
      <w:bookmarkStart w:id="38" w:name="_Toc5608"/>
      <w:r>
        <w:rPr>
          <w:rFonts w:hint="eastAsia" w:ascii="宋体" w:hAnsi="宋体" w:eastAsia="宋体" w:cs="宋体"/>
          <w:b/>
          <w:bCs/>
          <w:color w:val="auto"/>
          <w:sz w:val="28"/>
          <w:szCs w:val="28"/>
          <w:highlight w:val="none"/>
        </w:rPr>
        <w:t>第二章  投标人须知</w:t>
      </w:r>
      <w:bookmarkEnd w:id="3"/>
      <w:bookmarkEnd w:id="4"/>
      <w:bookmarkEnd w:id="5"/>
      <w:bookmarkEnd w:id="6"/>
      <w:bookmarkEnd w:id="7"/>
      <w:bookmarkEnd w:id="8"/>
      <w:bookmarkEnd w:id="38"/>
    </w:p>
    <w:p w14:paraId="6750A163">
      <w:pPr>
        <w:keepNext/>
        <w:keepLines/>
        <w:pageBreakBefore w:val="0"/>
        <w:kinsoku/>
        <w:wordWrap/>
        <w:overflowPunct/>
        <w:topLinePunct w:val="0"/>
        <w:autoSpaceDE/>
        <w:autoSpaceDN/>
        <w:bidi w:val="0"/>
        <w:spacing w:line="560" w:lineRule="exact"/>
        <w:ind w:left="0" w:leftChars="0" w:right="0" w:rightChars="0" w:firstLine="0" w:firstLineChars="0"/>
        <w:jc w:val="center"/>
        <w:textAlignment w:val="auto"/>
        <w:outlineLvl w:val="1"/>
        <w:rPr>
          <w:rFonts w:hint="eastAsia" w:ascii="宋体" w:hAnsi="宋体" w:eastAsia="宋体" w:cs="宋体"/>
          <w:b/>
          <w:bCs/>
          <w:color w:val="auto"/>
          <w:sz w:val="24"/>
          <w:szCs w:val="24"/>
          <w:highlight w:val="none"/>
        </w:rPr>
      </w:pPr>
      <w:bookmarkStart w:id="39" w:name="_Toc217446032"/>
      <w:bookmarkStart w:id="40" w:name="_Toc213496268"/>
      <w:bookmarkStart w:id="41" w:name="_Toc213397010"/>
      <w:bookmarkStart w:id="42" w:name="_Toc213396760"/>
      <w:bookmarkStart w:id="43" w:name="_Toc189727030"/>
      <w:bookmarkStart w:id="44" w:name="_Toc213396946"/>
      <w:r>
        <w:rPr>
          <w:rFonts w:hint="eastAsia" w:ascii="宋体" w:hAnsi="宋体" w:eastAsia="宋体" w:cs="宋体"/>
          <w:b/>
          <w:bCs/>
          <w:color w:val="auto"/>
          <w:sz w:val="24"/>
          <w:szCs w:val="24"/>
          <w:highlight w:val="none"/>
        </w:rPr>
        <w:t>一、投标人须知前附表</w:t>
      </w:r>
      <w:bookmarkEnd w:id="39"/>
      <w:bookmarkEnd w:id="40"/>
      <w:bookmarkEnd w:id="41"/>
      <w:bookmarkEnd w:id="42"/>
      <w:bookmarkEnd w:id="43"/>
      <w:bookmarkEnd w:id="44"/>
    </w:p>
    <w:tbl>
      <w:tblPr>
        <w:tblStyle w:val="31"/>
        <w:tblW w:w="485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561"/>
        <w:gridCol w:w="1"/>
        <w:gridCol w:w="7350"/>
        <w:gridCol w:w="1"/>
      </w:tblGrid>
      <w:tr w14:paraId="0EB1C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764" w:type="dxa"/>
            <w:vAlign w:val="center"/>
          </w:tcPr>
          <w:p w14:paraId="37F6FB0D">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562" w:type="dxa"/>
            <w:gridSpan w:val="2"/>
            <w:vAlign w:val="center"/>
          </w:tcPr>
          <w:p w14:paraId="2F453750">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名 称</w:t>
            </w:r>
          </w:p>
        </w:tc>
        <w:tc>
          <w:tcPr>
            <w:tcW w:w="7353" w:type="dxa"/>
            <w:gridSpan w:val="2"/>
            <w:vAlign w:val="center"/>
          </w:tcPr>
          <w:p w14:paraId="3D51953C">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   容</w:t>
            </w:r>
          </w:p>
        </w:tc>
      </w:tr>
      <w:tr w14:paraId="6B09A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764" w:type="dxa"/>
            <w:vAlign w:val="center"/>
          </w:tcPr>
          <w:p w14:paraId="55E4697B">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62" w:type="dxa"/>
            <w:gridSpan w:val="2"/>
            <w:vAlign w:val="center"/>
          </w:tcPr>
          <w:p w14:paraId="00E718D6">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7353" w:type="dxa"/>
            <w:gridSpan w:val="2"/>
            <w:vAlign w:val="center"/>
          </w:tcPr>
          <w:p w14:paraId="65723CE9">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名称：</w:t>
            </w:r>
            <w:r>
              <w:rPr>
                <w:rFonts w:hint="eastAsia" w:ascii="宋体" w:hAnsi="宋体" w:eastAsia="宋体" w:cs="宋体"/>
                <w:i w:val="0"/>
                <w:iCs w:val="0"/>
                <w:color w:val="auto"/>
                <w:sz w:val="24"/>
                <w:szCs w:val="24"/>
                <w:highlight w:val="none"/>
                <w:lang w:val="en-US" w:eastAsia="zh-CN"/>
              </w:rPr>
              <w:t>新疆医科大学附属肿瘤医院</w:t>
            </w:r>
          </w:p>
          <w:p w14:paraId="093A88D6">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地址：乌鲁木齐市苏州东街789号</w:t>
            </w:r>
          </w:p>
          <w:p w14:paraId="2B20FCAD">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Style w:val="43"/>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联系人：</w:t>
            </w:r>
            <w:r>
              <w:rPr>
                <w:rStyle w:val="43"/>
                <w:rFonts w:hint="eastAsia" w:ascii="宋体" w:hAnsi="宋体" w:eastAsia="宋体" w:cs="宋体"/>
                <w:bCs/>
                <w:color w:val="auto"/>
                <w:sz w:val="24"/>
                <w:szCs w:val="24"/>
                <w:highlight w:val="none"/>
                <w:lang w:val="en-US" w:eastAsia="zh-CN"/>
              </w:rPr>
              <w:t>丁老师</w:t>
            </w:r>
          </w:p>
          <w:p w14:paraId="165D7C23">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lang w:eastAsia="zh-CN"/>
              </w:rPr>
              <w:t>0991-7819055</w:t>
            </w:r>
            <w:r>
              <w:rPr>
                <w:rFonts w:hint="eastAsia" w:ascii="宋体" w:hAnsi="宋体" w:eastAsia="宋体" w:cs="宋体"/>
                <w:color w:val="auto"/>
                <w:sz w:val="24"/>
                <w:szCs w:val="24"/>
                <w:highlight w:val="none"/>
              </w:rPr>
              <w:t>　</w:t>
            </w:r>
          </w:p>
        </w:tc>
      </w:tr>
      <w:tr w14:paraId="3934A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764" w:type="dxa"/>
            <w:vAlign w:val="center"/>
          </w:tcPr>
          <w:p w14:paraId="3D71619C">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562" w:type="dxa"/>
            <w:gridSpan w:val="2"/>
            <w:vAlign w:val="center"/>
          </w:tcPr>
          <w:p w14:paraId="326B630E">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p>
        </w:tc>
        <w:tc>
          <w:tcPr>
            <w:tcW w:w="7353" w:type="dxa"/>
            <w:gridSpan w:val="2"/>
            <w:vAlign w:val="center"/>
          </w:tcPr>
          <w:p w14:paraId="6CCE7F22">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Style w:val="43"/>
                <w:rFonts w:hint="eastAsia" w:ascii="宋体" w:hAnsi="宋体" w:eastAsia="宋体" w:cs="宋体"/>
                <w:bCs/>
                <w:color w:val="auto"/>
                <w:sz w:val="24"/>
                <w:szCs w:val="24"/>
                <w:highlight w:val="none"/>
                <w:lang w:eastAsia="zh-CN"/>
              </w:rPr>
              <w:t>陕西方得项目管理有限公司</w:t>
            </w:r>
          </w:p>
          <w:p w14:paraId="383DD5EA">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地址：</w:t>
            </w:r>
            <w:r>
              <w:rPr>
                <w:rFonts w:hint="eastAsia" w:ascii="宋体" w:hAnsi="宋体" w:eastAsia="宋体" w:cs="宋体"/>
                <w:i w:val="0"/>
                <w:iCs w:val="0"/>
                <w:color w:val="auto"/>
                <w:sz w:val="24"/>
                <w:szCs w:val="24"/>
                <w:highlight w:val="none"/>
                <w:lang w:val="en-US" w:eastAsia="zh-CN"/>
              </w:rPr>
              <w:t>新疆乌鲁木齐市水磨沟区恒大绿洲二期10-2-1905室</w:t>
            </w:r>
          </w:p>
          <w:p w14:paraId="2ED499D9">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cs="宋体"/>
                <w:i w:val="0"/>
                <w:iCs w:val="0"/>
                <w:color w:val="auto"/>
                <w:sz w:val="24"/>
                <w:szCs w:val="24"/>
                <w:highlight w:val="none"/>
                <w:lang w:val="en-US" w:eastAsia="zh-CN"/>
              </w:rPr>
              <w:t>马平利、胡雅洁、马泽新、王浩</w:t>
            </w:r>
          </w:p>
          <w:p w14:paraId="2F1F8C6A">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电话：</w:t>
            </w:r>
            <w:r>
              <w:rPr>
                <w:rFonts w:hint="eastAsia" w:ascii="宋体" w:hAnsi="宋体" w:cs="宋体"/>
                <w:i w:val="0"/>
                <w:iCs w:val="0"/>
                <w:color w:val="auto"/>
                <w:sz w:val="24"/>
                <w:szCs w:val="24"/>
                <w:highlight w:val="none"/>
                <w:lang w:val="en-US" w:eastAsia="zh-CN"/>
              </w:rPr>
              <w:t>15699133769、1</w:t>
            </w:r>
            <w:r>
              <w:rPr>
                <w:rFonts w:hint="eastAsia" w:ascii="宋体" w:hAnsi="宋体" w:eastAsia="宋体" w:cs="宋体"/>
                <w:i w:val="0"/>
                <w:iCs w:val="0"/>
                <w:color w:val="auto"/>
                <w:sz w:val="24"/>
                <w:szCs w:val="24"/>
                <w:highlight w:val="none"/>
                <w:lang w:val="en-US" w:eastAsia="zh-CN"/>
              </w:rPr>
              <w:t>6699192061</w:t>
            </w:r>
          </w:p>
        </w:tc>
      </w:tr>
      <w:tr w14:paraId="51636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 w:hRule="atLeast"/>
          <w:jc w:val="center"/>
        </w:trPr>
        <w:tc>
          <w:tcPr>
            <w:tcW w:w="764" w:type="dxa"/>
            <w:vAlign w:val="center"/>
          </w:tcPr>
          <w:p w14:paraId="297DFF0B">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562" w:type="dxa"/>
            <w:gridSpan w:val="2"/>
            <w:vAlign w:val="center"/>
          </w:tcPr>
          <w:p w14:paraId="1A7662F2">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7353" w:type="dxa"/>
            <w:gridSpan w:val="2"/>
            <w:vAlign w:val="center"/>
          </w:tcPr>
          <w:p w14:paraId="3212CCBC">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新疆医科大学附属肿瘤医院内窥镜超声诊断设备采购项目</w:t>
            </w:r>
          </w:p>
        </w:tc>
      </w:tr>
      <w:tr w14:paraId="7AFB0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jc w:val="center"/>
        </w:trPr>
        <w:tc>
          <w:tcPr>
            <w:tcW w:w="764" w:type="dxa"/>
            <w:vAlign w:val="center"/>
          </w:tcPr>
          <w:p w14:paraId="47EE8E32">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562" w:type="dxa"/>
            <w:gridSpan w:val="2"/>
            <w:vAlign w:val="center"/>
          </w:tcPr>
          <w:p w14:paraId="1B94B473">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编号</w:t>
            </w:r>
          </w:p>
        </w:tc>
        <w:tc>
          <w:tcPr>
            <w:tcW w:w="7353" w:type="dxa"/>
            <w:gridSpan w:val="2"/>
            <w:vAlign w:val="center"/>
          </w:tcPr>
          <w:p w14:paraId="58B3CE7C">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Style w:val="43"/>
                <w:rFonts w:hint="eastAsia" w:ascii="宋体" w:hAnsi="宋体" w:eastAsia="宋体" w:cs="宋体"/>
                <w:bCs/>
                <w:color w:val="auto"/>
                <w:sz w:val="24"/>
                <w:szCs w:val="24"/>
                <w:highlight w:val="none"/>
              </w:rPr>
              <w:t>SXFD（SFY-ZC）20250</w:t>
            </w:r>
            <w:r>
              <w:rPr>
                <w:rStyle w:val="43"/>
                <w:rFonts w:hint="eastAsia" w:ascii="宋体" w:hAnsi="宋体" w:eastAsia="宋体" w:cs="宋体"/>
                <w:bCs/>
                <w:color w:val="auto"/>
                <w:sz w:val="24"/>
                <w:szCs w:val="24"/>
                <w:highlight w:val="none"/>
                <w:lang w:val="en-US"/>
              </w:rPr>
              <w:t>301</w:t>
            </w:r>
          </w:p>
        </w:tc>
      </w:tr>
      <w:tr w14:paraId="0377B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764" w:type="dxa"/>
            <w:vAlign w:val="center"/>
          </w:tcPr>
          <w:p w14:paraId="26D1EFBE">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562" w:type="dxa"/>
            <w:gridSpan w:val="2"/>
            <w:vAlign w:val="center"/>
          </w:tcPr>
          <w:p w14:paraId="6D0FDADE">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资金来源、最高限价</w:t>
            </w:r>
          </w:p>
        </w:tc>
        <w:tc>
          <w:tcPr>
            <w:tcW w:w="7353" w:type="dxa"/>
            <w:gridSpan w:val="2"/>
            <w:vAlign w:val="center"/>
          </w:tcPr>
          <w:p w14:paraId="00A09524">
            <w:pPr>
              <w:keepNext w:val="0"/>
              <w:keepLines w:val="0"/>
              <w:pageBreakBefore w:val="0"/>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资金来源：财政资金</w:t>
            </w:r>
          </w:p>
          <w:p w14:paraId="6C53E139">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90万元；</w:t>
            </w:r>
          </w:p>
          <w:p w14:paraId="379DA3E0">
            <w:pPr>
              <w:keepNext w:val="0"/>
              <w:keepLines w:val="0"/>
              <w:pageBreakBefore w:val="0"/>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注：投标人报价不得</w:t>
            </w:r>
            <w:r>
              <w:rPr>
                <w:rFonts w:hint="eastAsia" w:ascii="宋体" w:hAnsi="宋体" w:eastAsia="宋体" w:cs="宋体"/>
                <w:color w:val="auto"/>
                <w:sz w:val="24"/>
                <w:szCs w:val="24"/>
                <w:highlight w:val="none"/>
                <w:lang w:eastAsia="zh-CN"/>
              </w:rPr>
              <w:t>超出</w:t>
            </w:r>
            <w:r>
              <w:rPr>
                <w:rFonts w:hint="eastAsia" w:ascii="宋体" w:hAnsi="宋体" w:eastAsia="宋体" w:cs="宋体"/>
                <w:color w:val="auto"/>
                <w:sz w:val="24"/>
                <w:szCs w:val="24"/>
                <w:highlight w:val="none"/>
                <w:lang w:val="en-US" w:eastAsia="zh-CN"/>
              </w:rPr>
              <w:t>最高限价</w:t>
            </w:r>
            <w:r>
              <w:rPr>
                <w:rFonts w:hint="eastAsia" w:ascii="宋体" w:hAnsi="宋体" w:eastAsia="宋体" w:cs="宋体"/>
                <w:color w:val="auto"/>
                <w:sz w:val="24"/>
                <w:szCs w:val="24"/>
                <w:highlight w:val="none"/>
                <w:lang w:eastAsia="zh-CN"/>
              </w:rPr>
              <w:t>，否则</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eastAsia="zh-CN"/>
              </w:rPr>
              <w:t>无效。</w:t>
            </w:r>
          </w:p>
        </w:tc>
      </w:tr>
      <w:tr w14:paraId="03814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764" w:type="dxa"/>
            <w:vAlign w:val="center"/>
          </w:tcPr>
          <w:p w14:paraId="00BA7401">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562" w:type="dxa"/>
            <w:gridSpan w:val="2"/>
            <w:vAlign w:val="center"/>
          </w:tcPr>
          <w:p w14:paraId="4C3FB78B">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tc>
        <w:tc>
          <w:tcPr>
            <w:tcW w:w="7353" w:type="dxa"/>
            <w:gridSpan w:val="2"/>
            <w:vAlign w:val="center"/>
          </w:tcPr>
          <w:p w14:paraId="51892D16">
            <w:pPr>
              <w:pageBreakBefore w:val="0"/>
              <w:kinsoku/>
              <w:wordWrap/>
              <w:overflowPunct/>
              <w:topLinePunct w:val="0"/>
              <w:autoSpaceDE/>
              <w:autoSpaceDN/>
              <w:bidi w:val="0"/>
              <w:adjustRightInd/>
              <w:snapToGrid/>
              <w:spacing w:line="380" w:lineRule="exact"/>
              <w:ind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超声诊断设备采购</w:t>
            </w:r>
            <w:r>
              <w:rPr>
                <w:rFonts w:hint="eastAsia" w:ascii="宋体" w:hAnsi="宋体" w:eastAsia="宋体" w:cs="宋体"/>
                <w:color w:val="auto"/>
                <w:sz w:val="24"/>
                <w:szCs w:val="24"/>
                <w:highlight w:val="none"/>
              </w:rPr>
              <w:t xml:space="preserve">，详见招标文件“第四章  </w:t>
            </w:r>
            <w:r>
              <w:rPr>
                <w:rFonts w:hint="eastAsia" w:ascii="宋体" w:hAnsi="宋体" w:eastAsia="宋体" w:cs="宋体"/>
                <w:color w:val="auto"/>
                <w:sz w:val="24"/>
                <w:szCs w:val="24"/>
                <w:highlight w:val="none"/>
                <w:lang w:eastAsia="zh-CN"/>
              </w:rPr>
              <w:t>项目采购需求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p>
        </w:tc>
      </w:tr>
      <w:tr w14:paraId="581E9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jc w:val="center"/>
        </w:trPr>
        <w:tc>
          <w:tcPr>
            <w:tcW w:w="764" w:type="dxa"/>
            <w:vAlign w:val="center"/>
          </w:tcPr>
          <w:p w14:paraId="36A9D326">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562" w:type="dxa"/>
            <w:gridSpan w:val="2"/>
            <w:vAlign w:val="center"/>
          </w:tcPr>
          <w:p w14:paraId="3892C647">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供货期、</w:t>
            </w:r>
            <w:r>
              <w:rPr>
                <w:rFonts w:hint="eastAsia" w:ascii="宋体" w:hAnsi="宋体" w:eastAsia="宋体" w:cs="宋体"/>
                <w:b w:val="0"/>
                <w:bCs/>
                <w:color w:val="auto"/>
                <w:sz w:val="24"/>
                <w:szCs w:val="24"/>
                <w:highlight w:val="none"/>
                <w:lang w:val="en-US" w:eastAsia="zh-CN"/>
              </w:rPr>
              <w:t>质量标准</w:t>
            </w:r>
          </w:p>
        </w:tc>
        <w:tc>
          <w:tcPr>
            <w:tcW w:w="7353" w:type="dxa"/>
            <w:gridSpan w:val="2"/>
            <w:vAlign w:val="center"/>
          </w:tcPr>
          <w:p w14:paraId="13F8DEA9">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供货期：自合同签订之日起</w:t>
            </w:r>
            <w:r>
              <w:rPr>
                <w:rFonts w:hint="eastAsia" w:ascii="宋体" w:hAnsi="宋体" w:eastAsia="宋体" w:cs="宋体"/>
                <w:b w:val="0"/>
                <w:bCs/>
                <w:color w:val="auto"/>
                <w:sz w:val="24"/>
                <w:szCs w:val="24"/>
                <w:highlight w:val="none"/>
                <w:lang w:val="en-US" w:eastAsia="zh-CN"/>
              </w:rPr>
              <w:t>30日</w:t>
            </w:r>
            <w:r>
              <w:rPr>
                <w:rFonts w:hint="eastAsia" w:ascii="宋体" w:hAnsi="宋体" w:eastAsia="宋体" w:cs="宋体"/>
                <w:color w:val="auto"/>
                <w:sz w:val="24"/>
                <w:szCs w:val="24"/>
                <w:highlight w:val="none"/>
                <w:lang w:val="en-US" w:eastAsia="zh-CN"/>
              </w:rPr>
              <w:t>内完成供货。</w:t>
            </w:r>
          </w:p>
          <w:p w14:paraId="38A81839">
            <w:pPr>
              <w:pStyle w:val="40"/>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color w:val="auto"/>
                <w:sz w:val="24"/>
                <w:szCs w:val="24"/>
                <w:highlight w:val="none"/>
                <w:lang w:val="en-US" w:eastAsia="zh-CN"/>
              </w:rPr>
              <w:t>质量标准：符合国家、行业标准。</w:t>
            </w:r>
          </w:p>
        </w:tc>
      </w:tr>
      <w:tr w14:paraId="607D8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4" w:type="dxa"/>
            <w:vAlign w:val="center"/>
          </w:tcPr>
          <w:p w14:paraId="15934C08">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562" w:type="dxa"/>
            <w:gridSpan w:val="2"/>
            <w:vAlign w:val="center"/>
          </w:tcPr>
          <w:p w14:paraId="10A94FFA">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质保期</w:t>
            </w:r>
          </w:p>
        </w:tc>
        <w:tc>
          <w:tcPr>
            <w:tcW w:w="7353" w:type="dxa"/>
            <w:gridSpan w:val="2"/>
            <w:vAlign w:val="center"/>
          </w:tcPr>
          <w:p w14:paraId="5715273D">
            <w:pPr>
              <w:keepNext w:val="0"/>
              <w:keepLines w:val="0"/>
              <w:pageBreakBefore w:val="0"/>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color w:val="auto"/>
                <w:sz w:val="24"/>
                <w:szCs w:val="24"/>
                <w:highlight w:val="none"/>
                <w:lang w:eastAsia="zh-CN"/>
              </w:rPr>
            </w:pPr>
            <w:r>
              <w:rPr>
                <w:rFonts w:hint="eastAsia"/>
                <w:color w:val="auto"/>
                <w:sz w:val="24"/>
                <w:szCs w:val="24"/>
                <w:highlight w:val="none"/>
                <w:lang w:val="en-US" w:eastAsia="zh-CN" w:bidi="en-US"/>
              </w:rPr>
              <w:t>安装验收合格后整机质保</w:t>
            </w:r>
            <w:r>
              <w:rPr>
                <w:rFonts w:hint="eastAsia" w:ascii="宋体" w:hAnsi="宋体" w:eastAsia="宋体" w:cs="宋体"/>
                <w:color w:val="auto"/>
                <w:sz w:val="24"/>
                <w:szCs w:val="24"/>
                <w:highlight w:val="none"/>
                <w:lang w:val="en-US" w:eastAsia="zh-CN" w:bidi="en-US"/>
              </w:rPr>
              <w:t>≥3年</w:t>
            </w:r>
            <w:r>
              <w:rPr>
                <w:rFonts w:hint="eastAsia" w:ascii="宋体" w:hAnsi="宋体" w:eastAsia="宋体" w:cs="宋体"/>
                <w:color w:val="auto"/>
                <w:sz w:val="24"/>
                <w:szCs w:val="24"/>
                <w:highlight w:val="none"/>
                <w:lang w:eastAsia="zh-CN"/>
              </w:rPr>
              <w:t>。</w:t>
            </w:r>
          </w:p>
        </w:tc>
      </w:tr>
      <w:tr w14:paraId="798EE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4" w:type="dxa"/>
            <w:vAlign w:val="center"/>
          </w:tcPr>
          <w:p w14:paraId="5DCC6387">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562" w:type="dxa"/>
            <w:gridSpan w:val="2"/>
            <w:vAlign w:val="center"/>
          </w:tcPr>
          <w:p w14:paraId="31500441">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供货地点</w:t>
            </w:r>
          </w:p>
        </w:tc>
        <w:tc>
          <w:tcPr>
            <w:tcW w:w="7353" w:type="dxa"/>
            <w:gridSpan w:val="2"/>
            <w:vAlign w:val="center"/>
          </w:tcPr>
          <w:p w14:paraId="0BFAB2C0">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乌鲁木齐市苏州东街789号</w:t>
            </w:r>
          </w:p>
        </w:tc>
      </w:tr>
      <w:tr w14:paraId="60945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jc w:val="center"/>
        </w:trPr>
        <w:tc>
          <w:tcPr>
            <w:tcW w:w="764" w:type="dxa"/>
            <w:vAlign w:val="center"/>
          </w:tcPr>
          <w:p w14:paraId="1531BD3E">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562" w:type="dxa"/>
            <w:gridSpan w:val="2"/>
            <w:vAlign w:val="center"/>
          </w:tcPr>
          <w:p w14:paraId="0DA36F33">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落实的政府采购政策</w:t>
            </w:r>
          </w:p>
        </w:tc>
        <w:tc>
          <w:tcPr>
            <w:tcW w:w="7353" w:type="dxa"/>
            <w:gridSpan w:val="2"/>
            <w:vAlign w:val="center"/>
          </w:tcPr>
          <w:p w14:paraId="15651DFD">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1）符合促进中小企业（监狱企业、残疾人福利性单位）发展政策；</w:t>
            </w:r>
          </w:p>
          <w:p w14:paraId="75A8CA95">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落实政府采购政策需满足的资格要求：</w:t>
            </w:r>
            <w:r>
              <w:rPr>
                <w:rFonts w:hint="eastAsia" w:ascii="宋体" w:hAnsi="宋体" w:eastAsia="宋体" w:cs="宋体"/>
                <w:color w:val="auto"/>
                <w:sz w:val="24"/>
                <w:szCs w:val="24"/>
                <w:highlight w:val="none"/>
                <w:lang w:val="en-US" w:eastAsia="zh-CN"/>
              </w:rPr>
              <w:t>本项目为专门面向中小企业（含中型、小型、微型）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专门面向中小企业采购的项目或者采购标包，给予价格评审优惠的扶持政策，报价给予10%的扣除，用扣除后的价格参加评审。</w:t>
            </w:r>
          </w:p>
          <w:p w14:paraId="52C9659E">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（3）所属行业：</w:t>
            </w:r>
            <w:r>
              <w:rPr>
                <w:rFonts w:hint="eastAsia" w:ascii="宋体" w:hAnsi="宋体" w:eastAsia="宋体" w:cs="宋体"/>
                <w:b/>
                <w:bCs/>
                <w:color w:val="auto"/>
                <w:sz w:val="24"/>
                <w:szCs w:val="24"/>
                <w:highlight w:val="none"/>
                <w:lang w:val="en-US" w:eastAsia="zh-CN"/>
              </w:rPr>
              <w:t>工业</w:t>
            </w:r>
          </w:p>
        </w:tc>
      </w:tr>
      <w:tr w14:paraId="20A72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jc w:val="center"/>
        </w:trPr>
        <w:tc>
          <w:tcPr>
            <w:tcW w:w="764" w:type="dxa"/>
            <w:vAlign w:val="center"/>
          </w:tcPr>
          <w:p w14:paraId="2B85BEC3">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p>
        </w:tc>
        <w:tc>
          <w:tcPr>
            <w:tcW w:w="1562" w:type="dxa"/>
            <w:gridSpan w:val="2"/>
            <w:vAlign w:val="center"/>
          </w:tcPr>
          <w:p w14:paraId="0070914A">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投标人资格要求</w:t>
            </w:r>
          </w:p>
        </w:tc>
        <w:tc>
          <w:tcPr>
            <w:tcW w:w="7353" w:type="dxa"/>
            <w:gridSpan w:val="2"/>
            <w:vAlign w:val="center"/>
          </w:tcPr>
          <w:p w14:paraId="7E9D725E">
            <w:pPr>
              <w:pStyle w:val="46"/>
              <w:keepNext w:val="0"/>
              <w:keepLines w:val="0"/>
              <w:pageBreakBefore w:val="0"/>
              <w:widowControl/>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2DB585DB">
            <w:pPr>
              <w:pStyle w:val="46"/>
              <w:keepNext w:val="0"/>
              <w:keepLines w:val="0"/>
              <w:pageBreakBefore w:val="0"/>
              <w:widowControl/>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本项目为专门面向中小企业（含中型、小型、微型）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专门面向中小企业采购的项目或者采购标包，给予价格评审优惠的扶持政策，报价给予10%的扣除，用扣除后的价格参加评审。</w:t>
            </w:r>
          </w:p>
          <w:p w14:paraId="38FD8B24">
            <w:pPr>
              <w:pStyle w:val="46"/>
              <w:keepNext w:val="0"/>
              <w:keepLines w:val="0"/>
              <w:pageBreakBefore w:val="0"/>
              <w:widowControl/>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3.本项目的特定资格要求：投标人具有医疗器械经营资格；属于医疗器械管理的产品需根据《医疗器械监督管理条例》 有关内容办理医疗器械产品注册或备案.</w:t>
            </w:r>
          </w:p>
          <w:p w14:paraId="551C15D7">
            <w:pPr>
              <w:pStyle w:val="46"/>
              <w:keepNext w:val="0"/>
              <w:keepLines w:val="0"/>
              <w:pageBreakBefore w:val="0"/>
              <w:widowControl/>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4.本项目不接受联合体投标。</w:t>
            </w:r>
          </w:p>
        </w:tc>
      </w:tr>
      <w:tr w14:paraId="3655A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5" w:hRule="atLeast"/>
          <w:jc w:val="center"/>
        </w:trPr>
        <w:tc>
          <w:tcPr>
            <w:tcW w:w="764" w:type="dxa"/>
            <w:vAlign w:val="center"/>
          </w:tcPr>
          <w:p w14:paraId="03057F46">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1562" w:type="dxa"/>
            <w:gridSpan w:val="2"/>
            <w:vAlign w:val="center"/>
          </w:tcPr>
          <w:p w14:paraId="6A0356EA">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w:t>
            </w:r>
          </w:p>
        </w:tc>
        <w:tc>
          <w:tcPr>
            <w:tcW w:w="7353" w:type="dxa"/>
            <w:gridSpan w:val="2"/>
            <w:vAlign w:val="center"/>
          </w:tcPr>
          <w:p w14:paraId="0B4B3E0D">
            <w:pPr>
              <w:pStyle w:val="30"/>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投标保证金的金额</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9000元（玖仟元整）</w:t>
            </w:r>
          </w:p>
          <w:p w14:paraId="4999D72E">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一、</w:t>
            </w:r>
            <w:r>
              <w:rPr>
                <w:rFonts w:hint="eastAsia" w:ascii="宋体" w:hAnsi="宋体" w:eastAsia="宋体" w:cs="宋体"/>
                <w:b/>
                <w:bCs/>
                <w:color w:val="auto"/>
                <w:kern w:val="0"/>
                <w:sz w:val="24"/>
                <w:szCs w:val="24"/>
                <w:highlight w:val="none"/>
                <w:lang w:eastAsia="zh-CN"/>
              </w:rPr>
              <w:t>投标保证金</w:t>
            </w:r>
            <w:r>
              <w:rPr>
                <w:rFonts w:hint="eastAsia" w:ascii="宋体" w:hAnsi="宋体" w:eastAsia="宋体" w:cs="宋体"/>
                <w:b/>
                <w:bCs/>
                <w:color w:val="auto"/>
                <w:kern w:val="0"/>
                <w:sz w:val="24"/>
                <w:szCs w:val="24"/>
                <w:highlight w:val="none"/>
              </w:rPr>
              <w:t>缴纳：</w:t>
            </w:r>
          </w:p>
          <w:p w14:paraId="345B0C40">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sz w:val="24"/>
                <w:szCs w:val="24"/>
                <w:highlight w:val="none"/>
                <w:lang w:eastAsia="zh-CN"/>
              </w:rPr>
              <w:t>投标保证金</w:t>
            </w:r>
            <w:r>
              <w:rPr>
                <w:rFonts w:hint="eastAsia" w:ascii="宋体" w:hAnsi="宋体" w:eastAsia="宋体" w:cs="宋体"/>
                <w:color w:val="auto"/>
                <w:sz w:val="24"/>
                <w:szCs w:val="24"/>
                <w:highlight w:val="none"/>
              </w:rPr>
              <w:t>应当以电汇、网银、</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rPr>
              <w:t>保函等非现金形式提交</w:t>
            </w:r>
            <w:r>
              <w:rPr>
                <w:rFonts w:hint="eastAsia" w:ascii="宋体" w:hAnsi="宋体" w:eastAsia="宋体" w:cs="宋体"/>
                <w:color w:val="auto"/>
                <w:kern w:val="0"/>
                <w:sz w:val="24"/>
                <w:szCs w:val="24"/>
                <w:highlight w:val="none"/>
              </w:rPr>
              <w:t>；</w:t>
            </w:r>
          </w:p>
          <w:p w14:paraId="6C39C8C6">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2.缴纳</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时需备注项目名称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标项号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如字数超限，可简写</w:t>
            </w:r>
            <w:r>
              <w:rPr>
                <w:rFonts w:hint="eastAsia" w:ascii="宋体" w:hAnsi="宋体" w:eastAsia="宋体" w:cs="宋体"/>
                <w:color w:val="auto"/>
                <w:kern w:val="0"/>
                <w:sz w:val="24"/>
                <w:szCs w:val="24"/>
                <w:highlight w:val="none"/>
              </w:rPr>
              <w:t>；</w:t>
            </w:r>
          </w:p>
          <w:p w14:paraId="1A001A4D">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lang w:val="en-US" w:eastAsia="zh-CN"/>
              </w:rPr>
              <w:t>缴纳</w:t>
            </w:r>
            <w:r>
              <w:rPr>
                <w:rFonts w:hint="eastAsia" w:ascii="宋体" w:hAnsi="宋体" w:eastAsia="宋体" w:cs="宋体"/>
                <w:color w:val="auto"/>
                <w:kern w:val="0"/>
                <w:sz w:val="24"/>
                <w:szCs w:val="24"/>
                <w:highlight w:val="none"/>
              </w:rPr>
              <w:t>截止时间：同</w:t>
            </w:r>
            <w:r>
              <w:rPr>
                <w:rFonts w:hint="eastAsia" w:ascii="宋体" w:hAnsi="宋体" w:eastAsia="宋体" w:cs="宋体"/>
                <w:color w:val="auto"/>
                <w:kern w:val="0"/>
                <w:sz w:val="24"/>
                <w:szCs w:val="24"/>
                <w:highlight w:val="none"/>
                <w:lang w:eastAsia="zh-CN"/>
              </w:rPr>
              <w:t>投标文件</w:t>
            </w:r>
            <w:r>
              <w:rPr>
                <w:rFonts w:hint="eastAsia" w:ascii="宋体" w:hAnsi="宋体" w:eastAsia="宋体" w:cs="宋体"/>
                <w:color w:val="auto"/>
                <w:kern w:val="0"/>
                <w:sz w:val="24"/>
                <w:szCs w:val="24"/>
                <w:highlight w:val="none"/>
                <w:lang w:val="en-US" w:eastAsia="zh-CN"/>
              </w:rPr>
              <w:t>上传</w:t>
            </w:r>
            <w:r>
              <w:rPr>
                <w:rFonts w:hint="eastAsia" w:ascii="宋体" w:hAnsi="宋体" w:eastAsia="宋体" w:cs="宋体"/>
                <w:color w:val="auto"/>
                <w:kern w:val="0"/>
                <w:sz w:val="24"/>
                <w:szCs w:val="24"/>
                <w:highlight w:val="none"/>
              </w:rPr>
              <w:t>截止时间；</w:t>
            </w:r>
          </w:p>
          <w:p w14:paraId="11D97C9C">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缴纳账户：</w:t>
            </w:r>
          </w:p>
          <w:p w14:paraId="3622F237">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单位名称：</w:t>
            </w:r>
            <w:r>
              <w:rPr>
                <w:rFonts w:hint="eastAsia" w:ascii="宋体" w:hAnsi="宋体" w:eastAsia="宋体" w:cs="宋体"/>
                <w:color w:val="auto"/>
                <w:sz w:val="21"/>
                <w:szCs w:val="21"/>
                <w:highlight w:val="none"/>
                <w:lang w:eastAsia="zh-CN"/>
              </w:rPr>
              <w:t>陕西方得项目管理有限公司乌鲁木齐分公司</w:t>
            </w:r>
          </w:p>
          <w:p w14:paraId="06A0B9DE">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账号：107106786652</w:t>
            </w:r>
          </w:p>
          <w:p w14:paraId="31DC4F8F">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rPr>
              <w:t>开户行名称：</w:t>
            </w:r>
            <w:r>
              <w:rPr>
                <w:rFonts w:hint="eastAsia" w:ascii="宋体" w:hAnsi="宋体" w:eastAsia="宋体" w:cs="宋体"/>
                <w:color w:val="auto"/>
                <w:sz w:val="21"/>
                <w:szCs w:val="21"/>
                <w:highlight w:val="none"/>
              </w:rPr>
              <w:t>中国银行股份有限公司乌鲁木齐市南湖东路支行</w:t>
            </w:r>
          </w:p>
          <w:p w14:paraId="086CEA29">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二、</w:t>
            </w:r>
            <w:r>
              <w:rPr>
                <w:rFonts w:hint="eastAsia" w:ascii="宋体" w:hAnsi="宋体" w:eastAsia="宋体" w:cs="宋体"/>
                <w:b/>
                <w:bCs/>
                <w:color w:val="auto"/>
                <w:kern w:val="0"/>
                <w:sz w:val="24"/>
                <w:szCs w:val="24"/>
                <w:highlight w:val="none"/>
                <w:lang w:eastAsia="zh-CN"/>
              </w:rPr>
              <w:t>投标保证金</w:t>
            </w:r>
            <w:r>
              <w:rPr>
                <w:rFonts w:hint="eastAsia" w:ascii="宋体" w:hAnsi="宋体" w:eastAsia="宋体" w:cs="宋体"/>
                <w:b/>
                <w:bCs/>
                <w:color w:val="auto"/>
                <w:kern w:val="0"/>
                <w:sz w:val="24"/>
                <w:szCs w:val="24"/>
                <w:highlight w:val="none"/>
              </w:rPr>
              <w:t>退还：</w:t>
            </w:r>
          </w:p>
          <w:p w14:paraId="4E6511A3">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1.未</w:t>
            </w:r>
            <w:r>
              <w:rPr>
                <w:rFonts w:hint="eastAsia" w:ascii="宋体" w:hAnsi="宋体" w:eastAsia="宋体" w:cs="宋体"/>
                <w:color w:val="auto"/>
                <w:kern w:val="0"/>
                <w:sz w:val="24"/>
                <w:szCs w:val="24"/>
                <w:highlight w:val="none"/>
                <w:lang w:eastAsia="zh-CN"/>
              </w:rPr>
              <w:t>中标人</w:t>
            </w:r>
            <w:r>
              <w:rPr>
                <w:rFonts w:hint="eastAsia" w:ascii="宋体" w:hAnsi="宋体" w:eastAsia="宋体" w:cs="宋体"/>
                <w:color w:val="auto"/>
                <w:kern w:val="0"/>
                <w:sz w:val="24"/>
                <w:szCs w:val="24"/>
                <w:highlight w:val="none"/>
              </w:rPr>
              <w:t>的</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将在</w:t>
            </w:r>
            <w:r>
              <w:rPr>
                <w:rFonts w:hint="eastAsia" w:ascii="宋体" w:hAnsi="宋体" w:eastAsia="宋体" w:cs="宋体"/>
                <w:color w:val="auto"/>
                <w:kern w:val="0"/>
                <w:sz w:val="24"/>
                <w:szCs w:val="24"/>
                <w:highlight w:val="none"/>
                <w:lang w:val="en-US" w:eastAsia="zh-CN"/>
              </w:rPr>
              <w:t>中标</w:t>
            </w:r>
            <w:r>
              <w:rPr>
                <w:rFonts w:hint="eastAsia" w:ascii="宋体" w:hAnsi="宋体" w:eastAsia="宋体" w:cs="宋体"/>
                <w:color w:val="auto"/>
                <w:kern w:val="0"/>
                <w:sz w:val="24"/>
                <w:szCs w:val="24"/>
                <w:highlight w:val="none"/>
              </w:rPr>
              <w:t>通知书发出后5个工作日内退还。</w:t>
            </w:r>
          </w:p>
          <w:p w14:paraId="0572FAF5">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2.</w:t>
            </w:r>
            <w:r>
              <w:rPr>
                <w:rFonts w:hint="eastAsia" w:ascii="宋体" w:hAnsi="宋体" w:eastAsia="宋体" w:cs="宋体"/>
                <w:color w:val="auto"/>
                <w:kern w:val="0"/>
                <w:sz w:val="24"/>
                <w:szCs w:val="24"/>
                <w:highlight w:val="none"/>
                <w:lang w:eastAsia="zh-CN"/>
              </w:rPr>
              <w:t>中标人</w:t>
            </w:r>
            <w:r>
              <w:rPr>
                <w:rFonts w:hint="eastAsia" w:ascii="宋体" w:hAnsi="宋体" w:eastAsia="宋体" w:cs="宋体"/>
                <w:color w:val="auto"/>
                <w:kern w:val="0"/>
                <w:sz w:val="24"/>
                <w:szCs w:val="24"/>
                <w:highlight w:val="none"/>
              </w:rPr>
              <w:t>的</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将在</w:t>
            </w:r>
            <w:r>
              <w:rPr>
                <w:rFonts w:hint="eastAsia" w:ascii="宋体" w:hAnsi="宋体" w:eastAsia="宋体" w:cs="宋体"/>
                <w:color w:val="auto"/>
                <w:kern w:val="0"/>
                <w:sz w:val="24"/>
                <w:szCs w:val="24"/>
                <w:highlight w:val="none"/>
                <w:lang w:eastAsia="zh-CN"/>
              </w:rPr>
              <w:t>中标人</w:t>
            </w:r>
            <w:r>
              <w:rPr>
                <w:rFonts w:hint="eastAsia" w:ascii="宋体" w:hAnsi="宋体" w:eastAsia="宋体" w:cs="宋体"/>
                <w:color w:val="auto"/>
                <w:kern w:val="0"/>
                <w:sz w:val="24"/>
                <w:szCs w:val="24"/>
                <w:highlight w:val="none"/>
              </w:rPr>
              <w:t>与采购人签订合同，并将合同递交至采购代理后5个工作日内，无息退还。</w:t>
            </w:r>
          </w:p>
          <w:p w14:paraId="40E6A18D">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3.有下列情形之一的，</w:t>
            </w:r>
            <w:r>
              <w:rPr>
                <w:rFonts w:hint="eastAsia" w:ascii="宋体" w:hAnsi="宋体" w:eastAsia="宋体" w:cs="宋体"/>
                <w:color w:val="auto"/>
                <w:kern w:val="0"/>
                <w:sz w:val="24"/>
                <w:szCs w:val="24"/>
                <w:highlight w:val="none"/>
                <w:lang w:eastAsia="zh-CN"/>
              </w:rPr>
              <w:t>投标保证金</w:t>
            </w:r>
            <w:r>
              <w:rPr>
                <w:rFonts w:hint="eastAsia" w:ascii="宋体" w:hAnsi="宋体" w:eastAsia="宋体" w:cs="宋体"/>
                <w:color w:val="auto"/>
                <w:kern w:val="0"/>
                <w:sz w:val="24"/>
                <w:szCs w:val="24"/>
                <w:highlight w:val="none"/>
              </w:rPr>
              <w:t xml:space="preserve">不予退还：详见总则第15.5条。 </w:t>
            </w:r>
          </w:p>
          <w:p w14:paraId="27BB250E">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三、备注：</w:t>
            </w:r>
          </w:p>
          <w:p w14:paraId="3D28B0ED">
            <w:pPr>
              <w:keepNext w:val="0"/>
              <w:keepLines w:val="0"/>
              <w:pageBreakBefore w:val="0"/>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sz w:val="24"/>
                <w:szCs w:val="24"/>
                <w:highlight w:val="none"/>
                <w:lang w:val="en-US" w:eastAsia="zh-CN"/>
              </w:rPr>
              <w:t>投标人无需前往代理公司换取收据，仅需将</w:t>
            </w:r>
            <w:r>
              <w:rPr>
                <w:rFonts w:hint="eastAsia" w:ascii="宋体" w:hAnsi="宋体" w:eastAsia="宋体" w:cs="宋体"/>
                <w:color w:val="auto"/>
                <w:sz w:val="24"/>
                <w:szCs w:val="24"/>
                <w:highlight w:val="none"/>
                <w:lang w:eastAsia="zh-CN"/>
              </w:rPr>
              <w:t>投标保证金</w:t>
            </w:r>
            <w:r>
              <w:rPr>
                <w:rFonts w:hint="eastAsia" w:ascii="宋体" w:hAnsi="宋体" w:eastAsia="宋体" w:cs="宋体"/>
                <w:color w:val="auto"/>
                <w:sz w:val="24"/>
                <w:szCs w:val="24"/>
                <w:highlight w:val="none"/>
              </w:rPr>
              <w:t>缴纳凭证，装订在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中相应位置</w:t>
            </w:r>
            <w:r>
              <w:rPr>
                <w:rFonts w:hint="eastAsia" w:ascii="宋体" w:hAnsi="宋体" w:eastAsia="宋体" w:cs="宋体"/>
                <w:color w:val="auto"/>
                <w:sz w:val="24"/>
                <w:szCs w:val="24"/>
                <w:highlight w:val="none"/>
                <w:lang w:val="en-US" w:eastAsia="zh-CN"/>
              </w:rPr>
              <w:t>即可</w:t>
            </w:r>
            <w:r>
              <w:rPr>
                <w:rFonts w:hint="eastAsia" w:ascii="宋体" w:hAnsi="宋体" w:eastAsia="宋体" w:cs="宋体"/>
                <w:color w:val="auto"/>
                <w:sz w:val="24"/>
                <w:szCs w:val="24"/>
                <w:highlight w:val="none"/>
                <w:lang w:eastAsia="zh-CN"/>
              </w:rPr>
              <w:t>；</w:t>
            </w:r>
          </w:p>
          <w:p w14:paraId="48B9D972">
            <w:pPr>
              <w:pStyle w:val="30"/>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2、</w:t>
            </w:r>
            <w:r>
              <w:rPr>
                <w:rFonts w:hint="eastAsia" w:ascii="宋体" w:hAnsi="宋体" w:eastAsia="宋体" w:cs="宋体"/>
                <w:b/>
                <w:bCs/>
                <w:color w:val="auto"/>
                <w:kern w:val="0"/>
                <w:sz w:val="24"/>
                <w:szCs w:val="24"/>
                <w:highlight w:val="none"/>
                <w:lang w:eastAsia="zh-CN"/>
              </w:rPr>
              <w:t>投标人</w:t>
            </w:r>
            <w:r>
              <w:rPr>
                <w:rFonts w:hint="eastAsia" w:ascii="宋体" w:hAnsi="宋体" w:eastAsia="宋体" w:cs="宋体"/>
                <w:b/>
                <w:bCs/>
                <w:color w:val="auto"/>
                <w:kern w:val="0"/>
                <w:sz w:val="24"/>
                <w:szCs w:val="24"/>
                <w:highlight w:val="none"/>
              </w:rPr>
              <w:t>未按照</w:t>
            </w:r>
            <w:r>
              <w:rPr>
                <w:rFonts w:hint="eastAsia" w:ascii="宋体" w:hAnsi="宋体" w:eastAsia="宋体" w:cs="宋体"/>
                <w:b/>
                <w:bCs/>
                <w:color w:val="auto"/>
                <w:kern w:val="0"/>
                <w:sz w:val="24"/>
                <w:szCs w:val="24"/>
                <w:highlight w:val="none"/>
                <w:lang w:eastAsia="zh-CN"/>
              </w:rPr>
              <w:t>招标文件</w:t>
            </w:r>
            <w:r>
              <w:rPr>
                <w:rFonts w:hint="eastAsia" w:ascii="宋体" w:hAnsi="宋体" w:eastAsia="宋体" w:cs="宋体"/>
                <w:b/>
                <w:bCs/>
                <w:color w:val="auto"/>
                <w:kern w:val="0"/>
                <w:sz w:val="24"/>
                <w:szCs w:val="24"/>
                <w:highlight w:val="none"/>
              </w:rPr>
              <w:t>要求缴纳</w:t>
            </w:r>
            <w:r>
              <w:rPr>
                <w:rFonts w:hint="eastAsia" w:ascii="宋体" w:hAnsi="宋体" w:eastAsia="宋体" w:cs="宋体"/>
                <w:b/>
                <w:bCs/>
                <w:color w:val="auto"/>
                <w:kern w:val="0"/>
                <w:sz w:val="24"/>
                <w:szCs w:val="24"/>
                <w:highlight w:val="none"/>
                <w:lang w:eastAsia="zh-CN"/>
              </w:rPr>
              <w:t>投标保证金</w:t>
            </w:r>
            <w:r>
              <w:rPr>
                <w:rFonts w:hint="eastAsia" w:ascii="宋体" w:hAnsi="宋体" w:eastAsia="宋体" w:cs="宋体"/>
                <w:b/>
                <w:bCs/>
                <w:color w:val="auto"/>
                <w:kern w:val="0"/>
                <w:sz w:val="24"/>
                <w:szCs w:val="24"/>
                <w:highlight w:val="none"/>
              </w:rPr>
              <w:t>的，</w:t>
            </w:r>
            <w:r>
              <w:rPr>
                <w:rFonts w:hint="eastAsia" w:ascii="宋体" w:hAnsi="宋体" w:eastAsia="宋体" w:cs="宋体"/>
                <w:b/>
                <w:bCs/>
                <w:color w:val="auto"/>
                <w:kern w:val="0"/>
                <w:sz w:val="24"/>
                <w:szCs w:val="24"/>
                <w:highlight w:val="none"/>
                <w:lang w:val="en-US" w:eastAsia="zh-CN"/>
              </w:rPr>
              <w:t>投标</w:t>
            </w:r>
            <w:r>
              <w:rPr>
                <w:rFonts w:hint="eastAsia" w:ascii="宋体" w:hAnsi="宋体" w:eastAsia="宋体" w:cs="宋体"/>
                <w:b/>
                <w:bCs/>
                <w:color w:val="auto"/>
                <w:kern w:val="0"/>
                <w:sz w:val="24"/>
                <w:szCs w:val="24"/>
                <w:highlight w:val="none"/>
              </w:rPr>
              <w:t>无效。</w:t>
            </w:r>
          </w:p>
        </w:tc>
      </w:tr>
      <w:tr w14:paraId="391C5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jc w:val="center"/>
        </w:trPr>
        <w:tc>
          <w:tcPr>
            <w:tcW w:w="764" w:type="dxa"/>
            <w:vAlign w:val="center"/>
          </w:tcPr>
          <w:p w14:paraId="1D96C6A1">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1562" w:type="dxa"/>
            <w:gridSpan w:val="2"/>
            <w:vAlign w:val="center"/>
          </w:tcPr>
          <w:p w14:paraId="3A876FF6">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是否接受联合体投标</w:t>
            </w:r>
          </w:p>
        </w:tc>
        <w:tc>
          <w:tcPr>
            <w:tcW w:w="7353" w:type="dxa"/>
            <w:gridSpan w:val="2"/>
            <w:vAlign w:val="center"/>
          </w:tcPr>
          <w:p w14:paraId="71887554">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不接受</w:t>
            </w:r>
          </w:p>
        </w:tc>
      </w:tr>
      <w:tr w14:paraId="3096B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0" w:hRule="atLeast"/>
          <w:jc w:val="center"/>
        </w:trPr>
        <w:tc>
          <w:tcPr>
            <w:tcW w:w="764" w:type="dxa"/>
            <w:vAlign w:val="center"/>
          </w:tcPr>
          <w:p w14:paraId="796D0EF4">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p>
        </w:tc>
        <w:tc>
          <w:tcPr>
            <w:tcW w:w="1561" w:type="dxa"/>
            <w:vAlign w:val="center"/>
          </w:tcPr>
          <w:p w14:paraId="0A77E22B">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分包</w:t>
            </w:r>
          </w:p>
        </w:tc>
        <w:tc>
          <w:tcPr>
            <w:tcW w:w="7353" w:type="dxa"/>
            <w:gridSpan w:val="2"/>
            <w:vAlign w:val="center"/>
          </w:tcPr>
          <w:p w14:paraId="55F3E0DC">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不允许</w:t>
            </w:r>
          </w:p>
        </w:tc>
      </w:tr>
      <w:tr w14:paraId="1E3C1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288" w:hRule="atLeast"/>
          <w:jc w:val="center"/>
        </w:trPr>
        <w:tc>
          <w:tcPr>
            <w:tcW w:w="764" w:type="dxa"/>
            <w:vAlign w:val="center"/>
          </w:tcPr>
          <w:p w14:paraId="5F883B3A">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p>
        </w:tc>
        <w:tc>
          <w:tcPr>
            <w:tcW w:w="1561" w:type="dxa"/>
            <w:vAlign w:val="center"/>
          </w:tcPr>
          <w:p w14:paraId="242188A0">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highlight w:val="none"/>
              </w:rPr>
              <w:t>文件</w:t>
            </w:r>
            <w:r>
              <w:rPr>
                <w:rFonts w:hint="eastAsia" w:ascii="宋体" w:hAnsi="宋体" w:eastAsia="宋体" w:cs="宋体"/>
                <w:b w:val="0"/>
                <w:bCs/>
                <w:color w:val="auto"/>
                <w:sz w:val="24"/>
                <w:szCs w:val="24"/>
                <w:highlight w:val="none"/>
                <w:lang w:val="en-US" w:eastAsia="zh-CN"/>
              </w:rPr>
              <w:t>份数、</w:t>
            </w:r>
            <w:r>
              <w:rPr>
                <w:rFonts w:hint="eastAsia" w:ascii="宋体" w:hAnsi="宋体" w:eastAsia="宋体" w:cs="宋体"/>
                <w:b w:val="0"/>
                <w:bCs/>
                <w:color w:val="auto"/>
                <w:sz w:val="24"/>
                <w:szCs w:val="24"/>
                <w:highlight w:val="none"/>
              </w:rPr>
              <w:t>上传截止时间</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地点</w:t>
            </w:r>
          </w:p>
        </w:tc>
        <w:tc>
          <w:tcPr>
            <w:tcW w:w="7353" w:type="dxa"/>
            <w:gridSpan w:val="2"/>
            <w:vAlign w:val="center"/>
          </w:tcPr>
          <w:p w14:paraId="0B89177A">
            <w:pPr>
              <w:pStyle w:val="46"/>
              <w:keepNext w:val="0"/>
              <w:keepLines w:val="0"/>
              <w:pageBreakBefore w:val="0"/>
              <w:widowControl/>
              <w:numPr>
                <w:ilvl w:val="0"/>
                <w:numId w:val="5"/>
              </w:numPr>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b w:val="0"/>
                <w:bCs/>
                <w:color w:val="auto"/>
                <w:kern w:val="0"/>
                <w:sz w:val="24"/>
                <w:szCs w:val="24"/>
                <w:highlight w:val="none"/>
                <w:lang w:eastAsia="zh-CN"/>
              </w:rPr>
            </w:pPr>
            <w:r>
              <w:rPr>
                <w:rFonts w:hint="eastAsia" w:ascii="宋体" w:hAnsi="宋体" w:eastAsia="宋体" w:cs="宋体"/>
                <w:b w:val="0"/>
                <w:bCs/>
                <w:color w:val="auto"/>
                <w:kern w:val="0"/>
                <w:sz w:val="24"/>
                <w:szCs w:val="24"/>
                <w:highlight w:val="none"/>
                <w:lang w:eastAsia="zh-CN"/>
              </w:rPr>
              <w:t>电子加密投标文件1份，无正副本区别，仅需</w:t>
            </w:r>
            <w:r>
              <w:rPr>
                <w:rFonts w:hint="eastAsia" w:ascii="宋体" w:hAnsi="宋体" w:eastAsia="宋体" w:cs="宋体"/>
                <w:b w:val="0"/>
                <w:bCs/>
                <w:color w:val="auto"/>
                <w:kern w:val="0"/>
                <w:sz w:val="24"/>
                <w:szCs w:val="24"/>
                <w:highlight w:val="none"/>
                <w:lang w:val="en-US" w:eastAsia="zh-CN"/>
              </w:rPr>
              <w:t>在规定时间内向政采云系统</w:t>
            </w:r>
            <w:r>
              <w:rPr>
                <w:rFonts w:hint="eastAsia" w:ascii="宋体" w:hAnsi="宋体" w:eastAsia="宋体" w:cs="宋体"/>
                <w:b w:val="0"/>
                <w:bCs/>
                <w:color w:val="auto"/>
                <w:kern w:val="0"/>
                <w:sz w:val="24"/>
                <w:szCs w:val="24"/>
                <w:highlight w:val="none"/>
                <w:lang w:eastAsia="zh-CN"/>
              </w:rPr>
              <w:t>上传即可）。</w:t>
            </w:r>
          </w:p>
          <w:p w14:paraId="0A5C8E83">
            <w:pPr>
              <w:pStyle w:val="46"/>
              <w:keepNext w:val="0"/>
              <w:keepLines w:val="0"/>
              <w:pageBreakBefore w:val="0"/>
              <w:widowControl/>
              <w:numPr>
                <w:ilvl w:val="0"/>
                <w:numId w:val="5"/>
              </w:numPr>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b w:val="0"/>
                <w:bCs/>
                <w:color w:val="auto"/>
                <w:kern w:val="0"/>
                <w:sz w:val="24"/>
                <w:szCs w:val="24"/>
                <w:highlight w:val="none"/>
                <w:lang w:eastAsia="zh-CN"/>
              </w:rPr>
            </w:pPr>
            <w:r>
              <w:rPr>
                <w:rFonts w:hint="eastAsia" w:ascii="宋体" w:hAnsi="宋体" w:eastAsia="宋体" w:cs="宋体"/>
                <w:b w:val="0"/>
                <w:bCs/>
                <w:color w:val="auto"/>
                <w:sz w:val="24"/>
                <w:szCs w:val="24"/>
                <w:highlight w:val="none"/>
                <w:lang w:val="en-US" w:eastAsia="zh-CN"/>
              </w:rPr>
              <w:t>所有投标人须在</w:t>
            </w:r>
            <w:r>
              <w:rPr>
                <w:rFonts w:hint="eastAsia" w:ascii="宋体" w:hAnsi="宋体" w:eastAsia="宋体" w:cs="宋体"/>
                <w:b/>
                <w:bCs w:val="0"/>
                <w:color w:val="auto"/>
                <w:sz w:val="24"/>
                <w:szCs w:val="24"/>
                <w:highlight w:val="none"/>
                <w:lang w:val="en-US" w:eastAsia="zh-CN"/>
              </w:rPr>
              <w:t>招标结束后五个工作日内</w:t>
            </w:r>
            <w:r>
              <w:rPr>
                <w:rFonts w:hint="eastAsia" w:ascii="宋体" w:hAnsi="宋体" w:eastAsia="宋体" w:cs="宋体"/>
                <w:b w:val="0"/>
                <w:bCs/>
                <w:color w:val="auto"/>
                <w:sz w:val="24"/>
                <w:szCs w:val="24"/>
                <w:highlight w:val="none"/>
                <w:lang w:val="en-US" w:eastAsia="zh-CN"/>
              </w:rPr>
              <w:t>向采购代理机构递交</w:t>
            </w:r>
            <w:r>
              <w:rPr>
                <w:rFonts w:hint="eastAsia" w:ascii="宋体" w:hAnsi="宋体" w:eastAsia="宋体" w:cs="宋体"/>
                <w:b/>
                <w:bCs w:val="0"/>
                <w:color w:val="auto"/>
                <w:sz w:val="24"/>
                <w:szCs w:val="24"/>
                <w:highlight w:val="none"/>
                <w:lang w:val="en-US" w:eastAsia="zh-CN"/>
              </w:rPr>
              <w:t>签章纸质版投标文件一正一副胶装成册（用于档案资料编制），</w:t>
            </w:r>
            <w:r>
              <w:rPr>
                <w:rFonts w:hint="eastAsia" w:ascii="宋体" w:hAnsi="宋体" w:eastAsia="宋体" w:cs="宋体"/>
                <w:b w:val="0"/>
                <w:bCs/>
                <w:color w:val="auto"/>
                <w:sz w:val="24"/>
                <w:szCs w:val="24"/>
                <w:highlight w:val="none"/>
                <w:lang w:val="en-US" w:eastAsia="zh-CN"/>
              </w:rPr>
              <w:t>纸质版投标文件须与政采云平台上传的电子版投标文件保持一致。</w:t>
            </w:r>
          </w:p>
          <w:p w14:paraId="1A709C3E">
            <w:pPr>
              <w:pStyle w:val="46"/>
              <w:keepNext w:val="0"/>
              <w:keepLines w:val="0"/>
              <w:pageBreakBefore w:val="0"/>
              <w:widowControl/>
              <w:kinsoku/>
              <w:wordWrap/>
              <w:overflowPunct/>
              <w:topLinePunct w:val="0"/>
              <w:autoSpaceDE/>
              <w:autoSpaceDN/>
              <w:bidi w:val="0"/>
              <w:adjustRightInd/>
              <w:snapToGrid/>
              <w:spacing w:line="380" w:lineRule="exact"/>
              <w:ind w:left="0" w:leftChars="0" w:right="0" w:rightChars="0" w:firstLine="0" w:firstLineChars="0"/>
              <w:jc w:val="left"/>
              <w:textAlignment w:val="auto"/>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lang w:val="en-US" w:eastAsia="zh-CN"/>
              </w:rPr>
              <w:t>2</w:t>
            </w:r>
            <w:r>
              <w:rPr>
                <w:rFonts w:hint="eastAsia" w:ascii="宋体" w:hAnsi="宋体" w:eastAsia="宋体" w:cs="宋体"/>
                <w:b w:val="0"/>
                <w:bCs/>
                <w:color w:val="auto"/>
                <w:kern w:val="0"/>
                <w:sz w:val="24"/>
                <w:szCs w:val="24"/>
                <w:highlight w:val="none"/>
                <w:lang w:eastAsia="zh-CN"/>
              </w:rPr>
              <w:t>）投标文件</w:t>
            </w:r>
            <w:r>
              <w:rPr>
                <w:rFonts w:hint="eastAsia" w:ascii="宋体" w:hAnsi="宋体" w:eastAsia="宋体" w:cs="宋体"/>
                <w:b w:val="0"/>
                <w:bCs/>
                <w:color w:val="auto"/>
                <w:kern w:val="0"/>
                <w:sz w:val="24"/>
                <w:szCs w:val="24"/>
                <w:highlight w:val="none"/>
              </w:rPr>
              <w:t>上传截止时间：</w:t>
            </w:r>
            <w:r>
              <w:rPr>
                <w:rFonts w:hint="eastAsia" w:ascii="宋体" w:hAnsi="宋体" w:eastAsia="宋体" w:cs="宋体"/>
                <w:color w:val="auto"/>
                <w:sz w:val="24"/>
                <w:szCs w:val="24"/>
                <w:highlight w:val="none"/>
                <w:u w:val="single"/>
              </w:rPr>
              <w:t>202</w:t>
            </w:r>
            <w:r>
              <w:rPr>
                <w:rFonts w:hint="eastAsia" w:ascii="宋体" w:hAnsi="宋体" w:eastAsia="宋体" w:cs="宋体"/>
                <w:color w:val="auto"/>
                <w:sz w:val="24"/>
                <w:szCs w:val="24"/>
                <w:highlight w:val="none"/>
                <w:u w:val="single"/>
                <w:lang w:val="en-US" w:eastAsia="zh-CN"/>
              </w:rPr>
              <w:t>5</w:t>
            </w:r>
            <w:r>
              <w:rPr>
                <w:rFonts w:hint="eastAsia" w:ascii="宋体" w:hAnsi="宋体" w:eastAsia="宋体" w:cs="宋体"/>
                <w:bCs/>
                <w:color w:val="auto"/>
                <w:sz w:val="24"/>
                <w:szCs w:val="24"/>
                <w:highlight w:val="none"/>
                <w:u w:val="single"/>
              </w:rPr>
              <w:t>年</w:t>
            </w:r>
            <w:r>
              <w:rPr>
                <w:rFonts w:hint="eastAsia" w:ascii="宋体" w:hAnsi="宋体" w:cs="宋体"/>
                <w:bCs/>
                <w:color w:val="auto"/>
                <w:sz w:val="24"/>
                <w:szCs w:val="24"/>
                <w:highlight w:val="none"/>
                <w:u w:val="single"/>
                <w:lang w:val="en-US" w:eastAsia="zh-CN"/>
              </w:rPr>
              <w:t>04</w:t>
            </w:r>
            <w:r>
              <w:rPr>
                <w:rFonts w:hint="eastAsia" w:ascii="宋体" w:hAnsi="宋体" w:eastAsia="宋体" w:cs="宋体"/>
                <w:bCs/>
                <w:color w:val="auto"/>
                <w:sz w:val="24"/>
                <w:szCs w:val="24"/>
                <w:highlight w:val="none"/>
                <w:u w:val="single"/>
                <w:lang w:val="en-US" w:eastAsia="zh-CN"/>
              </w:rPr>
              <w:t>月</w:t>
            </w:r>
            <w:r>
              <w:rPr>
                <w:rFonts w:hint="eastAsia" w:ascii="宋体" w:hAnsi="宋体" w:cs="宋体"/>
                <w:bCs/>
                <w:color w:val="auto"/>
                <w:sz w:val="24"/>
                <w:szCs w:val="24"/>
                <w:highlight w:val="none"/>
                <w:u w:val="single"/>
                <w:lang w:val="en-US" w:eastAsia="zh-CN"/>
              </w:rPr>
              <w:t>24日</w:t>
            </w:r>
            <w:r>
              <w:rPr>
                <w:rFonts w:hint="eastAsia" w:ascii="宋体" w:hAnsi="宋体" w:eastAsia="宋体" w:cs="宋体"/>
                <w:bCs/>
                <w:color w:val="auto"/>
                <w:sz w:val="24"/>
                <w:szCs w:val="24"/>
                <w:highlight w:val="none"/>
                <w:u w:val="single"/>
              </w:rPr>
              <w:t>1</w:t>
            </w:r>
            <w:r>
              <w:rPr>
                <w:rFonts w:hint="eastAsia" w:ascii="宋体" w:hAnsi="宋体" w:eastAsia="宋体" w:cs="宋体"/>
                <w:bCs/>
                <w:color w:val="auto"/>
                <w:sz w:val="24"/>
                <w:szCs w:val="24"/>
                <w:highlight w:val="none"/>
                <w:u w:val="single"/>
                <w:lang w:val="en-US" w:eastAsia="zh-CN"/>
              </w:rPr>
              <w:t>1</w:t>
            </w:r>
            <w:r>
              <w:rPr>
                <w:rFonts w:hint="eastAsia" w:ascii="宋体" w:hAnsi="宋体" w:eastAsia="宋体" w:cs="宋体"/>
                <w:bCs/>
                <w:color w:val="auto"/>
                <w:sz w:val="24"/>
                <w:szCs w:val="24"/>
                <w:highlight w:val="none"/>
                <w:u w:val="single"/>
              </w:rPr>
              <w:t>点00分</w:t>
            </w:r>
            <w:r>
              <w:rPr>
                <w:rFonts w:hint="eastAsia" w:ascii="宋体" w:hAnsi="宋体" w:eastAsia="宋体" w:cs="宋体"/>
                <w:b w:val="0"/>
                <w:bCs/>
                <w:color w:val="auto"/>
                <w:kern w:val="0"/>
                <w:sz w:val="24"/>
                <w:szCs w:val="24"/>
                <w:highlight w:val="none"/>
              </w:rPr>
              <w:t>（北京时间）</w:t>
            </w:r>
          </w:p>
          <w:p w14:paraId="49856CFE">
            <w:pPr>
              <w:keepNext w:val="0"/>
              <w:keepLines w:val="0"/>
              <w:pageBreakBefore w:val="0"/>
              <w:widowControl/>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lang w:val="en-US" w:eastAsia="zh-CN"/>
              </w:rPr>
              <w:t>3）</w:t>
            </w:r>
            <w:r>
              <w:rPr>
                <w:rFonts w:hint="eastAsia" w:ascii="宋体" w:hAnsi="宋体" w:eastAsia="宋体" w:cs="宋体"/>
                <w:b w:val="0"/>
                <w:bCs/>
                <w:color w:val="auto"/>
                <w:kern w:val="0"/>
                <w:sz w:val="24"/>
                <w:szCs w:val="24"/>
                <w:highlight w:val="none"/>
                <w:lang w:eastAsia="zh-CN"/>
              </w:rPr>
              <w:t>投标文件</w:t>
            </w:r>
            <w:r>
              <w:rPr>
                <w:rFonts w:hint="eastAsia" w:ascii="宋体" w:hAnsi="宋体" w:eastAsia="宋体" w:cs="宋体"/>
                <w:b w:val="0"/>
                <w:bCs/>
                <w:color w:val="auto"/>
                <w:kern w:val="0"/>
                <w:sz w:val="24"/>
                <w:szCs w:val="24"/>
                <w:highlight w:val="none"/>
              </w:rPr>
              <w:t>上传地点：在</w:t>
            </w:r>
            <w:r>
              <w:rPr>
                <w:rFonts w:hint="eastAsia" w:ascii="宋体" w:hAnsi="宋体" w:eastAsia="宋体" w:cs="宋体"/>
                <w:b w:val="0"/>
                <w:bCs/>
                <w:color w:val="auto"/>
                <w:kern w:val="0"/>
                <w:sz w:val="24"/>
                <w:szCs w:val="24"/>
                <w:highlight w:val="none"/>
                <w:lang w:val="en-US" w:eastAsia="zh-CN"/>
              </w:rPr>
              <w:t>投标</w:t>
            </w:r>
            <w:r>
              <w:rPr>
                <w:rFonts w:hint="eastAsia" w:ascii="宋体" w:hAnsi="宋体" w:eastAsia="宋体" w:cs="宋体"/>
                <w:b w:val="0"/>
                <w:bCs/>
                <w:color w:val="auto"/>
                <w:kern w:val="0"/>
                <w:sz w:val="24"/>
                <w:szCs w:val="24"/>
                <w:highlight w:val="none"/>
              </w:rPr>
              <w:t>截止时间前将电子加密</w:t>
            </w:r>
            <w:r>
              <w:rPr>
                <w:rFonts w:hint="eastAsia" w:ascii="宋体" w:hAnsi="宋体" w:eastAsia="宋体" w:cs="宋体"/>
                <w:b w:val="0"/>
                <w:bCs/>
                <w:color w:val="auto"/>
                <w:kern w:val="0"/>
                <w:sz w:val="24"/>
                <w:szCs w:val="24"/>
                <w:highlight w:val="none"/>
                <w:lang w:eastAsia="zh-CN"/>
              </w:rPr>
              <w:t>投标文件</w:t>
            </w:r>
            <w:r>
              <w:rPr>
                <w:rFonts w:hint="eastAsia" w:ascii="宋体" w:hAnsi="宋体" w:eastAsia="宋体" w:cs="宋体"/>
                <w:b w:val="0"/>
                <w:bCs/>
                <w:color w:val="auto"/>
                <w:kern w:val="0"/>
                <w:sz w:val="24"/>
                <w:szCs w:val="24"/>
                <w:highlight w:val="none"/>
              </w:rPr>
              <w:t>成功上传至“政府采购云平台”</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lang w:val="en-US" w:eastAsia="zh-CN"/>
              </w:rPr>
              <w:t>投标人</w:t>
            </w:r>
            <w:r>
              <w:rPr>
                <w:rFonts w:hint="eastAsia" w:ascii="宋体" w:hAnsi="宋体" w:eastAsia="宋体" w:cs="宋体"/>
                <w:b w:val="0"/>
                <w:bCs/>
                <w:color w:val="auto"/>
                <w:kern w:val="0"/>
                <w:sz w:val="24"/>
                <w:szCs w:val="24"/>
                <w:highlight w:val="none"/>
                <w:lang w:eastAsia="zh-CN"/>
              </w:rPr>
              <w:t>成功上传电子加密投标文件后，可自行打印投标文件接收回执</w:t>
            </w:r>
            <w:r>
              <w:rPr>
                <w:rFonts w:hint="eastAsia" w:ascii="宋体" w:hAnsi="宋体" w:eastAsia="宋体" w:cs="宋体"/>
                <w:b w:val="0"/>
                <w:bCs/>
                <w:color w:val="auto"/>
                <w:sz w:val="24"/>
                <w:szCs w:val="24"/>
                <w:highlight w:val="none"/>
              </w:rPr>
              <w:t>。</w:t>
            </w:r>
          </w:p>
          <w:p w14:paraId="607921F9">
            <w:pPr>
              <w:pStyle w:val="40"/>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lang w:eastAsia="zh-CN"/>
              </w:rPr>
              <w:t>）电子投标文件包括“电子加密投标文件”和“备份投标文件”，在投标文件编制完成后同时生成。</w:t>
            </w:r>
          </w:p>
          <w:p w14:paraId="111DF1ED">
            <w:pPr>
              <w:pStyle w:val="40"/>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val="en-US" w:eastAsia="zh-CN"/>
              </w:rPr>
              <w:t>①</w:t>
            </w:r>
            <w:r>
              <w:rPr>
                <w:rFonts w:hint="eastAsia" w:ascii="宋体" w:hAnsi="宋体" w:eastAsia="宋体" w:cs="宋体"/>
                <w:b w:val="0"/>
                <w:bCs/>
                <w:color w:val="auto"/>
                <w:sz w:val="24"/>
                <w:szCs w:val="24"/>
                <w:highlight w:val="none"/>
                <w:lang w:eastAsia="zh-CN"/>
              </w:rPr>
              <w:t>“电子加密投标文件（“.jmbs”格式）”是指通过“政采云电子交易客户端”完成投标文件编制后生成并加密的数据电文形式的投标文件。</w:t>
            </w:r>
          </w:p>
          <w:p w14:paraId="6C0E1B92">
            <w:pPr>
              <w:pStyle w:val="40"/>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lang w:val="en-US" w:eastAsia="zh-CN"/>
              </w:rPr>
              <w:t>②</w:t>
            </w:r>
            <w:r>
              <w:rPr>
                <w:rFonts w:hint="eastAsia" w:ascii="宋体" w:hAnsi="宋体" w:eastAsia="宋体" w:cs="宋体"/>
                <w:b w:val="0"/>
                <w:bCs/>
                <w:color w:val="auto"/>
                <w:sz w:val="24"/>
                <w:szCs w:val="24"/>
                <w:highlight w:val="none"/>
                <w:lang w:eastAsia="zh-CN"/>
              </w:rPr>
              <w:t>“备份投标文件（“.bfbs”格式）”是指与“电子加密投标文件”同时生成的数据电文形式的电子文件（备份标书，用于投标人标书解密异常时应急使用），其他方式编制的备份投标文件视为无效备份投标文件。</w:t>
            </w:r>
          </w:p>
        </w:tc>
      </w:tr>
      <w:tr w14:paraId="1F5FB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888" w:hRule="atLeast"/>
          <w:jc w:val="center"/>
        </w:trPr>
        <w:tc>
          <w:tcPr>
            <w:tcW w:w="764" w:type="dxa"/>
            <w:vAlign w:val="center"/>
          </w:tcPr>
          <w:p w14:paraId="55FC65BB">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p>
        </w:tc>
        <w:tc>
          <w:tcPr>
            <w:tcW w:w="1561" w:type="dxa"/>
            <w:vAlign w:val="center"/>
          </w:tcPr>
          <w:p w14:paraId="181BD0EE">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重要说明</w:t>
            </w:r>
          </w:p>
        </w:tc>
        <w:tc>
          <w:tcPr>
            <w:tcW w:w="7353" w:type="dxa"/>
            <w:gridSpan w:val="2"/>
            <w:vAlign w:val="center"/>
          </w:tcPr>
          <w:p w14:paraId="570A9A0A">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1、电子招投标情况说明：</w:t>
            </w:r>
          </w:p>
          <w:p w14:paraId="4C171ADB">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color w:val="auto"/>
                <w:sz w:val="24"/>
                <w:szCs w:val="24"/>
                <w:highlight w:val="none"/>
              </w:rPr>
              <w:t>电子招投标</w:t>
            </w:r>
            <w:r>
              <w:rPr>
                <w:rFonts w:hint="eastAsia" w:ascii="宋体" w:hAnsi="宋体" w:eastAsia="宋体" w:cs="宋体"/>
                <w:color w:val="auto"/>
                <w:sz w:val="24"/>
                <w:szCs w:val="24"/>
                <w:highlight w:val="none"/>
              </w:rPr>
              <w:t>：本项目以数据电文形式，依托“政府采购云平台（www.zcygov.cn）”进行招投标活动</w:t>
            </w:r>
            <w:r>
              <w:rPr>
                <w:rFonts w:hint="eastAsia" w:ascii="宋体" w:hAnsi="宋体" w:eastAsia="宋体" w:cs="宋体"/>
                <w:b/>
                <w:bCs/>
                <w:color w:val="auto"/>
                <w:sz w:val="24"/>
                <w:szCs w:val="24"/>
                <w:highlight w:val="none"/>
              </w:rPr>
              <w:t>。</w:t>
            </w:r>
          </w:p>
          <w:p w14:paraId="084FCA73">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b/>
                <w:color w:val="auto"/>
                <w:sz w:val="24"/>
                <w:szCs w:val="24"/>
                <w:highlight w:val="none"/>
              </w:rPr>
              <w:t>投标准备</w:t>
            </w:r>
            <w:r>
              <w:rPr>
                <w:rFonts w:hint="eastAsia" w:ascii="宋体" w:hAnsi="宋体" w:eastAsia="宋体" w:cs="宋体"/>
                <w:color w:val="auto"/>
                <w:sz w:val="24"/>
                <w:szCs w:val="24"/>
                <w:highlight w:val="none"/>
              </w:rPr>
              <w:t>：注册账号--点击“商家入驻”，进行政府采购</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资料填写；申领CA数字证书---申领流程详见“</w:t>
            </w:r>
            <w:r>
              <w:rPr>
                <w:rFonts w:hint="eastAsia" w:ascii="宋体" w:hAnsi="宋体" w:eastAsia="宋体" w:cs="宋体"/>
                <w:color w:val="auto"/>
                <w:sz w:val="24"/>
                <w:szCs w:val="24"/>
                <w:highlight w:val="none"/>
                <w:lang w:eastAsia="zh-CN"/>
              </w:rPr>
              <w:t>新疆</w:t>
            </w:r>
            <w:r>
              <w:rPr>
                <w:rFonts w:hint="eastAsia" w:ascii="宋体" w:hAnsi="宋体" w:eastAsia="宋体" w:cs="宋体"/>
                <w:color w:val="auto"/>
                <w:sz w:val="24"/>
                <w:szCs w:val="24"/>
                <w:highlight w:val="none"/>
              </w:rPr>
              <w:t>政府采购网-下载专区-电子交易客户端-CA驱动和申领流程”；安装“政采云电子交易客户端”----前往“</w:t>
            </w:r>
            <w:r>
              <w:rPr>
                <w:rFonts w:hint="eastAsia" w:ascii="宋体" w:hAnsi="宋体" w:eastAsia="宋体" w:cs="宋体"/>
                <w:color w:val="auto"/>
                <w:sz w:val="24"/>
                <w:szCs w:val="24"/>
                <w:highlight w:val="none"/>
                <w:lang w:eastAsia="zh-CN"/>
              </w:rPr>
              <w:t>新疆</w:t>
            </w:r>
            <w:r>
              <w:rPr>
                <w:rFonts w:hint="eastAsia" w:ascii="宋体" w:hAnsi="宋体" w:eastAsia="宋体" w:cs="宋体"/>
                <w:color w:val="auto"/>
                <w:sz w:val="24"/>
                <w:szCs w:val="24"/>
                <w:highlight w:val="none"/>
              </w:rPr>
              <w:t>政府采购网-下载专区-政采云</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客户端”进行下载并安装。</w:t>
            </w:r>
          </w:p>
          <w:p w14:paraId="412799B8">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b/>
                <w:color w:val="auto"/>
                <w:sz w:val="24"/>
                <w:szCs w:val="24"/>
                <w:highlight w:val="none"/>
              </w:rPr>
              <w:t>采购文件的获取</w:t>
            </w:r>
            <w:r>
              <w:rPr>
                <w:rFonts w:hint="eastAsia" w:ascii="宋体" w:hAnsi="宋体" w:eastAsia="宋体" w:cs="宋体"/>
                <w:color w:val="auto"/>
                <w:sz w:val="24"/>
                <w:szCs w:val="24"/>
                <w:highlight w:val="none"/>
              </w:rPr>
              <w:t>：使用账号登录或者</w:t>
            </w:r>
            <w:r>
              <w:rPr>
                <w:rFonts w:hint="eastAsia" w:ascii="宋体" w:hAnsi="宋体" w:eastAsia="宋体" w:cs="宋体"/>
                <w:color w:val="auto"/>
                <w:sz w:val="24"/>
                <w:szCs w:val="24"/>
                <w:highlight w:val="none"/>
                <w:lang w:bidi="zh-CN"/>
              </w:rPr>
              <w:t>短信验证码</w:t>
            </w:r>
            <w:r>
              <w:rPr>
                <w:rFonts w:hint="eastAsia" w:ascii="宋体" w:hAnsi="宋体" w:eastAsia="宋体" w:cs="宋体"/>
                <w:color w:val="auto"/>
                <w:sz w:val="24"/>
                <w:szCs w:val="24"/>
                <w:highlight w:val="none"/>
              </w:rPr>
              <w:t>或者使用CA登录政采云平台；进入“项目采购”应用，在获取采购文件菜单中选择项目，获取采购文件。</w:t>
            </w:r>
          </w:p>
          <w:p w14:paraId="530F3AA2">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b/>
                <w:color w:val="auto"/>
                <w:sz w:val="24"/>
                <w:szCs w:val="24"/>
                <w:highlight w:val="none"/>
              </w:rPr>
              <w:t>投标文件的制作</w:t>
            </w:r>
            <w:r>
              <w:rPr>
                <w:rFonts w:hint="eastAsia" w:ascii="宋体" w:hAnsi="宋体" w:eastAsia="宋体" w:cs="宋体"/>
                <w:color w:val="auto"/>
                <w:sz w:val="24"/>
                <w:szCs w:val="24"/>
                <w:highlight w:val="none"/>
              </w:rPr>
              <w:t>：在“政采云</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客户端”中完成“填写基本信息”、“导入投标文件”、“标书关联”、“标书检查”、“电子签名”、“生成电子标书”等操作。</w:t>
            </w:r>
          </w:p>
          <w:p w14:paraId="0D80032B">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（5）</w:t>
            </w:r>
            <w:r>
              <w:rPr>
                <w:rFonts w:hint="eastAsia" w:ascii="宋体" w:hAnsi="宋体" w:eastAsia="宋体" w:cs="宋体"/>
                <w:b/>
                <w:color w:val="auto"/>
                <w:sz w:val="24"/>
                <w:szCs w:val="24"/>
                <w:highlight w:val="none"/>
              </w:rPr>
              <w:t>投标文件的递交</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在投标截止时间前将加密的投标文件上传至政府采购云平台</w:t>
            </w:r>
            <w:r>
              <w:rPr>
                <w:rFonts w:hint="eastAsia" w:ascii="宋体" w:hAnsi="宋体" w:eastAsia="宋体" w:cs="宋体"/>
                <w:color w:val="auto"/>
                <w:sz w:val="24"/>
                <w:szCs w:val="24"/>
                <w:highlight w:val="none"/>
                <w:lang w:eastAsia="zh-CN"/>
              </w:rPr>
              <w:t>。</w:t>
            </w:r>
          </w:p>
          <w:p w14:paraId="5E058B29">
            <w:pPr>
              <w:keepNext w:val="0"/>
              <w:keepLines w:val="0"/>
              <w:pageBreakBefore w:val="0"/>
              <w:kinsoku/>
              <w:wordWrap/>
              <w:overflowPunct/>
              <w:topLinePunct w:val="0"/>
              <w:autoSpaceDE/>
              <w:autoSpaceDN/>
              <w:bidi w:val="0"/>
              <w:adjustRightInd w:val="0"/>
              <w:snapToGrid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ascii="宋体" w:hAnsi="宋体" w:eastAsia="宋体" w:cs="宋体"/>
                <w:b/>
                <w:color w:val="auto"/>
                <w:sz w:val="24"/>
                <w:szCs w:val="24"/>
                <w:highlight w:val="none"/>
              </w:rPr>
              <w:t>投标文件的解密</w:t>
            </w:r>
            <w:r>
              <w:rPr>
                <w:rFonts w:hint="eastAsia" w:ascii="宋体" w:hAnsi="宋体" w:eastAsia="宋体" w:cs="宋体"/>
                <w:color w:val="auto"/>
                <w:sz w:val="24"/>
                <w:szCs w:val="24"/>
                <w:highlight w:val="none"/>
              </w:rPr>
              <w:t>：投标文件解密时间30分钟，开标前需</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用CA证书登录政采云平台开标大厅签到，在30分钟解密时间内输入CA证书PIN码解密投标文件。在30分钟解密时间内未进行解密的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将导致投标无效。（解密时间开始时政采云平台将以短信形式向投标人在政采云平台预留的手机号发送短信通知，请投标人及时关注。）</w:t>
            </w:r>
          </w:p>
          <w:p w14:paraId="31EFBA6C">
            <w:pPr>
              <w:keepNext w:val="0"/>
              <w:keepLines w:val="0"/>
              <w:pageBreakBefore w:val="0"/>
              <w:kinsoku/>
              <w:wordWrap/>
              <w:overflowPunct/>
              <w:topLinePunct w:val="0"/>
              <w:autoSpaceDE/>
              <w:autoSpaceDN/>
              <w:bidi w:val="0"/>
              <w:adjustRightInd w:val="0"/>
              <w:snapToGrid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投标人报价CA签字确认：</w:t>
            </w:r>
            <w:r>
              <w:rPr>
                <w:rFonts w:hint="eastAsia" w:ascii="宋体" w:hAnsi="宋体" w:eastAsia="宋体" w:cs="宋体"/>
                <w:color w:val="auto"/>
                <w:sz w:val="24"/>
                <w:szCs w:val="24"/>
                <w:highlight w:val="none"/>
              </w:rPr>
              <w:t>报价文件开启后将开启签字时段，投标人须在20分钟内用CA证书对报价进行签字确认。</w:t>
            </w:r>
          </w:p>
          <w:p w14:paraId="52631006">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）具</w:t>
            </w:r>
            <w:r>
              <w:rPr>
                <w:rFonts w:hint="eastAsia" w:ascii="宋体" w:hAnsi="宋体" w:eastAsia="宋体" w:cs="宋体"/>
                <w:b/>
                <w:color w:val="auto"/>
                <w:sz w:val="24"/>
                <w:szCs w:val="24"/>
                <w:highlight w:val="none"/>
              </w:rPr>
              <w:t>体操作指南</w:t>
            </w:r>
            <w:r>
              <w:rPr>
                <w:rFonts w:hint="eastAsia" w:ascii="宋体" w:hAnsi="宋体" w:eastAsia="宋体" w:cs="宋体"/>
                <w:color w:val="auto"/>
                <w:sz w:val="24"/>
                <w:szCs w:val="24"/>
                <w:highlight w:val="none"/>
              </w:rPr>
              <w:t>：详见政采云平台“服务中心-帮助文档-项目采购-操作流程-电子招投标-政府采购项目电子交易管理操作指南-</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w:t>
            </w:r>
          </w:p>
          <w:p w14:paraId="5D75462F">
            <w:pPr>
              <w:keepNext w:val="0"/>
              <w:keepLines w:val="0"/>
              <w:pageBreakBefore w:val="0"/>
              <w:widowControl w:val="0"/>
              <w:shd w:val="clear" w:color="auto" w:fill="auto"/>
              <w:kinsoku/>
              <w:wordWrap/>
              <w:overflowPunct/>
              <w:topLinePunct w:val="0"/>
              <w:autoSpaceDE/>
              <w:autoSpaceDN/>
              <w:bidi w:val="0"/>
              <w:adjustRightInd/>
              <w:snapToGrid w:val="0"/>
              <w:spacing w:line="38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在进行上述操作时，如遇技术问题可登录政采云（https://</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HYPERLINK "http://www.zcygov.cn/" \h</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www.zcygov.cn/</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），点击右侧咨询小采，获取采小蜜智能服务管家帮助，或拨打政采云服务热线</w:t>
            </w:r>
            <w:r>
              <w:rPr>
                <w:rFonts w:hint="eastAsia" w:ascii="宋体" w:hAnsi="宋体" w:eastAsia="宋体" w:cs="宋体"/>
                <w:color w:val="auto"/>
                <w:sz w:val="24"/>
                <w:szCs w:val="24"/>
                <w:highlight w:val="none"/>
                <w:lang w:val="en-US" w:eastAsia="zh-CN"/>
              </w:rPr>
              <w:t>95763</w:t>
            </w:r>
            <w:r>
              <w:rPr>
                <w:rFonts w:hint="eastAsia" w:ascii="宋体" w:hAnsi="宋体" w:eastAsia="宋体" w:cs="宋体"/>
                <w:color w:val="auto"/>
                <w:sz w:val="24"/>
                <w:szCs w:val="24"/>
                <w:highlight w:val="none"/>
              </w:rPr>
              <w:t>获取热线服务帮助。</w:t>
            </w:r>
          </w:p>
          <w:p w14:paraId="7D49C6F3">
            <w:pPr>
              <w:keepNext w:val="0"/>
              <w:keepLines w:val="0"/>
              <w:pageBreakBefore w:val="0"/>
              <w:kinsoku/>
              <w:wordWrap/>
              <w:overflowPunct/>
              <w:topLinePunct w:val="0"/>
              <w:autoSpaceDE/>
              <w:autoSpaceDN/>
              <w:bidi w:val="0"/>
              <w:spacing w:line="380" w:lineRule="exact"/>
              <w:ind w:left="0" w:leftChars="0" w:right="0" w:rightChars="0" w:firstLine="0" w:firstLineChars="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color w:val="auto"/>
                <w:sz w:val="24"/>
                <w:szCs w:val="24"/>
                <w:highlight w:val="none"/>
              </w:rPr>
              <w:t>温馨提醒：</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应提前上传，以便在上传时遇到技术问题，有充足的时间请教平台的技术人员。</w:t>
            </w:r>
          </w:p>
        </w:tc>
      </w:tr>
      <w:tr w14:paraId="5D2F2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688" w:hRule="atLeast"/>
          <w:jc w:val="center"/>
        </w:trPr>
        <w:tc>
          <w:tcPr>
            <w:tcW w:w="764" w:type="dxa"/>
            <w:vAlign w:val="center"/>
          </w:tcPr>
          <w:p w14:paraId="6CA02CD9">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p>
        </w:tc>
        <w:tc>
          <w:tcPr>
            <w:tcW w:w="1561" w:type="dxa"/>
            <w:vAlign w:val="center"/>
          </w:tcPr>
          <w:p w14:paraId="26D501FD">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7353" w:type="dxa"/>
            <w:gridSpan w:val="2"/>
            <w:vAlign w:val="center"/>
          </w:tcPr>
          <w:p w14:paraId="625A4364">
            <w:pPr>
              <w:keepNext w:val="0"/>
              <w:keepLines w:val="0"/>
              <w:pageBreakBefore w:val="0"/>
              <w:numPr>
                <w:ilvl w:val="0"/>
                <w:numId w:val="0"/>
              </w:numPr>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报价包括所投货物相关人工费、税费、保险费、运输费、装卸费、安装费、</w:t>
            </w:r>
            <w:r>
              <w:rPr>
                <w:rFonts w:hint="eastAsia" w:ascii="宋体" w:hAnsi="宋体" w:eastAsia="宋体" w:cs="宋体"/>
                <w:color w:val="auto"/>
                <w:sz w:val="24"/>
                <w:szCs w:val="24"/>
                <w:highlight w:val="none"/>
              </w:rPr>
              <w:t>调试、培训</w:t>
            </w:r>
            <w:r>
              <w:rPr>
                <w:rFonts w:hint="eastAsia" w:ascii="宋体" w:hAnsi="宋体" w:eastAsia="宋体" w:cs="宋体"/>
                <w:color w:val="auto"/>
                <w:sz w:val="24"/>
                <w:szCs w:val="24"/>
                <w:highlight w:val="none"/>
                <w:lang w:eastAsia="zh-CN"/>
              </w:rPr>
              <w:t>等所有技术和售后服务费用，</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后采购人不再另行支付</w:t>
            </w:r>
            <w:r>
              <w:rPr>
                <w:rFonts w:hint="eastAsia" w:ascii="宋体" w:hAnsi="宋体" w:eastAsia="宋体" w:cs="宋体"/>
                <w:color w:val="auto"/>
                <w:sz w:val="24"/>
                <w:szCs w:val="24"/>
                <w:highlight w:val="none"/>
                <w:lang w:val="en-US" w:eastAsia="zh-CN"/>
              </w:rPr>
              <w:t>其它费用。</w:t>
            </w:r>
          </w:p>
          <w:p w14:paraId="175F5E8B">
            <w:pPr>
              <w:keepNext w:val="0"/>
              <w:keepLines w:val="0"/>
              <w:pageBreakBefore w:val="0"/>
              <w:numPr>
                <w:ilvl w:val="0"/>
                <w:numId w:val="0"/>
              </w:numPr>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b/>
                <w:color w:val="auto"/>
                <w:kern w:val="0"/>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投标人的报价明显低于其他通过符合性审查投标人的报价，有可能影响货物质量或者不能诚信履约的，应当要求其在评标现场合理的时间内提供</w:t>
            </w:r>
            <w:r>
              <w:rPr>
                <w:rFonts w:hint="eastAsia" w:ascii="宋体" w:hAnsi="宋体" w:eastAsia="宋体" w:cs="宋体"/>
                <w:color w:val="auto"/>
                <w:sz w:val="24"/>
                <w:szCs w:val="24"/>
                <w:highlight w:val="none"/>
                <w:lang w:val="en-US" w:eastAsia="zh-CN"/>
              </w:rPr>
              <w:t>报价合理性</w:t>
            </w:r>
            <w:r>
              <w:rPr>
                <w:rFonts w:hint="eastAsia" w:ascii="宋体" w:hAnsi="宋体" w:eastAsia="宋体" w:cs="宋体"/>
                <w:color w:val="auto"/>
                <w:sz w:val="24"/>
                <w:szCs w:val="24"/>
                <w:highlight w:val="none"/>
              </w:rPr>
              <w:t>说明，必要时提交相关证明材料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投标人不能证明其报价合理性的，评标委员会将其作为无效投标处理，自行承担相关责任。</w:t>
            </w:r>
          </w:p>
        </w:tc>
      </w:tr>
      <w:tr w14:paraId="699B0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74" w:hRule="atLeast"/>
          <w:jc w:val="center"/>
        </w:trPr>
        <w:tc>
          <w:tcPr>
            <w:tcW w:w="764" w:type="dxa"/>
            <w:vAlign w:val="center"/>
          </w:tcPr>
          <w:p w14:paraId="435FA384">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p>
        </w:tc>
        <w:tc>
          <w:tcPr>
            <w:tcW w:w="1561" w:type="dxa"/>
            <w:vAlign w:val="center"/>
          </w:tcPr>
          <w:p w14:paraId="47C8C610">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踏勘现场</w:t>
            </w:r>
          </w:p>
        </w:tc>
        <w:tc>
          <w:tcPr>
            <w:tcW w:w="7353" w:type="dxa"/>
            <w:gridSpan w:val="2"/>
            <w:vAlign w:val="center"/>
          </w:tcPr>
          <w:p w14:paraId="3325CBB2">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不组织，投标人自行踏勘，无论投标人对现场考察与否，都将被视为熟悉履行合同有关的一切情况，投标人现场踏勘发生的费用自理。</w:t>
            </w:r>
          </w:p>
        </w:tc>
      </w:tr>
      <w:tr w14:paraId="738A3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0" w:hRule="atLeast"/>
          <w:jc w:val="center"/>
        </w:trPr>
        <w:tc>
          <w:tcPr>
            <w:tcW w:w="764" w:type="dxa"/>
            <w:vAlign w:val="center"/>
          </w:tcPr>
          <w:p w14:paraId="45628B0B">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9</w:t>
            </w:r>
          </w:p>
        </w:tc>
        <w:tc>
          <w:tcPr>
            <w:tcW w:w="1561" w:type="dxa"/>
            <w:vAlign w:val="center"/>
          </w:tcPr>
          <w:p w14:paraId="08170B3A">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投标答疑会</w:t>
            </w:r>
          </w:p>
        </w:tc>
        <w:tc>
          <w:tcPr>
            <w:tcW w:w="7353" w:type="dxa"/>
            <w:gridSpan w:val="2"/>
            <w:vAlign w:val="center"/>
          </w:tcPr>
          <w:p w14:paraId="2069A1C8">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不召开</w:t>
            </w:r>
            <w:r>
              <w:rPr>
                <w:rFonts w:hint="eastAsia" w:ascii="宋体" w:hAnsi="宋体" w:eastAsia="宋体" w:cs="宋体"/>
                <w:color w:val="auto"/>
                <w:sz w:val="24"/>
                <w:szCs w:val="24"/>
                <w:highlight w:val="none"/>
                <w:lang w:eastAsia="zh-CN"/>
              </w:rPr>
              <w:t>。</w:t>
            </w:r>
          </w:p>
        </w:tc>
      </w:tr>
      <w:tr w14:paraId="705BC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74" w:hRule="atLeast"/>
          <w:jc w:val="center"/>
        </w:trPr>
        <w:tc>
          <w:tcPr>
            <w:tcW w:w="764" w:type="dxa"/>
            <w:vAlign w:val="center"/>
          </w:tcPr>
          <w:p w14:paraId="38F24B15">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561" w:type="dxa"/>
            <w:vAlign w:val="center"/>
          </w:tcPr>
          <w:p w14:paraId="252815EC">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近年财务状况年份要求</w:t>
            </w:r>
          </w:p>
        </w:tc>
        <w:tc>
          <w:tcPr>
            <w:tcW w:w="7353" w:type="dxa"/>
            <w:gridSpan w:val="2"/>
            <w:vAlign w:val="center"/>
          </w:tcPr>
          <w:p w14:paraId="5680D281">
            <w:pPr>
              <w:pStyle w:val="24"/>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银行出具的近1年内资信证明或2023年度经审计的财务报告，新成立企业无需提供。</w:t>
            </w:r>
          </w:p>
        </w:tc>
      </w:tr>
      <w:tr w14:paraId="373C8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0" w:hRule="atLeast"/>
          <w:jc w:val="center"/>
        </w:trPr>
        <w:tc>
          <w:tcPr>
            <w:tcW w:w="764" w:type="dxa"/>
            <w:vAlign w:val="center"/>
          </w:tcPr>
          <w:p w14:paraId="65C42617">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p>
        </w:tc>
        <w:tc>
          <w:tcPr>
            <w:tcW w:w="1561" w:type="dxa"/>
            <w:vAlign w:val="center"/>
          </w:tcPr>
          <w:p w14:paraId="63601B3D">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投标有效期</w:t>
            </w:r>
          </w:p>
        </w:tc>
        <w:tc>
          <w:tcPr>
            <w:tcW w:w="7353" w:type="dxa"/>
            <w:gridSpan w:val="2"/>
            <w:vAlign w:val="center"/>
          </w:tcPr>
          <w:p w14:paraId="4F63166D">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从提交</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文件的截止之日起</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0天</w:t>
            </w:r>
          </w:p>
        </w:tc>
      </w:tr>
      <w:tr w14:paraId="2C403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260" w:hRule="atLeast"/>
          <w:jc w:val="center"/>
        </w:trPr>
        <w:tc>
          <w:tcPr>
            <w:tcW w:w="764" w:type="dxa"/>
            <w:vAlign w:val="center"/>
          </w:tcPr>
          <w:p w14:paraId="0D9FD66F">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p>
        </w:tc>
        <w:tc>
          <w:tcPr>
            <w:tcW w:w="1561" w:type="dxa"/>
            <w:vAlign w:val="center"/>
          </w:tcPr>
          <w:p w14:paraId="6784CCE2">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评标委员会的组建</w:t>
            </w:r>
          </w:p>
        </w:tc>
        <w:tc>
          <w:tcPr>
            <w:tcW w:w="7353" w:type="dxa"/>
            <w:gridSpan w:val="2"/>
            <w:vAlign w:val="center"/>
          </w:tcPr>
          <w:p w14:paraId="5EC9BC7F">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评标委员会构成：</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w:t>
            </w:r>
          </w:p>
          <w:p w14:paraId="01C09A10">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评标专家确定方式：经济、技术专家不少于评标委员会组成人员的三分之二，按相关规定从政府采购专家库中随机抽取。</w:t>
            </w:r>
          </w:p>
        </w:tc>
      </w:tr>
      <w:tr w14:paraId="1EF8E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64" w:type="dxa"/>
            <w:vAlign w:val="center"/>
          </w:tcPr>
          <w:p w14:paraId="3F6AE295">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p>
        </w:tc>
        <w:tc>
          <w:tcPr>
            <w:tcW w:w="1562" w:type="dxa"/>
            <w:gridSpan w:val="2"/>
            <w:vAlign w:val="center"/>
          </w:tcPr>
          <w:p w14:paraId="4961CB99">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评标办法</w:t>
            </w:r>
          </w:p>
        </w:tc>
        <w:tc>
          <w:tcPr>
            <w:tcW w:w="7353" w:type="dxa"/>
            <w:gridSpan w:val="2"/>
            <w:vAlign w:val="center"/>
          </w:tcPr>
          <w:p w14:paraId="3E3EB7E3">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综合评分法</w:t>
            </w:r>
          </w:p>
        </w:tc>
      </w:tr>
      <w:tr w14:paraId="34E76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764" w:type="dxa"/>
            <w:vAlign w:val="center"/>
          </w:tcPr>
          <w:p w14:paraId="499BADFE">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p>
        </w:tc>
        <w:tc>
          <w:tcPr>
            <w:tcW w:w="1562" w:type="dxa"/>
            <w:gridSpan w:val="2"/>
            <w:vAlign w:val="center"/>
          </w:tcPr>
          <w:p w14:paraId="433CA615">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是否授权评标委员会确定中标人</w:t>
            </w:r>
          </w:p>
        </w:tc>
        <w:tc>
          <w:tcPr>
            <w:tcW w:w="7353" w:type="dxa"/>
            <w:gridSpan w:val="2"/>
            <w:vAlign w:val="center"/>
          </w:tcPr>
          <w:p w14:paraId="73867C98">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否，推荐3名中标候选人。</w:t>
            </w:r>
          </w:p>
        </w:tc>
      </w:tr>
      <w:tr w14:paraId="5B767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90" w:hRule="atLeast"/>
          <w:jc w:val="center"/>
        </w:trPr>
        <w:tc>
          <w:tcPr>
            <w:tcW w:w="764" w:type="dxa"/>
            <w:vAlign w:val="center"/>
          </w:tcPr>
          <w:p w14:paraId="4622869A">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p>
        </w:tc>
        <w:tc>
          <w:tcPr>
            <w:tcW w:w="1561" w:type="dxa"/>
            <w:vAlign w:val="center"/>
          </w:tcPr>
          <w:p w14:paraId="5AAA504C">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353" w:type="dxa"/>
            <w:gridSpan w:val="2"/>
            <w:vAlign w:val="center"/>
          </w:tcPr>
          <w:p w14:paraId="77B4282E">
            <w:pPr>
              <w:keepNext w:val="0"/>
              <w:keepLines w:val="0"/>
              <w:pageBreakBefore w:val="0"/>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本项目无需缴纳</w:t>
            </w:r>
            <w:r>
              <w:rPr>
                <w:rFonts w:hint="eastAsia" w:ascii="宋体" w:hAnsi="宋体" w:eastAsia="宋体" w:cs="宋体"/>
                <w:color w:val="auto"/>
                <w:sz w:val="24"/>
                <w:szCs w:val="24"/>
                <w:highlight w:val="none"/>
              </w:rPr>
              <w:t>履约保证金</w:t>
            </w:r>
            <w:r>
              <w:rPr>
                <w:rFonts w:hint="eastAsia" w:ascii="宋体" w:hAnsi="宋体" w:eastAsia="宋体" w:cs="宋体"/>
                <w:color w:val="auto"/>
                <w:sz w:val="24"/>
                <w:szCs w:val="24"/>
                <w:highlight w:val="none"/>
                <w:lang w:eastAsia="zh-CN"/>
              </w:rPr>
              <w:t>。</w:t>
            </w:r>
          </w:p>
        </w:tc>
      </w:tr>
      <w:tr w14:paraId="437E6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34" w:hRule="atLeast"/>
          <w:jc w:val="center"/>
        </w:trPr>
        <w:tc>
          <w:tcPr>
            <w:tcW w:w="764" w:type="dxa"/>
            <w:vAlign w:val="center"/>
          </w:tcPr>
          <w:p w14:paraId="297DBE9D">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p>
        </w:tc>
        <w:tc>
          <w:tcPr>
            <w:tcW w:w="1561" w:type="dxa"/>
            <w:vAlign w:val="center"/>
          </w:tcPr>
          <w:p w14:paraId="2B2752BF">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353" w:type="dxa"/>
            <w:gridSpan w:val="2"/>
            <w:vAlign w:val="center"/>
          </w:tcPr>
          <w:p w14:paraId="6F7454D7">
            <w:pPr>
              <w:pStyle w:val="99"/>
              <w:keepNext w:val="0"/>
              <w:keepLines w:val="0"/>
              <w:pageBreakBefore w:val="0"/>
              <w:widowControl/>
              <w:kinsoku/>
              <w:wordWrap/>
              <w:overflowPunct/>
              <w:topLinePunct w:val="0"/>
              <w:autoSpaceDE/>
              <w:autoSpaceDN/>
              <w:bidi w:val="0"/>
              <w:spacing w:line="380" w:lineRule="exact"/>
              <w:ind w:left="0" w:leftChars="0" w:right="0" w:righ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bidi="en-US"/>
              </w:rPr>
              <w:t>货到安装验收合格后一个月，支付90%合同款，剩余10%质保期满后付清</w:t>
            </w:r>
            <w:r>
              <w:rPr>
                <w:rFonts w:hint="eastAsia" w:ascii="宋体" w:hAnsi="宋体" w:eastAsia="宋体" w:cs="宋体"/>
                <w:color w:val="auto"/>
                <w:sz w:val="24"/>
                <w:szCs w:val="24"/>
                <w:highlight w:val="none"/>
              </w:rPr>
              <w:t>。</w:t>
            </w:r>
          </w:p>
        </w:tc>
      </w:tr>
      <w:tr w14:paraId="4F031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260" w:hRule="atLeast"/>
          <w:jc w:val="center"/>
        </w:trPr>
        <w:tc>
          <w:tcPr>
            <w:tcW w:w="764" w:type="dxa"/>
            <w:vAlign w:val="center"/>
          </w:tcPr>
          <w:p w14:paraId="7CC4C97A">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w:t>
            </w:r>
          </w:p>
        </w:tc>
        <w:tc>
          <w:tcPr>
            <w:tcW w:w="1561" w:type="dxa"/>
            <w:vAlign w:val="center"/>
          </w:tcPr>
          <w:p w14:paraId="755626BC">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中标服务费</w:t>
            </w:r>
          </w:p>
        </w:tc>
        <w:tc>
          <w:tcPr>
            <w:tcW w:w="7353" w:type="dxa"/>
            <w:gridSpan w:val="2"/>
            <w:vAlign w:val="center"/>
          </w:tcPr>
          <w:p w14:paraId="663D153B">
            <w:pPr>
              <w:pStyle w:val="99"/>
              <w:keepNext w:val="0"/>
              <w:keepLines w:val="0"/>
              <w:pageBreakBefore w:val="0"/>
              <w:widowControl/>
              <w:kinsoku/>
              <w:wordWrap/>
              <w:overflowPunct/>
              <w:topLinePunct w:val="0"/>
              <w:autoSpaceDE/>
              <w:autoSpaceDN/>
              <w:bidi w:val="0"/>
              <w:spacing w:line="380" w:lineRule="exact"/>
              <w:ind w:left="0" w:leftChars="0" w:right="0" w:rightChars="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招标代理服务费由中标人向陕西方得项目管理有限公司支付，支付标准参考计委〔2002〕1980号文件（以预计年用量为计算金额）下浮60%执行 。</w:t>
            </w:r>
          </w:p>
        </w:tc>
      </w:tr>
      <w:tr w14:paraId="77D15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dxa"/>
          <w:trHeight w:val="1462" w:hRule="atLeast"/>
          <w:jc w:val="center"/>
        </w:trPr>
        <w:tc>
          <w:tcPr>
            <w:tcW w:w="764" w:type="dxa"/>
            <w:vAlign w:val="center"/>
          </w:tcPr>
          <w:p w14:paraId="34F161AC">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w:t>
            </w:r>
          </w:p>
        </w:tc>
        <w:tc>
          <w:tcPr>
            <w:tcW w:w="1561" w:type="dxa"/>
            <w:vAlign w:val="center"/>
          </w:tcPr>
          <w:p w14:paraId="63D48A84">
            <w:pPr>
              <w:keepNext w:val="0"/>
              <w:keepLines w:val="0"/>
              <w:pageBreakBefore w:val="0"/>
              <w:kinsoku/>
              <w:wordWrap/>
              <w:overflowPunct/>
              <w:topLinePunct w:val="0"/>
              <w:autoSpaceDE/>
              <w:autoSpaceDN/>
              <w:bidi w:val="0"/>
              <w:spacing w:line="380" w:lineRule="exact"/>
              <w:ind w:left="0" w:leftChars="0" w:right="0" w:righ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tc>
        <w:tc>
          <w:tcPr>
            <w:tcW w:w="7353" w:type="dxa"/>
            <w:gridSpan w:val="2"/>
            <w:vAlign w:val="center"/>
          </w:tcPr>
          <w:p w14:paraId="5C22EA5C">
            <w:pPr>
              <w:keepNext w:val="0"/>
              <w:keepLines w:val="0"/>
              <w:pageBreakBefore w:val="0"/>
              <w:numPr>
                <w:ilvl w:val="0"/>
                <w:numId w:val="0"/>
              </w:numPr>
              <w:kinsoku/>
              <w:wordWrap/>
              <w:overflowPunct/>
              <w:topLinePunct w:val="0"/>
              <w:autoSpaceDE/>
              <w:autoSpaceDN/>
              <w:bidi w:val="0"/>
              <w:spacing w:line="380" w:lineRule="exact"/>
              <w:ind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本次招标如有变更、澄清或其他通知将在发布招标公告的网站</w:t>
            </w:r>
            <w:r>
              <w:rPr>
                <w:rFonts w:hint="eastAsia" w:ascii="宋体" w:hAnsi="宋体" w:eastAsia="宋体" w:cs="宋体"/>
                <w:color w:val="auto"/>
                <w:sz w:val="24"/>
                <w:szCs w:val="24"/>
                <w:highlight w:val="none"/>
                <w:lang w:eastAsia="zh-CN"/>
              </w:rPr>
              <w:t>（新疆政府采购网）</w:t>
            </w:r>
            <w:r>
              <w:rPr>
                <w:rFonts w:hint="eastAsia" w:ascii="宋体" w:hAnsi="宋体" w:eastAsia="宋体" w:cs="宋体"/>
                <w:color w:val="auto"/>
                <w:sz w:val="24"/>
                <w:szCs w:val="24"/>
                <w:highlight w:val="none"/>
              </w:rPr>
              <w:t>上公布。</w:t>
            </w:r>
          </w:p>
          <w:p w14:paraId="40BBD0B8">
            <w:pPr>
              <w:keepNext w:val="0"/>
              <w:keepLines w:val="0"/>
              <w:pageBreakBefore w:val="0"/>
              <w:numPr>
                <w:ilvl w:val="0"/>
                <w:numId w:val="0"/>
              </w:numPr>
              <w:kinsoku/>
              <w:wordWrap/>
              <w:overflowPunct/>
              <w:topLinePunct w:val="0"/>
              <w:autoSpaceDE/>
              <w:autoSpaceDN/>
              <w:bidi w:val="0"/>
              <w:spacing w:line="380" w:lineRule="exact"/>
              <w:ind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（2）重要说明：①本项目采用全流程不见面电子开评标，投标人需要使用CA加密设备，投标人可通过新疆数字证书认证中心官网（https://www.xjca.com.cn/）或下载“新疆政务通”APP自行进行申领。</w:t>
            </w:r>
          </w:p>
          <w:p w14:paraId="2B1627BB">
            <w:pPr>
              <w:keepNext w:val="0"/>
              <w:keepLines w:val="0"/>
              <w:pageBreakBefore w:val="0"/>
              <w:numPr>
                <w:ilvl w:val="0"/>
                <w:numId w:val="0"/>
              </w:numPr>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②本项目实行网上投标，采用加密电子投标文件（投标人须使用CA加密设备通过政采云电子投标客户端制作投标文件）。若投标人参与投标，自行承担投标一切费用。</w:t>
            </w:r>
          </w:p>
          <w:p w14:paraId="1CFEB390">
            <w:pPr>
              <w:keepNext w:val="0"/>
              <w:keepLines w:val="0"/>
              <w:pageBreakBefore w:val="0"/>
              <w:numPr>
                <w:ilvl w:val="0"/>
                <w:numId w:val="0"/>
              </w:numPr>
              <w:kinsoku/>
              <w:wordWrap/>
              <w:overflowPunct/>
              <w:topLinePunct w:val="0"/>
              <w:autoSpaceDE/>
              <w:autoSpaceDN/>
              <w:bidi w:val="0"/>
              <w:spacing w:line="38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（3）投标人使用相同IP地址的，一经发现，相关部门将进一步核实，查实后按串通投标处理。</w:t>
            </w:r>
          </w:p>
          <w:p w14:paraId="47739366">
            <w:pPr>
              <w:keepNext w:val="0"/>
              <w:keepLines w:val="0"/>
              <w:pageBreakBefore w:val="0"/>
              <w:numPr>
                <w:ilvl w:val="0"/>
                <w:numId w:val="0"/>
              </w:numPr>
              <w:kinsoku/>
              <w:wordWrap/>
              <w:overflowPunct/>
              <w:topLinePunct w:val="0"/>
              <w:autoSpaceDE/>
              <w:autoSpaceDN/>
              <w:bidi w:val="0"/>
              <w:spacing w:line="380" w:lineRule="exact"/>
              <w:ind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不同投标人提供相同品牌核心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bl>
    <w:p w14:paraId="211A9A29">
      <w:pPr>
        <w:pStyle w:val="3"/>
        <w:pageBreakBefore w:val="0"/>
        <w:kinsoku/>
        <w:wordWrap/>
        <w:overflowPunct/>
        <w:topLinePunct w:val="0"/>
        <w:autoSpaceDE/>
        <w:autoSpaceDN/>
        <w:bidi w:val="0"/>
        <w:spacing w:before="0" w:after="0" w:line="560" w:lineRule="exact"/>
        <w:ind w:left="0" w:leftChars="0" w:right="0" w:rightChars="0" w:firstLine="0" w:firstLineChars="0"/>
        <w:jc w:val="center"/>
        <w:textAlignment w:val="auto"/>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br w:type="page"/>
      </w:r>
      <w:r>
        <w:rPr>
          <w:rFonts w:hint="eastAsia" w:ascii="宋体" w:hAnsi="宋体" w:eastAsia="宋体" w:cs="宋体"/>
          <w:bCs w:val="0"/>
          <w:color w:val="auto"/>
          <w:sz w:val="24"/>
          <w:szCs w:val="24"/>
          <w:highlight w:val="none"/>
        </w:rPr>
        <w:t>二、总  则</w:t>
      </w:r>
    </w:p>
    <w:p w14:paraId="74828837">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45" w:name="_Toc183582205"/>
      <w:bookmarkStart w:id="46" w:name="_Toc183682342"/>
      <w:bookmarkStart w:id="47" w:name="_Toc217446034"/>
      <w:r>
        <w:rPr>
          <w:rFonts w:hint="eastAsia" w:ascii="宋体" w:hAnsi="宋体" w:eastAsia="宋体" w:cs="宋体"/>
          <w:b/>
          <w:bCs/>
          <w:color w:val="auto"/>
          <w:sz w:val="24"/>
          <w:szCs w:val="24"/>
          <w:highlight w:val="none"/>
        </w:rPr>
        <w:t>1.</w:t>
      </w:r>
      <w:bookmarkEnd w:id="45"/>
      <w:bookmarkEnd w:id="46"/>
      <w:r>
        <w:rPr>
          <w:rFonts w:hint="eastAsia" w:ascii="宋体" w:hAnsi="宋体" w:eastAsia="宋体" w:cs="宋体"/>
          <w:b/>
          <w:bCs/>
          <w:color w:val="auto"/>
          <w:sz w:val="24"/>
          <w:szCs w:val="24"/>
          <w:highlight w:val="none"/>
        </w:rPr>
        <w:t xml:space="preserve"> 适用范围</w:t>
      </w:r>
      <w:bookmarkEnd w:id="47"/>
    </w:p>
    <w:p w14:paraId="64876D3D">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本招标文件仅适用于本次招标项目。</w:t>
      </w:r>
    </w:p>
    <w:p w14:paraId="4A7009EC">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48" w:name="_Toc183682343"/>
      <w:bookmarkStart w:id="49" w:name="_Toc183582206"/>
      <w:bookmarkStart w:id="50" w:name="_Toc217446035"/>
      <w:r>
        <w:rPr>
          <w:rFonts w:hint="eastAsia" w:ascii="宋体" w:hAnsi="宋体" w:eastAsia="宋体" w:cs="宋体"/>
          <w:b/>
          <w:bCs/>
          <w:color w:val="auto"/>
          <w:sz w:val="24"/>
          <w:szCs w:val="24"/>
          <w:highlight w:val="none"/>
        </w:rPr>
        <w:t xml:space="preserve">2. </w:t>
      </w:r>
      <w:bookmarkEnd w:id="48"/>
      <w:bookmarkEnd w:id="49"/>
      <w:r>
        <w:rPr>
          <w:rFonts w:hint="eastAsia" w:ascii="宋体" w:hAnsi="宋体" w:eastAsia="宋体" w:cs="宋体"/>
          <w:b/>
          <w:bCs/>
          <w:color w:val="auto"/>
          <w:sz w:val="24"/>
          <w:szCs w:val="24"/>
          <w:highlight w:val="none"/>
        </w:rPr>
        <w:t>有关定义</w:t>
      </w:r>
      <w:bookmarkEnd w:id="50"/>
    </w:p>
    <w:p w14:paraId="37C0A4BA">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“采购人”系指依法进行政府采购的国家机关、事业单位、团体组织。本项目采购人是</w:t>
      </w:r>
      <w:r>
        <w:rPr>
          <w:rFonts w:hint="eastAsia" w:ascii="宋体" w:hAnsi="宋体" w:eastAsia="宋体" w:cs="宋体"/>
          <w:i w:val="0"/>
          <w:iCs w:val="0"/>
          <w:color w:val="auto"/>
          <w:sz w:val="24"/>
          <w:szCs w:val="24"/>
          <w:highlight w:val="none"/>
          <w:u w:val="single"/>
          <w:lang w:val="en-US" w:eastAsia="zh-CN"/>
        </w:rPr>
        <w:t>新疆医科大学附属肿瘤医院</w:t>
      </w:r>
      <w:r>
        <w:rPr>
          <w:rFonts w:hint="eastAsia" w:ascii="宋体" w:hAnsi="宋体" w:eastAsia="宋体" w:cs="宋体"/>
          <w:color w:val="auto"/>
          <w:sz w:val="24"/>
          <w:szCs w:val="24"/>
          <w:highlight w:val="none"/>
        </w:rPr>
        <w:t>。</w:t>
      </w:r>
    </w:p>
    <w:p w14:paraId="00C1CCA1">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“采购代理机构”系指根据采购人的委托依法办理招标事宜的采购机构。本次招标的采购代理机构是</w:t>
      </w:r>
      <w:r>
        <w:rPr>
          <w:rFonts w:hint="eastAsia" w:ascii="宋体" w:hAnsi="宋体" w:eastAsia="宋体" w:cs="宋体"/>
          <w:i w:val="0"/>
          <w:iCs w:val="0"/>
          <w:color w:val="auto"/>
          <w:sz w:val="24"/>
          <w:szCs w:val="24"/>
          <w:highlight w:val="none"/>
          <w:u w:val="single"/>
          <w:lang w:val="en-US" w:eastAsia="zh-CN"/>
        </w:rPr>
        <w:t>陕西方得项目管理有限公司</w:t>
      </w:r>
      <w:r>
        <w:rPr>
          <w:rFonts w:hint="eastAsia" w:ascii="宋体" w:hAnsi="宋体" w:eastAsia="宋体" w:cs="宋体"/>
          <w:color w:val="auto"/>
          <w:sz w:val="24"/>
          <w:szCs w:val="24"/>
          <w:highlight w:val="none"/>
        </w:rPr>
        <w:t>。</w:t>
      </w:r>
    </w:p>
    <w:p w14:paraId="09153637">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“采购单位”系指“采购人”和“采购代理机构”的统称。</w:t>
      </w:r>
    </w:p>
    <w:p w14:paraId="4E7B057D">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“投标人”指下载了</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文件拟参加</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和向采购人提供</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w:t>
      </w:r>
    </w:p>
    <w:p w14:paraId="38C78103">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51" w:name="_Toc183682344"/>
      <w:bookmarkStart w:id="52" w:name="_Toc183582207"/>
      <w:bookmarkStart w:id="53" w:name="_Toc217446036"/>
      <w:bookmarkStart w:id="54" w:name="_Toc217390843"/>
      <w:r>
        <w:rPr>
          <w:rFonts w:hint="eastAsia" w:ascii="宋体" w:hAnsi="宋体" w:eastAsia="宋体" w:cs="宋体"/>
          <w:b/>
          <w:bCs/>
          <w:color w:val="auto"/>
          <w:sz w:val="24"/>
          <w:szCs w:val="24"/>
          <w:highlight w:val="none"/>
        </w:rPr>
        <w:t>3. 合格的</w:t>
      </w:r>
      <w:bookmarkEnd w:id="51"/>
      <w:bookmarkEnd w:id="52"/>
      <w:bookmarkEnd w:id="53"/>
      <w:bookmarkEnd w:id="54"/>
      <w:r>
        <w:rPr>
          <w:rFonts w:hint="eastAsia" w:ascii="宋体" w:hAnsi="宋体" w:eastAsia="宋体" w:cs="宋体"/>
          <w:b/>
          <w:bCs/>
          <w:color w:val="auto"/>
          <w:sz w:val="24"/>
          <w:szCs w:val="24"/>
          <w:highlight w:val="none"/>
        </w:rPr>
        <w:t>投标人</w:t>
      </w:r>
    </w:p>
    <w:p w14:paraId="77D76ED5">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合格的投标人应具备以下条件：</w:t>
      </w:r>
    </w:p>
    <w:p w14:paraId="3599FB78">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pacing w:val="-4"/>
          <w:sz w:val="24"/>
          <w:szCs w:val="24"/>
          <w:highlight w:val="none"/>
        </w:rPr>
      </w:pPr>
      <w:r>
        <w:rPr>
          <w:rFonts w:hint="eastAsia" w:ascii="宋体" w:hAnsi="宋体" w:eastAsia="宋体" w:cs="宋体"/>
          <w:color w:val="auto"/>
          <w:sz w:val="24"/>
          <w:szCs w:val="24"/>
          <w:highlight w:val="none"/>
        </w:rPr>
        <w:t>（1）本招标文件“招标公告”第二条规定的条件</w:t>
      </w:r>
      <w:r>
        <w:rPr>
          <w:rFonts w:hint="eastAsia" w:ascii="宋体" w:hAnsi="宋体" w:eastAsia="宋体" w:cs="宋体"/>
          <w:color w:val="auto"/>
          <w:spacing w:val="-4"/>
          <w:sz w:val="24"/>
          <w:szCs w:val="24"/>
          <w:highlight w:val="none"/>
        </w:rPr>
        <w:t>；</w:t>
      </w:r>
    </w:p>
    <w:p w14:paraId="7ACD3F46">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（2）遵守国家有关的法律、法规、规章和其他政策规定；</w:t>
      </w:r>
    </w:p>
    <w:p w14:paraId="69274851">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（3）下载了</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文件并按要求</w:t>
      </w:r>
      <w:r>
        <w:rPr>
          <w:rFonts w:hint="eastAsia" w:ascii="宋体" w:hAnsi="宋体" w:eastAsia="宋体" w:cs="宋体"/>
          <w:color w:val="auto"/>
          <w:sz w:val="24"/>
          <w:szCs w:val="24"/>
          <w:highlight w:val="none"/>
          <w:lang w:val="en-US" w:eastAsia="zh-CN"/>
        </w:rPr>
        <w:t>缴纳投标</w:t>
      </w:r>
      <w:r>
        <w:rPr>
          <w:rFonts w:hint="eastAsia" w:ascii="宋体" w:hAnsi="宋体" w:eastAsia="宋体" w:cs="宋体"/>
          <w:color w:val="auto"/>
          <w:sz w:val="24"/>
          <w:szCs w:val="24"/>
          <w:highlight w:val="none"/>
        </w:rPr>
        <w:t>保证金。</w:t>
      </w:r>
    </w:p>
    <w:p w14:paraId="01A2874B">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55" w:name="_Toc183682345"/>
      <w:bookmarkStart w:id="56" w:name="_Toc217446037"/>
      <w:bookmarkStart w:id="57" w:name="_Toc183582208"/>
      <w:r>
        <w:rPr>
          <w:rFonts w:hint="eastAsia" w:ascii="宋体" w:hAnsi="宋体" w:eastAsia="宋体" w:cs="宋体"/>
          <w:b/>
          <w:bCs/>
          <w:color w:val="auto"/>
          <w:sz w:val="24"/>
          <w:szCs w:val="24"/>
          <w:highlight w:val="none"/>
        </w:rPr>
        <w:t>4. 投标费用</w:t>
      </w:r>
      <w:bookmarkEnd w:id="55"/>
      <w:bookmarkEnd w:id="56"/>
      <w:bookmarkEnd w:id="57"/>
    </w:p>
    <w:p w14:paraId="2B765A94">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投标人参加投标的有关费用由投标人自行承担。</w:t>
      </w:r>
    </w:p>
    <w:p w14:paraId="73EBFE74">
      <w:pPr>
        <w:pStyle w:val="3"/>
        <w:pageBreakBefore w:val="0"/>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bCs w:val="0"/>
          <w:color w:val="auto"/>
          <w:sz w:val="24"/>
          <w:szCs w:val="24"/>
          <w:highlight w:val="none"/>
        </w:rPr>
      </w:pPr>
      <w:bookmarkStart w:id="58" w:name="_Toc89075875"/>
      <w:bookmarkStart w:id="59" w:name="_Toc183682346"/>
      <w:bookmarkStart w:id="60" w:name="_Toc77400779"/>
      <w:bookmarkStart w:id="61" w:name="_Toc217446038"/>
      <w:bookmarkStart w:id="62" w:name="_Toc183582209"/>
      <w:r>
        <w:rPr>
          <w:rFonts w:hint="eastAsia" w:ascii="宋体" w:hAnsi="宋体" w:eastAsia="宋体" w:cs="宋体"/>
          <w:bCs w:val="0"/>
          <w:color w:val="auto"/>
          <w:sz w:val="24"/>
          <w:szCs w:val="24"/>
          <w:highlight w:val="none"/>
        </w:rPr>
        <w:t>三、</w:t>
      </w:r>
      <w:bookmarkEnd w:id="58"/>
      <w:bookmarkEnd w:id="59"/>
      <w:bookmarkEnd w:id="60"/>
      <w:bookmarkEnd w:id="61"/>
      <w:bookmarkEnd w:id="62"/>
      <w:r>
        <w:rPr>
          <w:rFonts w:hint="eastAsia" w:ascii="宋体" w:hAnsi="宋体" w:eastAsia="宋体" w:cs="宋体"/>
          <w:bCs w:val="0"/>
          <w:color w:val="auto"/>
          <w:sz w:val="24"/>
          <w:szCs w:val="24"/>
          <w:highlight w:val="none"/>
        </w:rPr>
        <w:t>招标文件</w:t>
      </w:r>
    </w:p>
    <w:p w14:paraId="401E98D2">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63" w:name="_Toc217446039"/>
      <w:bookmarkStart w:id="64" w:name="_Toc183582210"/>
      <w:bookmarkStart w:id="65" w:name="_Toc183682347"/>
      <w:r>
        <w:rPr>
          <w:rFonts w:hint="eastAsia" w:ascii="宋体" w:hAnsi="宋体" w:eastAsia="宋体" w:cs="宋体"/>
          <w:b/>
          <w:bCs/>
          <w:color w:val="auto"/>
          <w:sz w:val="24"/>
          <w:szCs w:val="24"/>
          <w:highlight w:val="none"/>
        </w:rPr>
        <w:t>5．招标文件的构成</w:t>
      </w:r>
      <w:bookmarkEnd w:id="63"/>
      <w:bookmarkEnd w:id="64"/>
      <w:bookmarkEnd w:id="65"/>
    </w:p>
    <w:p w14:paraId="04CFF5D7">
      <w:pPr>
        <w:pageBreakBefore w:val="0"/>
        <w:tabs>
          <w:tab w:val="left" w:pos="72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1 招标文件是投标人准备投标文件和参加投标的依据，同时也是评标的重要依据，具有准法律文件性质。招标文件用以阐明招标项目所需的资质、技术、报价、招标程序、有关规定和注意事项以及拟签订的合同文本等。本招标文件包括以下内容：</w:t>
      </w:r>
    </w:p>
    <w:p w14:paraId="16A6F5FC">
      <w:pPr>
        <w:pageBreakBefore w:val="0"/>
        <w:tabs>
          <w:tab w:val="left" w:pos="0"/>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（1）招标公告</w:t>
      </w:r>
      <w:r>
        <w:rPr>
          <w:rFonts w:hint="eastAsia" w:ascii="宋体" w:hAnsi="宋体" w:eastAsia="宋体" w:cs="宋体"/>
          <w:color w:val="auto"/>
          <w:sz w:val="24"/>
          <w:szCs w:val="24"/>
          <w:highlight w:val="none"/>
        </w:rPr>
        <w:tab/>
      </w:r>
    </w:p>
    <w:p w14:paraId="53765417">
      <w:pPr>
        <w:pageBreakBefore w:val="0"/>
        <w:tabs>
          <w:tab w:val="left" w:pos="0"/>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（2）投标人须知</w:t>
      </w:r>
      <w:r>
        <w:rPr>
          <w:rFonts w:hint="eastAsia" w:ascii="宋体" w:hAnsi="宋体" w:eastAsia="宋体" w:cs="宋体"/>
          <w:color w:val="auto"/>
          <w:sz w:val="24"/>
          <w:szCs w:val="24"/>
          <w:highlight w:val="none"/>
        </w:rPr>
        <w:tab/>
      </w:r>
    </w:p>
    <w:p w14:paraId="2EDC2EEE">
      <w:pPr>
        <w:pageBreakBefore w:val="0"/>
        <w:tabs>
          <w:tab w:val="left" w:pos="0"/>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（3）投标文件格式</w:t>
      </w:r>
      <w:r>
        <w:rPr>
          <w:rFonts w:hint="eastAsia" w:ascii="宋体" w:hAnsi="宋体" w:eastAsia="宋体" w:cs="宋体"/>
          <w:color w:val="auto"/>
          <w:sz w:val="24"/>
          <w:szCs w:val="24"/>
          <w:highlight w:val="none"/>
        </w:rPr>
        <w:tab/>
      </w:r>
    </w:p>
    <w:p w14:paraId="5B11A214">
      <w:pPr>
        <w:pageBreakBefore w:val="0"/>
        <w:tabs>
          <w:tab w:val="left" w:pos="0"/>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项目采购需求</w:t>
      </w:r>
      <w:r>
        <w:rPr>
          <w:rFonts w:hint="eastAsia" w:ascii="宋体" w:hAnsi="宋体" w:eastAsia="宋体" w:cs="宋体"/>
          <w:color w:val="auto"/>
          <w:sz w:val="24"/>
          <w:szCs w:val="24"/>
          <w:highlight w:val="none"/>
        </w:rPr>
        <w:tab/>
      </w:r>
    </w:p>
    <w:p w14:paraId="688F6845">
      <w:pPr>
        <w:pageBreakBefore w:val="0"/>
        <w:tabs>
          <w:tab w:val="left" w:pos="0"/>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（5）评标办法</w:t>
      </w:r>
      <w:r>
        <w:rPr>
          <w:rFonts w:hint="eastAsia" w:ascii="宋体" w:hAnsi="宋体" w:eastAsia="宋体" w:cs="宋体"/>
          <w:color w:val="auto"/>
          <w:sz w:val="24"/>
          <w:szCs w:val="24"/>
          <w:highlight w:val="none"/>
        </w:rPr>
        <w:tab/>
      </w:r>
    </w:p>
    <w:p w14:paraId="3EB59EE4">
      <w:pPr>
        <w:pageBreakBefore w:val="0"/>
        <w:tabs>
          <w:tab w:val="left" w:pos="0"/>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（6）拟签订的合同文本</w:t>
      </w:r>
      <w:r>
        <w:rPr>
          <w:rFonts w:hint="eastAsia" w:ascii="宋体" w:hAnsi="宋体" w:eastAsia="宋体" w:cs="宋体"/>
          <w:color w:val="auto"/>
          <w:sz w:val="24"/>
          <w:szCs w:val="24"/>
          <w:highlight w:val="none"/>
        </w:rPr>
        <w:tab/>
      </w:r>
    </w:p>
    <w:p w14:paraId="37045772">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2 投标人应认真阅读和充分理解招标文件中所有的事项、格式条款和规范要求。投标人没有对招标文件全面做出实质性响应是投标人的风险。没有按照招标文件要求作出实质性响应的投标文件，按</w:t>
      </w:r>
      <w:r>
        <w:rPr>
          <w:rFonts w:hint="eastAsia" w:ascii="宋体" w:hAnsi="宋体" w:eastAsia="宋体" w:cs="宋体"/>
          <w:b/>
          <w:bCs/>
          <w:color w:val="auto"/>
          <w:sz w:val="24"/>
          <w:szCs w:val="24"/>
          <w:highlight w:val="none"/>
        </w:rPr>
        <w:t>无效处理</w:t>
      </w:r>
      <w:r>
        <w:rPr>
          <w:rFonts w:hint="eastAsia" w:ascii="宋体" w:hAnsi="宋体" w:eastAsia="宋体" w:cs="宋体"/>
          <w:color w:val="auto"/>
          <w:sz w:val="24"/>
          <w:szCs w:val="24"/>
          <w:highlight w:val="none"/>
        </w:rPr>
        <w:t>。</w:t>
      </w:r>
    </w:p>
    <w:p w14:paraId="7407C71F">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bCs/>
          <w:color w:val="auto"/>
          <w:sz w:val="24"/>
          <w:szCs w:val="24"/>
          <w:highlight w:val="none"/>
        </w:rPr>
      </w:pPr>
      <w:bookmarkStart w:id="66" w:name="_Toc183582211"/>
      <w:bookmarkStart w:id="67" w:name="_Toc183682348"/>
      <w:bookmarkStart w:id="68" w:name="_Toc217446040"/>
      <w:r>
        <w:rPr>
          <w:rFonts w:hint="eastAsia" w:ascii="宋体" w:hAnsi="宋体" w:eastAsia="宋体" w:cs="宋体"/>
          <w:color w:val="auto"/>
          <w:sz w:val="24"/>
          <w:szCs w:val="24"/>
          <w:highlight w:val="none"/>
        </w:rPr>
        <w:t>6</w:t>
      </w:r>
      <w:r>
        <w:rPr>
          <w:rFonts w:hint="eastAsia" w:ascii="宋体" w:hAnsi="宋体" w:eastAsia="宋体" w:cs="宋体"/>
          <w:b/>
          <w:bCs/>
          <w:color w:val="auto"/>
          <w:sz w:val="24"/>
          <w:szCs w:val="24"/>
          <w:highlight w:val="none"/>
        </w:rPr>
        <w:t>. 招标文件的澄清</w:t>
      </w:r>
      <w:bookmarkEnd w:id="66"/>
      <w:bookmarkEnd w:id="67"/>
      <w:r>
        <w:rPr>
          <w:rFonts w:hint="eastAsia" w:ascii="宋体" w:hAnsi="宋体" w:eastAsia="宋体" w:cs="宋体"/>
          <w:b/>
          <w:bCs/>
          <w:color w:val="auto"/>
          <w:sz w:val="24"/>
          <w:szCs w:val="24"/>
          <w:highlight w:val="none"/>
        </w:rPr>
        <w:t>和修改</w:t>
      </w:r>
      <w:bookmarkEnd w:id="68"/>
    </w:p>
    <w:p w14:paraId="7781B5E3">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6.1 </w:t>
      </w:r>
      <w:bookmarkStart w:id="69" w:name="_Toc217446041"/>
      <w:bookmarkStart w:id="70" w:name="_Toc208848971"/>
      <w:r>
        <w:rPr>
          <w:rFonts w:hint="eastAsia" w:ascii="宋体" w:hAnsi="宋体" w:eastAsia="宋体" w:cs="宋体"/>
          <w:color w:val="auto"/>
          <w:sz w:val="24"/>
          <w:szCs w:val="24"/>
          <w:highlight w:val="none"/>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0D67A16B">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2CCCED77">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7. 答疑会和现场考察</w:t>
      </w:r>
      <w:bookmarkEnd w:id="69"/>
      <w:bookmarkEnd w:id="70"/>
      <w:r>
        <w:rPr>
          <w:rFonts w:hint="eastAsia" w:ascii="宋体" w:hAnsi="宋体" w:eastAsia="宋体" w:cs="宋体"/>
          <w:b/>
          <w:bCs/>
          <w:color w:val="auto"/>
          <w:sz w:val="24"/>
          <w:szCs w:val="24"/>
          <w:highlight w:val="none"/>
        </w:rPr>
        <w:t>。</w:t>
      </w:r>
    </w:p>
    <w:p w14:paraId="4EB9D919">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71" w:name="_Toc77400780"/>
      <w:bookmarkStart w:id="72" w:name="_Toc89075876"/>
      <w:bookmarkStart w:id="73" w:name="_Toc183682351"/>
      <w:bookmarkStart w:id="74" w:name="_Toc217446042"/>
      <w:bookmarkStart w:id="75" w:name="_Toc183582214"/>
      <w:r>
        <w:rPr>
          <w:rFonts w:hint="eastAsia" w:ascii="宋体" w:hAnsi="宋体" w:eastAsia="宋体" w:cs="宋体"/>
          <w:color w:val="auto"/>
          <w:sz w:val="24"/>
          <w:szCs w:val="24"/>
          <w:highlight w:val="none"/>
        </w:rPr>
        <w:t>7.1 本项目不组织答疑会和现场考察。</w:t>
      </w:r>
    </w:p>
    <w:p w14:paraId="05BD3B0E">
      <w:pPr>
        <w:pStyle w:val="3"/>
        <w:pageBreakBefore w:val="0"/>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bCs w:val="0"/>
          <w:color w:val="auto"/>
          <w:sz w:val="24"/>
          <w:szCs w:val="24"/>
          <w:highlight w:val="none"/>
        </w:rPr>
      </w:pPr>
      <w:r>
        <w:rPr>
          <w:rFonts w:hint="eastAsia" w:ascii="宋体" w:hAnsi="宋体" w:eastAsia="宋体" w:cs="宋体"/>
          <w:bCs w:val="0"/>
          <w:color w:val="auto"/>
          <w:sz w:val="24"/>
          <w:szCs w:val="24"/>
          <w:highlight w:val="none"/>
        </w:rPr>
        <w:t>四、</w:t>
      </w:r>
      <w:bookmarkEnd w:id="71"/>
      <w:bookmarkEnd w:id="72"/>
      <w:bookmarkEnd w:id="73"/>
      <w:bookmarkEnd w:id="74"/>
      <w:bookmarkEnd w:id="75"/>
      <w:r>
        <w:rPr>
          <w:rFonts w:hint="eastAsia" w:ascii="宋体" w:hAnsi="宋体" w:eastAsia="宋体" w:cs="宋体"/>
          <w:bCs w:val="0"/>
          <w:color w:val="auto"/>
          <w:sz w:val="24"/>
          <w:szCs w:val="24"/>
          <w:highlight w:val="none"/>
        </w:rPr>
        <w:t>投标文件</w:t>
      </w:r>
    </w:p>
    <w:p w14:paraId="179DBF64">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76" w:name="_Toc217446043"/>
      <w:bookmarkStart w:id="77" w:name="_Toc183582215"/>
      <w:bookmarkStart w:id="78" w:name="_Toc183682352"/>
      <w:r>
        <w:rPr>
          <w:rFonts w:hint="eastAsia" w:ascii="宋体" w:hAnsi="宋体" w:eastAsia="宋体" w:cs="宋体"/>
          <w:b/>
          <w:bCs/>
          <w:color w:val="auto"/>
          <w:sz w:val="24"/>
          <w:szCs w:val="24"/>
          <w:highlight w:val="none"/>
        </w:rPr>
        <w:t>8．投标文件的语言</w:t>
      </w:r>
      <w:bookmarkEnd w:id="76"/>
      <w:bookmarkEnd w:id="77"/>
      <w:bookmarkEnd w:id="78"/>
    </w:p>
    <w:p w14:paraId="4804823C">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宋体" w:hAnsi="宋体" w:eastAsia="宋体" w:cs="宋体"/>
          <w:b/>
          <w:bCs/>
          <w:color w:val="auto"/>
          <w:sz w:val="24"/>
          <w:szCs w:val="24"/>
          <w:highlight w:val="none"/>
        </w:rPr>
        <w:t>无效投标处理</w:t>
      </w:r>
      <w:r>
        <w:rPr>
          <w:rFonts w:hint="eastAsia" w:ascii="宋体" w:hAnsi="宋体" w:eastAsia="宋体" w:cs="宋体"/>
          <w:color w:val="auto"/>
          <w:sz w:val="24"/>
          <w:szCs w:val="24"/>
          <w:highlight w:val="none"/>
        </w:rPr>
        <w:t>。</w:t>
      </w:r>
    </w:p>
    <w:p w14:paraId="4233849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 翻译的中文资料与外文资料如果出现差异和矛盾时，以中文为准。但不能故意错误翻译，否则，投标人的投标文件将作为</w:t>
      </w:r>
      <w:r>
        <w:rPr>
          <w:rFonts w:hint="eastAsia" w:ascii="宋体" w:hAnsi="宋体" w:eastAsia="宋体" w:cs="宋体"/>
          <w:b/>
          <w:bCs/>
          <w:color w:val="auto"/>
          <w:sz w:val="24"/>
          <w:szCs w:val="24"/>
          <w:highlight w:val="none"/>
        </w:rPr>
        <w:t>无效投标处理</w:t>
      </w:r>
      <w:r>
        <w:rPr>
          <w:rFonts w:hint="eastAsia" w:ascii="宋体" w:hAnsi="宋体" w:eastAsia="宋体" w:cs="宋体"/>
          <w:color w:val="auto"/>
          <w:sz w:val="24"/>
          <w:szCs w:val="24"/>
          <w:highlight w:val="none"/>
        </w:rPr>
        <w:t>。</w:t>
      </w:r>
    </w:p>
    <w:p w14:paraId="50A46CBD">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79" w:name="_Toc183682353"/>
      <w:bookmarkStart w:id="80" w:name="_Toc183582216"/>
      <w:bookmarkStart w:id="81" w:name="_Toc217446044"/>
      <w:r>
        <w:rPr>
          <w:rFonts w:hint="eastAsia" w:ascii="宋体" w:hAnsi="宋体" w:eastAsia="宋体" w:cs="宋体"/>
          <w:b/>
          <w:bCs/>
          <w:color w:val="auto"/>
          <w:sz w:val="24"/>
          <w:szCs w:val="24"/>
          <w:highlight w:val="none"/>
        </w:rPr>
        <w:t>9．计量单位</w:t>
      </w:r>
      <w:bookmarkEnd w:id="79"/>
      <w:bookmarkEnd w:id="80"/>
      <w:bookmarkEnd w:id="81"/>
    </w:p>
    <w:p w14:paraId="255BBDD6">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除招标文件中另有规定外，本招标项下的投标均采用国家法定的计量单位。</w:t>
      </w:r>
    </w:p>
    <w:p w14:paraId="2FDAFF1A">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82" w:name="_Toc217446045"/>
      <w:r>
        <w:rPr>
          <w:rFonts w:hint="eastAsia" w:ascii="宋体" w:hAnsi="宋体" w:eastAsia="宋体" w:cs="宋体"/>
          <w:b/>
          <w:bCs/>
          <w:color w:val="auto"/>
          <w:sz w:val="24"/>
          <w:szCs w:val="24"/>
          <w:highlight w:val="none"/>
        </w:rPr>
        <w:t>10. 投标货币</w:t>
      </w:r>
      <w:bookmarkEnd w:id="82"/>
    </w:p>
    <w:p w14:paraId="1AC9D4D9">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本次招标项目的投标均以人民币报价。</w:t>
      </w:r>
    </w:p>
    <w:p w14:paraId="600BCDD1">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83" w:name="_Toc217446046"/>
      <w:r>
        <w:rPr>
          <w:rFonts w:hint="eastAsia" w:ascii="宋体" w:hAnsi="宋体" w:eastAsia="宋体" w:cs="宋体"/>
          <w:b/>
          <w:bCs/>
          <w:color w:val="auto"/>
          <w:sz w:val="24"/>
          <w:szCs w:val="24"/>
          <w:highlight w:val="none"/>
        </w:rPr>
        <w:t>11. 联合体投标</w:t>
      </w:r>
      <w:bookmarkEnd w:id="83"/>
    </w:p>
    <w:p w14:paraId="77E6018D">
      <w:pPr>
        <w:pStyle w:val="11"/>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详见“投标人须知前附表”第1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条。</w:t>
      </w:r>
    </w:p>
    <w:p w14:paraId="3C52F97E">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84" w:name="_Toc217446047"/>
      <w:r>
        <w:rPr>
          <w:rFonts w:hint="eastAsia" w:ascii="宋体" w:hAnsi="宋体" w:eastAsia="宋体" w:cs="宋体"/>
          <w:b/>
          <w:bCs/>
          <w:color w:val="auto"/>
          <w:sz w:val="24"/>
          <w:szCs w:val="24"/>
          <w:highlight w:val="none"/>
        </w:rPr>
        <w:t>12. 知识产权</w:t>
      </w:r>
      <w:bookmarkEnd w:id="84"/>
    </w:p>
    <w:p w14:paraId="5DE90D23">
      <w:pPr>
        <w:pStyle w:val="11"/>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 投标人应保证在本项目使用的任何产品或服务（包括部分使用）时，不会产生因第</w:t>
      </w:r>
      <w:r>
        <w:rPr>
          <w:rFonts w:hint="eastAsia" w:ascii="宋体" w:hAnsi="宋体" w:eastAsia="宋体" w:cs="宋体"/>
          <w:color w:val="auto"/>
          <w:sz w:val="24"/>
          <w:szCs w:val="24"/>
          <w:highlight w:val="none"/>
          <w:lang w:val="en-US" w:eastAsia="zh-CN"/>
        </w:rPr>
        <w:t>双</w:t>
      </w:r>
      <w:r>
        <w:rPr>
          <w:rFonts w:hint="eastAsia" w:ascii="宋体" w:hAnsi="宋体" w:eastAsia="宋体" w:cs="宋体"/>
          <w:color w:val="auto"/>
          <w:sz w:val="24"/>
          <w:szCs w:val="24"/>
          <w:highlight w:val="none"/>
        </w:rPr>
        <w:t>方提出侵犯其专利权、商标权或其它知识产权而引起的法律和经济纠纷，如因专利权、商标权或其它知识产权而引起法律和经济纠纷，由投标人承担所有相关责任。</w:t>
      </w:r>
    </w:p>
    <w:p w14:paraId="63DDE483">
      <w:pPr>
        <w:pStyle w:val="11"/>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 采购人享有本项目实施过程中产生的知识成果及知识产权。</w:t>
      </w:r>
    </w:p>
    <w:p w14:paraId="5DA9DCB9">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0867CE27">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12.4 如采用投标人所不拥有的知识产权，则在投标报价中必须包括合法获取该知识产权的相关费用。 </w:t>
      </w:r>
    </w:p>
    <w:p w14:paraId="7F05C340">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85" w:name="_Toc183582217"/>
      <w:bookmarkStart w:id="86" w:name="_Toc217446048"/>
      <w:bookmarkStart w:id="87" w:name="_Toc183682354"/>
      <w:r>
        <w:rPr>
          <w:rFonts w:hint="eastAsia" w:ascii="宋体" w:hAnsi="宋体" w:eastAsia="宋体" w:cs="宋体"/>
          <w:b/>
          <w:bCs/>
          <w:color w:val="auto"/>
          <w:sz w:val="24"/>
          <w:szCs w:val="24"/>
          <w:highlight w:val="none"/>
        </w:rPr>
        <w:t>13．投标文件的组成</w:t>
      </w:r>
      <w:bookmarkEnd w:id="85"/>
      <w:bookmarkEnd w:id="86"/>
      <w:bookmarkEnd w:id="87"/>
    </w:p>
    <w:p w14:paraId="37B90C5B">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按照招标文件的规定和要求编制投标文件。招标文件允许分包的，投标人拟在中标后将中标项目的非主体、非关键性工作交由他人完成的，应当在投标文件中载明。投标人编写的投标文件应包括下列部分：</w:t>
      </w:r>
    </w:p>
    <w:p w14:paraId="133262AF">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88" w:name="_Toc183582218"/>
      <w:bookmarkStart w:id="89" w:name="_Toc217446049"/>
      <w:bookmarkStart w:id="90" w:name="_Toc183682355"/>
      <w:r>
        <w:rPr>
          <w:rFonts w:hint="eastAsia" w:ascii="宋体" w:hAnsi="宋体" w:eastAsia="宋体" w:cs="宋体"/>
          <w:color w:val="auto"/>
          <w:sz w:val="24"/>
          <w:szCs w:val="24"/>
          <w:highlight w:val="none"/>
        </w:rPr>
        <w:t>一、投标函</w:t>
      </w:r>
    </w:p>
    <w:p w14:paraId="456B564E">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二、投标报价明细表</w:t>
      </w:r>
    </w:p>
    <w:p w14:paraId="1D9C3129">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三、身份证明书</w:t>
      </w:r>
    </w:p>
    <w:p w14:paraId="4EC58223">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四、授权委托书</w:t>
      </w:r>
    </w:p>
    <w:p w14:paraId="2B7F209D">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五、投标人基本情况表</w:t>
      </w:r>
    </w:p>
    <w:p w14:paraId="09F07602">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六、</w:t>
      </w:r>
      <w:r>
        <w:rPr>
          <w:rFonts w:hint="eastAsia" w:ascii="宋体" w:hAnsi="宋体" w:eastAsia="宋体" w:cs="宋体"/>
          <w:color w:val="auto"/>
          <w:sz w:val="24"/>
          <w:szCs w:val="24"/>
          <w:highlight w:val="none"/>
          <w:lang w:val="en-US" w:eastAsia="zh-CN"/>
        </w:rPr>
        <w:t>项目负责人简介</w:t>
      </w:r>
    </w:p>
    <w:p w14:paraId="301FADDA">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七、</w:t>
      </w:r>
      <w:r>
        <w:rPr>
          <w:rFonts w:hint="eastAsia" w:ascii="宋体" w:hAnsi="宋体" w:eastAsia="宋体" w:cs="宋体"/>
          <w:color w:val="auto"/>
          <w:sz w:val="24"/>
          <w:szCs w:val="24"/>
          <w:highlight w:val="none"/>
          <w:lang w:val="en-US" w:eastAsia="zh-CN"/>
        </w:rPr>
        <w:t>拟配备人员简介</w:t>
      </w:r>
    </w:p>
    <w:p w14:paraId="0D81E959">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八、近年同类项目情况表</w:t>
      </w:r>
    </w:p>
    <w:p w14:paraId="14F43CD0">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九、商务、技术需求偏离表</w:t>
      </w:r>
    </w:p>
    <w:p w14:paraId="2A132744">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十、技术方案</w:t>
      </w:r>
    </w:p>
    <w:p w14:paraId="0C8A5AAF">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十一、政府采购政策</w:t>
      </w:r>
    </w:p>
    <w:p w14:paraId="16324D98">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十二、投标人认为需要提供的资料</w:t>
      </w:r>
    </w:p>
    <w:p w14:paraId="7EBE13B9">
      <w:pPr>
        <w:pageBreakBefore w:val="0"/>
        <w:tabs>
          <w:tab w:val="left" w:pos="3480"/>
        </w:tabs>
        <w:wordWrap/>
        <w:overflowPunct/>
        <w:topLinePunct w:val="0"/>
        <w:bidi w:val="0"/>
        <w:spacing w:line="560" w:lineRule="exact"/>
        <w:ind w:left="0" w:leftChars="0" w:right="0" w:rightChars="0"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14．投标文件格式</w:t>
      </w:r>
      <w:bookmarkEnd w:id="88"/>
      <w:bookmarkEnd w:id="89"/>
      <w:bookmarkEnd w:id="90"/>
      <w:r>
        <w:rPr>
          <w:rFonts w:hint="eastAsia" w:ascii="宋体" w:hAnsi="宋体" w:eastAsia="宋体" w:cs="宋体"/>
          <w:color w:val="auto"/>
          <w:sz w:val="24"/>
          <w:szCs w:val="24"/>
          <w:highlight w:val="none"/>
        </w:rPr>
        <w:tab/>
      </w:r>
    </w:p>
    <w:p w14:paraId="54E23C5E">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投标人应严格按照招标文件第三章中提供的“投标文件格式”填写相关内容。除明确允许投标人可以自行编写的外，投标人不得以“投标文件格式”规定之外的方式填写相关内容。</w:t>
      </w:r>
    </w:p>
    <w:p w14:paraId="7AD2F80D">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 对于没有格式要求的投标文件由投标人自行编写。</w:t>
      </w:r>
    </w:p>
    <w:p w14:paraId="60938D80">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91" w:name="_Toc183682360"/>
      <w:bookmarkStart w:id="92" w:name="_Toc183582223"/>
      <w:bookmarkStart w:id="93" w:name="_Toc217446050"/>
      <w:r>
        <w:rPr>
          <w:rFonts w:hint="eastAsia" w:ascii="宋体" w:hAnsi="宋体" w:eastAsia="宋体" w:cs="宋体"/>
          <w:b/>
          <w:bCs/>
          <w:color w:val="auto"/>
          <w:sz w:val="24"/>
          <w:szCs w:val="24"/>
          <w:highlight w:val="none"/>
        </w:rPr>
        <w:t>15．投标保证金</w:t>
      </w:r>
      <w:bookmarkEnd w:id="91"/>
      <w:bookmarkEnd w:id="92"/>
      <w:bookmarkEnd w:id="93"/>
    </w:p>
    <w:p w14:paraId="37797769">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15.1 投标人投标时，必须按招标文件规定数额和形式缴纳投标保证金，并作为其投标文件的一部分。</w:t>
      </w:r>
    </w:p>
    <w:p w14:paraId="50FE9AB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15.2未按招标文件要求在规定时间前缴纳规定数额和形式的投标保证金，将被视为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2F7719F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 投标人所缴纳的投标保证金不计利息。</w:t>
      </w:r>
    </w:p>
    <w:p w14:paraId="496E609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15.4未中标人的投标保证金，将在中标通知书发出后五个工作日内全额退还。中标人的投标保证金，自采购合同签订之日起5个工作日内退还中标人的投标保证金。</w:t>
      </w:r>
    </w:p>
    <w:p w14:paraId="46428E0A">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15.5发生下列情形之一的，采购代理机构将不予退还投标人缴纳的投标保证金：</w:t>
      </w:r>
    </w:p>
    <w:p w14:paraId="7C8301B2">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94" w:name="_Toc217446051"/>
      <w:bookmarkStart w:id="95" w:name="_Toc183682361"/>
      <w:bookmarkStart w:id="96" w:name="_Toc183582224"/>
      <w:r>
        <w:rPr>
          <w:rFonts w:hint="eastAsia" w:ascii="宋体" w:hAnsi="宋体" w:eastAsia="宋体" w:cs="宋体"/>
          <w:color w:val="auto"/>
          <w:sz w:val="24"/>
          <w:szCs w:val="24"/>
          <w:highlight w:val="none"/>
        </w:rPr>
        <w:t>（1）投标人在提交投标文件截止时间后撤回投标文件的；</w:t>
      </w:r>
    </w:p>
    <w:p w14:paraId="29DFAB52">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（2）投标人在投标文件中提供虚假材料的；</w:t>
      </w:r>
    </w:p>
    <w:p w14:paraId="1C3BF42F">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（3）投标人不接受按投标文件规定对其投标报价进行修正的；</w:t>
      </w:r>
    </w:p>
    <w:p w14:paraId="2EE2A192">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（4）除因不可抗力或投标文件认可的情形以外，中标人不履行与采购人签订合同的，在签订合同时向采购人提出附加条件；</w:t>
      </w:r>
    </w:p>
    <w:p w14:paraId="0DB6B67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（5）中标人未能在规定期限内与采购人签署合同协议书或提交履约保证金的；</w:t>
      </w:r>
    </w:p>
    <w:p w14:paraId="29B87E34">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（6）投标人与采购人、其他投标人或者采购代理机构恶意串通的；</w:t>
      </w:r>
    </w:p>
    <w:p w14:paraId="0E973948">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（7）招标文件规定的其他情形；</w:t>
      </w:r>
    </w:p>
    <w:p w14:paraId="637C3BCE">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（8）符合法律、法规规定的其他情形的。 </w:t>
      </w:r>
    </w:p>
    <w:p w14:paraId="236134D7">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16．投标有效期</w:t>
      </w:r>
      <w:bookmarkEnd w:id="94"/>
      <w:bookmarkEnd w:id="95"/>
      <w:bookmarkEnd w:id="96"/>
    </w:p>
    <w:p w14:paraId="38D0C6D7">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 投标有效期详见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第20条</w:t>
      </w:r>
      <w:r>
        <w:rPr>
          <w:rFonts w:hint="eastAsia" w:ascii="宋体" w:hAnsi="宋体" w:eastAsia="宋体" w:cs="宋体"/>
          <w:color w:val="auto"/>
          <w:sz w:val="24"/>
          <w:szCs w:val="24"/>
          <w:highlight w:val="none"/>
        </w:rPr>
        <w:t>。投标有效期短于此规定期限的，</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58636770">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 特殊情况下，采购人可于投标有效期满之前要求投标人同意延长有效期，要求与答复均应为书面形式。投标人可以拒绝上述要求，其投标保证金</w:t>
      </w:r>
      <w:r>
        <w:rPr>
          <w:rFonts w:hint="eastAsia" w:ascii="宋体" w:hAnsi="宋体" w:eastAsia="宋体" w:cs="宋体"/>
          <w:color w:val="auto"/>
          <w:spacing w:val="8"/>
          <w:sz w:val="24"/>
          <w:szCs w:val="24"/>
          <w:highlight w:val="none"/>
        </w:rPr>
        <w:t>不被没收。</w:t>
      </w:r>
      <w:r>
        <w:rPr>
          <w:rFonts w:hint="eastAsia" w:ascii="宋体" w:hAnsi="宋体" w:eastAsia="宋体" w:cs="宋体"/>
          <w:color w:val="auto"/>
          <w:sz w:val="24"/>
          <w:szCs w:val="24"/>
          <w:highlight w:val="none"/>
        </w:rPr>
        <w:t>拒绝延长投标有效期的投标人不得再参与该项目后续招标活动。同意延长投标有效期的投标人不能修改其投标文件，关于投标保证金的有关规定在延长的投标有效期内继续有效。</w:t>
      </w:r>
    </w:p>
    <w:p w14:paraId="3094371C">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97" w:name="_Toc183582225"/>
      <w:bookmarkStart w:id="98" w:name="_Toc183682362"/>
      <w:bookmarkStart w:id="99" w:name="_Toc217446052"/>
      <w:r>
        <w:rPr>
          <w:rFonts w:hint="eastAsia" w:ascii="宋体" w:hAnsi="宋体" w:eastAsia="宋体" w:cs="宋体"/>
          <w:b/>
          <w:bCs/>
          <w:color w:val="auto"/>
          <w:sz w:val="24"/>
          <w:szCs w:val="24"/>
          <w:highlight w:val="none"/>
        </w:rPr>
        <w:t>17．</w:t>
      </w:r>
      <w:bookmarkEnd w:id="97"/>
      <w:bookmarkEnd w:id="98"/>
      <w:bookmarkEnd w:id="99"/>
      <w:r>
        <w:rPr>
          <w:rFonts w:hint="eastAsia" w:ascii="宋体" w:hAnsi="宋体" w:eastAsia="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的签署</w:t>
      </w:r>
    </w:p>
    <w:p w14:paraId="161E0054">
      <w:pPr>
        <w:pageBreakBefore w:val="0"/>
        <w:widowControl w:val="0"/>
        <w:tabs>
          <w:tab w:val="left" w:pos="1080"/>
        </w:tabs>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100" w:name="_Toc89075877"/>
      <w:bookmarkStart w:id="101" w:name="_Toc217446053"/>
      <w:bookmarkStart w:id="102" w:name="_Toc77400781"/>
      <w:bookmarkStart w:id="103" w:name="_Toc183682363"/>
      <w:bookmarkStart w:id="104" w:name="_Toc183582226"/>
      <w:r>
        <w:rPr>
          <w:rFonts w:hint="eastAsia" w:ascii="宋体" w:hAnsi="宋体" w:eastAsia="宋体" w:cs="宋体"/>
          <w:color w:val="auto"/>
          <w:sz w:val="24"/>
          <w:szCs w:val="24"/>
          <w:highlight w:val="none"/>
        </w:rPr>
        <w:t xml:space="preserve">17.1 </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应根据</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的要求制作、签署、盖章，内容应完整。</w:t>
      </w:r>
    </w:p>
    <w:p w14:paraId="196EF332">
      <w:pPr>
        <w:pageBreakBefore w:val="0"/>
        <w:numPr>
          <w:ilvl w:val="0"/>
          <w:numId w:val="6"/>
        </w:numPr>
        <w:wordWrap/>
        <w:overflowPunct/>
        <w:topLinePunct w:val="0"/>
        <w:bidi w:val="0"/>
        <w:spacing w:line="560" w:lineRule="exact"/>
        <w:ind w:left="0" w:leftChars="0" w:right="0" w:rightChars="0" w:firstLine="482" w:firstLineChars="200"/>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投标文件的</w:t>
      </w:r>
      <w:r>
        <w:rPr>
          <w:rFonts w:hint="eastAsia" w:ascii="宋体" w:hAnsi="宋体" w:eastAsia="宋体" w:cs="宋体"/>
          <w:b/>
          <w:bCs/>
          <w:color w:val="auto"/>
          <w:sz w:val="24"/>
          <w:szCs w:val="24"/>
          <w:highlight w:val="none"/>
          <w:lang w:val="en-US" w:eastAsia="zh-CN"/>
        </w:rPr>
        <w:t>加密</w:t>
      </w:r>
      <w:bookmarkEnd w:id="100"/>
      <w:bookmarkEnd w:id="101"/>
      <w:bookmarkEnd w:id="102"/>
      <w:bookmarkEnd w:id="103"/>
      <w:bookmarkEnd w:id="104"/>
      <w:r>
        <w:rPr>
          <w:rFonts w:hint="eastAsia" w:ascii="宋体" w:hAnsi="宋体" w:eastAsia="宋体" w:cs="宋体"/>
          <w:b/>
          <w:bCs/>
          <w:color w:val="auto"/>
          <w:sz w:val="24"/>
          <w:szCs w:val="24"/>
          <w:highlight w:val="none"/>
          <w:lang w:val="en-US" w:eastAsia="zh-CN"/>
        </w:rPr>
        <w:t>和上传</w:t>
      </w:r>
    </w:p>
    <w:p w14:paraId="1BC2D60A">
      <w:pPr>
        <w:pageBreakBefore w:val="0"/>
        <w:numPr>
          <w:ilvl w:val="0"/>
          <w:numId w:val="0"/>
        </w:numPr>
        <w:wordWrap/>
        <w:overflowPunct/>
        <w:topLinePunct w:val="0"/>
        <w:bidi w:val="0"/>
        <w:spacing w:line="560" w:lineRule="exact"/>
        <w:ind w:left="0" w:leftChars="0" w:right="0" w:rightChars="0" w:firstLine="481"/>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18.1</w:t>
      </w:r>
      <w:r>
        <w:rPr>
          <w:rFonts w:hint="eastAsia" w:ascii="宋体" w:hAnsi="宋体" w:eastAsia="宋体" w:cs="宋体"/>
          <w:color w:val="auto"/>
          <w:kern w:val="0"/>
          <w:sz w:val="24"/>
          <w:szCs w:val="24"/>
          <w:highlight w:val="none"/>
        </w:rPr>
        <w:t>本项目实行全流程</w:t>
      </w:r>
      <w:r>
        <w:rPr>
          <w:rFonts w:hint="eastAsia" w:ascii="宋体" w:hAnsi="宋体" w:eastAsia="宋体" w:cs="宋体"/>
          <w:color w:val="auto"/>
          <w:sz w:val="24"/>
          <w:szCs w:val="24"/>
          <w:highlight w:val="none"/>
        </w:rPr>
        <w:t>电子交易方式</w:t>
      </w:r>
      <w:r>
        <w:rPr>
          <w:rFonts w:hint="eastAsia" w:ascii="宋体" w:hAnsi="宋体" w:eastAsia="宋体" w:cs="宋体"/>
          <w:color w:val="auto"/>
          <w:kern w:val="0"/>
          <w:sz w:val="24"/>
          <w:szCs w:val="24"/>
          <w:highlight w:val="none"/>
        </w:rPr>
        <w:t>，采用电子加密</w:t>
      </w:r>
      <w:r>
        <w:rPr>
          <w:rFonts w:hint="eastAsia" w:ascii="宋体" w:hAnsi="宋体" w:eastAsia="宋体" w:cs="宋体"/>
          <w:color w:val="auto"/>
          <w:kern w:val="0"/>
          <w:sz w:val="24"/>
          <w:szCs w:val="24"/>
          <w:highlight w:val="none"/>
          <w:lang w:eastAsia="zh-CN"/>
        </w:rPr>
        <w:t>投标文件（“.jmbs”格式）</w:t>
      </w:r>
      <w:r>
        <w:rPr>
          <w:rFonts w:hint="eastAsia" w:ascii="宋体" w:hAnsi="宋体" w:eastAsia="宋体" w:cs="宋体"/>
          <w:color w:val="auto"/>
          <w:kern w:val="0"/>
          <w:sz w:val="24"/>
          <w:szCs w:val="24"/>
          <w:highlight w:val="none"/>
        </w:rPr>
        <w:t>上传方式；</w:t>
      </w:r>
      <w:r>
        <w:rPr>
          <w:rFonts w:hint="eastAsia" w:ascii="宋体" w:hAnsi="宋体" w:eastAsia="宋体" w:cs="宋体"/>
          <w:color w:val="auto"/>
          <w:sz w:val="24"/>
          <w:szCs w:val="24"/>
          <w:highlight w:val="none"/>
        </w:rPr>
        <w:t>投标人应当在投标截止时间前，将“电子招</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客户端”生成的“电子加密投标文件”上传电子交易平台</w:t>
      </w:r>
      <w:r>
        <w:rPr>
          <w:rFonts w:hint="eastAsia" w:ascii="宋体" w:hAnsi="宋体" w:eastAsia="宋体" w:cs="宋体"/>
          <w:color w:val="auto"/>
          <w:sz w:val="24"/>
          <w:szCs w:val="24"/>
          <w:highlight w:val="none"/>
          <w:lang w:eastAsia="zh-CN"/>
        </w:rPr>
        <w:t>，成功上传电子加密投标文件后，可自行打印投标文件接收回执</w:t>
      </w:r>
      <w:r>
        <w:rPr>
          <w:rFonts w:hint="eastAsia" w:ascii="宋体" w:hAnsi="宋体" w:eastAsia="宋体" w:cs="宋体"/>
          <w:color w:val="auto"/>
          <w:sz w:val="24"/>
          <w:szCs w:val="24"/>
          <w:highlight w:val="none"/>
        </w:rPr>
        <w:t>。</w:t>
      </w:r>
    </w:p>
    <w:p w14:paraId="4FBBE468">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18.2</w:t>
      </w:r>
      <w:r>
        <w:rPr>
          <w:rFonts w:hint="eastAsia" w:ascii="宋体" w:hAnsi="宋体" w:eastAsia="宋体" w:cs="宋体"/>
          <w:b w:val="0"/>
          <w:bCs/>
          <w:color w:val="auto"/>
          <w:sz w:val="24"/>
          <w:szCs w:val="24"/>
          <w:highlight w:val="none"/>
          <w:lang w:val="en-US" w:eastAsia="zh-CN"/>
        </w:rPr>
        <w:t>所有投标人须在</w:t>
      </w:r>
      <w:r>
        <w:rPr>
          <w:rFonts w:hint="eastAsia" w:ascii="宋体" w:hAnsi="宋体" w:eastAsia="宋体" w:cs="宋体"/>
          <w:b/>
          <w:bCs w:val="0"/>
          <w:color w:val="auto"/>
          <w:sz w:val="24"/>
          <w:szCs w:val="24"/>
          <w:highlight w:val="none"/>
          <w:lang w:val="en-US" w:eastAsia="zh-CN"/>
        </w:rPr>
        <w:t>招标结束后五个工作日内</w:t>
      </w:r>
      <w:r>
        <w:rPr>
          <w:rFonts w:hint="eastAsia" w:ascii="宋体" w:hAnsi="宋体" w:eastAsia="宋体" w:cs="宋体"/>
          <w:b w:val="0"/>
          <w:bCs/>
          <w:color w:val="auto"/>
          <w:sz w:val="24"/>
          <w:szCs w:val="24"/>
          <w:highlight w:val="none"/>
          <w:lang w:val="en-US" w:eastAsia="zh-CN"/>
        </w:rPr>
        <w:t>向采购代理机构递交</w:t>
      </w:r>
      <w:r>
        <w:rPr>
          <w:rFonts w:hint="eastAsia" w:ascii="宋体" w:hAnsi="宋体" w:eastAsia="宋体" w:cs="宋体"/>
          <w:b/>
          <w:bCs w:val="0"/>
          <w:color w:val="auto"/>
          <w:sz w:val="24"/>
          <w:szCs w:val="24"/>
          <w:highlight w:val="none"/>
          <w:lang w:val="en-US" w:eastAsia="zh-CN"/>
        </w:rPr>
        <w:t>签章纸质版投标文件一正一副（用于档案资料编制）</w:t>
      </w:r>
      <w:r>
        <w:rPr>
          <w:rFonts w:hint="eastAsia" w:ascii="宋体" w:hAnsi="宋体" w:eastAsia="宋体" w:cs="宋体"/>
          <w:b w:val="0"/>
          <w:bCs/>
          <w:color w:val="auto"/>
          <w:sz w:val="24"/>
          <w:szCs w:val="24"/>
          <w:highlight w:val="none"/>
          <w:lang w:val="en-US" w:eastAsia="zh-CN"/>
        </w:rPr>
        <w:t>，纸质版投标文件须与政采云平台上传的电子版投标文件保持一致。投标文件的正本和副本应在其封面右上角清楚地标明“正本”或“副本”字样，统一用A4幅面纸印制，图纸、横道图等必须使用A3幅面印制的应折叠成A4幅面，并按招标文件规定签字和盖章，投标文件胶装成册并编码，每册装订应牢固、不易拆散和换页，不得采用活页装订。</w:t>
      </w:r>
    </w:p>
    <w:p w14:paraId="7CC8BED4">
      <w:pPr>
        <w:pStyle w:val="6"/>
        <w:pageBreakBefore w:val="0"/>
        <w:wordWrap/>
        <w:overflowPunct/>
        <w:topLinePunct w:val="0"/>
        <w:bidi w:val="0"/>
        <w:spacing w:line="560" w:lineRule="exact"/>
        <w:ind w:left="0" w:leftChars="0" w:right="0" w:rightChars="0" w:firstLine="480"/>
        <w:rPr>
          <w:rFonts w:hint="eastAsia" w:ascii="宋体" w:hAnsi="宋体" w:eastAsia="宋体" w:cs="宋体"/>
          <w:b/>
          <w:bCs/>
          <w:color w:val="auto"/>
          <w:sz w:val="24"/>
          <w:szCs w:val="24"/>
          <w:highlight w:val="none"/>
        </w:rPr>
      </w:pPr>
      <w:bookmarkStart w:id="105" w:name="_Toc183582228"/>
      <w:bookmarkStart w:id="106" w:name="_Toc183682365"/>
      <w:bookmarkStart w:id="107" w:name="_Toc217446055"/>
      <w:r>
        <w:rPr>
          <w:rFonts w:hint="eastAsia" w:ascii="宋体" w:hAnsi="宋体" w:eastAsia="宋体" w:cs="宋体"/>
          <w:b/>
          <w:bCs/>
          <w:color w:val="auto"/>
          <w:sz w:val="24"/>
          <w:szCs w:val="24"/>
          <w:highlight w:val="none"/>
          <w:lang w:val="en-US" w:eastAsia="zh-CN"/>
        </w:rPr>
        <w:t>19</w:t>
      </w:r>
      <w:r>
        <w:rPr>
          <w:rFonts w:hint="eastAsia" w:ascii="宋体" w:hAnsi="宋体" w:eastAsia="宋体" w:cs="宋体"/>
          <w:b/>
          <w:bCs/>
          <w:color w:val="auto"/>
          <w:sz w:val="24"/>
          <w:szCs w:val="24"/>
          <w:highlight w:val="none"/>
        </w:rPr>
        <w:t>．投标文件的修改和撤</w:t>
      </w:r>
      <w:bookmarkEnd w:id="105"/>
      <w:bookmarkEnd w:id="106"/>
      <w:r>
        <w:rPr>
          <w:rFonts w:hint="eastAsia" w:ascii="宋体" w:hAnsi="宋体" w:eastAsia="宋体" w:cs="宋体"/>
          <w:b/>
          <w:bCs/>
          <w:color w:val="auto"/>
          <w:sz w:val="24"/>
          <w:szCs w:val="24"/>
          <w:highlight w:val="none"/>
        </w:rPr>
        <w:t>回</w:t>
      </w:r>
      <w:bookmarkEnd w:id="107"/>
    </w:p>
    <w:p w14:paraId="35551722">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19.1 </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上传截止时间前，可以对所上传的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进行补充、修改或撤回。</w:t>
      </w:r>
    </w:p>
    <w:p w14:paraId="4B320170">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上传截止时间之后，</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不得对其上传的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做任何修改、补充或撤回。</w:t>
      </w:r>
    </w:p>
    <w:p w14:paraId="395E953E">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19.3 </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中-如果出现计算上或累加上的算术错误，可按以下原则进行修改：</w:t>
      </w:r>
    </w:p>
    <w:p w14:paraId="7D950FB0">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中</w:t>
      </w:r>
      <w:r>
        <w:rPr>
          <w:rFonts w:hint="eastAsia" w:ascii="宋体" w:hAnsi="宋体" w:eastAsia="宋体" w:cs="宋体"/>
          <w:color w:val="auto"/>
          <w:sz w:val="24"/>
          <w:szCs w:val="24"/>
          <w:highlight w:val="none"/>
          <w:lang w:eastAsia="zh-CN"/>
        </w:rPr>
        <w:t>投标函</w:t>
      </w:r>
      <w:r>
        <w:rPr>
          <w:rFonts w:hint="eastAsia" w:ascii="宋体" w:hAnsi="宋体" w:eastAsia="宋体" w:cs="宋体"/>
          <w:color w:val="auto"/>
          <w:sz w:val="24"/>
          <w:szCs w:val="24"/>
          <w:highlight w:val="none"/>
        </w:rPr>
        <w:t>内容与</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报价明细表不一致的，以</w:t>
      </w:r>
      <w:r>
        <w:rPr>
          <w:rFonts w:hint="eastAsia" w:ascii="宋体" w:hAnsi="宋体" w:eastAsia="宋体" w:cs="宋体"/>
          <w:color w:val="auto"/>
          <w:sz w:val="24"/>
          <w:szCs w:val="24"/>
          <w:highlight w:val="none"/>
          <w:lang w:eastAsia="zh-CN"/>
        </w:rPr>
        <w:t>投标函</w:t>
      </w:r>
      <w:r>
        <w:rPr>
          <w:rFonts w:hint="eastAsia" w:ascii="宋体" w:hAnsi="宋体" w:eastAsia="宋体" w:cs="宋体"/>
          <w:color w:val="auto"/>
          <w:sz w:val="24"/>
          <w:szCs w:val="24"/>
          <w:highlight w:val="none"/>
        </w:rPr>
        <w:t>为准</w:t>
      </w:r>
      <w:r>
        <w:rPr>
          <w:rFonts w:hint="eastAsia" w:ascii="宋体" w:hAnsi="宋体" w:eastAsia="宋体" w:cs="宋体"/>
          <w:color w:val="auto"/>
          <w:sz w:val="24"/>
          <w:szCs w:val="24"/>
          <w:highlight w:val="none"/>
          <w:lang w:eastAsia="zh-CN"/>
        </w:rPr>
        <w:t>；</w:t>
      </w:r>
    </w:p>
    <w:p w14:paraId="11BCCEF1">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（2）用小写金额和大写金额不一致，应以大写金额为准；</w:t>
      </w:r>
    </w:p>
    <w:p w14:paraId="6CC0931C">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（3）总价金额与按单价汇总金额不一致的，以单价金额计算结果为准；</w:t>
      </w:r>
    </w:p>
    <w:p w14:paraId="1D0A07DC">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（4）单价金额小数点或者百分比有明显错位的，以</w:t>
      </w:r>
      <w:r>
        <w:rPr>
          <w:rFonts w:hint="eastAsia" w:ascii="宋体" w:hAnsi="宋体" w:eastAsia="宋体" w:cs="宋体"/>
          <w:color w:val="auto"/>
          <w:sz w:val="24"/>
          <w:szCs w:val="24"/>
          <w:highlight w:val="none"/>
          <w:lang w:eastAsia="zh-CN"/>
        </w:rPr>
        <w:t>投标函</w:t>
      </w:r>
      <w:r>
        <w:rPr>
          <w:rFonts w:hint="eastAsia" w:ascii="宋体" w:hAnsi="宋体" w:eastAsia="宋体" w:cs="宋体"/>
          <w:color w:val="auto"/>
          <w:sz w:val="24"/>
          <w:szCs w:val="24"/>
          <w:highlight w:val="none"/>
        </w:rPr>
        <w:t>的总价为准，并修改单价。</w:t>
      </w:r>
    </w:p>
    <w:p w14:paraId="53EEAD35">
      <w:pPr>
        <w:pageBreakBefore w:val="0"/>
        <w:widowControl w:val="0"/>
        <w:kinsoku/>
        <w:wordWrap/>
        <w:overflowPunct/>
        <w:topLinePunct w:val="0"/>
        <w:autoSpaceDE/>
        <w:autoSpaceDN/>
        <w:bidi w:val="0"/>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同时出现两种以上不一致的，按照前款规定的顺序修正。修正后的</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报价经</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确认后产生约束力，</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不确认的，其</w:t>
      </w:r>
      <w:r>
        <w:rPr>
          <w:rFonts w:hint="eastAsia" w:ascii="宋体" w:hAnsi="宋体" w:eastAsia="宋体" w:cs="宋体"/>
          <w:b/>
          <w:bCs/>
          <w:color w:val="auto"/>
          <w:sz w:val="24"/>
          <w:szCs w:val="24"/>
          <w:highlight w:val="none"/>
        </w:rPr>
        <w:t>响应无效</w:t>
      </w:r>
      <w:r>
        <w:rPr>
          <w:rFonts w:hint="eastAsia" w:ascii="宋体" w:hAnsi="宋体" w:eastAsia="宋体" w:cs="宋体"/>
          <w:color w:val="auto"/>
          <w:sz w:val="24"/>
          <w:szCs w:val="24"/>
          <w:highlight w:val="none"/>
        </w:rPr>
        <w:t>。</w:t>
      </w:r>
    </w:p>
    <w:p w14:paraId="6FB19031">
      <w:pPr>
        <w:pStyle w:val="3"/>
        <w:pageBreakBefore w:val="0"/>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color w:val="auto"/>
          <w:sz w:val="24"/>
          <w:szCs w:val="24"/>
          <w:highlight w:val="none"/>
        </w:rPr>
      </w:pPr>
      <w:bookmarkStart w:id="108" w:name="_Toc89075878"/>
      <w:bookmarkStart w:id="109" w:name="_Toc217446056"/>
      <w:bookmarkStart w:id="110" w:name="_Toc183582231"/>
      <w:bookmarkStart w:id="111" w:name="_Toc183682368"/>
      <w:bookmarkStart w:id="112" w:name="_Toc77400782"/>
      <w:r>
        <w:rPr>
          <w:rFonts w:hint="eastAsia" w:ascii="宋体" w:hAnsi="宋体" w:eastAsia="宋体" w:cs="宋体"/>
          <w:color w:val="auto"/>
          <w:sz w:val="24"/>
          <w:szCs w:val="24"/>
          <w:highlight w:val="none"/>
        </w:rPr>
        <w:t>五、开标和</w:t>
      </w:r>
      <w:bookmarkEnd w:id="108"/>
      <w:bookmarkEnd w:id="109"/>
      <w:bookmarkEnd w:id="110"/>
      <w:bookmarkEnd w:id="111"/>
      <w:bookmarkEnd w:id="112"/>
      <w:r>
        <w:rPr>
          <w:rFonts w:hint="eastAsia" w:ascii="宋体" w:hAnsi="宋体" w:eastAsia="宋体" w:cs="宋体"/>
          <w:color w:val="auto"/>
          <w:sz w:val="24"/>
          <w:szCs w:val="24"/>
          <w:highlight w:val="none"/>
        </w:rPr>
        <w:t>中标</w:t>
      </w:r>
    </w:p>
    <w:p w14:paraId="48D8C69C">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13" w:name="_Toc183682369"/>
      <w:bookmarkStart w:id="114" w:name="_Toc183582232"/>
      <w:bookmarkStart w:id="115" w:name="_Toc217446057"/>
      <w:r>
        <w:rPr>
          <w:rFonts w:hint="eastAsia" w:ascii="宋体" w:hAnsi="宋体" w:eastAsia="宋体" w:cs="宋体"/>
          <w:b/>
          <w:bCs/>
          <w:color w:val="auto"/>
          <w:sz w:val="24"/>
          <w:szCs w:val="24"/>
          <w:highlight w:val="none"/>
          <w:lang w:val="en-US" w:eastAsia="zh-CN"/>
        </w:rPr>
        <w:t>20</w:t>
      </w:r>
      <w:r>
        <w:rPr>
          <w:rFonts w:hint="eastAsia" w:ascii="宋体" w:hAnsi="宋体" w:eastAsia="宋体" w:cs="宋体"/>
          <w:b/>
          <w:bCs/>
          <w:color w:val="auto"/>
          <w:sz w:val="24"/>
          <w:szCs w:val="24"/>
          <w:highlight w:val="none"/>
        </w:rPr>
        <w:t>．开标</w:t>
      </w:r>
      <w:bookmarkEnd w:id="113"/>
      <w:bookmarkEnd w:id="114"/>
      <w:bookmarkEnd w:id="115"/>
    </w:p>
    <w:p w14:paraId="5898154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.1 采购代理机构在招标文件规定的时间和地点组织招标活动，邀请下载招标文件并参与竞争的投标人</w:t>
      </w:r>
      <w:r>
        <w:rPr>
          <w:rFonts w:hint="eastAsia" w:ascii="宋体" w:hAnsi="宋体" w:eastAsia="宋体" w:cs="宋体"/>
          <w:color w:val="auto"/>
          <w:sz w:val="24"/>
          <w:szCs w:val="24"/>
          <w:highlight w:val="none"/>
          <w:lang w:val="en-US" w:eastAsia="zh-CN"/>
        </w:rPr>
        <w:t>在线</w:t>
      </w:r>
      <w:r>
        <w:rPr>
          <w:rFonts w:hint="eastAsia" w:ascii="宋体" w:hAnsi="宋体" w:eastAsia="宋体" w:cs="宋体"/>
          <w:color w:val="auto"/>
          <w:sz w:val="24"/>
          <w:szCs w:val="24"/>
          <w:highlight w:val="none"/>
        </w:rPr>
        <w:t>参加开标</w:t>
      </w:r>
      <w:r>
        <w:rPr>
          <w:rFonts w:hint="eastAsia" w:ascii="宋体" w:hAnsi="宋体" w:eastAsia="宋体" w:cs="宋体"/>
          <w:color w:val="auto"/>
          <w:sz w:val="24"/>
          <w:szCs w:val="24"/>
          <w:highlight w:val="none"/>
          <w:lang w:eastAsia="zh-CN"/>
        </w:rPr>
        <w:t>，投标人未参加开标的视同认可开标结果，事后不得对采购相关人员、开标过程和开标结果提出异议，同时投标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lang w:eastAsia="zh-CN"/>
        </w:rPr>
        <w:t>因未在线参加开标而导致投标文件无法按时解密等一切后果由</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eastAsia="zh-CN"/>
        </w:rPr>
        <w:t>自行承担</w:t>
      </w:r>
      <w:r>
        <w:rPr>
          <w:rFonts w:hint="eastAsia" w:ascii="宋体" w:hAnsi="宋体" w:eastAsia="宋体" w:cs="宋体"/>
          <w:color w:val="auto"/>
          <w:sz w:val="24"/>
          <w:szCs w:val="24"/>
          <w:highlight w:val="none"/>
        </w:rPr>
        <w:t>。</w:t>
      </w:r>
    </w:p>
    <w:p w14:paraId="1D11773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投标人不足3家的，不得开标。</w:t>
      </w:r>
    </w:p>
    <w:p w14:paraId="6607F5F8">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.2 开标时，采购代理机构可以邀请有关监督管理部门对开标进行现场监督。</w:t>
      </w:r>
    </w:p>
    <w:p w14:paraId="3180CC4A">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 xml:space="preserve">.3 </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文件上传截止时间到，</w:t>
      </w:r>
      <w:r>
        <w:rPr>
          <w:rFonts w:hint="eastAsia" w:ascii="宋体" w:hAnsi="宋体" w:eastAsia="宋体" w:cs="宋体"/>
          <w:color w:val="auto"/>
          <w:sz w:val="24"/>
          <w:szCs w:val="24"/>
          <w:highlight w:val="none"/>
          <w:lang w:val="en-US" w:eastAsia="zh-CN"/>
        </w:rPr>
        <w:t>开标</w:t>
      </w:r>
      <w:r>
        <w:rPr>
          <w:rFonts w:hint="eastAsia" w:ascii="宋体" w:hAnsi="宋体" w:eastAsia="宋体" w:cs="宋体"/>
          <w:color w:val="auto"/>
          <w:sz w:val="24"/>
          <w:szCs w:val="24"/>
          <w:highlight w:val="none"/>
        </w:rPr>
        <w:t>会议开始，公布</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名单。</w:t>
      </w:r>
    </w:p>
    <w:p w14:paraId="23CA0E4E">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.4开启“</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文件解密”环节，</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在规定时间内进行解密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解密规定见《投标人须知前附表》</w:t>
      </w:r>
      <w:r>
        <w:rPr>
          <w:rFonts w:hint="eastAsia" w:ascii="宋体" w:hAnsi="宋体" w:eastAsia="宋体" w:cs="宋体"/>
          <w:b/>
          <w:bCs/>
          <w:color w:val="auto"/>
          <w:sz w:val="24"/>
          <w:szCs w:val="24"/>
          <w:highlight w:val="none"/>
          <w:lang w:val="en-US" w:eastAsia="zh-CN"/>
        </w:rPr>
        <w:t>第15条</w:t>
      </w:r>
      <w:r>
        <w:rPr>
          <w:rFonts w:hint="eastAsia" w:ascii="宋体" w:hAnsi="宋体" w:eastAsia="宋体" w:cs="宋体"/>
          <w:color w:val="auto"/>
          <w:sz w:val="24"/>
          <w:szCs w:val="24"/>
          <w:highlight w:val="none"/>
        </w:rPr>
        <w:t>）。</w:t>
      </w:r>
    </w:p>
    <w:p w14:paraId="549F8E98">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20.5投标文件解密完毕，公布投标报价，开启报价签字确认（不予确认的应说明理由，否则视为无异议，开标结束后，由评标委员会对报价的合理性、准确性等进行审查核实）。</w:t>
      </w:r>
    </w:p>
    <w:p w14:paraId="367461B0">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评标程序</w:t>
      </w:r>
    </w:p>
    <w:p w14:paraId="6D7229BC">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.1公开招标采购项目开标结束后，采购人或者采购代理机构应当依法对投标人的资格进行审查。合格投标人不足3家的，不得评标。</w:t>
      </w:r>
    </w:p>
    <w:p w14:paraId="43D5526E">
      <w:pPr>
        <w:pStyle w:val="85"/>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.2符合性审查。符合性审查是指依据招标文件的规定，从商务和技术角度对投标文件的有效性和完整性进行审查，以确定是否对招标文件的实质性要求做出响应。</w:t>
      </w:r>
    </w:p>
    <w:p w14:paraId="3EE08FE7">
      <w:pPr>
        <w:pStyle w:val="85"/>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.3评标委员会采用综合评分法对满足招标文件全部实质性要求的投标文件和投标报价进行综合评分</w:t>
      </w:r>
    </w:p>
    <w:p w14:paraId="7AF3041E">
      <w:pPr>
        <w:pageBreakBefore w:val="0"/>
        <w:shd w:val="clear" w:color="auto" w:fill="auto"/>
        <w:wordWrap/>
        <w:overflowPunct/>
        <w:topLinePunct w:val="0"/>
        <w:bidi w:val="0"/>
        <w:spacing w:line="560" w:lineRule="exact"/>
        <w:ind w:right="0" w:rightChars="0" w:firstLine="480" w:firstLineChars="20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21.4</w:t>
      </w:r>
      <w:r>
        <w:rPr>
          <w:rFonts w:hint="eastAsia" w:ascii="宋体" w:hAnsi="宋体" w:eastAsia="宋体" w:cs="宋体"/>
          <w:b w:val="0"/>
          <w:bCs w:val="0"/>
          <w:color w:val="auto"/>
          <w:sz w:val="24"/>
          <w:szCs w:val="24"/>
          <w:highlight w:val="none"/>
          <w:lang w:val="en-US" w:eastAsia="zh-CN"/>
        </w:rPr>
        <w:t>澄清、说明或补正的形式：</w:t>
      </w:r>
    </w:p>
    <w:p w14:paraId="260CE849">
      <w:pPr>
        <w:pageBreakBefore w:val="0"/>
        <w:shd w:val="clear" w:color="auto" w:fill="auto"/>
        <w:wordWrap/>
        <w:overflowPunct/>
        <w:topLinePunct w:val="0"/>
        <w:bidi w:val="0"/>
        <w:spacing w:line="560" w:lineRule="exact"/>
        <w:ind w:left="0" w:leftChars="0" w:right="0" w:rightChars="0" w:firstLine="240" w:firstLineChars="10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（1）对于投标文件中含义不明确、同类问题表述不一致或者有明显文字和计算错误的内容，评标委员会将通过“政府采购云平台”在线询标的方式要求投标人在规定的时间内作出必要的澄清、说明或者补正，</w:t>
      </w:r>
      <w:r>
        <w:rPr>
          <w:rFonts w:hint="eastAsia" w:ascii="宋体" w:hAnsi="宋体" w:eastAsia="宋体" w:cs="宋体"/>
          <w:b/>
          <w:bCs/>
          <w:color w:val="auto"/>
          <w:sz w:val="24"/>
          <w:szCs w:val="24"/>
          <w:highlight w:val="none"/>
          <w:lang w:val="en-US" w:eastAsia="zh-CN"/>
        </w:rPr>
        <w:t>投标人澄清、说明或补正时间为20分钟</w:t>
      </w:r>
      <w:r>
        <w:rPr>
          <w:rFonts w:hint="eastAsia" w:ascii="宋体" w:hAnsi="宋体" w:eastAsia="宋体" w:cs="宋体"/>
          <w:b w:val="0"/>
          <w:bCs w:val="0"/>
          <w:color w:val="auto"/>
          <w:sz w:val="24"/>
          <w:szCs w:val="24"/>
          <w:highlight w:val="none"/>
          <w:lang w:val="en-US" w:eastAsia="zh-CN"/>
        </w:rPr>
        <w:t>。</w:t>
      </w:r>
    </w:p>
    <w:p w14:paraId="5F2D3785">
      <w:pPr>
        <w:pageBreakBefore w:val="0"/>
        <w:shd w:val="clear" w:color="auto" w:fill="auto"/>
        <w:wordWrap/>
        <w:overflowPunct/>
        <w:topLinePunct w:val="0"/>
        <w:bidi w:val="0"/>
        <w:spacing w:line="560" w:lineRule="exact"/>
        <w:ind w:left="0" w:leftChars="0" w:right="0" w:rightChars="0" w:firstLine="240" w:firstLineChars="10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投标人的澄清、说明或者补正应当通过“政府采购云平台”在线答复的方式提交，并加盖公章或电子印章，或者由法定代表人（负责人）或其授权的代表签字。投标人的澄清、说明或者补正不得超出投标文件的范围或者改变投标文件的实质性内容，不接受投标人主动对投标文件的澄清、说明或者补正。</w:t>
      </w:r>
    </w:p>
    <w:p w14:paraId="4A5A9B01">
      <w:pPr>
        <w:pageBreakBefore w:val="0"/>
        <w:shd w:val="clear" w:color="auto" w:fill="auto"/>
        <w:wordWrap/>
        <w:overflowPunct/>
        <w:topLinePunct w:val="0"/>
        <w:bidi w:val="0"/>
        <w:spacing w:line="560" w:lineRule="exact"/>
        <w:ind w:left="0" w:leftChars="0" w:right="0" w:rightChars="0" w:firstLine="240" w:firstLineChars="10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上述询标、澄清、说明和补正工作如因客观原因无法通过“政府采购云平台”在线进行的，将采用电子邮件等形式进行，请投标人保证办理投标事宜人员电话畅通、网络在线。如未及时进行澄清、说明或者补正的，视为放弃澄清、说明或者补正的权利。</w:t>
      </w:r>
    </w:p>
    <w:p w14:paraId="7834FBF1">
      <w:pPr>
        <w:pageBreakBefore w:val="0"/>
        <w:shd w:val="clear" w:color="auto" w:fill="auto"/>
        <w:wordWrap/>
        <w:overflowPunct/>
        <w:topLinePunct w:val="0"/>
        <w:bidi w:val="0"/>
        <w:spacing w:line="560" w:lineRule="exact"/>
        <w:ind w:left="0" w:leftChars="0" w:right="0" w:rightChars="0" w:firstLine="240" w:firstLineChars="100"/>
        <w:jc w:val="left"/>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评审人员对各投标人投标文件非实质性内容有疑议或异议，或者审查发现明显的文字或计算错误等，及时向评标委员会组长提出。经评标委员会商议认为需要投标人作出必要澄清、说明或者补正的，应当以在线询标形式要求投标人作出必要的澄清、说明或者补正并加盖投标人电子印章或公章。澄清、说明或者补正的内容应作为政府采购项目档案归档留存。</w:t>
      </w:r>
    </w:p>
    <w:p w14:paraId="63AF9463">
      <w:pPr>
        <w:pStyle w:val="85"/>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21.5 评标委员会需对评审结果进行确认，现场监督员应对评审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3619D998">
      <w:pPr>
        <w:spacing w:line="52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21.6</w:t>
      </w:r>
      <w:r>
        <w:rPr>
          <w:rFonts w:hint="eastAsia" w:ascii="宋体" w:hAnsi="宋体" w:eastAsia="宋体" w:cs="宋体"/>
          <w:color w:val="auto"/>
          <w:kern w:val="2"/>
          <w:sz w:val="24"/>
          <w:szCs w:val="24"/>
          <w:highlight w:val="none"/>
          <w:lang w:val="en-US" w:eastAsia="zh-CN" w:bidi="ar-SA"/>
        </w:rPr>
        <w:t>评标结果汇总完成后，除下列情形外，任何人不得修改评标结果：</w:t>
      </w:r>
    </w:p>
    <w:p w14:paraId="05FF848E">
      <w:pPr>
        <w:spacing w:line="52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(一)分值汇总计算错误的;</w:t>
      </w:r>
    </w:p>
    <w:p w14:paraId="452023C6">
      <w:pPr>
        <w:spacing w:line="52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(二)分项评分超出评分标准范围的;</w:t>
      </w:r>
    </w:p>
    <w:p w14:paraId="0A90BFD5">
      <w:pPr>
        <w:spacing w:line="52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(三)评标委员会成员对客观评审因素评分不一致的;</w:t>
      </w:r>
    </w:p>
    <w:p w14:paraId="15E3E45D">
      <w:pPr>
        <w:spacing w:line="52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(四)经评标委员会认定评分畸高、畸低的。</w:t>
      </w:r>
    </w:p>
    <w:p w14:paraId="3DA3095E">
      <w:pPr>
        <w:spacing w:line="520" w:lineRule="exact"/>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0C7C920B">
      <w:pPr>
        <w:spacing w:line="52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投标人对本条第一款情形提出质疑的，采购人或者采购代理机构可以组织原评标委员会进行重新评审，重新评审改变评标结果的，应当书面报告本级财政部门。</w:t>
      </w:r>
    </w:p>
    <w:p w14:paraId="08A79C4B">
      <w:pPr>
        <w:pStyle w:val="85"/>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评标委员会根据综合评分情况，按照评标得分由高到低顺序推荐3名中标候选人，并编写评标报告。得分相同的，按投标报价由低到高顺序排列。得分且投标报价相同的，按照技术指标优劣顺序推荐。</w:t>
      </w:r>
    </w:p>
    <w:p w14:paraId="3BFDAD2D">
      <w:pPr>
        <w:pStyle w:val="85"/>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采购代理机构在评标结果后2个工作日内将评标报告送采购人确认。</w:t>
      </w:r>
    </w:p>
    <w:p w14:paraId="1D78693E">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16" w:name="_Toc183682375"/>
      <w:bookmarkStart w:id="117" w:name="_Toc183582238"/>
      <w:bookmarkStart w:id="118" w:name="_Toc217446063"/>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．中标通知</w:t>
      </w:r>
      <w:bookmarkEnd w:id="116"/>
      <w:bookmarkEnd w:id="117"/>
      <w:r>
        <w:rPr>
          <w:rFonts w:hint="eastAsia" w:ascii="宋体" w:hAnsi="宋体" w:eastAsia="宋体" w:cs="宋体"/>
          <w:b/>
          <w:bCs/>
          <w:color w:val="auto"/>
          <w:sz w:val="24"/>
          <w:szCs w:val="24"/>
          <w:highlight w:val="none"/>
        </w:rPr>
        <w:t>书</w:t>
      </w:r>
      <w:bookmarkEnd w:id="118"/>
    </w:p>
    <w:p w14:paraId="4D7ECEC5">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1 中标通知书为签订中标合同的依据，是合同的有效组成部分。</w:t>
      </w:r>
    </w:p>
    <w:p w14:paraId="2D236044">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 中标通知书对采购人和中标人均具有法律效力。中标通知书发出后，采购人改变中标结果，或者中标人无正当理由放弃中标的，应当承担相应的法律责任。</w:t>
      </w:r>
    </w:p>
    <w:p w14:paraId="347A6C85">
      <w:pPr>
        <w:pageBreakBefore w:val="0"/>
        <w:tabs>
          <w:tab w:val="left" w:pos="7665"/>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14:paraId="1F2D5F63">
      <w:pPr>
        <w:pStyle w:val="3"/>
        <w:pageBreakBefore w:val="0"/>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color w:val="auto"/>
          <w:sz w:val="24"/>
          <w:szCs w:val="24"/>
          <w:highlight w:val="none"/>
        </w:rPr>
      </w:pPr>
      <w:bookmarkStart w:id="119" w:name="_Toc217446064"/>
      <w:bookmarkStart w:id="120" w:name="_Toc183582240"/>
      <w:bookmarkStart w:id="121" w:name="_Toc183682377"/>
      <w:r>
        <w:rPr>
          <w:rFonts w:hint="eastAsia" w:ascii="宋体" w:hAnsi="宋体" w:eastAsia="宋体" w:cs="宋体"/>
          <w:color w:val="auto"/>
          <w:sz w:val="24"/>
          <w:szCs w:val="24"/>
          <w:highlight w:val="none"/>
        </w:rPr>
        <w:t>六、签订及履行合同和验收</w:t>
      </w:r>
      <w:bookmarkEnd w:id="119"/>
    </w:p>
    <w:p w14:paraId="18DB3B37">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22" w:name="_Toc217446065"/>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 签订合同</w:t>
      </w:r>
      <w:bookmarkEnd w:id="122"/>
    </w:p>
    <w:p w14:paraId="488BE11F">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 中标人在收到采购人发出的《中标通知书》后，应在法律法规规定的时间内与采购人签订采购合同。由于中标人的原因逾期未与采购人签订采购合同的，将视为放弃中标，取消其中标资格并将按相关规定进行处理。</w:t>
      </w:r>
    </w:p>
    <w:p w14:paraId="60FFD11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 采购人不得向中标人提出任何不合理的要求，作为签订合同的条件，不得与中标人私下订立背离合同实质性内容的任何协议，所签订的合同不得对招标文件和投标文件作实质性修改。</w:t>
      </w:r>
    </w:p>
    <w:p w14:paraId="215FBADB">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 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拒绝与采购人签订合同的，采购人可以按照评审报告推荐的中标候选人名单排序，确定下一候选人为中标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，也可以重新开展政府采购活动。</w:t>
      </w:r>
    </w:p>
    <w:p w14:paraId="675803E7">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.4 中标人在合同签订之后三个工作日内，将签订的合同（彩色扫描件）交至采购代理机构。</w:t>
      </w:r>
    </w:p>
    <w:p w14:paraId="1B09FFD4">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23" w:name="_Toc217446066"/>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 合同分包</w:t>
      </w:r>
      <w:bookmarkEnd w:id="123"/>
      <w:r>
        <w:rPr>
          <w:rFonts w:hint="eastAsia" w:ascii="宋体" w:hAnsi="宋体" w:eastAsia="宋体" w:cs="宋体"/>
          <w:b/>
          <w:bCs/>
          <w:color w:val="auto"/>
          <w:sz w:val="24"/>
          <w:szCs w:val="24"/>
          <w:highlight w:val="none"/>
        </w:rPr>
        <w:t>（如有）</w:t>
      </w:r>
    </w:p>
    <w:p w14:paraId="7E74977C">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 若本项目允许分包的，经采购人同意，中标人可以依法采取分包方式履行合同。这种要求应当在合同签订之前征得采购人同意，并且分包人履行分包项目的服务及技术要求等，必须与中标的一致。</w:t>
      </w:r>
    </w:p>
    <w:p w14:paraId="471A5021">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.2 招标合同实行分包履行的，中标人就招标项目和分包项目向采购人负责，分包人就分包项目承担责任。</w:t>
      </w:r>
    </w:p>
    <w:p w14:paraId="6181BFDA">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24" w:name="_Toc217446067"/>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 采购人增加合同标的权</w:t>
      </w:r>
      <w:bookmarkEnd w:id="124"/>
      <w:r>
        <w:rPr>
          <w:rFonts w:hint="eastAsia" w:ascii="宋体" w:hAnsi="宋体" w:eastAsia="宋体" w:cs="宋体"/>
          <w:b/>
          <w:bCs/>
          <w:color w:val="auto"/>
          <w:sz w:val="24"/>
          <w:szCs w:val="24"/>
          <w:highlight w:val="none"/>
        </w:rPr>
        <w:t>利</w:t>
      </w:r>
    </w:p>
    <w:p w14:paraId="3D8BB4F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14:paraId="2F8BAFCC">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25" w:name="_Toc217446068"/>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 履约保证金</w:t>
      </w:r>
      <w:bookmarkEnd w:id="125"/>
    </w:p>
    <w:p w14:paraId="084FC65C">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rPr>
        <w:t>人应在合同签订之前缴纳</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文件规定数额的履约保证金。</w:t>
      </w:r>
    </w:p>
    <w:p w14:paraId="45D1A176">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27.2 如果</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rPr>
        <w:t>人在规定的合同签订时间内，没有按照</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rPr>
        <w:t>文件的规定缴纳履约保证金，且又无正当理由的，将视为放弃</w:t>
      </w:r>
      <w:r>
        <w:rPr>
          <w:rFonts w:hint="eastAsia" w:ascii="宋体" w:hAnsi="宋体" w:eastAsia="宋体" w:cs="宋体"/>
          <w:color w:val="auto"/>
          <w:sz w:val="24"/>
          <w:szCs w:val="24"/>
          <w:highlight w:val="none"/>
          <w:lang w:val="en-US" w:eastAsia="zh-CN"/>
        </w:rPr>
        <w:t>中标资格</w:t>
      </w:r>
      <w:r>
        <w:rPr>
          <w:rFonts w:hint="eastAsia" w:ascii="宋体" w:hAnsi="宋体" w:eastAsia="宋体" w:cs="宋体"/>
          <w:color w:val="auto"/>
          <w:sz w:val="24"/>
          <w:szCs w:val="24"/>
          <w:highlight w:val="none"/>
        </w:rPr>
        <w:t>，其缴纳的</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保证金将不与退还。</w:t>
      </w:r>
    </w:p>
    <w:p w14:paraId="7165A632">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26" w:name="_Toc217446069"/>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 履行合同</w:t>
      </w:r>
      <w:bookmarkEnd w:id="126"/>
    </w:p>
    <w:p w14:paraId="1C2669C7">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 中标人与采购人签订合同后，合同双方应严格执行合同条款，履行合同规定的义务，保证合同的顺利完成。</w:t>
      </w:r>
    </w:p>
    <w:p w14:paraId="068F86DC">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 在合同履行过程中，如发生合同纠纷，合同双方应按照《中华人民共和国民法典》的有关规定进行处理。</w:t>
      </w:r>
    </w:p>
    <w:p w14:paraId="14E8CA3D">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27" w:name="_Toc217446070"/>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 验收</w:t>
      </w:r>
      <w:bookmarkEnd w:id="127"/>
    </w:p>
    <w:p w14:paraId="39A553EC">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bookmarkStart w:id="128" w:name="_Toc217446071"/>
      <w:r>
        <w:rPr>
          <w:rFonts w:hint="eastAsia" w:ascii="宋体" w:hAnsi="宋体" w:eastAsia="宋体" w:cs="宋体"/>
          <w:color w:val="auto"/>
          <w:sz w:val="24"/>
          <w:szCs w:val="24"/>
          <w:highlight w:val="none"/>
        </w:rPr>
        <w:t>采购人应严格按照国家财政部《关于进一步加强政府采购需求和履约验收管理的指导意见》（</w:t>
      </w:r>
      <w:r>
        <w:rPr>
          <w:rFonts w:hint="eastAsia" w:ascii="宋体" w:hAnsi="宋体" w:eastAsia="宋体" w:cs="宋体"/>
          <w:color w:val="auto"/>
          <w:sz w:val="24"/>
          <w:szCs w:val="24"/>
          <w:highlight w:val="none"/>
          <w:shd w:val="clear" w:color="auto" w:fill="FFFFFF"/>
        </w:rPr>
        <w:t>财库〔2016〕205号</w:t>
      </w:r>
      <w:r>
        <w:rPr>
          <w:rFonts w:hint="eastAsia" w:ascii="宋体" w:hAnsi="宋体" w:eastAsia="宋体" w:cs="宋体"/>
          <w:color w:val="auto"/>
          <w:sz w:val="24"/>
          <w:szCs w:val="24"/>
          <w:highlight w:val="none"/>
        </w:rPr>
        <w:t>）的要求</w:t>
      </w:r>
      <w:r>
        <w:rPr>
          <w:rFonts w:hint="eastAsia" w:ascii="宋体" w:hAnsi="宋体" w:eastAsia="宋体" w:cs="宋体"/>
          <w:color w:val="auto"/>
          <w:sz w:val="24"/>
          <w:szCs w:val="24"/>
          <w:highlight w:val="none"/>
          <w:lang w:eastAsia="zh-CN"/>
        </w:rPr>
        <w:t>，</w:t>
      </w:r>
      <w:r>
        <w:rPr>
          <w:rFonts w:hint="eastAsia" w:ascii="宋体" w:hAnsi="宋体" w:eastAsia="宋体" w:cs="宋体"/>
          <w:i w:val="0"/>
          <w:iCs w:val="0"/>
          <w:caps w:val="0"/>
          <w:color w:val="auto"/>
          <w:spacing w:val="0"/>
          <w:sz w:val="24"/>
          <w:szCs w:val="24"/>
          <w:highlight w:val="none"/>
          <w:shd w:val="clear" w:color="auto" w:fill="FFFFFF"/>
        </w:rPr>
        <w:t>根据采购项目的具体情况，自行组织项目验收或者委托采购代理机构邀请实际使用人</w:t>
      </w:r>
      <w:r>
        <w:rPr>
          <w:rFonts w:hint="eastAsia" w:ascii="宋体" w:hAnsi="宋体" w:eastAsia="宋体" w:cs="宋体"/>
          <w:i w:val="0"/>
          <w:iCs w:val="0"/>
          <w:caps w:val="0"/>
          <w:color w:val="auto"/>
          <w:spacing w:val="0"/>
          <w:sz w:val="24"/>
          <w:szCs w:val="24"/>
          <w:highlight w:val="none"/>
          <w:shd w:val="clear" w:color="auto" w:fill="FFFFFF"/>
          <w:lang w:eastAsia="zh-CN"/>
        </w:rPr>
        <w:t>、</w:t>
      </w:r>
      <w:r>
        <w:rPr>
          <w:rFonts w:hint="eastAsia" w:ascii="宋体" w:hAnsi="宋体" w:eastAsia="宋体" w:cs="宋体"/>
          <w:i w:val="0"/>
          <w:iCs w:val="0"/>
          <w:caps w:val="0"/>
          <w:color w:val="auto"/>
          <w:spacing w:val="0"/>
          <w:sz w:val="24"/>
          <w:szCs w:val="24"/>
          <w:highlight w:val="none"/>
          <w:shd w:val="clear" w:color="auto" w:fill="FFFFFF"/>
        </w:rPr>
        <w:t>参加本项目的其他</w:t>
      </w:r>
      <w:r>
        <w:rPr>
          <w:rFonts w:hint="eastAsia" w:ascii="宋体" w:hAnsi="宋体" w:eastAsia="宋体" w:cs="宋体"/>
          <w:i w:val="0"/>
          <w:iCs w:val="0"/>
          <w:caps w:val="0"/>
          <w:color w:val="auto"/>
          <w:spacing w:val="0"/>
          <w:sz w:val="24"/>
          <w:szCs w:val="24"/>
          <w:highlight w:val="none"/>
          <w:shd w:val="clear" w:color="auto" w:fill="FFFFFF"/>
          <w:lang w:eastAsia="zh-CN"/>
        </w:rPr>
        <w:t>投标人</w:t>
      </w:r>
      <w:r>
        <w:rPr>
          <w:rFonts w:hint="eastAsia" w:ascii="宋体" w:hAnsi="宋体" w:eastAsia="宋体" w:cs="宋体"/>
          <w:i w:val="0"/>
          <w:iCs w:val="0"/>
          <w:caps w:val="0"/>
          <w:color w:val="auto"/>
          <w:spacing w:val="0"/>
          <w:sz w:val="24"/>
          <w:szCs w:val="24"/>
          <w:highlight w:val="none"/>
          <w:shd w:val="clear" w:color="auto" w:fill="FFFFFF"/>
        </w:rPr>
        <w:t>或第</w:t>
      </w:r>
      <w:r>
        <w:rPr>
          <w:rFonts w:hint="eastAsia" w:ascii="宋体" w:hAnsi="宋体" w:eastAsia="宋体" w:cs="宋体"/>
          <w:i w:val="0"/>
          <w:iCs w:val="0"/>
          <w:caps w:val="0"/>
          <w:color w:val="auto"/>
          <w:spacing w:val="0"/>
          <w:sz w:val="24"/>
          <w:szCs w:val="24"/>
          <w:highlight w:val="none"/>
          <w:shd w:val="clear" w:color="auto" w:fill="FFFFFF"/>
          <w:lang w:eastAsia="zh-CN"/>
        </w:rPr>
        <w:t>双方</w:t>
      </w:r>
      <w:r>
        <w:rPr>
          <w:rFonts w:hint="eastAsia" w:ascii="宋体" w:hAnsi="宋体" w:eastAsia="宋体" w:cs="宋体"/>
          <w:i w:val="0"/>
          <w:iCs w:val="0"/>
          <w:caps w:val="0"/>
          <w:color w:val="auto"/>
          <w:spacing w:val="0"/>
          <w:sz w:val="24"/>
          <w:szCs w:val="24"/>
          <w:highlight w:val="none"/>
          <w:shd w:val="clear" w:color="auto" w:fill="FFFFFF"/>
        </w:rPr>
        <w:t>专业机构及专家</w:t>
      </w:r>
      <w:r>
        <w:rPr>
          <w:rFonts w:hint="eastAsia" w:ascii="宋体" w:hAnsi="宋体" w:eastAsia="宋体" w:cs="宋体"/>
          <w:color w:val="auto"/>
          <w:sz w:val="24"/>
          <w:szCs w:val="24"/>
          <w:highlight w:val="none"/>
        </w:rPr>
        <w:t>进行验收。</w:t>
      </w:r>
    </w:p>
    <w:bookmarkEnd w:id="120"/>
    <w:bookmarkEnd w:id="121"/>
    <w:bookmarkEnd w:id="128"/>
    <w:p w14:paraId="5BD911B6">
      <w:pPr>
        <w:pStyle w:val="3"/>
        <w:pageBreakBefore w:val="0"/>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color w:val="auto"/>
          <w:sz w:val="24"/>
          <w:szCs w:val="24"/>
          <w:highlight w:val="none"/>
        </w:rPr>
      </w:pPr>
      <w:bookmarkStart w:id="129" w:name="_Toc217446074"/>
      <w:bookmarkStart w:id="130" w:name="_Toc183682380"/>
      <w:bookmarkStart w:id="131" w:name="_Toc183582243"/>
      <w:r>
        <w:rPr>
          <w:rFonts w:hint="eastAsia" w:ascii="宋体" w:hAnsi="宋体" w:eastAsia="宋体" w:cs="宋体"/>
          <w:color w:val="auto"/>
          <w:sz w:val="24"/>
          <w:szCs w:val="24"/>
          <w:highlight w:val="none"/>
        </w:rPr>
        <w:t>七、投标纪律要求</w:t>
      </w:r>
      <w:bookmarkEnd w:id="129"/>
    </w:p>
    <w:p w14:paraId="17638E4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132" w:name="_Toc217446075"/>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 投标人不得具有的情形</w:t>
      </w:r>
      <w:bookmarkEnd w:id="132"/>
    </w:p>
    <w:p w14:paraId="2566B05B">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投标人参加投标不得有下列情形：</w:t>
      </w:r>
    </w:p>
    <w:p w14:paraId="0B3B2336">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（1）提供虚假材料谋取中标；</w:t>
      </w:r>
    </w:p>
    <w:p w14:paraId="7CA7772B">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（2）采取不正当手段诋毁、排挤其他投标人；</w:t>
      </w:r>
    </w:p>
    <w:p w14:paraId="73C9E414">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（3）与采购人、其他投标人恶意串通；</w:t>
      </w:r>
    </w:p>
    <w:p w14:paraId="47FDFBF7">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（4）向采购人、评标委员会成员行贿或者提供其他不正当利益；</w:t>
      </w:r>
    </w:p>
    <w:p w14:paraId="25478A28">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（5）在招标过程中与采购人进行协商谈判；</w:t>
      </w:r>
    </w:p>
    <w:p w14:paraId="426F8AA8">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（6）拒绝有关部门的监督检查或者向监督检查部门提供虚假情况。</w:t>
      </w:r>
    </w:p>
    <w:p w14:paraId="61D6E484">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有上述情形之一的投标人，属于不合格投标人，其投标或中标资格将被取消。</w:t>
      </w:r>
    </w:p>
    <w:p w14:paraId="439C532F">
      <w:pPr>
        <w:pStyle w:val="3"/>
        <w:pageBreakBefore w:val="0"/>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b w:val="0"/>
          <w:bCs w:val="0"/>
          <w:color w:val="auto"/>
          <w:sz w:val="24"/>
          <w:szCs w:val="24"/>
          <w:highlight w:val="none"/>
        </w:rPr>
      </w:pPr>
      <w:bookmarkStart w:id="133" w:name="_Toc217446076"/>
      <w:r>
        <w:rPr>
          <w:rFonts w:hint="eastAsia" w:ascii="宋体" w:hAnsi="宋体" w:eastAsia="宋体" w:cs="宋体"/>
          <w:color w:val="auto"/>
          <w:sz w:val="24"/>
          <w:szCs w:val="24"/>
          <w:highlight w:val="none"/>
        </w:rPr>
        <w:t>八、</w:t>
      </w:r>
      <w:bookmarkEnd w:id="133"/>
      <w:r>
        <w:rPr>
          <w:rFonts w:hint="eastAsia" w:ascii="宋体" w:hAnsi="宋体" w:eastAsia="宋体" w:cs="宋体"/>
          <w:color w:val="auto"/>
          <w:sz w:val="24"/>
          <w:szCs w:val="24"/>
          <w:highlight w:val="none"/>
        </w:rPr>
        <w:t>合同价款支付</w:t>
      </w:r>
    </w:p>
    <w:p w14:paraId="1B11EE99">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bCs/>
          <w:color w:val="auto"/>
          <w:sz w:val="24"/>
          <w:szCs w:val="24"/>
          <w:highlight w:val="none"/>
        </w:rPr>
      </w:pPr>
      <w:bookmarkStart w:id="134" w:name="_Toc217446077"/>
      <w:r>
        <w:rPr>
          <w:rFonts w:hint="eastAsia" w:ascii="宋体" w:hAnsi="宋体" w:eastAsia="宋体" w:cs="宋体"/>
          <w:b/>
          <w:bCs/>
          <w:color w:val="auto"/>
          <w:sz w:val="24"/>
          <w:szCs w:val="24"/>
          <w:highlight w:val="none"/>
        </w:rPr>
        <w:t>3</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 申请支付</w:t>
      </w:r>
      <w:bookmarkEnd w:id="134"/>
    </w:p>
    <w:p w14:paraId="349069C7">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135" w:name="_Toc217446078"/>
      <w:r>
        <w:rPr>
          <w:rFonts w:hint="eastAsia" w:ascii="宋体" w:hAnsi="宋体" w:eastAsia="宋体" w:cs="宋体"/>
          <w:color w:val="auto"/>
          <w:sz w:val="24"/>
          <w:szCs w:val="24"/>
          <w:highlight w:val="none"/>
        </w:rPr>
        <w:t>采购人应当按照政府采购合同规定，及时向中标供应商支付采购资金。</w:t>
      </w:r>
    </w:p>
    <w:p w14:paraId="1411C7F6">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政府采购项目资金支付程序，按照国家有关财政资金支付管理的规定执行。</w:t>
      </w:r>
    </w:p>
    <w:p w14:paraId="0C1AD619">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p>
    <w:p w14:paraId="4D5966EC">
      <w:pPr>
        <w:pStyle w:val="3"/>
        <w:pageBreakBefore w:val="0"/>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九、质疑和投诉</w:t>
      </w:r>
      <w:bookmarkEnd w:id="135"/>
      <w:bookmarkStart w:id="136" w:name="_Toc217446079"/>
    </w:p>
    <w:p w14:paraId="3B42D1C1">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bookmarkEnd w:id="136"/>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．质疑、投诉的接收和处理严格按照《中华人共和国政府采购法</w:t>
      </w:r>
      <w:bookmarkEnd w:id="130"/>
      <w:bookmarkEnd w:id="131"/>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政府采购质疑和投诉办法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财政部关于加强政府采购投标人投诉受理审查工作的通知》的规定办理。</w:t>
      </w:r>
    </w:p>
    <w:p w14:paraId="25B72E83">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投标人认为招标文件、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14:paraId="6B4C8227">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.2潜在投标人已依法获取其可质疑的招标文件的，可以对该文件提出质疑。对招标文件提出质疑的，应当在获取招标文件或者招标文件公告期限届满之日起7个工作日内提出。</w:t>
      </w:r>
    </w:p>
    <w:p w14:paraId="3902A5ED">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w:t>
      </w:r>
    </w:p>
    <w:p w14:paraId="070E3169">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代理人提出质疑和投诉，应当提交投标人签署的授权委托书。</w:t>
      </w:r>
    </w:p>
    <w:p w14:paraId="45D513F0">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.4投标人提出质疑应当提交质疑函和必要的证明材料。质疑函应当包括下列内容：</w:t>
      </w:r>
    </w:p>
    <w:p w14:paraId="678CEAEE">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（一）投标人的姓名或者名称、地址、邮编、联系人及联系电话；</w:t>
      </w:r>
    </w:p>
    <w:p w14:paraId="2414C1FD">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（二）质疑项目的名称、编号；</w:t>
      </w:r>
    </w:p>
    <w:p w14:paraId="2059E808">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（三）具体、明确的质疑事项和与质疑事项相关的请求；</w:t>
      </w:r>
    </w:p>
    <w:p w14:paraId="17FDBB53">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（四）事实依据；</w:t>
      </w:r>
    </w:p>
    <w:p w14:paraId="48B0B0D8">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（五）必要的法律依据；</w:t>
      </w:r>
    </w:p>
    <w:p w14:paraId="21B05CDB">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（六）提出质疑的日期。</w:t>
      </w:r>
    </w:p>
    <w:p w14:paraId="56E11B94">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投标人为自然人的，应当由本人签字；投标人为法人或者其他组织的，应当由法定代表人、主要负责人或者其被授权人签字或盖章，并加盖公章。</w:t>
      </w:r>
    </w:p>
    <w:p w14:paraId="608CD4CE">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接收质疑函的方式：书面形式</w:t>
      </w:r>
    </w:p>
    <w:p w14:paraId="614B465F">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联系部门：</w:t>
      </w:r>
      <w:r>
        <w:rPr>
          <w:rFonts w:hint="eastAsia" w:ascii="宋体" w:hAnsi="宋体" w:eastAsia="宋体" w:cs="宋体"/>
          <w:i w:val="0"/>
          <w:iCs w:val="0"/>
          <w:color w:val="auto"/>
          <w:sz w:val="24"/>
          <w:szCs w:val="24"/>
          <w:highlight w:val="none"/>
          <w:lang w:val="en-US" w:eastAsia="zh-CN"/>
        </w:rPr>
        <w:t>陕西方得项目管理有限公司</w:t>
      </w:r>
    </w:p>
    <w:p w14:paraId="3572D24F">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联系人及联系电话：</w:t>
      </w:r>
      <w:r>
        <w:rPr>
          <w:rFonts w:hint="eastAsia" w:ascii="宋体" w:hAnsi="宋体" w:cs="宋体"/>
          <w:i w:val="0"/>
          <w:iCs w:val="0"/>
          <w:color w:val="auto"/>
          <w:sz w:val="24"/>
          <w:szCs w:val="24"/>
          <w:highlight w:val="none"/>
          <w:lang w:val="en-US" w:eastAsia="zh-CN"/>
        </w:rPr>
        <w:t>马平利、胡雅洁、马泽新、王浩，15699133769、</w:t>
      </w:r>
      <w:r>
        <w:rPr>
          <w:rFonts w:hint="eastAsia" w:ascii="宋体" w:hAnsi="宋体" w:eastAsia="宋体" w:cs="宋体"/>
          <w:i w:val="0"/>
          <w:iCs w:val="0"/>
          <w:color w:val="auto"/>
          <w:sz w:val="24"/>
          <w:szCs w:val="24"/>
          <w:highlight w:val="none"/>
          <w:lang w:val="en-US" w:eastAsia="zh-CN"/>
        </w:rPr>
        <w:t>16699192061</w:t>
      </w:r>
    </w:p>
    <w:p w14:paraId="254CCD92">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通讯地址：</w:t>
      </w:r>
      <w:r>
        <w:rPr>
          <w:rFonts w:hint="eastAsia" w:ascii="宋体" w:hAnsi="宋体" w:eastAsia="宋体" w:cs="宋体"/>
          <w:i w:val="0"/>
          <w:iCs w:val="0"/>
          <w:color w:val="auto"/>
          <w:sz w:val="24"/>
          <w:szCs w:val="24"/>
          <w:highlight w:val="none"/>
          <w:lang w:val="en-US" w:eastAsia="zh-CN"/>
        </w:rPr>
        <w:t>新疆乌鲁木齐市水磨沟区恒大绿洲二期10-2-1905室</w:t>
      </w:r>
    </w:p>
    <w:p w14:paraId="3B0C7C64">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.5质疑投标人对采购人、采购代理机构的答复不满意，或者采购人、采购代理机构未在规定时间内作出答复的，可以在答复期满后15个工作日内向本办法第六条规定的财政部门提起投诉。</w:t>
      </w:r>
    </w:p>
    <w:p w14:paraId="5F7A16D7">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.6投诉人投诉时，应当提交投诉书和必要的证明材料，并按照被投诉采购人、采购代理机构（以下简称被投诉人）和与投诉事项有关的投标人数量提供投诉书的副本。投诉书应当包括下列内容：</w:t>
      </w:r>
    </w:p>
    <w:p w14:paraId="0BBBDA79">
      <w:pPr>
        <w:pStyle w:val="13"/>
        <w:pageBreakBefore w:val="0"/>
        <w:wordWrap/>
        <w:overflowPunct/>
        <w:topLinePunct w:val="0"/>
        <w:bidi w:val="0"/>
        <w:spacing w:after="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（一）投诉人和被投诉人的姓名或者名称、通讯地址、邮编、联系人及联系电话；</w:t>
      </w:r>
    </w:p>
    <w:p w14:paraId="53E52346">
      <w:pPr>
        <w:pStyle w:val="13"/>
        <w:pageBreakBefore w:val="0"/>
        <w:wordWrap/>
        <w:overflowPunct/>
        <w:topLinePunct w:val="0"/>
        <w:bidi w:val="0"/>
        <w:spacing w:after="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（二）质疑和质疑答复情况说明及相关证明材料；</w:t>
      </w:r>
    </w:p>
    <w:p w14:paraId="3B8951FE">
      <w:pPr>
        <w:pStyle w:val="13"/>
        <w:pageBreakBefore w:val="0"/>
        <w:wordWrap/>
        <w:overflowPunct/>
        <w:topLinePunct w:val="0"/>
        <w:bidi w:val="0"/>
        <w:spacing w:after="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（三）具体、明确的投诉事项和与投诉事项相关的投诉请求；</w:t>
      </w:r>
    </w:p>
    <w:p w14:paraId="73A5336D">
      <w:pPr>
        <w:pStyle w:val="13"/>
        <w:pageBreakBefore w:val="0"/>
        <w:wordWrap/>
        <w:overflowPunct/>
        <w:topLinePunct w:val="0"/>
        <w:bidi w:val="0"/>
        <w:spacing w:after="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（四）事实依据；</w:t>
      </w:r>
    </w:p>
    <w:p w14:paraId="79D58B08">
      <w:pPr>
        <w:pStyle w:val="13"/>
        <w:pageBreakBefore w:val="0"/>
        <w:wordWrap/>
        <w:overflowPunct/>
        <w:topLinePunct w:val="0"/>
        <w:bidi w:val="0"/>
        <w:spacing w:after="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（五）法律依据；</w:t>
      </w:r>
    </w:p>
    <w:p w14:paraId="40B2E373">
      <w:pPr>
        <w:pStyle w:val="13"/>
        <w:pageBreakBefore w:val="0"/>
        <w:wordWrap/>
        <w:overflowPunct/>
        <w:topLinePunct w:val="0"/>
        <w:bidi w:val="0"/>
        <w:spacing w:after="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（六）提起投诉的日期。</w:t>
      </w:r>
    </w:p>
    <w:p w14:paraId="7AADF984">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投诉人为自然人的，应当由本人签字；投诉人为法人或者其他组织的，应当由法定代表人、主要负责人，或者其授权代表签字或者盖章，并加盖公章。</w:t>
      </w:r>
    </w:p>
    <w:p w14:paraId="52146DC2">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.7投诉人应当根据《政府采购质疑和投诉办法》第七条第二款规定的信息内容，并按照其规定的方式提起投诉。</w:t>
      </w:r>
    </w:p>
    <w:p w14:paraId="0970A81D">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投诉人提起投诉应当符合下列条件：</w:t>
      </w:r>
    </w:p>
    <w:p w14:paraId="613E0DEB">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（一）提起投诉前已依法进行质疑；</w:t>
      </w:r>
    </w:p>
    <w:p w14:paraId="3BF7A490">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（二）投诉书内容符合本办法的规定；</w:t>
      </w:r>
    </w:p>
    <w:p w14:paraId="416D6B25">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（三）在投诉有效期限内提起投诉；</w:t>
      </w:r>
    </w:p>
    <w:p w14:paraId="071B3CE9">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（四）同一投诉事项未经财政部门投诉处理；</w:t>
      </w:r>
    </w:p>
    <w:p w14:paraId="6197B27A">
      <w:pPr>
        <w:pStyle w:val="13"/>
        <w:pageBreakBefore w:val="0"/>
        <w:wordWrap/>
        <w:overflowPunct/>
        <w:topLinePunct w:val="0"/>
        <w:bidi w:val="0"/>
        <w:spacing w:after="0"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（五）财政部规定的其他条件。</w:t>
      </w:r>
    </w:p>
    <w:p w14:paraId="51D60E94">
      <w:pPr>
        <w:pageBreakBefore w:val="0"/>
        <w:wordWrap/>
        <w:overflowPunct/>
        <w:topLinePunct w:val="0"/>
        <w:bidi w:val="0"/>
        <w:spacing w:line="56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r>
        <w:rPr>
          <w:rFonts w:hint="eastAsia" w:ascii="宋体" w:hAnsi="宋体" w:eastAsia="宋体" w:cs="宋体"/>
          <w:b/>
          <w:bCs/>
          <w:color w:val="auto"/>
          <w:sz w:val="24"/>
          <w:szCs w:val="24"/>
          <w:highlight w:val="none"/>
        </w:rPr>
        <w:t>质疑函范本</w:t>
      </w:r>
    </w:p>
    <w:p w14:paraId="2767F37A">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一、质疑</w:t>
      </w:r>
      <w:r>
        <w:rPr>
          <w:rFonts w:hint="eastAsia" w:ascii="宋体" w:hAnsi="宋体" w:eastAsia="宋体" w:cs="宋体"/>
          <w:color w:val="auto"/>
          <w:sz w:val="24"/>
          <w:szCs w:val="24"/>
          <w:highlight w:val="none"/>
          <w:shd w:val="clear" w:color="auto" w:fill="FFFFFF"/>
        </w:rPr>
        <w:t>投标人</w:t>
      </w:r>
      <w:r>
        <w:rPr>
          <w:rFonts w:hint="eastAsia" w:ascii="宋体" w:hAnsi="宋体" w:eastAsia="宋体" w:cs="宋体"/>
          <w:bCs/>
          <w:color w:val="auto"/>
          <w:sz w:val="24"/>
          <w:szCs w:val="24"/>
          <w:highlight w:val="none"/>
        </w:rPr>
        <w:t>基本信息</w:t>
      </w:r>
    </w:p>
    <w:p w14:paraId="58FA23B0">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w:t>
      </w:r>
      <w:r>
        <w:rPr>
          <w:rFonts w:hint="eastAsia" w:ascii="宋体" w:hAnsi="宋体" w:eastAsia="宋体" w:cs="宋体"/>
          <w:color w:val="auto"/>
          <w:sz w:val="24"/>
          <w:szCs w:val="24"/>
          <w:highlight w:val="none"/>
          <w:shd w:val="clear" w:color="auto" w:fill="FFFFFF"/>
        </w:rPr>
        <w:t>投标人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dotted"/>
        </w:rPr>
        <w:t xml:space="preserve">                                        </w:t>
      </w:r>
    </w:p>
    <w:p w14:paraId="730C53FF">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1076A12E">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3560486C">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被授权人：</w:t>
      </w:r>
      <w:r>
        <w:rPr>
          <w:rFonts w:hint="eastAsia" w:ascii="宋体" w:hAnsi="宋体" w:eastAsia="宋体" w:cs="宋体"/>
          <w:color w:val="auto"/>
          <w:sz w:val="24"/>
          <w:szCs w:val="24"/>
          <w:highlight w:val="none"/>
          <w:u w:val="dotted"/>
        </w:rPr>
        <w:t xml:space="preserve">                                          </w:t>
      </w:r>
    </w:p>
    <w:p w14:paraId="524A28A9">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 xml:space="preserve"> </w:t>
      </w:r>
    </w:p>
    <w:p w14:paraId="4B222076">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0418D79A">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07623C97">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dotted"/>
        </w:rPr>
        <w:t xml:space="preserve">                                      </w:t>
      </w:r>
    </w:p>
    <w:p w14:paraId="350BF4FE">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dotted"/>
        </w:rPr>
        <w:t xml:space="preserve">                 </w:t>
      </w:r>
    </w:p>
    <w:p w14:paraId="434FBAE8">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dotted"/>
        </w:rPr>
        <w:t xml:space="preserve">                                         </w:t>
      </w:r>
    </w:p>
    <w:p w14:paraId="07DC4518">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招标文件获取日期：</w:t>
      </w:r>
      <w:r>
        <w:rPr>
          <w:rFonts w:hint="eastAsia" w:ascii="宋体" w:hAnsi="宋体" w:eastAsia="宋体" w:cs="宋体"/>
          <w:color w:val="auto"/>
          <w:sz w:val="24"/>
          <w:szCs w:val="24"/>
          <w:highlight w:val="none"/>
          <w:u w:val="dotted"/>
        </w:rPr>
        <w:t xml:space="preserve">                                           </w:t>
      </w:r>
    </w:p>
    <w:p w14:paraId="6760155B">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35A9DC04">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dotted"/>
        </w:rPr>
        <w:t xml:space="preserve">                                         </w:t>
      </w:r>
    </w:p>
    <w:p w14:paraId="0191A372">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dotted"/>
        </w:rPr>
        <w:t xml:space="preserve">                                          </w:t>
      </w:r>
    </w:p>
    <w:p w14:paraId="080C7A62">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dotted"/>
        </w:rPr>
        <w:t xml:space="preserve">                                                       </w:t>
      </w:r>
    </w:p>
    <w:p w14:paraId="1B4F4856">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dotted"/>
        </w:rPr>
        <w:t xml:space="preserve">                                          </w:t>
      </w:r>
    </w:p>
    <w:p w14:paraId="2BE416A3">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6B0AD9B8">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4F0E49F3">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46B803C3">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dotted"/>
        </w:rPr>
        <w:t xml:space="preserve">                                               </w:t>
      </w:r>
    </w:p>
    <w:p w14:paraId="6973538E">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                   公章：                      </w:t>
      </w:r>
    </w:p>
    <w:p w14:paraId="08B99576">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78174993">
      <w:pPr>
        <w:pageBreakBefore w:val="0"/>
        <w:wordWrap/>
        <w:overflowPunct/>
        <w:topLinePunct w:val="0"/>
        <w:bidi w:val="0"/>
        <w:spacing w:line="560" w:lineRule="exact"/>
        <w:ind w:left="0" w:leftChars="0" w:right="0" w:rightChars="0" w:firstLine="482" w:firstLineChars="200"/>
        <w:jc w:val="center"/>
        <w:rPr>
          <w:rFonts w:hint="eastAsia" w:ascii="宋体" w:hAnsi="宋体" w:eastAsia="宋体" w:cs="宋体"/>
          <w:b/>
          <w:bCs/>
          <w:color w:val="auto"/>
          <w:sz w:val="24"/>
          <w:szCs w:val="24"/>
          <w:highlight w:val="none"/>
        </w:rPr>
      </w:pPr>
    </w:p>
    <w:p w14:paraId="4916D9E6">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53C7F590">
      <w:pPr>
        <w:pageBreakBefore w:val="0"/>
        <w:widowControl/>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shd w:val="clear" w:color="auto" w:fill="FFFFFF"/>
        </w:rPr>
        <w:t>投标人</w:t>
      </w:r>
      <w:r>
        <w:rPr>
          <w:rFonts w:hint="eastAsia" w:ascii="宋体" w:hAnsi="宋体" w:eastAsia="宋体" w:cs="宋体"/>
          <w:color w:val="auto"/>
          <w:sz w:val="24"/>
          <w:szCs w:val="24"/>
          <w:highlight w:val="none"/>
        </w:rPr>
        <w:t>提出质疑时，应提交质疑函和必要的证明材料。</w:t>
      </w:r>
    </w:p>
    <w:p w14:paraId="186DE54A">
      <w:pPr>
        <w:pageBreakBefore w:val="0"/>
        <w:widowControl/>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w:t>
      </w:r>
      <w:r>
        <w:rPr>
          <w:rFonts w:hint="eastAsia" w:ascii="宋体" w:hAnsi="宋体" w:eastAsia="宋体" w:cs="宋体"/>
          <w:color w:val="auto"/>
          <w:sz w:val="24"/>
          <w:szCs w:val="24"/>
          <w:highlight w:val="none"/>
          <w:shd w:val="clear" w:color="auto" w:fill="FFFFFF"/>
        </w:rPr>
        <w:t>投标人</w:t>
      </w:r>
      <w:r>
        <w:rPr>
          <w:rFonts w:hint="eastAsia" w:ascii="宋体" w:hAnsi="宋体" w:eastAsia="宋体" w:cs="宋体"/>
          <w:color w:val="auto"/>
          <w:sz w:val="24"/>
          <w:szCs w:val="24"/>
          <w:highlight w:val="none"/>
        </w:rPr>
        <w:t>若委托代理人进行质疑的，质疑函应按要求列明“被授权人”的有关内容，并在附件中提交由质疑</w:t>
      </w:r>
      <w:r>
        <w:rPr>
          <w:rFonts w:hint="eastAsia" w:ascii="宋体" w:hAnsi="宋体" w:eastAsia="宋体" w:cs="宋体"/>
          <w:color w:val="auto"/>
          <w:kern w:val="0"/>
          <w:sz w:val="24"/>
          <w:szCs w:val="24"/>
          <w:highlight w:val="none"/>
        </w:rPr>
        <w:t>投标人签署的授权委托书。授权委托书应载明代理人的姓名或者名称、代理事项、具体权限、期限和相关事项。</w:t>
      </w:r>
    </w:p>
    <w:p w14:paraId="7D0B6FED">
      <w:pPr>
        <w:pageBreakBefore w:val="0"/>
        <w:widowControl/>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w:t>
      </w:r>
      <w:r>
        <w:rPr>
          <w:rFonts w:hint="eastAsia" w:ascii="宋体" w:hAnsi="宋体" w:eastAsia="宋体" w:cs="宋体"/>
          <w:color w:val="auto"/>
          <w:sz w:val="24"/>
          <w:szCs w:val="24"/>
          <w:highlight w:val="none"/>
          <w:shd w:val="clear" w:color="auto" w:fill="FFFFFF"/>
        </w:rPr>
        <w:t>投标人</w:t>
      </w:r>
      <w:r>
        <w:rPr>
          <w:rFonts w:hint="eastAsia" w:ascii="宋体" w:hAnsi="宋体" w:eastAsia="宋体" w:cs="宋体"/>
          <w:color w:val="auto"/>
          <w:sz w:val="24"/>
          <w:szCs w:val="24"/>
          <w:highlight w:val="none"/>
        </w:rPr>
        <w:t>若对项目的某一分包进行质疑，质疑函中应列明具体分包号。</w:t>
      </w:r>
    </w:p>
    <w:p w14:paraId="4DDF9639">
      <w:pPr>
        <w:pageBreakBefore w:val="0"/>
        <w:widowControl/>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42BF3985">
      <w:pPr>
        <w:pageBreakBefore w:val="0"/>
        <w:widowControl/>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5EFED711">
      <w:pPr>
        <w:pageBreakBefore w:val="0"/>
        <w:widowControl/>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6.质疑</w:t>
      </w:r>
      <w:r>
        <w:rPr>
          <w:rFonts w:hint="eastAsia" w:ascii="宋体" w:hAnsi="宋体" w:eastAsia="宋体" w:cs="宋体"/>
          <w:color w:val="auto"/>
          <w:sz w:val="24"/>
          <w:szCs w:val="24"/>
          <w:highlight w:val="none"/>
          <w:shd w:val="clear" w:color="auto" w:fill="FFFFFF"/>
        </w:rPr>
        <w:t>投标人</w:t>
      </w:r>
      <w:r>
        <w:rPr>
          <w:rFonts w:hint="eastAsia" w:ascii="宋体" w:hAnsi="宋体" w:eastAsia="宋体" w:cs="宋体"/>
          <w:color w:val="auto"/>
          <w:sz w:val="24"/>
          <w:szCs w:val="24"/>
          <w:highlight w:val="none"/>
        </w:rPr>
        <w:t>为自然人的，质疑函应由本人签字；质疑</w:t>
      </w:r>
      <w:r>
        <w:rPr>
          <w:rFonts w:hint="eastAsia" w:ascii="宋体" w:hAnsi="宋体" w:eastAsia="宋体" w:cs="宋体"/>
          <w:color w:val="auto"/>
          <w:sz w:val="24"/>
          <w:szCs w:val="24"/>
          <w:highlight w:val="none"/>
          <w:shd w:val="clear" w:color="auto" w:fill="FFFFFF"/>
        </w:rPr>
        <w:t>投标人</w:t>
      </w:r>
      <w:r>
        <w:rPr>
          <w:rFonts w:hint="eastAsia" w:ascii="宋体" w:hAnsi="宋体" w:eastAsia="宋体" w:cs="宋体"/>
          <w:color w:val="auto"/>
          <w:sz w:val="24"/>
          <w:szCs w:val="24"/>
          <w:highlight w:val="none"/>
        </w:rPr>
        <w:t>为法人或者其他组织的，质疑函应由法定代表人、主要负责人或者其被授权人签字或者盖章，并加盖公章。</w:t>
      </w:r>
    </w:p>
    <w:p w14:paraId="609360C7">
      <w:pPr>
        <w:pStyle w:val="30"/>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6EEAA023">
      <w:pPr>
        <w:pStyle w:val="30"/>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2BBD479D">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p>
    <w:p w14:paraId="1B34C1B8">
      <w:pPr>
        <w:pageBreakBefore w:val="0"/>
        <w:wordWrap/>
        <w:overflowPunct/>
        <w:topLinePunct w:val="0"/>
        <w:bidi w:val="0"/>
        <w:spacing w:line="560" w:lineRule="exact"/>
        <w:ind w:left="0" w:leftChars="0" w:right="0" w:rightChars="0"/>
        <w:jc w:val="center"/>
        <w:outlineLvl w:val="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br w:type="page"/>
      </w:r>
      <w:bookmarkStart w:id="137" w:name="_Toc5850_WPSOffice_Level1"/>
      <w:bookmarkStart w:id="138" w:name="_Toc1522"/>
      <w:r>
        <w:rPr>
          <w:rFonts w:hint="eastAsia" w:ascii="宋体" w:hAnsi="宋体" w:eastAsia="宋体" w:cs="宋体"/>
          <w:b/>
          <w:bCs/>
          <w:color w:val="auto"/>
          <w:sz w:val="28"/>
          <w:szCs w:val="28"/>
          <w:highlight w:val="none"/>
        </w:rPr>
        <w:t>第三章  投标文件格式</w:t>
      </w:r>
      <w:bookmarkEnd w:id="137"/>
      <w:bookmarkEnd w:id="138"/>
    </w:p>
    <w:p w14:paraId="06B8EF52">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投标文件封面示例</w:t>
      </w:r>
    </w:p>
    <w:p w14:paraId="4E9C3706">
      <w:pPr>
        <w:pageBreakBefore w:val="0"/>
        <w:wordWrap/>
        <w:overflowPunct/>
        <w:topLinePunct w:val="0"/>
        <w:bidi w:val="0"/>
        <w:spacing w:line="560" w:lineRule="exact"/>
        <w:ind w:left="0" w:leftChars="0" w:right="0" w:rightChars="0"/>
        <w:rPr>
          <w:rFonts w:hint="eastAsia" w:ascii="宋体" w:hAnsi="宋体" w:eastAsia="宋体" w:cs="宋体"/>
          <w:b/>
          <w:color w:val="auto"/>
          <w:sz w:val="24"/>
          <w:szCs w:val="24"/>
          <w:highlight w:val="none"/>
        </w:rPr>
      </w:pPr>
    </w:p>
    <w:p w14:paraId="48EFC427">
      <w:pPr>
        <w:pageBreakBefore w:val="0"/>
        <w:wordWrap/>
        <w:overflowPunct/>
        <w:topLinePunct w:val="0"/>
        <w:bidi w:val="0"/>
        <w:spacing w:line="560" w:lineRule="exact"/>
        <w:ind w:left="0" w:leftChars="0" w:right="0" w:rightChars="0"/>
        <w:jc w:val="center"/>
        <w:rPr>
          <w:rFonts w:hint="eastAsia" w:ascii="宋体" w:hAnsi="宋体" w:eastAsia="宋体" w:cs="宋体"/>
          <w:b/>
          <w:color w:val="auto"/>
          <w:sz w:val="24"/>
          <w:szCs w:val="24"/>
          <w:highlight w:val="none"/>
        </w:rPr>
      </w:pPr>
    </w:p>
    <w:p w14:paraId="0C2C2F98">
      <w:pPr>
        <w:pageBreakBefore w:val="0"/>
        <w:wordWrap/>
        <w:overflowPunct/>
        <w:topLinePunct w:val="0"/>
        <w:bidi w:val="0"/>
        <w:spacing w:line="560" w:lineRule="exact"/>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w:t>
      </w:r>
    </w:p>
    <w:p w14:paraId="26E65BBA">
      <w:pPr>
        <w:pageBreakBefore w:val="0"/>
        <w:wordWrap/>
        <w:overflowPunct/>
        <w:topLinePunct w:val="0"/>
        <w:bidi w:val="0"/>
        <w:spacing w:line="560" w:lineRule="exact"/>
        <w:ind w:left="0" w:leftChars="0" w:right="0" w:rightChars="0"/>
        <w:rPr>
          <w:rFonts w:hint="eastAsia" w:ascii="宋体" w:hAnsi="宋体" w:eastAsia="宋体" w:cs="宋体"/>
          <w:b/>
          <w:color w:val="auto"/>
          <w:sz w:val="24"/>
          <w:szCs w:val="24"/>
          <w:highlight w:val="none"/>
        </w:rPr>
      </w:pPr>
    </w:p>
    <w:p w14:paraId="7F4A73F4">
      <w:pPr>
        <w:pageBreakBefore w:val="0"/>
        <w:wordWrap/>
        <w:overflowPunct/>
        <w:topLinePunct w:val="0"/>
        <w:bidi w:val="0"/>
        <w:spacing w:line="560" w:lineRule="exact"/>
        <w:ind w:left="0" w:leftChars="0" w:right="0" w:rightChars="0" w:firstLine="504"/>
        <w:rPr>
          <w:rFonts w:hint="eastAsia" w:ascii="宋体" w:hAnsi="宋体" w:eastAsia="宋体" w:cs="宋体"/>
          <w:b/>
          <w:color w:val="auto"/>
          <w:sz w:val="24"/>
          <w:szCs w:val="24"/>
          <w:highlight w:val="none"/>
        </w:rPr>
      </w:pPr>
    </w:p>
    <w:p w14:paraId="306DD752">
      <w:pPr>
        <w:pageBreakBefore w:val="0"/>
        <w:wordWrap/>
        <w:overflowPunct/>
        <w:topLinePunct w:val="0"/>
        <w:bidi w:val="0"/>
        <w:spacing w:line="560" w:lineRule="exact"/>
        <w:ind w:left="0" w:leftChars="0" w:right="0" w:rightChars="0" w:firstLine="504"/>
        <w:rPr>
          <w:rFonts w:hint="eastAsia" w:ascii="宋体" w:hAnsi="宋体" w:eastAsia="宋体" w:cs="宋体"/>
          <w:b/>
          <w:color w:val="auto"/>
          <w:sz w:val="24"/>
          <w:szCs w:val="24"/>
          <w:highlight w:val="none"/>
        </w:rPr>
      </w:pPr>
    </w:p>
    <w:p w14:paraId="5B852D5D">
      <w:pPr>
        <w:pageBreakBefore w:val="0"/>
        <w:wordWrap/>
        <w:overflowPunct/>
        <w:topLinePunct w:val="0"/>
        <w:bidi w:val="0"/>
        <w:spacing w:line="560" w:lineRule="exact"/>
        <w:ind w:left="0" w:leftChars="0" w:right="0" w:rightChars="0"/>
        <w:rPr>
          <w:rFonts w:hint="eastAsia" w:ascii="宋体" w:hAnsi="宋体" w:eastAsia="宋体" w:cs="宋体"/>
          <w:b/>
          <w:color w:val="auto"/>
          <w:sz w:val="24"/>
          <w:szCs w:val="24"/>
          <w:highlight w:val="none"/>
        </w:rPr>
      </w:pPr>
    </w:p>
    <w:p w14:paraId="56180E4C">
      <w:pPr>
        <w:pageBreakBefore w:val="0"/>
        <w:wordWrap/>
        <w:overflowPunct/>
        <w:topLinePunct w:val="0"/>
        <w:bidi w:val="0"/>
        <w:spacing w:line="560" w:lineRule="exact"/>
        <w:ind w:left="0" w:leftChars="0" w:right="0" w:rightChars="0"/>
        <w:rPr>
          <w:rFonts w:hint="eastAsia" w:ascii="宋体" w:hAnsi="宋体" w:eastAsia="宋体" w:cs="宋体"/>
          <w:b/>
          <w:color w:val="auto"/>
          <w:sz w:val="24"/>
          <w:szCs w:val="24"/>
          <w:highlight w:val="none"/>
        </w:rPr>
      </w:pPr>
    </w:p>
    <w:p w14:paraId="6957B66F">
      <w:pPr>
        <w:pageBreakBefore w:val="0"/>
        <w:wordWrap/>
        <w:overflowPunct/>
        <w:topLinePunct w:val="0"/>
        <w:bidi w:val="0"/>
        <w:spacing w:line="560" w:lineRule="exact"/>
        <w:ind w:left="0" w:leftChars="0" w:right="0" w:rightChars="0"/>
        <w:rPr>
          <w:rFonts w:hint="eastAsia" w:ascii="宋体" w:hAnsi="宋体" w:eastAsia="宋体" w:cs="宋体"/>
          <w:b/>
          <w:color w:val="auto"/>
          <w:sz w:val="24"/>
          <w:szCs w:val="24"/>
          <w:highlight w:val="none"/>
        </w:rPr>
      </w:pPr>
    </w:p>
    <w:p w14:paraId="56B7DE31">
      <w:pPr>
        <w:pageBreakBefore w:val="0"/>
        <w:wordWrap/>
        <w:overflowPunct/>
        <w:topLinePunct w:val="0"/>
        <w:bidi w:val="0"/>
        <w:spacing w:line="560" w:lineRule="exact"/>
        <w:ind w:left="0" w:leftChars="0" w:right="0" w:rightChars="0"/>
        <w:rPr>
          <w:rFonts w:hint="eastAsia" w:ascii="宋体" w:hAnsi="宋体" w:eastAsia="宋体" w:cs="宋体"/>
          <w:b/>
          <w:color w:val="auto"/>
          <w:sz w:val="24"/>
          <w:szCs w:val="24"/>
          <w:highlight w:val="none"/>
        </w:rPr>
      </w:pPr>
    </w:p>
    <w:p w14:paraId="7882C59D">
      <w:pPr>
        <w:pageBreakBefore w:val="0"/>
        <w:wordWrap/>
        <w:overflowPunct/>
        <w:topLinePunct w:val="0"/>
        <w:bidi w:val="0"/>
        <w:spacing w:line="560" w:lineRule="exact"/>
        <w:ind w:left="0" w:leftChars="0" w:right="0" w:rightChars="0"/>
        <w:rPr>
          <w:rFonts w:hint="eastAsia" w:ascii="宋体" w:hAnsi="宋体" w:eastAsia="宋体" w:cs="宋体"/>
          <w:b/>
          <w:color w:val="auto"/>
          <w:sz w:val="24"/>
          <w:szCs w:val="24"/>
          <w:highlight w:val="none"/>
        </w:rPr>
      </w:pPr>
    </w:p>
    <w:p w14:paraId="204F74FF">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项目名称</w:t>
      </w:r>
      <w:r>
        <w:rPr>
          <w:rFonts w:hint="eastAsia" w:ascii="宋体" w:hAnsi="宋体" w:eastAsia="宋体" w:cs="宋体"/>
          <w:b/>
          <w:color w:val="auto"/>
          <w:sz w:val="24"/>
          <w:szCs w:val="24"/>
          <w:highlight w:val="none"/>
          <w:lang w:eastAsia="zh-CN"/>
        </w:rPr>
        <w:t>：</w:t>
      </w:r>
    </w:p>
    <w:p w14:paraId="72EB40A0">
      <w:pPr>
        <w:pageBreakBefore w:val="0"/>
        <w:wordWrap/>
        <w:overflowPunct/>
        <w:topLinePunct w:val="0"/>
        <w:bidi w:val="0"/>
        <w:spacing w:line="560" w:lineRule="exact"/>
        <w:ind w:left="0" w:leftChars="0" w:right="0" w:rightChars="0"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标项：</w:t>
      </w:r>
    </w:p>
    <w:p w14:paraId="10E6463A">
      <w:pPr>
        <w:pageBreakBefore w:val="0"/>
        <w:wordWrap/>
        <w:overflowPunct/>
        <w:topLinePunct w:val="0"/>
        <w:bidi w:val="0"/>
        <w:spacing w:line="560" w:lineRule="exact"/>
        <w:ind w:left="0" w:leftChars="0" w:right="0" w:rightChars="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项目编号：            </w:t>
      </w:r>
    </w:p>
    <w:p w14:paraId="3A7413D1">
      <w:pPr>
        <w:pageBreakBefore w:val="0"/>
        <w:wordWrap/>
        <w:overflowPunct/>
        <w:topLinePunct w:val="0"/>
        <w:bidi w:val="0"/>
        <w:spacing w:line="560" w:lineRule="exact"/>
        <w:ind w:left="0" w:leftChars="0" w:right="0" w:rightChars="0" w:firstLine="504"/>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投标人名称（盖章）：</w:t>
      </w:r>
    </w:p>
    <w:p w14:paraId="0A950DBD">
      <w:pPr>
        <w:pageBreakBefore w:val="0"/>
        <w:wordWrap/>
        <w:overflowPunct/>
        <w:topLinePunct w:val="0"/>
        <w:bidi w:val="0"/>
        <w:spacing w:line="560" w:lineRule="exact"/>
        <w:ind w:left="0" w:leftChars="0" w:right="0" w:rightChars="0" w:firstLine="504"/>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被授权人（签字或盖章）：</w:t>
      </w:r>
    </w:p>
    <w:p w14:paraId="3C9350CF">
      <w:pPr>
        <w:pageBreakBefore w:val="0"/>
        <w:wordWrap/>
        <w:overflowPunct/>
        <w:topLinePunct w:val="0"/>
        <w:bidi w:val="0"/>
        <w:spacing w:line="560" w:lineRule="exact"/>
        <w:ind w:left="0" w:leftChars="0" w:right="0" w:rightChars="0" w:firstLine="504"/>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项目联系人： </w:t>
      </w:r>
    </w:p>
    <w:p w14:paraId="5CAEEE6E">
      <w:pPr>
        <w:pageBreakBefore w:val="0"/>
        <w:wordWrap/>
        <w:overflowPunct/>
        <w:topLinePunct w:val="0"/>
        <w:bidi w:val="0"/>
        <w:spacing w:line="560" w:lineRule="exact"/>
        <w:ind w:left="0" w:leftChars="0" w:right="0" w:rightChars="0" w:firstLine="504"/>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联系电话：</w:t>
      </w:r>
    </w:p>
    <w:p w14:paraId="75D2A76B">
      <w:pPr>
        <w:pageBreakBefore w:val="0"/>
        <w:wordWrap/>
        <w:overflowPunct/>
        <w:topLinePunct w:val="0"/>
        <w:bidi w:val="0"/>
        <w:spacing w:line="560" w:lineRule="exact"/>
        <w:ind w:left="0" w:leftChars="0" w:right="0" w:rightChars="0" w:firstLine="504"/>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时间：</w:t>
      </w:r>
    </w:p>
    <w:p w14:paraId="2CE73A14">
      <w:pPr>
        <w:pageBreakBefore w:val="0"/>
        <w:wordWrap/>
        <w:overflowPunct/>
        <w:topLinePunct w:val="0"/>
        <w:bidi w:val="0"/>
        <w:spacing w:line="56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r>
        <w:rPr>
          <w:rFonts w:hint="eastAsia" w:ascii="宋体" w:hAnsi="宋体" w:eastAsia="宋体" w:cs="宋体"/>
          <w:b/>
          <w:bCs/>
          <w:color w:val="auto"/>
          <w:sz w:val="24"/>
          <w:szCs w:val="24"/>
          <w:highlight w:val="none"/>
        </w:rPr>
        <w:t>目录</w:t>
      </w:r>
    </w:p>
    <w:p w14:paraId="5EA319DF">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139" w:name="_Toc217446082"/>
    </w:p>
    <w:p w14:paraId="3826A465">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一、投标函</w:t>
      </w:r>
    </w:p>
    <w:p w14:paraId="1CF419D1">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二、投标报价明细表</w:t>
      </w:r>
    </w:p>
    <w:p w14:paraId="2900A749">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三、身份证明书</w:t>
      </w:r>
    </w:p>
    <w:p w14:paraId="376833B0">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四、授权委托书</w:t>
      </w:r>
    </w:p>
    <w:p w14:paraId="470405C4">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五、投标人基本情况表</w:t>
      </w:r>
    </w:p>
    <w:p w14:paraId="34111EA2">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六、</w:t>
      </w:r>
      <w:r>
        <w:rPr>
          <w:rFonts w:hint="eastAsia" w:ascii="宋体" w:hAnsi="宋体" w:eastAsia="宋体" w:cs="宋体"/>
          <w:color w:val="auto"/>
          <w:sz w:val="24"/>
          <w:szCs w:val="24"/>
          <w:highlight w:val="none"/>
          <w:lang w:val="en-US" w:eastAsia="zh-CN"/>
        </w:rPr>
        <w:t>项目负责人简介</w:t>
      </w:r>
    </w:p>
    <w:p w14:paraId="7F3DB7F3">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七、</w:t>
      </w:r>
      <w:r>
        <w:rPr>
          <w:rFonts w:hint="eastAsia" w:ascii="宋体" w:hAnsi="宋体" w:eastAsia="宋体" w:cs="宋体"/>
          <w:color w:val="auto"/>
          <w:sz w:val="24"/>
          <w:szCs w:val="24"/>
          <w:highlight w:val="none"/>
          <w:lang w:val="en-US" w:eastAsia="zh-CN"/>
        </w:rPr>
        <w:t>拟配备人员简介</w:t>
      </w:r>
    </w:p>
    <w:p w14:paraId="13D7684B">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八、近年同类项目情况表</w:t>
      </w:r>
    </w:p>
    <w:p w14:paraId="1239FAFC">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九、商务、技术需求偏离表</w:t>
      </w:r>
    </w:p>
    <w:p w14:paraId="1C0A9A04">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十、技术方案</w:t>
      </w:r>
    </w:p>
    <w:p w14:paraId="3FF754BC">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十一、政府采购政策</w:t>
      </w:r>
    </w:p>
    <w:p w14:paraId="741D845D">
      <w:pPr>
        <w:pageBreakBefore w:val="0"/>
        <w:tabs>
          <w:tab w:val="left" w:pos="348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十二、投标人认为需要提供的资料</w:t>
      </w:r>
    </w:p>
    <w:p w14:paraId="10653D44">
      <w:pPr>
        <w:pStyle w:val="6"/>
        <w:pageBreakBefore w:val="0"/>
        <w:wordWrap/>
        <w:overflowPunct/>
        <w:topLinePunct w:val="0"/>
        <w:bidi w:val="0"/>
        <w:spacing w:line="560" w:lineRule="exact"/>
        <w:ind w:left="0" w:leftChars="0" w:right="0" w:rightChars="0" w:firstLine="480"/>
        <w:rPr>
          <w:rFonts w:hint="eastAsia" w:ascii="宋体" w:hAnsi="宋体" w:eastAsia="宋体" w:cs="宋体"/>
          <w:color w:val="auto"/>
          <w:sz w:val="24"/>
          <w:szCs w:val="24"/>
          <w:highlight w:val="none"/>
        </w:rPr>
      </w:pPr>
    </w:p>
    <w:p w14:paraId="507551F4">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（备注：投标人应按以上目录顺序编排投标文件，并标注相应页码）。</w:t>
      </w:r>
    </w:p>
    <w:p w14:paraId="5EA4DCBA">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28587E80">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23EACE4A">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1BF6273C">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p w14:paraId="089D685A">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6381B50C">
      <w:pPr>
        <w:pStyle w:val="30"/>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154F086E">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45C54536">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center"/>
        <w:textAlignment w:val="auto"/>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sz w:val="24"/>
          <w:szCs w:val="24"/>
          <w:highlight w:val="none"/>
        </w:rPr>
        <w:t>一、</w:t>
      </w:r>
      <w:bookmarkEnd w:id="139"/>
      <w:r>
        <w:rPr>
          <w:rFonts w:hint="eastAsia" w:ascii="宋体" w:hAnsi="宋体" w:eastAsia="宋体" w:cs="宋体"/>
          <w:b/>
          <w:bCs/>
          <w:color w:val="auto"/>
          <w:sz w:val="24"/>
          <w:szCs w:val="24"/>
          <w:highlight w:val="none"/>
        </w:rPr>
        <w:t>投标函</w:t>
      </w:r>
    </w:p>
    <w:p w14:paraId="6DF0A45A">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0" w:firstLineChars="0"/>
        <w:textAlignment w:val="auto"/>
        <w:rPr>
          <w:rFonts w:hint="eastAsia" w:ascii="宋体" w:hAnsi="宋体" w:eastAsia="宋体" w:cs="宋体"/>
          <w:bCs/>
          <w:color w:val="auto"/>
          <w:sz w:val="24"/>
          <w:szCs w:val="24"/>
          <w:highlight w:val="none"/>
        </w:rPr>
      </w:pPr>
      <w:bookmarkStart w:id="140" w:name="_Toc217446083"/>
      <w:r>
        <w:rPr>
          <w:rFonts w:hint="eastAsia" w:ascii="宋体" w:hAnsi="宋体" w:eastAsia="宋体" w:cs="宋体"/>
          <w:bCs/>
          <w:color w:val="auto"/>
          <w:sz w:val="24"/>
          <w:szCs w:val="24"/>
          <w:highlight w:val="none"/>
        </w:rPr>
        <w:t>__________（采购人）：</w:t>
      </w:r>
    </w:p>
    <w:p w14:paraId="630A9D74">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我方全面研究了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（项目名称、项目编号）”项目招标文件，决定参加贵单位组织的本项目投标。我方授权</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（姓名、职务）代表我方</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（投标人名称）全权处理本项目投标的有关事宜。</w:t>
      </w:r>
    </w:p>
    <w:p w14:paraId="40D47DA2">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1、我方自愿按照招标文件规定的各项要求向采购人提供所需货物，总投标价为人民币</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元</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eastAsia="zh-CN"/>
        </w:rPr>
        <w:t>，</w:t>
      </w:r>
      <w:r>
        <w:rPr>
          <w:rFonts w:hint="eastAsia" w:ascii="宋体" w:hAnsi="宋体" w:eastAsia="宋体" w:cs="宋体"/>
          <w:bCs/>
          <w:color w:val="auto"/>
          <w:sz w:val="24"/>
          <w:szCs w:val="24"/>
          <w:highlight w:val="none"/>
        </w:rPr>
        <w:t>（报价包括所投货物相关人工费、税费、保险费、运输费、装卸费、安装费、调试、培训等所有技术和售后服务费用，</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后采购人不再另行支付</w:t>
      </w:r>
      <w:r>
        <w:rPr>
          <w:rFonts w:hint="eastAsia" w:ascii="宋体" w:hAnsi="宋体" w:eastAsia="宋体" w:cs="宋体"/>
          <w:bCs/>
          <w:color w:val="auto"/>
          <w:sz w:val="24"/>
          <w:szCs w:val="24"/>
          <w:highlight w:val="none"/>
          <w:lang w:val="en-US" w:eastAsia="zh-CN"/>
        </w:rPr>
        <w:t>其它费用</w:t>
      </w:r>
      <w:r>
        <w:rPr>
          <w:rFonts w:hint="eastAsia" w:ascii="宋体" w:hAnsi="宋体" w:eastAsia="宋体" w:cs="宋体"/>
          <w:bCs/>
          <w:color w:val="auto"/>
          <w:sz w:val="24"/>
          <w:szCs w:val="24"/>
          <w:highlight w:val="none"/>
        </w:rPr>
        <w:t>），投标有效期</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w:t>
      </w:r>
    </w:p>
    <w:p w14:paraId="3F92DCB0">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480" w:firstLineChars="200"/>
        <w:textAlignment w:val="auto"/>
        <w:rPr>
          <w:rFonts w:hint="eastAsia" w:ascii="宋体" w:hAnsi="宋体" w:eastAsia="宋体" w:cs="宋体"/>
          <w:bCs/>
          <w:color w:val="auto"/>
          <w:sz w:val="24"/>
          <w:szCs w:val="24"/>
          <w:highlight w:val="none"/>
          <w:u w:val="none"/>
        </w:rPr>
      </w:pPr>
      <w:r>
        <w:rPr>
          <w:rFonts w:hint="eastAsia" w:ascii="宋体" w:hAnsi="宋体" w:eastAsia="宋体" w:cs="宋体"/>
          <w:bCs/>
          <w:color w:val="auto"/>
          <w:sz w:val="24"/>
          <w:szCs w:val="24"/>
          <w:highlight w:val="none"/>
        </w:rPr>
        <w:t>2、一旦我方</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，我方将严格履行合同规定的责任和义务，供货期为：</w:t>
      </w:r>
      <w:r>
        <w:rPr>
          <w:rFonts w:hint="eastAsia" w:ascii="宋体" w:hAnsi="宋体" w:eastAsia="宋体" w:cs="宋体"/>
          <w:bCs/>
          <w:color w:val="auto"/>
          <w:sz w:val="24"/>
          <w:szCs w:val="24"/>
          <w:highlight w:val="none"/>
          <w:u w:val="single"/>
        </w:rPr>
        <w:t>自合同签订之日起</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日内完成供货</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质保期：</w:t>
      </w:r>
      <w:r>
        <w:rPr>
          <w:rFonts w:hint="eastAsia" w:ascii="宋体" w:hAnsi="宋体" w:eastAsia="宋体" w:cs="宋体"/>
          <w:bCs/>
          <w:color w:val="auto"/>
          <w:sz w:val="24"/>
          <w:szCs w:val="24"/>
          <w:highlight w:val="none"/>
          <w:u w:val="single"/>
        </w:rPr>
        <w:t xml:space="preserve"> 安装验收合格后整机质保≥</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年</w:t>
      </w:r>
      <w:r>
        <w:rPr>
          <w:rFonts w:hint="eastAsia" w:ascii="宋体" w:hAnsi="宋体" w:eastAsia="宋体" w:cs="宋体"/>
          <w:bCs/>
          <w:color w:val="auto"/>
          <w:sz w:val="24"/>
          <w:szCs w:val="24"/>
          <w:highlight w:val="none"/>
          <w:u w:val="single"/>
          <w:lang w:eastAsia="zh-CN"/>
        </w:rPr>
        <w:t>，</w:t>
      </w:r>
      <w:r>
        <w:rPr>
          <w:rFonts w:hint="eastAsia" w:ascii="宋体" w:hAnsi="宋体" w:eastAsia="宋体" w:cs="宋体"/>
          <w:bCs/>
          <w:color w:val="auto"/>
          <w:sz w:val="24"/>
          <w:szCs w:val="24"/>
          <w:highlight w:val="none"/>
          <w:u w:val="none"/>
          <w:lang w:val="en-US" w:eastAsia="zh-CN"/>
        </w:rPr>
        <w:t>质量标准：</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w:t>
      </w:r>
    </w:p>
    <w:p w14:paraId="19822275">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3、我方同意按照招标文件的要求，向贵单位缴纳人民币</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元（大写：</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）的投标保证金，并承诺如发生符合“第二章投标人须知”第15.5条的任何情况时，我方将不要求退还投标保证金。</w:t>
      </w:r>
    </w:p>
    <w:p w14:paraId="373DA9B0">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4、我方提交的投标文件满足招标文件实质性要求。</w:t>
      </w:r>
    </w:p>
    <w:p w14:paraId="453F8DF4">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5、我方愿意提供采购人可能另外要求的，与投标有关的文件资料，并保证我方已提供和将要提供的文件资料是真实、准确的。</w:t>
      </w:r>
    </w:p>
    <w:p w14:paraId="4205E872">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6、我方完全理解采购人不一定将合同授予最低报价的投标人。</w:t>
      </w:r>
    </w:p>
    <w:p w14:paraId="4B84643C">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3360" w:firstLineChars="1400"/>
        <w:jc w:val="righ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投标人名称（盖章）：</w:t>
      </w:r>
    </w:p>
    <w:p w14:paraId="367DA8AE">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480" w:firstLineChars="200"/>
        <w:jc w:val="righ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授权人</w:t>
      </w:r>
      <w:r>
        <w:rPr>
          <w:rFonts w:hint="eastAsia" w:ascii="宋体" w:hAnsi="宋体" w:eastAsia="宋体" w:cs="宋体"/>
          <w:color w:val="auto"/>
          <w:sz w:val="24"/>
          <w:szCs w:val="24"/>
          <w:highlight w:val="none"/>
        </w:rPr>
        <w:t>或被授权人（签字或盖章）</w:t>
      </w:r>
      <w:r>
        <w:rPr>
          <w:rFonts w:hint="eastAsia" w:ascii="宋体" w:hAnsi="宋体" w:eastAsia="宋体" w:cs="宋体"/>
          <w:bCs/>
          <w:color w:val="auto"/>
          <w:sz w:val="24"/>
          <w:szCs w:val="24"/>
          <w:highlight w:val="none"/>
        </w:rPr>
        <w:t>：</w:t>
      </w:r>
    </w:p>
    <w:p w14:paraId="7E3309BD">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3360" w:firstLineChars="1400"/>
        <w:jc w:val="righ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通讯地址：</w:t>
      </w:r>
    </w:p>
    <w:p w14:paraId="622318FA">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firstLine="3360" w:firstLineChars="1400"/>
        <w:jc w:val="righ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联系电话：</w:t>
      </w:r>
    </w:p>
    <w:p w14:paraId="2D58F7A4">
      <w:pPr>
        <w:pStyle w:val="13"/>
        <w:keepNext w:val="0"/>
        <w:keepLines w:val="0"/>
        <w:pageBreakBefore w:val="0"/>
        <w:widowControl w:val="0"/>
        <w:kinsoku/>
        <w:wordWrap/>
        <w:overflowPunct/>
        <w:topLinePunct w:val="0"/>
        <w:autoSpaceDE/>
        <w:autoSpaceDN/>
        <w:bidi w:val="0"/>
        <w:adjustRightInd/>
        <w:snapToGrid/>
        <w:spacing w:after="0" w:line="520" w:lineRule="exact"/>
        <w:ind w:left="0" w:leftChars="0" w:right="0" w:rightChars="0" w:firstLine="3360" w:firstLineChars="1400"/>
        <w:jc w:val="right"/>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期： </w:t>
      </w:r>
    </w:p>
    <w:p w14:paraId="5C2F2B84">
      <w:pP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br w:type="page"/>
      </w:r>
    </w:p>
    <w:p w14:paraId="0CC4C14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1"/>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二、</w:t>
      </w: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lang w:eastAsia="zh-CN"/>
        </w:rPr>
        <w:t>报价</w:t>
      </w:r>
      <w:r>
        <w:rPr>
          <w:rFonts w:hint="eastAsia" w:ascii="宋体" w:hAnsi="宋体" w:eastAsia="宋体" w:cs="宋体"/>
          <w:b w:val="0"/>
          <w:bCs w:val="0"/>
          <w:color w:val="auto"/>
          <w:sz w:val="24"/>
          <w:szCs w:val="24"/>
          <w:highlight w:val="none"/>
        </w:rPr>
        <w:t>明细表</w:t>
      </w:r>
    </w:p>
    <w:p w14:paraId="726FC577">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货币单位：人民币元</w:t>
      </w:r>
    </w:p>
    <w:p w14:paraId="03DCEE77">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项目名称、项目编号：</w:t>
      </w:r>
    </w:p>
    <w:tbl>
      <w:tblPr>
        <w:tblStyle w:val="31"/>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9"/>
        <w:gridCol w:w="2361"/>
        <w:gridCol w:w="953"/>
        <w:gridCol w:w="941"/>
        <w:gridCol w:w="772"/>
        <w:gridCol w:w="937"/>
        <w:gridCol w:w="1391"/>
        <w:gridCol w:w="1248"/>
        <w:gridCol w:w="7"/>
        <w:gridCol w:w="761"/>
      </w:tblGrid>
      <w:tr w14:paraId="4E826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291" w:type="pct"/>
            <w:vAlign w:val="center"/>
          </w:tcPr>
          <w:p w14:paraId="2E0275F1">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185" w:type="pct"/>
            <w:vAlign w:val="center"/>
          </w:tcPr>
          <w:p w14:paraId="38BEBB33">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货物名称</w:t>
            </w:r>
          </w:p>
        </w:tc>
        <w:tc>
          <w:tcPr>
            <w:tcW w:w="479" w:type="pct"/>
            <w:vAlign w:val="center"/>
          </w:tcPr>
          <w:p w14:paraId="28E3CA87">
            <w:pPr>
              <w:pageBreakBefore w:val="0"/>
              <w:wordWrap/>
              <w:overflowPunct/>
              <w:topLinePunct w:val="0"/>
              <w:bidi w:val="0"/>
              <w:spacing w:line="560" w:lineRule="exact"/>
              <w:ind w:left="0" w:leftChars="0" w:right="0" w:right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品牌</w:t>
            </w:r>
          </w:p>
        </w:tc>
        <w:tc>
          <w:tcPr>
            <w:tcW w:w="473" w:type="pct"/>
            <w:vAlign w:val="center"/>
          </w:tcPr>
          <w:p w14:paraId="2B837CC8">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规格型号</w:t>
            </w:r>
          </w:p>
        </w:tc>
        <w:tc>
          <w:tcPr>
            <w:tcW w:w="388" w:type="pct"/>
            <w:vAlign w:val="center"/>
          </w:tcPr>
          <w:p w14:paraId="38B0C00E">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471" w:type="pct"/>
            <w:vAlign w:val="center"/>
          </w:tcPr>
          <w:p w14:paraId="1374A799">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单位</w:t>
            </w:r>
          </w:p>
        </w:tc>
        <w:tc>
          <w:tcPr>
            <w:tcW w:w="699" w:type="pct"/>
            <w:vAlign w:val="center"/>
          </w:tcPr>
          <w:p w14:paraId="5E3E7360">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含税单价</w:t>
            </w:r>
          </w:p>
        </w:tc>
        <w:tc>
          <w:tcPr>
            <w:tcW w:w="630" w:type="pct"/>
            <w:gridSpan w:val="2"/>
            <w:vAlign w:val="center"/>
          </w:tcPr>
          <w:p w14:paraId="4F5FFBAB">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合计金额</w:t>
            </w:r>
          </w:p>
          <w:p w14:paraId="55322DE7">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（元）</w:t>
            </w:r>
          </w:p>
        </w:tc>
        <w:tc>
          <w:tcPr>
            <w:tcW w:w="381" w:type="pct"/>
            <w:vAlign w:val="center"/>
          </w:tcPr>
          <w:p w14:paraId="5E6BA9B2">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r>
      <w:tr w14:paraId="1E4E1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exact"/>
          <w:jc w:val="center"/>
        </w:trPr>
        <w:tc>
          <w:tcPr>
            <w:tcW w:w="291" w:type="pct"/>
            <w:vAlign w:val="center"/>
          </w:tcPr>
          <w:p w14:paraId="751F0EA0">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185" w:type="pct"/>
            <w:vAlign w:val="center"/>
          </w:tcPr>
          <w:p w14:paraId="772455D6">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lang w:val="en-US" w:eastAsia="zh-CN"/>
              </w:rPr>
            </w:pPr>
          </w:p>
        </w:tc>
        <w:tc>
          <w:tcPr>
            <w:tcW w:w="479" w:type="pct"/>
          </w:tcPr>
          <w:p w14:paraId="7990F288">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473" w:type="pct"/>
          </w:tcPr>
          <w:p w14:paraId="0CD7154C">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388" w:type="pct"/>
          </w:tcPr>
          <w:p w14:paraId="5F9BB9C1">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471" w:type="pct"/>
          </w:tcPr>
          <w:p w14:paraId="24E44C52">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99" w:type="pct"/>
          </w:tcPr>
          <w:p w14:paraId="73A34FC2">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30" w:type="pct"/>
            <w:gridSpan w:val="2"/>
          </w:tcPr>
          <w:p w14:paraId="070EBAFB">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381" w:type="pct"/>
          </w:tcPr>
          <w:p w14:paraId="6C23041D">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r>
      <w:tr w14:paraId="64BC5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91" w:type="pct"/>
            <w:vAlign w:val="center"/>
          </w:tcPr>
          <w:p w14:paraId="5C6996B6">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185" w:type="pct"/>
            <w:vAlign w:val="center"/>
          </w:tcPr>
          <w:p w14:paraId="0C7F0217">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lang w:val="en-US" w:eastAsia="zh-CN"/>
              </w:rPr>
            </w:pPr>
          </w:p>
        </w:tc>
        <w:tc>
          <w:tcPr>
            <w:tcW w:w="479" w:type="pct"/>
          </w:tcPr>
          <w:p w14:paraId="36071007">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473" w:type="pct"/>
          </w:tcPr>
          <w:p w14:paraId="3EA11318">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388" w:type="pct"/>
          </w:tcPr>
          <w:p w14:paraId="67A42EFC">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471" w:type="pct"/>
          </w:tcPr>
          <w:p w14:paraId="56C097AF">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99" w:type="pct"/>
          </w:tcPr>
          <w:p w14:paraId="04A95E06">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30" w:type="pct"/>
            <w:gridSpan w:val="2"/>
          </w:tcPr>
          <w:p w14:paraId="6D9E85D9">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381" w:type="pct"/>
          </w:tcPr>
          <w:p w14:paraId="67237064">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r>
      <w:tr w14:paraId="29206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91" w:type="pct"/>
            <w:vAlign w:val="center"/>
          </w:tcPr>
          <w:p w14:paraId="603FA996">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185" w:type="pct"/>
            <w:vAlign w:val="center"/>
          </w:tcPr>
          <w:p w14:paraId="1F131BE8">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lang w:val="en-US" w:eastAsia="zh-CN"/>
              </w:rPr>
            </w:pPr>
          </w:p>
        </w:tc>
        <w:tc>
          <w:tcPr>
            <w:tcW w:w="479" w:type="pct"/>
          </w:tcPr>
          <w:p w14:paraId="529BF84E">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473" w:type="pct"/>
          </w:tcPr>
          <w:p w14:paraId="65F5225D">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388" w:type="pct"/>
          </w:tcPr>
          <w:p w14:paraId="1518A293">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471" w:type="pct"/>
          </w:tcPr>
          <w:p w14:paraId="45D0E443">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99" w:type="pct"/>
          </w:tcPr>
          <w:p w14:paraId="0642EB25">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30" w:type="pct"/>
            <w:gridSpan w:val="2"/>
          </w:tcPr>
          <w:p w14:paraId="30260540">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381" w:type="pct"/>
          </w:tcPr>
          <w:p w14:paraId="7F390930">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r>
      <w:tr w14:paraId="4E4D6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91" w:type="pct"/>
            <w:vAlign w:val="center"/>
          </w:tcPr>
          <w:p w14:paraId="0E84A4DE">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185" w:type="pct"/>
            <w:vAlign w:val="center"/>
          </w:tcPr>
          <w:p w14:paraId="08C0EAC0">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lang w:val="en-US" w:eastAsia="zh-CN"/>
              </w:rPr>
            </w:pPr>
          </w:p>
        </w:tc>
        <w:tc>
          <w:tcPr>
            <w:tcW w:w="479" w:type="pct"/>
          </w:tcPr>
          <w:p w14:paraId="45B11110">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473" w:type="pct"/>
          </w:tcPr>
          <w:p w14:paraId="56A80553">
            <w:pPr>
              <w:pageBreakBefore w:val="0"/>
              <w:wordWrap/>
              <w:overflowPunct/>
              <w:topLinePunct w:val="0"/>
              <w:bidi w:val="0"/>
              <w:spacing w:line="560" w:lineRule="exact"/>
              <w:ind w:left="0" w:leftChars="0" w:right="0" w:rightChars="0"/>
              <w:rPr>
                <w:rFonts w:hint="eastAsia" w:ascii="宋体" w:hAnsi="宋体" w:eastAsia="宋体" w:cs="宋体"/>
                <w:color w:val="auto"/>
                <w:kern w:val="2"/>
                <w:sz w:val="24"/>
                <w:szCs w:val="24"/>
                <w:highlight w:val="none"/>
                <w:lang w:val="en-US" w:eastAsia="zh-CN" w:bidi="ar-SA"/>
              </w:rPr>
            </w:pPr>
          </w:p>
        </w:tc>
        <w:tc>
          <w:tcPr>
            <w:tcW w:w="388" w:type="pct"/>
          </w:tcPr>
          <w:p w14:paraId="51EF39F0">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471" w:type="pct"/>
          </w:tcPr>
          <w:p w14:paraId="6F017F86">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99" w:type="pct"/>
          </w:tcPr>
          <w:p w14:paraId="55B9173D">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630" w:type="pct"/>
            <w:gridSpan w:val="2"/>
          </w:tcPr>
          <w:p w14:paraId="60648018">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c>
          <w:tcPr>
            <w:tcW w:w="381" w:type="pct"/>
          </w:tcPr>
          <w:p w14:paraId="5B919414">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tc>
      </w:tr>
      <w:tr w14:paraId="3662C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exact"/>
          <w:jc w:val="center"/>
        </w:trPr>
        <w:tc>
          <w:tcPr>
            <w:tcW w:w="291" w:type="pct"/>
            <w:vAlign w:val="center"/>
          </w:tcPr>
          <w:p w14:paraId="20E0670A">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185" w:type="pct"/>
            <w:vAlign w:val="center"/>
          </w:tcPr>
          <w:p w14:paraId="365F21C5">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lang w:val="en-US" w:eastAsia="zh-CN"/>
              </w:rPr>
            </w:pPr>
          </w:p>
        </w:tc>
        <w:tc>
          <w:tcPr>
            <w:tcW w:w="479" w:type="pct"/>
          </w:tcPr>
          <w:p w14:paraId="7DE26B8B">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kern w:val="2"/>
                <w:sz w:val="24"/>
                <w:szCs w:val="24"/>
                <w:highlight w:val="none"/>
                <w:lang w:val="en-US" w:eastAsia="zh-CN" w:bidi="ar-SA"/>
              </w:rPr>
            </w:pPr>
          </w:p>
        </w:tc>
        <w:tc>
          <w:tcPr>
            <w:tcW w:w="473" w:type="pct"/>
          </w:tcPr>
          <w:p w14:paraId="5573DD22">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kern w:val="2"/>
                <w:sz w:val="24"/>
                <w:szCs w:val="24"/>
                <w:highlight w:val="none"/>
                <w:lang w:val="en-US" w:eastAsia="zh-CN" w:bidi="ar-SA"/>
              </w:rPr>
            </w:pPr>
          </w:p>
        </w:tc>
        <w:tc>
          <w:tcPr>
            <w:tcW w:w="388" w:type="pct"/>
          </w:tcPr>
          <w:p w14:paraId="2358192F">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p>
        </w:tc>
        <w:tc>
          <w:tcPr>
            <w:tcW w:w="471" w:type="pct"/>
          </w:tcPr>
          <w:p w14:paraId="1F9B1911">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p>
        </w:tc>
        <w:tc>
          <w:tcPr>
            <w:tcW w:w="699" w:type="pct"/>
          </w:tcPr>
          <w:p w14:paraId="02AD4E71">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p>
        </w:tc>
        <w:tc>
          <w:tcPr>
            <w:tcW w:w="630" w:type="pct"/>
            <w:gridSpan w:val="2"/>
          </w:tcPr>
          <w:p w14:paraId="4291E222">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p>
        </w:tc>
        <w:tc>
          <w:tcPr>
            <w:tcW w:w="381" w:type="pct"/>
          </w:tcPr>
          <w:p w14:paraId="0D201D4D">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p>
        </w:tc>
      </w:tr>
      <w:tr w14:paraId="67BDD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1477" w:type="pct"/>
            <w:gridSpan w:val="2"/>
            <w:vAlign w:val="center"/>
          </w:tcPr>
          <w:p w14:paraId="41395EFE">
            <w:pPr>
              <w:pageBreakBefore w:val="0"/>
              <w:wordWrap/>
              <w:overflowPunct/>
              <w:topLinePunct w:val="0"/>
              <w:bidi w:val="0"/>
              <w:spacing w:line="560" w:lineRule="exact"/>
              <w:ind w:left="0" w:leftChars="0" w:right="0" w:rightChars="0"/>
              <w:jc w:val="center"/>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投标总价</w:t>
            </w:r>
          </w:p>
        </w:tc>
        <w:tc>
          <w:tcPr>
            <w:tcW w:w="3137" w:type="pct"/>
            <w:gridSpan w:val="6"/>
            <w:vAlign w:val="center"/>
          </w:tcPr>
          <w:p w14:paraId="1422EC36">
            <w:pPr>
              <w:pageBreakBefore w:val="0"/>
              <w:wordWrap/>
              <w:overflowPunct/>
              <w:topLinePunct w:val="0"/>
              <w:bidi w:val="0"/>
              <w:spacing w:line="560" w:lineRule="exact"/>
              <w:ind w:left="0" w:leftChars="0" w:right="0" w:rightChars="0"/>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小写：     元</w:t>
            </w:r>
          </w:p>
          <w:p w14:paraId="535F164B">
            <w:pPr>
              <w:pageBreakBefore w:val="0"/>
              <w:wordWrap/>
              <w:overflowPunct/>
              <w:topLinePunct w:val="0"/>
              <w:bidi w:val="0"/>
              <w:spacing w:line="560" w:lineRule="exact"/>
              <w:ind w:left="0" w:leftChars="0" w:right="0" w:rightChars="0"/>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大写：</w:t>
            </w:r>
          </w:p>
        </w:tc>
        <w:tc>
          <w:tcPr>
            <w:tcW w:w="385" w:type="pct"/>
            <w:gridSpan w:val="2"/>
            <w:vAlign w:val="center"/>
          </w:tcPr>
          <w:p w14:paraId="758C615E">
            <w:pPr>
              <w:pageBreakBefore w:val="0"/>
              <w:wordWrap/>
              <w:overflowPunct/>
              <w:topLinePunct w:val="0"/>
              <w:bidi w:val="0"/>
              <w:spacing w:line="560" w:lineRule="exact"/>
              <w:ind w:left="0" w:leftChars="0" w:right="0" w:rightChars="0"/>
              <w:jc w:val="both"/>
              <w:rPr>
                <w:rFonts w:hint="eastAsia" w:ascii="宋体" w:hAnsi="宋体" w:eastAsia="宋体" w:cs="宋体"/>
                <w:b w:val="0"/>
                <w:bCs w:val="0"/>
                <w:color w:val="auto"/>
                <w:sz w:val="24"/>
                <w:szCs w:val="24"/>
                <w:highlight w:val="none"/>
                <w:lang w:val="en-US" w:eastAsia="zh-CN"/>
              </w:rPr>
            </w:pPr>
          </w:p>
        </w:tc>
      </w:tr>
    </w:tbl>
    <w:p w14:paraId="4BE8DEF5">
      <w:pPr>
        <w:keepNext w:val="0"/>
        <w:pageBreakBefore w:val="0"/>
        <w:widowControl w:val="0"/>
        <w:kinsoku/>
        <w:wordWrap/>
        <w:overflowPunct/>
        <w:topLinePunct w:val="0"/>
        <w:autoSpaceDE/>
        <w:autoSpaceDN/>
        <w:bidi w:val="0"/>
        <w:adjustRightInd/>
        <w:snapToGrid/>
        <w:spacing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14:paraId="46016FBB">
      <w:pPr>
        <w:keepNext w:val="0"/>
        <w:pageBreakBefore w:val="0"/>
        <w:widowControl w:val="0"/>
        <w:kinsoku/>
        <w:wordWrap/>
        <w:overflowPunct/>
        <w:topLinePunct w:val="0"/>
        <w:autoSpaceDE/>
        <w:autoSpaceDN/>
        <w:bidi w:val="0"/>
        <w:adjustRightInd/>
        <w:snapToGrid/>
        <w:spacing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货物名称</w:t>
      </w:r>
      <w:r>
        <w:rPr>
          <w:rFonts w:hint="eastAsia" w:ascii="宋体" w:hAnsi="宋体" w:eastAsia="宋体" w:cs="宋体"/>
          <w:color w:val="auto"/>
          <w:sz w:val="24"/>
          <w:szCs w:val="24"/>
          <w:highlight w:val="none"/>
        </w:rPr>
        <w:t>和数量</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rPr>
        <w:t>应按照第</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lang w:eastAsia="zh-CN"/>
        </w:rPr>
        <w:t>项目采购需求</w:t>
      </w:r>
      <w:r>
        <w:rPr>
          <w:rFonts w:hint="eastAsia" w:ascii="宋体" w:hAnsi="宋体" w:eastAsia="宋体" w:cs="宋体"/>
          <w:color w:val="auto"/>
          <w:sz w:val="24"/>
          <w:szCs w:val="24"/>
          <w:highlight w:val="none"/>
        </w:rPr>
        <w:t>”内容填写。</w:t>
      </w:r>
    </w:p>
    <w:p w14:paraId="50A7F647">
      <w:pPr>
        <w:keepNext w:val="0"/>
        <w:pageBreakBefore w:val="0"/>
        <w:widowControl w:val="0"/>
        <w:kinsoku/>
        <w:wordWrap/>
        <w:overflowPunct/>
        <w:topLinePunct w:val="0"/>
        <w:autoSpaceDE/>
        <w:autoSpaceDN/>
        <w:bidi w:val="0"/>
        <w:adjustRightInd/>
        <w:snapToGrid/>
        <w:spacing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2.投标人</w:t>
      </w:r>
      <w:r>
        <w:rPr>
          <w:rFonts w:hint="eastAsia" w:ascii="宋体" w:hAnsi="宋体" w:eastAsia="宋体" w:cs="宋体"/>
          <w:color w:val="auto"/>
          <w:sz w:val="24"/>
          <w:szCs w:val="24"/>
          <w:highlight w:val="none"/>
        </w:rPr>
        <w:t>填报价格合计应与</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eastAsia="zh-CN"/>
        </w:rPr>
        <w:t>函</w:t>
      </w:r>
      <w:r>
        <w:rPr>
          <w:rFonts w:hint="eastAsia" w:ascii="宋体" w:hAnsi="宋体" w:eastAsia="宋体" w:cs="宋体"/>
          <w:color w:val="auto"/>
          <w:sz w:val="24"/>
          <w:szCs w:val="24"/>
          <w:highlight w:val="none"/>
        </w:rPr>
        <w:t>载明价格一致，若不一致，</w:t>
      </w:r>
      <w:r>
        <w:rPr>
          <w:rFonts w:hint="eastAsia" w:ascii="宋体" w:hAnsi="宋体" w:eastAsia="宋体" w:cs="宋体"/>
          <w:color w:val="auto"/>
          <w:sz w:val="24"/>
          <w:szCs w:val="24"/>
          <w:highlight w:val="none"/>
          <w:lang w:val="en-US" w:eastAsia="zh-CN"/>
        </w:rPr>
        <w:t>以投标</w:t>
      </w:r>
      <w:r>
        <w:rPr>
          <w:rFonts w:hint="eastAsia" w:ascii="宋体" w:hAnsi="宋体" w:eastAsia="宋体" w:cs="宋体"/>
          <w:color w:val="auto"/>
          <w:sz w:val="24"/>
          <w:szCs w:val="24"/>
          <w:highlight w:val="none"/>
          <w:lang w:eastAsia="zh-CN"/>
        </w:rPr>
        <w:t>函</w:t>
      </w:r>
      <w:r>
        <w:rPr>
          <w:rFonts w:hint="eastAsia" w:ascii="宋体" w:hAnsi="宋体" w:eastAsia="宋体" w:cs="宋体"/>
          <w:color w:val="auto"/>
          <w:sz w:val="24"/>
          <w:szCs w:val="24"/>
          <w:highlight w:val="none"/>
        </w:rPr>
        <w:t>载明价格</w:t>
      </w:r>
      <w:r>
        <w:rPr>
          <w:rFonts w:hint="eastAsia" w:ascii="宋体" w:hAnsi="宋体" w:eastAsia="宋体" w:cs="宋体"/>
          <w:color w:val="auto"/>
          <w:sz w:val="24"/>
          <w:szCs w:val="24"/>
          <w:highlight w:val="none"/>
          <w:lang w:val="en-US" w:eastAsia="zh-CN"/>
        </w:rPr>
        <w:t>为准；</w:t>
      </w:r>
      <w:r>
        <w:rPr>
          <w:rFonts w:hint="eastAsia" w:ascii="宋体" w:hAnsi="宋体" w:eastAsia="宋体" w:cs="宋体"/>
          <w:color w:val="auto"/>
          <w:sz w:val="24"/>
          <w:szCs w:val="24"/>
          <w:highlight w:val="none"/>
        </w:rPr>
        <w:t>以单价金额</w:t>
      </w:r>
      <w:r>
        <w:rPr>
          <w:rFonts w:hint="eastAsia" w:ascii="宋体" w:hAnsi="宋体" w:eastAsia="宋体" w:cs="宋体"/>
          <w:color w:val="auto"/>
          <w:sz w:val="24"/>
          <w:szCs w:val="24"/>
          <w:highlight w:val="none"/>
          <w:lang w:val="en-US" w:eastAsia="zh-CN"/>
        </w:rPr>
        <w:t>计算的金额与总价不一致时，以单价金额</w:t>
      </w:r>
      <w:r>
        <w:rPr>
          <w:rFonts w:hint="eastAsia" w:ascii="宋体" w:hAnsi="宋体" w:eastAsia="宋体" w:cs="宋体"/>
          <w:color w:val="auto"/>
          <w:sz w:val="24"/>
          <w:szCs w:val="24"/>
          <w:highlight w:val="none"/>
        </w:rPr>
        <w:t>为准修正总价，但单价金额小数点有明显错误的除外。</w:t>
      </w:r>
    </w:p>
    <w:p w14:paraId="337077CA">
      <w:pPr>
        <w:keepNext w:val="0"/>
        <w:pageBreakBefore w:val="0"/>
        <w:widowControl w:val="0"/>
        <w:kinsoku/>
        <w:wordWrap/>
        <w:overflowPunct/>
        <w:topLinePunct w:val="0"/>
        <w:autoSpaceDE/>
        <w:autoSpaceDN/>
        <w:bidi w:val="0"/>
        <w:adjustRightInd/>
        <w:snapToGrid/>
        <w:spacing w:line="440" w:lineRule="exact"/>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报价包括所投货物相关</w:t>
      </w:r>
      <w:r>
        <w:rPr>
          <w:rFonts w:hint="eastAsia" w:ascii="宋体" w:hAnsi="宋体" w:eastAsia="宋体" w:cs="宋体"/>
          <w:b w:val="0"/>
          <w:bCs/>
          <w:color w:val="auto"/>
          <w:sz w:val="24"/>
          <w:szCs w:val="24"/>
          <w:highlight w:val="none"/>
        </w:rPr>
        <w:t>人工费</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保险费</w:t>
      </w: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sz w:val="24"/>
          <w:szCs w:val="24"/>
          <w:highlight w:val="none"/>
        </w:rPr>
        <w:t>税费、保险费、运输费、装卸费、安装</w:t>
      </w:r>
      <w:r>
        <w:rPr>
          <w:rFonts w:hint="eastAsia" w:ascii="宋体" w:hAnsi="宋体" w:eastAsia="宋体" w:cs="宋体"/>
          <w:color w:val="auto"/>
          <w:sz w:val="24"/>
          <w:szCs w:val="24"/>
          <w:highlight w:val="none"/>
          <w:lang w:val="en-US" w:eastAsia="zh-CN"/>
        </w:rPr>
        <w:t>费、调试、培训</w:t>
      </w:r>
      <w:r>
        <w:rPr>
          <w:rFonts w:hint="eastAsia" w:ascii="宋体" w:hAnsi="宋体" w:eastAsia="宋体" w:cs="宋体"/>
          <w:color w:val="auto"/>
          <w:sz w:val="24"/>
          <w:szCs w:val="24"/>
          <w:highlight w:val="none"/>
        </w:rPr>
        <w:t>等</w:t>
      </w:r>
      <w:r>
        <w:rPr>
          <w:rFonts w:hint="eastAsia" w:ascii="宋体" w:hAnsi="宋体" w:eastAsia="宋体" w:cs="宋体"/>
          <w:b w:val="0"/>
          <w:bCs/>
          <w:color w:val="auto"/>
          <w:sz w:val="24"/>
          <w:szCs w:val="24"/>
          <w:highlight w:val="none"/>
        </w:rPr>
        <w:t>所有技术和</w:t>
      </w:r>
      <w:r>
        <w:rPr>
          <w:rFonts w:hint="eastAsia" w:ascii="宋体" w:hAnsi="宋体" w:eastAsia="宋体" w:cs="宋体"/>
          <w:color w:val="auto"/>
          <w:sz w:val="24"/>
          <w:szCs w:val="24"/>
          <w:highlight w:val="none"/>
        </w:rPr>
        <w:t>售后</w:t>
      </w:r>
      <w:r>
        <w:rPr>
          <w:rFonts w:hint="eastAsia" w:ascii="宋体" w:hAnsi="宋体" w:eastAsia="宋体" w:cs="宋体"/>
          <w:b w:val="0"/>
          <w:bCs/>
          <w:color w:val="auto"/>
          <w:sz w:val="24"/>
          <w:szCs w:val="24"/>
          <w:highlight w:val="none"/>
        </w:rPr>
        <w:t>服务费用</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中标</w:t>
      </w:r>
      <w:r>
        <w:rPr>
          <w:rFonts w:hint="eastAsia" w:ascii="宋体" w:hAnsi="宋体" w:eastAsia="宋体" w:cs="宋体"/>
          <w:b w:val="0"/>
          <w:bCs/>
          <w:color w:val="auto"/>
          <w:sz w:val="24"/>
          <w:szCs w:val="24"/>
          <w:highlight w:val="none"/>
          <w:lang w:eastAsia="zh-CN"/>
        </w:rPr>
        <w:t>后采购人不再另行支付</w:t>
      </w:r>
      <w:r>
        <w:rPr>
          <w:rFonts w:hint="eastAsia" w:ascii="宋体" w:hAnsi="宋体" w:eastAsia="宋体" w:cs="宋体"/>
          <w:bCs/>
          <w:color w:val="auto"/>
          <w:sz w:val="24"/>
          <w:szCs w:val="24"/>
          <w:highlight w:val="none"/>
          <w:lang w:val="en-US" w:eastAsia="zh-CN"/>
        </w:rPr>
        <w:t>其它费用</w:t>
      </w:r>
      <w:r>
        <w:rPr>
          <w:rFonts w:hint="eastAsia" w:ascii="宋体" w:hAnsi="宋体" w:eastAsia="宋体" w:cs="宋体"/>
          <w:b w:val="0"/>
          <w:bCs/>
          <w:color w:val="auto"/>
          <w:sz w:val="24"/>
          <w:szCs w:val="24"/>
          <w:highlight w:val="none"/>
        </w:rPr>
        <w:t>。</w:t>
      </w:r>
      <w:r>
        <w:rPr>
          <w:rFonts w:hint="eastAsia" w:ascii="宋体" w:hAnsi="宋体" w:eastAsia="宋体" w:cs="宋体"/>
          <w:color w:val="auto"/>
          <w:sz w:val="24"/>
          <w:szCs w:val="24"/>
          <w:highlight w:val="none"/>
          <w:lang w:val="en-US" w:eastAsia="zh-CN"/>
        </w:rPr>
        <w:t xml:space="preserve">                        </w:t>
      </w:r>
    </w:p>
    <w:p w14:paraId="28375266">
      <w:pPr>
        <w:pStyle w:val="13"/>
        <w:keepNext w:val="0"/>
        <w:pageBreakBefore w:val="0"/>
        <w:widowControl w:val="0"/>
        <w:kinsoku/>
        <w:wordWrap/>
        <w:overflowPunct/>
        <w:topLinePunct w:val="0"/>
        <w:autoSpaceDE/>
        <w:autoSpaceDN/>
        <w:bidi w:val="0"/>
        <w:adjustRightInd/>
        <w:snapToGrid/>
        <w:spacing w:after="0" w:line="440" w:lineRule="exact"/>
        <w:ind w:left="0" w:leftChars="0" w:right="0" w:rightChars="0"/>
        <w:jc w:val="right"/>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Cs/>
          <w:color w:val="auto"/>
          <w:sz w:val="24"/>
          <w:szCs w:val="24"/>
          <w:highlight w:val="none"/>
          <w:lang w:val="en-US" w:eastAsia="zh-CN"/>
        </w:rPr>
        <w:t>投标人</w:t>
      </w:r>
      <w:r>
        <w:rPr>
          <w:rFonts w:hint="eastAsia" w:ascii="宋体" w:hAnsi="宋体" w:eastAsia="宋体" w:cs="宋体"/>
          <w:bCs/>
          <w:color w:val="auto"/>
          <w:sz w:val="24"/>
          <w:szCs w:val="24"/>
          <w:highlight w:val="none"/>
        </w:rPr>
        <w:t>名称（盖章）：</w:t>
      </w:r>
    </w:p>
    <w:p w14:paraId="40B0EEA0">
      <w:pPr>
        <w:pStyle w:val="13"/>
        <w:keepNext w:val="0"/>
        <w:pageBreakBefore w:val="0"/>
        <w:widowControl w:val="0"/>
        <w:kinsoku/>
        <w:wordWrap/>
        <w:overflowPunct/>
        <w:topLinePunct w:val="0"/>
        <w:autoSpaceDE/>
        <w:autoSpaceDN/>
        <w:bidi w:val="0"/>
        <w:adjustRightInd/>
        <w:snapToGrid/>
        <w:spacing w:after="0" w:line="440" w:lineRule="exact"/>
        <w:ind w:left="0" w:leftChars="0" w:right="0" w:rightChars="0"/>
        <w:jc w:val="righ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                      授权人或被授权人</w:t>
      </w:r>
      <w:r>
        <w:rPr>
          <w:rFonts w:hint="eastAsia" w:ascii="宋体" w:hAnsi="宋体" w:eastAsia="宋体" w:cs="宋体"/>
          <w:bCs/>
          <w:color w:val="auto"/>
          <w:sz w:val="24"/>
          <w:szCs w:val="24"/>
          <w:highlight w:val="none"/>
        </w:rPr>
        <w:t>（盖章</w:t>
      </w:r>
      <w:r>
        <w:rPr>
          <w:rFonts w:hint="eastAsia" w:ascii="宋体" w:hAnsi="宋体" w:eastAsia="宋体" w:cs="宋体"/>
          <w:bCs/>
          <w:color w:val="auto"/>
          <w:sz w:val="24"/>
          <w:szCs w:val="24"/>
          <w:highlight w:val="none"/>
          <w:lang w:val="en-US" w:eastAsia="zh-CN"/>
        </w:rPr>
        <w:t>或签字</w:t>
      </w:r>
      <w:r>
        <w:rPr>
          <w:rFonts w:hint="eastAsia" w:ascii="宋体" w:hAnsi="宋体" w:eastAsia="宋体" w:cs="宋体"/>
          <w:bCs/>
          <w:color w:val="auto"/>
          <w:sz w:val="24"/>
          <w:szCs w:val="24"/>
          <w:highlight w:val="none"/>
        </w:rPr>
        <w:t>）：</w:t>
      </w:r>
    </w:p>
    <w:p w14:paraId="03F6DE43">
      <w:pPr>
        <w:keepNext w:val="0"/>
        <w:pageBreakBefore w:val="0"/>
        <w:widowControl w:val="0"/>
        <w:kinsoku/>
        <w:wordWrap/>
        <w:overflowPunct/>
        <w:topLinePunct w:val="0"/>
        <w:autoSpaceDE/>
        <w:autoSpaceDN/>
        <w:bidi w:val="0"/>
        <w:adjustRightInd/>
        <w:snapToGrid/>
        <w:spacing w:line="440" w:lineRule="exact"/>
        <w:ind w:left="0" w:leftChars="0" w:right="0" w:rightChars="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日期： </w:t>
      </w:r>
    </w:p>
    <w:p w14:paraId="17EEF023">
      <w:pPr>
        <w:pStyle w:val="3"/>
        <w:keepNext w:val="0"/>
        <w:pageBreakBefore w:val="0"/>
        <w:widowControl w:val="0"/>
        <w:numPr>
          <w:ilvl w:val="0"/>
          <w:numId w:val="0"/>
        </w:numPr>
        <w:kinsoku/>
        <w:wordWrap/>
        <w:overflowPunct/>
        <w:topLinePunct w:val="0"/>
        <w:autoSpaceDE/>
        <w:autoSpaceDN/>
        <w:bidi w:val="0"/>
        <w:adjustRightInd/>
        <w:snapToGrid/>
        <w:spacing w:before="0" w:after="0" w:line="440" w:lineRule="exact"/>
        <w:ind w:left="0" w:leftChars="0" w:right="0" w:rightChars="0" w:firstLine="480" w:firstLineChars="200"/>
        <w:jc w:val="center"/>
        <w:textAlignment w:val="auto"/>
        <w:rPr>
          <w:rFonts w:hint="eastAsia" w:ascii="宋体" w:hAnsi="宋体" w:eastAsia="宋体" w:cs="宋体"/>
          <w:b w:val="0"/>
          <w:bCs/>
          <w:color w:val="auto"/>
          <w:kern w:val="2"/>
          <w:sz w:val="24"/>
          <w:szCs w:val="24"/>
          <w:highlight w:val="none"/>
          <w:lang w:val="en-US" w:eastAsia="zh-CN" w:bidi="ar-SA"/>
        </w:rPr>
        <w:sectPr>
          <w:footerReference r:id="rId4" w:type="default"/>
          <w:pgSz w:w="11906" w:h="16838"/>
          <w:pgMar w:top="1440" w:right="1080" w:bottom="1440" w:left="1080" w:header="851" w:footer="992" w:gutter="0"/>
          <w:pgNumType w:fmt="decimal" w:start="1"/>
          <w:cols w:space="720" w:num="1"/>
          <w:docGrid w:type="lines" w:linePitch="312" w:charSpace="0"/>
        </w:sectPr>
      </w:pPr>
    </w:p>
    <w:p w14:paraId="3BEE1FEE">
      <w:pPr>
        <w:pStyle w:val="3"/>
        <w:pageBreakBefore w:val="0"/>
        <w:numPr>
          <w:ilvl w:val="0"/>
          <w:numId w:val="0"/>
        </w:numPr>
        <w:wordWrap/>
        <w:overflowPunct/>
        <w:topLinePunct w:val="0"/>
        <w:bidi w:val="0"/>
        <w:spacing w:before="0" w:after="0" w:line="560" w:lineRule="exact"/>
        <w:ind w:left="0" w:leftChars="0" w:right="0" w:rightChars="0" w:firstLine="480" w:firstLineChars="20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2"/>
          <w:sz w:val="24"/>
          <w:szCs w:val="24"/>
          <w:highlight w:val="none"/>
          <w:lang w:val="en-US" w:eastAsia="zh-CN" w:bidi="ar-SA"/>
        </w:rPr>
        <w:t>三、</w:t>
      </w:r>
      <w:r>
        <w:rPr>
          <w:rFonts w:hint="eastAsia" w:ascii="宋体" w:hAnsi="宋体" w:eastAsia="宋体" w:cs="宋体"/>
          <w:b w:val="0"/>
          <w:bCs/>
          <w:color w:val="auto"/>
          <w:sz w:val="24"/>
          <w:szCs w:val="24"/>
          <w:highlight w:val="none"/>
        </w:rPr>
        <w:t>身份证明书</w:t>
      </w:r>
    </w:p>
    <w:p w14:paraId="77E0842A">
      <w:pPr>
        <w:pageBreakBefore w:val="0"/>
        <w:wordWrap/>
        <w:overflowPunct/>
        <w:topLinePunct w:val="0"/>
        <w:bidi w:val="0"/>
        <w:spacing w:line="560" w:lineRule="exact"/>
        <w:ind w:left="0" w:leftChars="0" w:right="0" w:rightChars="0" w:firstLine="720" w:firstLineChars="30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（一）身份证明书（</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为法人）</w:t>
      </w:r>
    </w:p>
    <w:p w14:paraId="380D3EE4">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单位名称：</w:t>
      </w:r>
      <w:r>
        <w:rPr>
          <w:rFonts w:hint="eastAsia" w:ascii="宋体" w:hAnsi="宋体" w:eastAsia="宋体" w:cs="宋体"/>
          <w:b w:val="0"/>
          <w:bCs/>
          <w:color w:val="auto"/>
          <w:sz w:val="24"/>
          <w:szCs w:val="24"/>
          <w:highlight w:val="none"/>
          <w:u w:val="single"/>
        </w:rPr>
        <w:t xml:space="preserve">                                             。 </w:t>
      </w:r>
    </w:p>
    <w:p w14:paraId="61B48AD8">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地    址：</w:t>
      </w:r>
      <w:r>
        <w:rPr>
          <w:rFonts w:hint="eastAsia" w:ascii="宋体" w:hAnsi="宋体" w:eastAsia="宋体" w:cs="宋体"/>
          <w:b w:val="0"/>
          <w:bCs/>
          <w:color w:val="auto"/>
          <w:sz w:val="24"/>
          <w:szCs w:val="24"/>
          <w:highlight w:val="none"/>
          <w:u w:val="single"/>
        </w:rPr>
        <w:t xml:space="preserve">                                             。</w:t>
      </w:r>
    </w:p>
    <w:p w14:paraId="519F18FF">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姓    名：</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性别：</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年龄：</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职务：</w:t>
      </w:r>
      <w:r>
        <w:rPr>
          <w:rFonts w:hint="eastAsia" w:ascii="宋体" w:hAnsi="宋体" w:eastAsia="宋体" w:cs="宋体"/>
          <w:b w:val="0"/>
          <w:bCs/>
          <w:color w:val="auto"/>
          <w:sz w:val="24"/>
          <w:szCs w:val="24"/>
          <w:highlight w:val="none"/>
          <w:u w:val="single"/>
        </w:rPr>
        <w:t xml:space="preserve">       。</w:t>
      </w:r>
    </w:p>
    <w:p w14:paraId="6F2E08C4">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u w:val="single"/>
        </w:rPr>
      </w:pPr>
      <w:r>
        <w:rPr>
          <w:rFonts w:hint="eastAsia" w:ascii="宋体" w:hAnsi="宋体" w:eastAsia="宋体" w:cs="宋体"/>
          <w:b w:val="0"/>
          <w:bCs/>
          <w:color w:val="auto"/>
          <w:sz w:val="24"/>
          <w:szCs w:val="24"/>
          <w:highlight w:val="none"/>
        </w:rPr>
        <w:t>身份证号码：</w:t>
      </w:r>
      <w:r>
        <w:rPr>
          <w:rFonts w:hint="eastAsia" w:ascii="宋体" w:hAnsi="宋体" w:eastAsia="宋体" w:cs="宋体"/>
          <w:b w:val="0"/>
          <w:bCs/>
          <w:color w:val="auto"/>
          <w:sz w:val="24"/>
          <w:szCs w:val="24"/>
          <w:highlight w:val="none"/>
          <w:u w:val="single"/>
        </w:rPr>
        <w:t xml:space="preserve">                                           。</w:t>
      </w:r>
    </w:p>
    <w:p w14:paraId="73D3210E">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rPr>
        <w:t>系</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的法定代表人，为具有参加</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w:t>
      </w:r>
      <w:r>
        <w:rPr>
          <w:rFonts w:hint="eastAsia" w:ascii="宋体" w:hAnsi="宋体" w:eastAsia="宋体" w:cs="宋体"/>
          <w:color w:val="auto"/>
          <w:sz w:val="24"/>
          <w:szCs w:val="24"/>
          <w:highlight w:val="none"/>
          <w:lang w:val="en-US" w:eastAsia="zh-CN"/>
        </w:rPr>
        <w:t>项目名称、项目编号</w:t>
      </w:r>
      <w:r>
        <w:rPr>
          <w:rFonts w:hint="eastAsia" w:ascii="宋体" w:hAnsi="宋体" w:eastAsia="宋体" w:cs="宋体"/>
          <w:b w:val="0"/>
          <w:bCs/>
          <w:color w:val="auto"/>
          <w:sz w:val="24"/>
          <w:szCs w:val="24"/>
          <w:highlight w:val="none"/>
        </w:rPr>
        <w:t>）的</w:t>
      </w: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highlight w:val="none"/>
        </w:rPr>
        <w:t>、签署上述</w:t>
      </w:r>
      <w:r>
        <w:rPr>
          <w:rFonts w:hint="eastAsia" w:ascii="宋体" w:hAnsi="宋体" w:eastAsia="宋体" w:cs="宋体"/>
          <w:b w:val="0"/>
          <w:bCs/>
          <w:color w:val="auto"/>
          <w:sz w:val="24"/>
          <w:szCs w:val="24"/>
          <w:highlight w:val="none"/>
          <w:lang w:eastAsia="zh-CN"/>
        </w:rPr>
        <w:t>投标文件</w:t>
      </w:r>
      <w:r>
        <w:rPr>
          <w:rFonts w:hint="eastAsia" w:ascii="宋体" w:hAnsi="宋体" w:eastAsia="宋体" w:cs="宋体"/>
          <w:b w:val="0"/>
          <w:bCs/>
          <w:color w:val="auto"/>
          <w:sz w:val="24"/>
          <w:szCs w:val="24"/>
          <w:highlight w:val="none"/>
        </w:rPr>
        <w:t>、进行合同谈判、签署合同和处理与之有关的一切事务权利的</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 xml:space="preserve">。 </w:t>
      </w:r>
    </w:p>
    <w:p w14:paraId="2B4DE19F">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特此证明。                       </w:t>
      </w:r>
    </w:p>
    <w:p w14:paraId="660E9896">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sz w:val="24"/>
          <w:szCs w:val="24"/>
          <w:highlight w:val="none"/>
        </w:rPr>
        <w:t>附：法定代表人身份证正反面。</w:t>
      </w:r>
    </w:p>
    <w:p w14:paraId="4645BCB6">
      <w:pPr>
        <w:pageBreakBefore w:val="0"/>
        <w:wordWrap/>
        <w:overflowPunct/>
        <w:topLinePunct w:val="0"/>
        <w:bidi w:val="0"/>
        <w:spacing w:line="560" w:lineRule="exact"/>
        <w:ind w:left="0" w:leftChars="0" w:right="0" w:rightChars="0" w:firstLine="480" w:firstLineChars="200"/>
        <w:jc w:val="center"/>
        <w:rPr>
          <w:rFonts w:hint="eastAsia" w:ascii="宋体" w:hAnsi="宋体" w:eastAsia="宋体" w:cs="宋体"/>
          <w:b w:val="0"/>
          <w:bCs/>
          <w:color w:val="auto"/>
          <w:sz w:val="24"/>
          <w:szCs w:val="24"/>
          <w:highlight w:val="none"/>
        </w:rPr>
      </w:pPr>
    </w:p>
    <w:p w14:paraId="120C63B9">
      <w:pPr>
        <w:pageBreakBefore w:val="0"/>
        <w:wordWrap/>
        <w:overflowPunct/>
        <w:topLinePunct w:val="0"/>
        <w:bidi w:val="0"/>
        <w:spacing w:line="560" w:lineRule="exact"/>
        <w:ind w:left="0" w:leftChars="0" w:right="0" w:rightChars="0" w:firstLine="480" w:firstLineChars="200"/>
        <w:jc w:val="center"/>
        <w:rPr>
          <w:rFonts w:hint="eastAsia" w:ascii="宋体" w:hAnsi="宋体" w:eastAsia="宋体" w:cs="宋体"/>
          <w:b w:val="0"/>
          <w:bCs/>
          <w:color w:val="auto"/>
          <w:sz w:val="24"/>
          <w:szCs w:val="24"/>
          <w:highlight w:val="none"/>
        </w:rPr>
      </w:pPr>
    </w:p>
    <w:p w14:paraId="6B54754F">
      <w:pPr>
        <w:pageBreakBefore w:val="0"/>
        <w:wordWrap/>
        <w:overflowPunct/>
        <w:topLinePunct w:val="0"/>
        <w:bidi w:val="0"/>
        <w:spacing w:line="560" w:lineRule="exact"/>
        <w:ind w:left="0" w:leftChars="0" w:right="0" w:rightChars="0" w:firstLine="480" w:firstLineChars="200"/>
        <w:jc w:val="center"/>
        <w:rPr>
          <w:rFonts w:hint="eastAsia" w:ascii="宋体" w:hAnsi="宋体" w:eastAsia="宋体" w:cs="宋体"/>
          <w:b w:val="0"/>
          <w:bCs/>
          <w:color w:val="auto"/>
          <w:sz w:val="24"/>
          <w:szCs w:val="24"/>
          <w:highlight w:val="none"/>
        </w:rPr>
      </w:pPr>
    </w:p>
    <w:p w14:paraId="2AC2F979">
      <w:pPr>
        <w:pageBreakBefore w:val="0"/>
        <w:wordWrap/>
        <w:overflowPunct/>
        <w:topLinePunct w:val="0"/>
        <w:bidi w:val="0"/>
        <w:spacing w:line="560" w:lineRule="exact"/>
        <w:ind w:left="0" w:leftChars="0" w:right="0" w:rightChars="0" w:firstLine="480" w:firstLineChars="200"/>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                       </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名称（盖章）：</w:t>
      </w:r>
    </w:p>
    <w:p w14:paraId="42A63790">
      <w:pPr>
        <w:pageBreakBefore w:val="0"/>
        <w:wordWrap/>
        <w:overflowPunct/>
        <w:topLinePunct w:val="0"/>
        <w:bidi w:val="0"/>
        <w:spacing w:line="560" w:lineRule="exact"/>
        <w:ind w:left="0" w:leftChars="0" w:right="0" w:rightChars="0" w:firstLine="480" w:firstLineChars="200"/>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                          日   期： </w:t>
      </w:r>
    </w:p>
    <w:p w14:paraId="160DCF4E">
      <w:pPr>
        <w:pageBreakBefore w:val="0"/>
        <w:wordWrap/>
        <w:overflowPunct/>
        <w:topLinePunct w:val="0"/>
        <w:bidi w:val="0"/>
        <w:spacing w:line="560" w:lineRule="exact"/>
        <w:ind w:left="0" w:leftChars="0" w:right="0" w:right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p>
    <w:p w14:paraId="67B65855">
      <w:pPr>
        <w:pageBreakBefore w:val="0"/>
        <w:wordWrap/>
        <w:overflowPunct/>
        <w:topLinePunct w:val="0"/>
        <w:bidi w:val="0"/>
        <w:spacing w:line="560" w:lineRule="exact"/>
        <w:ind w:left="0" w:leftChars="0" w:right="0" w:rightChars="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二</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身份证明书（</w:t>
      </w:r>
      <w:r>
        <w:rPr>
          <w:rFonts w:hint="eastAsia" w:ascii="宋体" w:hAnsi="宋体" w:eastAsia="宋体" w:cs="宋体"/>
          <w:b w:val="0"/>
          <w:bCs w:val="0"/>
          <w:color w:val="auto"/>
          <w:sz w:val="24"/>
          <w:szCs w:val="24"/>
          <w:highlight w:val="none"/>
          <w:lang w:eastAsia="zh-CN"/>
        </w:rPr>
        <w:t>投标人</w:t>
      </w:r>
      <w:r>
        <w:rPr>
          <w:rFonts w:hint="eastAsia" w:ascii="宋体" w:hAnsi="宋体" w:eastAsia="宋体" w:cs="宋体"/>
          <w:b w:val="0"/>
          <w:bCs w:val="0"/>
          <w:color w:val="auto"/>
          <w:sz w:val="24"/>
          <w:szCs w:val="24"/>
          <w:highlight w:val="none"/>
        </w:rPr>
        <w:t>为非法人）</w:t>
      </w:r>
    </w:p>
    <w:p w14:paraId="09B5125E">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rPr>
        <w:t xml:space="preserve">                                     </w:t>
      </w:r>
      <w:r>
        <w:rPr>
          <w:rFonts w:hint="eastAsia" w:ascii="宋体" w:hAnsi="宋体" w:eastAsia="宋体" w:cs="宋体"/>
          <w:color w:val="auto"/>
          <w:sz w:val="24"/>
          <w:szCs w:val="24"/>
          <w:highlight w:val="none"/>
          <w:u w:val="single"/>
        </w:rPr>
        <w:t xml:space="preserve">                                          </w:t>
      </w:r>
    </w:p>
    <w:p w14:paraId="4CA421E7">
      <w:pPr>
        <w:keepNext w:val="0"/>
        <w:keepLines w:val="0"/>
        <w:pageBreakBefore w:val="0"/>
        <w:widowControl w:val="0"/>
        <w:kinsoku/>
        <w:wordWrap/>
        <w:overflowPunct/>
        <w:topLinePunct w:val="0"/>
        <w:autoSpaceDE/>
        <w:autoSpaceDN/>
        <w:bidi w:val="0"/>
        <w:adjustRightInd/>
        <w:snapToGrid/>
        <w:spacing w:line="560" w:lineRule="exact"/>
        <w:ind w:right="0" w:righ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2FA9926B">
      <w:pPr>
        <w:keepNext w:val="0"/>
        <w:keepLines w:val="0"/>
        <w:pageBreakBefore w:val="0"/>
        <w:widowControl w:val="0"/>
        <w:kinsoku/>
        <w:wordWrap/>
        <w:overflowPunct/>
        <w:topLinePunct w:val="0"/>
        <w:autoSpaceDE/>
        <w:autoSpaceDN/>
        <w:bidi w:val="0"/>
        <w:adjustRightInd/>
        <w:snapToGrid/>
        <w:spacing w:line="560" w:lineRule="exact"/>
        <w:ind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u w:val="single"/>
          <w:lang w:val="en-US" w:eastAsia="zh-CN"/>
        </w:rPr>
        <w:t xml:space="preserve">                                            </w:t>
      </w:r>
    </w:p>
    <w:p w14:paraId="18DF16E6">
      <w:pPr>
        <w:keepNext w:val="0"/>
        <w:keepLines w:val="0"/>
        <w:pageBreakBefore w:val="0"/>
        <w:widowControl w:val="0"/>
        <w:kinsoku/>
        <w:wordWrap/>
        <w:overflowPunct/>
        <w:topLinePunct w:val="0"/>
        <w:autoSpaceDE/>
        <w:autoSpaceDN/>
        <w:bidi w:val="0"/>
        <w:adjustRightInd/>
        <w:snapToGrid/>
        <w:spacing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621E751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为具有参加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项目名称、项目编号</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、签署上述</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、进行合同谈判、签署合同和处理与之有关的一切事务权利的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w:t>
      </w:r>
    </w:p>
    <w:p w14:paraId="5C1C303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4CD4E9E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sz w:val="24"/>
          <w:szCs w:val="24"/>
          <w:highlight w:val="none"/>
        </w:rPr>
        <w:t>附</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身份证</w:t>
      </w:r>
      <w:r>
        <w:rPr>
          <w:rFonts w:hint="eastAsia" w:ascii="宋体" w:hAnsi="宋体" w:eastAsia="宋体" w:cs="宋体"/>
          <w:b w:val="0"/>
          <w:bCs w:val="0"/>
          <w:color w:val="auto"/>
          <w:sz w:val="24"/>
          <w:szCs w:val="24"/>
          <w:highlight w:val="none"/>
          <w:lang w:val="en-US" w:eastAsia="zh-CN"/>
        </w:rPr>
        <w:t>正反面。</w:t>
      </w:r>
    </w:p>
    <w:p w14:paraId="45A7226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righ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名称（盖章）：</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u w:val="none"/>
        </w:rPr>
        <w:t xml:space="preserve"> </w:t>
      </w:r>
      <w:r>
        <w:rPr>
          <w:rFonts w:hint="eastAsia" w:ascii="宋体" w:hAnsi="宋体" w:eastAsia="宋体" w:cs="宋体"/>
          <w:color w:val="auto"/>
          <w:sz w:val="24"/>
          <w:szCs w:val="24"/>
          <w:highlight w:val="none"/>
          <w:u w:val="none"/>
          <w:lang w:val="en-US" w:eastAsia="zh-CN"/>
        </w:rPr>
        <w:t xml:space="preserve"> </w:t>
      </w:r>
    </w:p>
    <w:p w14:paraId="4D4E597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lang w:val="en-US" w:eastAsia="zh-CN"/>
        </w:rPr>
        <w:t xml:space="preserve">    </w:t>
      </w:r>
    </w:p>
    <w:p w14:paraId="426FDD08">
      <w:pPr>
        <w:pageBreakBefore w:val="0"/>
        <w:wordWrap/>
        <w:overflowPunct/>
        <w:topLinePunct w:val="0"/>
        <w:bidi w:val="0"/>
        <w:spacing w:line="560" w:lineRule="exact"/>
        <w:ind w:left="0" w:leftChars="0" w:right="0" w:rightChars="0"/>
        <w:jc w:val="center"/>
        <w:rPr>
          <w:rFonts w:hint="eastAsia" w:ascii="宋体" w:hAnsi="宋体" w:eastAsia="宋体" w:cs="宋体"/>
          <w:b/>
          <w:bCs/>
          <w:color w:val="auto"/>
          <w:sz w:val="24"/>
          <w:szCs w:val="24"/>
          <w:highlight w:val="none"/>
        </w:rPr>
      </w:pPr>
    </w:p>
    <w:p w14:paraId="6AA9B4F8">
      <w:pPr>
        <w:pStyle w:val="10"/>
        <w:pageBreakBefore w:val="0"/>
        <w:wordWrap/>
        <w:overflowPunct/>
        <w:topLinePunct w:val="0"/>
        <w:bidi w:val="0"/>
        <w:spacing w:after="0" w:line="560" w:lineRule="exact"/>
        <w:ind w:left="0" w:leftChars="0" w:right="0" w:rightChars="0"/>
        <w:rPr>
          <w:rFonts w:hint="eastAsia" w:ascii="宋体" w:hAnsi="宋体" w:eastAsia="宋体" w:cs="宋体"/>
          <w:b/>
          <w:bCs/>
          <w:color w:val="auto"/>
          <w:sz w:val="24"/>
          <w:szCs w:val="24"/>
          <w:highlight w:val="none"/>
        </w:rPr>
      </w:pPr>
    </w:p>
    <w:p w14:paraId="1A296832">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br w:type="page"/>
      </w:r>
    </w:p>
    <w:p w14:paraId="776405B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1"/>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四、</w:t>
      </w:r>
      <w:r>
        <w:rPr>
          <w:rFonts w:hint="eastAsia" w:ascii="宋体" w:hAnsi="宋体" w:eastAsia="宋体" w:cs="宋体"/>
          <w:b w:val="0"/>
          <w:bCs/>
          <w:color w:val="auto"/>
          <w:sz w:val="24"/>
          <w:szCs w:val="24"/>
          <w:highlight w:val="none"/>
        </w:rPr>
        <w:t>授权委托书</w:t>
      </w:r>
    </w:p>
    <w:p w14:paraId="0C15D09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一</w:t>
      </w:r>
      <w:r>
        <w:rPr>
          <w:rFonts w:hint="eastAsia" w:ascii="宋体" w:hAnsi="宋体" w:eastAsia="宋体" w:cs="宋体"/>
          <w:b w:val="0"/>
          <w:bCs/>
          <w:color w:val="auto"/>
          <w:sz w:val="24"/>
          <w:szCs w:val="24"/>
          <w:highlight w:val="none"/>
        </w:rPr>
        <w:t>）法定代表人授权委托书（</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为法人）</w:t>
      </w:r>
    </w:p>
    <w:p w14:paraId="485A619E">
      <w:pPr>
        <w:pStyle w:val="30"/>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p w14:paraId="350F3791">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_______（采购人名称）：</w:t>
      </w:r>
    </w:p>
    <w:p w14:paraId="71618E9A">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本授权声明：</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名称）</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（法定代表人姓名、职务）授权</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 xml:space="preserve">（被授权人姓名、职务）为我方 “ </w:t>
      </w:r>
      <w:r>
        <w:rPr>
          <w:rFonts w:hint="eastAsia" w:ascii="宋体" w:hAnsi="宋体" w:eastAsia="宋体" w:cs="宋体"/>
          <w:b w:val="0"/>
          <w:bCs/>
          <w:color w:val="auto"/>
          <w:sz w:val="24"/>
          <w:szCs w:val="24"/>
          <w:highlight w:val="none"/>
          <w:u w:val="single"/>
        </w:rPr>
        <w:t xml:space="preserve">       </w:t>
      </w:r>
      <w:r>
        <w:rPr>
          <w:rFonts w:hint="eastAsia" w:ascii="宋体" w:hAnsi="宋体" w:eastAsia="宋体" w:cs="宋体"/>
          <w:b w:val="0"/>
          <w:bCs/>
          <w:color w:val="auto"/>
          <w:sz w:val="24"/>
          <w:szCs w:val="24"/>
          <w:highlight w:val="none"/>
        </w:rPr>
        <w:t>（</w:t>
      </w:r>
      <w:r>
        <w:rPr>
          <w:rFonts w:hint="eastAsia" w:ascii="宋体" w:hAnsi="宋体" w:eastAsia="宋体" w:cs="宋体"/>
          <w:color w:val="auto"/>
          <w:sz w:val="24"/>
          <w:szCs w:val="24"/>
          <w:highlight w:val="none"/>
          <w:lang w:val="en-US" w:eastAsia="zh-CN"/>
        </w:rPr>
        <w:t>项目名称、项目编号</w:t>
      </w:r>
      <w:r>
        <w:rPr>
          <w:rFonts w:hint="eastAsia" w:ascii="宋体" w:hAnsi="宋体" w:eastAsia="宋体" w:cs="宋体"/>
          <w:b w:val="0"/>
          <w:bCs/>
          <w:color w:val="auto"/>
          <w:sz w:val="24"/>
          <w:szCs w:val="24"/>
          <w:highlight w:val="none"/>
        </w:rPr>
        <w:t>）”项目</w:t>
      </w: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highlight w:val="none"/>
        </w:rPr>
        <w:t>活动的合法代表，以我方名义全权处理该项目有关</w:t>
      </w:r>
      <w:r>
        <w:rPr>
          <w:rFonts w:hint="eastAsia" w:ascii="宋体" w:hAnsi="宋体" w:eastAsia="宋体" w:cs="宋体"/>
          <w:b w:val="0"/>
          <w:bCs/>
          <w:color w:val="auto"/>
          <w:sz w:val="24"/>
          <w:szCs w:val="24"/>
          <w:highlight w:val="none"/>
          <w:lang w:eastAsia="zh-CN"/>
        </w:rPr>
        <w:t>谈判</w:t>
      </w:r>
      <w:r>
        <w:rPr>
          <w:rFonts w:hint="eastAsia" w:ascii="宋体" w:hAnsi="宋体" w:eastAsia="宋体" w:cs="宋体"/>
          <w:b w:val="0"/>
          <w:bCs/>
          <w:color w:val="auto"/>
          <w:sz w:val="24"/>
          <w:szCs w:val="24"/>
          <w:highlight w:val="none"/>
        </w:rPr>
        <w:t>、签订合同以及执行合同等一切事宜。</w:t>
      </w:r>
    </w:p>
    <w:p w14:paraId="3C8AE696">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被授权人无权转让本授权，特此声明。</w:t>
      </w:r>
    </w:p>
    <w:p w14:paraId="48D38B15">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附：法定代表人及被授权人身份证正反面。</w:t>
      </w:r>
    </w:p>
    <w:p w14:paraId="76CF2588">
      <w:pPr>
        <w:pStyle w:val="30"/>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p w14:paraId="491A1F87">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color w:val="auto"/>
          <w:sz w:val="24"/>
          <w:szCs w:val="24"/>
          <w:highlight w:val="none"/>
        </w:rPr>
      </w:pPr>
    </w:p>
    <w:p w14:paraId="702D39E6">
      <w:pPr>
        <w:pStyle w:val="13"/>
        <w:pageBreakBefore w:val="0"/>
        <w:wordWrap/>
        <w:overflowPunct/>
        <w:topLinePunct w:val="0"/>
        <w:bidi w:val="0"/>
        <w:spacing w:after="0" w:line="560" w:lineRule="exact"/>
        <w:ind w:left="0" w:leftChars="0" w:right="0" w:rightChars="0"/>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          </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名称（盖章）：</w:t>
      </w:r>
    </w:p>
    <w:p w14:paraId="260A55C5">
      <w:pPr>
        <w:pStyle w:val="13"/>
        <w:pageBreakBefore w:val="0"/>
        <w:wordWrap/>
        <w:overflowPunct/>
        <w:topLinePunct w:val="0"/>
        <w:bidi w:val="0"/>
        <w:spacing w:after="0" w:line="560" w:lineRule="exact"/>
        <w:ind w:left="0" w:leftChars="0" w:right="0" w:rightChars="0"/>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                法定代表人（盖章或签字）：</w:t>
      </w:r>
    </w:p>
    <w:p w14:paraId="319971E2">
      <w:pPr>
        <w:pageBreakBefore w:val="0"/>
        <w:wordWrap/>
        <w:overflowPunct/>
        <w:topLinePunct w:val="0"/>
        <w:bidi w:val="0"/>
        <w:spacing w:line="560" w:lineRule="exact"/>
        <w:ind w:left="0" w:leftChars="0" w:right="0" w:rightChars="0"/>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 xml:space="preserve">     日期： </w:t>
      </w:r>
    </w:p>
    <w:p w14:paraId="7D05E2F1">
      <w:pPr>
        <w:pageBreakBefore w:val="0"/>
        <w:wordWrap/>
        <w:overflowPunct/>
        <w:topLinePunct w:val="0"/>
        <w:bidi w:val="0"/>
        <w:spacing w:line="560" w:lineRule="exact"/>
        <w:ind w:left="0" w:leftChars="0" w:right="0" w:rightChars="0" w:firstLine="4080" w:firstLineChars="1700"/>
        <w:rPr>
          <w:rFonts w:hint="eastAsia" w:ascii="宋体" w:hAnsi="宋体" w:eastAsia="宋体" w:cs="宋体"/>
          <w:b w:val="0"/>
          <w:bCs/>
          <w:color w:val="auto"/>
          <w:sz w:val="24"/>
          <w:szCs w:val="24"/>
          <w:highlight w:val="none"/>
        </w:rPr>
      </w:pPr>
    </w:p>
    <w:p w14:paraId="72246F3A">
      <w:pPr>
        <w:pageBreakBefore w:val="0"/>
        <w:wordWrap/>
        <w:overflowPunct/>
        <w:topLinePunct w:val="0"/>
        <w:bidi w:val="0"/>
        <w:spacing w:line="560" w:lineRule="exact"/>
        <w:ind w:left="0" w:leftChars="0" w:right="0" w:rightChars="0" w:firstLine="480" w:firstLineChars="200"/>
        <w:jc w:val="center"/>
        <w:rPr>
          <w:rFonts w:hint="eastAsia" w:ascii="宋体" w:hAnsi="宋体" w:eastAsia="宋体" w:cs="宋体"/>
          <w:b w:val="0"/>
          <w:bCs/>
          <w:color w:val="auto"/>
          <w:sz w:val="24"/>
          <w:szCs w:val="24"/>
          <w:highlight w:val="none"/>
        </w:rPr>
      </w:pPr>
    </w:p>
    <w:p w14:paraId="53430F1D">
      <w:pPr>
        <w:pageBreakBefore w:val="0"/>
        <w:wordWrap/>
        <w:overflowPunct/>
        <w:topLinePunct w:val="0"/>
        <w:bidi w:val="0"/>
        <w:snapToGrid w:val="0"/>
        <w:spacing w:line="560" w:lineRule="exact"/>
        <w:ind w:left="0" w:leftChars="0" w:right="0" w:rightChars="0" w:firstLine="480" w:firstLineChars="200"/>
        <w:jc w:val="center"/>
        <w:rPr>
          <w:rFonts w:hint="eastAsia" w:ascii="宋体" w:hAnsi="宋体" w:eastAsia="宋体" w:cs="宋体"/>
          <w:b w:val="0"/>
          <w:bCs/>
          <w:color w:val="auto"/>
          <w:sz w:val="24"/>
          <w:szCs w:val="24"/>
          <w:highlight w:val="none"/>
        </w:rPr>
      </w:pPr>
    </w:p>
    <w:p w14:paraId="63756551">
      <w:pPr>
        <w:pStyle w:val="10"/>
        <w:pageBreakBefore w:val="0"/>
        <w:wordWrap/>
        <w:overflowPunct/>
        <w:topLinePunct w:val="0"/>
        <w:bidi w:val="0"/>
        <w:spacing w:after="0" w:line="560" w:lineRule="exact"/>
        <w:ind w:left="0" w:leftChars="0" w:right="0" w:rightChars="0"/>
        <w:rPr>
          <w:rFonts w:hint="eastAsia" w:ascii="宋体" w:hAnsi="宋体" w:eastAsia="宋体" w:cs="宋体"/>
          <w:b w:val="0"/>
          <w:bCs/>
          <w:color w:val="auto"/>
          <w:sz w:val="24"/>
          <w:szCs w:val="24"/>
          <w:highlight w:val="none"/>
        </w:rPr>
      </w:pPr>
    </w:p>
    <w:p w14:paraId="6D913F43">
      <w:pPr>
        <w:pageBreakBefore w:val="0"/>
        <w:wordWrap/>
        <w:overflowPunct/>
        <w:topLinePunct w:val="0"/>
        <w:bidi w:val="0"/>
        <w:spacing w:line="560" w:lineRule="exact"/>
        <w:ind w:left="0" w:leftChars="0" w:right="0" w:rightChars="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br w:type="page"/>
      </w:r>
    </w:p>
    <w:p w14:paraId="1BF0F461">
      <w:pPr>
        <w:pageBreakBefore w:val="0"/>
        <w:wordWrap/>
        <w:overflowPunct/>
        <w:topLinePunct w:val="0"/>
        <w:bidi w:val="0"/>
        <w:spacing w:line="560" w:lineRule="exact"/>
        <w:ind w:left="0" w:leftChars="0" w:right="0" w:rightChars="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二</w:t>
      </w:r>
      <w:r>
        <w:rPr>
          <w:rFonts w:hint="eastAsia" w:ascii="宋体" w:hAnsi="宋体" w:eastAsia="宋体" w:cs="宋体"/>
          <w:b w:val="0"/>
          <w:bCs w:val="0"/>
          <w:color w:val="auto"/>
          <w:sz w:val="24"/>
          <w:szCs w:val="24"/>
          <w:highlight w:val="none"/>
          <w:lang w:eastAsia="zh-CN"/>
        </w:rPr>
        <w:t>）授权委托书</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投标人</w:t>
      </w:r>
      <w:r>
        <w:rPr>
          <w:rFonts w:hint="eastAsia" w:ascii="宋体" w:hAnsi="宋体" w:eastAsia="宋体" w:cs="宋体"/>
          <w:b w:val="0"/>
          <w:bCs w:val="0"/>
          <w:color w:val="auto"/>
          <w:sz w:val="24"/>
          <w:szCs w:val="24"/>
          <w:highlight w:val="none"/>
        </w:rPr>
        <w:t>为非法人）</w:t>
      </w:r>
    </w:p>
    <w:p w14:paraId="4B64C593">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p>
    <w:p w14:paraId="292E666A">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_____（采购人名称）：</w:t>
      </w:r>
    </w:p>
    <w:p w14:paraId="2B18155C">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本授权声明：</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投标人</w:t>
      </w:r>
      <w:r>
        <w:rPr>
          <w:rFonts w:hint="eastAsia" w:ascii="宋体" w:hAnsi="宋体" w:eastAsia="宋体" w:cs="宋体"/>
          <w:b w:val="0"/>
          <w:bCs w:val="0"/>
          <w:color w:val="auto"/>
          <w:sz w:val="24"/>
          <w:szCs w:val="24"/>
          <w:highlight w:val="none"/>
        </w:rPr>
        <w:t>名称）授权</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（被授权人姓名、职务）</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 xml:space="preserve">为我方 “ </w:t>
      </w:r>
      <w:r>
        <w:rPr>
          <w:rFonts w:hint="eastAsia" w:ascii="宋体" w:hAnsi="宋体" w:eastAsia="宋体" w:cs="宋体"/>
          <w:b w:val="0"/>
          <w:bCs w:val="0"/>
          <w:color w:val="auto"/>
          <w:sz w:val="24"/>
          <w:szCs w:val="24"/>
          <w:highlight w:val="none"/>
          <w:u w:val="single"/>
        </w:rPr>
        <w:t xml:space="preserve">         </w:t>
      </w:r>
      <w:r>
        <w:rPr>
          <w:rFonts w:hint="eastAsia" w:ascii="宋体" w:hAnsi="宋体" w:eastAsia="宋体" w:cs="宋体"/>
          <w:b w:val="0"/>
          <w:bCs w:val="0"/>
          <w:color w:val="auto"/>
          <w:sz w:val="24"/>
          <w:szCs w:val="24"/>
          <w:highlight w:val="none"/>
        </w:rPr>
        <w:t>（</w:t>
      </w:r>
      <w:r>
        <w:rPr>
          <w:rFonts w:hint="eastAsia" w:ascii="宋体" w:hAnsi="宋体" w:eastAsia="宋体" w:cs="宋体"/>
          <w:color w:val="auto"/>
          <w:sz w:val="24"/>
          <w:szCs w:val="24"/>
          <w:highlight w:val="none"/>
          <w:lang w:val="en-US" w:eastAsia="zh-CN"/>
        </w:rPr>
        <w:t>项目名称、项目编号</w:t>
      </w:r>
      <w:r>
        <w:rPr>
          <w:rFonts w:hint="eastAsia" w:ascii="宋体" w:hAnsi="宋体" w:eastAsia="宋体" w:cs="宋体"/>
          <w:b w:val="0"/>
          <w:bCs w:val="0"/>
          <w:color w:val="auto"/>
          <w:sz w:val="24"/>
          <w:szCs w:val="24"/>
          <w:highlight w:val="none"/>
        </w:rPr>
        <w:t>）” 项目</w:t>
      </w: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活动的合法代表，以我方名义全权处理该项目有关</w:t>
      </w:r>
      <w:r>
        <w:rPr>
          <w:rFonts w:hint="eastAsia" w:ascii="宋体" w:hAnsi="宋体" w:eastAsia="宋体" w:cs="宋体"/>
          <w:b w:val="0"/>
          <w:bCs w:val="0"/>
          <w:color w:val="auto"/>
          <w:sz w:val="24"/>
          <w:szCs w:val="24"/>
          <w:highlight w:val="none"/>
          <w:lang w:eastAsia="zh-CN"/>
        </w:rPr>
        <w:t>谈判</w:t>
      </w:r>
      <w:r>
        <w:rPr>
          <w:rFonts w:hint="eastAsia" w:ascii="宋体" w:hAnsi="宋体" w:eastAsia="宋体" w:cs="宋体"/>
          <w:b w:val="0"/>
          <w:bCs w:val="0"/>
          <w:color w:val="auto"/>
          <w:sz w:val="24"/>
          <w:szCs w:val="24"/>
          <w:highlight w:val="none"/>
        </w:rPr>
        <w:t>、签订合同以及执行合同等一切事宜。</w:t>
      </w:r>
    </w:p>
    <w:p w14:paraId="08CE32D4">
      <w:pPr>
        <w:pageBreakBefore w:val="0"/>
        <w:shd w:val="clear" w:color="auto" w:fill="auto"/>
        <w:kinsoku/>
        <w:wordWrap/>
        <w:overflowPunct/>
        <w:topLinePunct w:val="0"/>
        <w:bidi w:val="0"/>
        <w:spacing w:line="560" w:lineRule="exact"/>
        <w:ind w:left="0" w:leftChars="0" w:right="0" w:rightChars="0"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被授权人</w:t>
      </w:r>
      <w:r>
        <w:rPr>
          <w:rFonts w:hint="eastAsia" w:ascii="宋体" w:hAnsi="宋体" w:eastAsia="宋体" w:cs="宋体"/>
          <w:b w:val="0"/>
          <w:bCs w:val="0"/>
          <w:color w:val="auto"/>
          <w:sz w:val="24"/>
          <w:szCs w:val="24"/>
          <w:highlight w:val="none"/>
        </w:rPr>
        <w:t>无</w:t>
      </w:r>
      <w:r>
        <w:rPr>
          <w:rFonts w:hint="eastAsia" w:ascii="宋体" w:hAnsi="宋体" w:eastAsia="宋体" w:cs="宋体"/>
          <w:b w:val="0"/>
          <w:bCs w:val="0"/>
          <w:color w:val="auto"/>
          <w:sz w:val="24"/>
          <w:szCs w:val="24"/>
          <w:highlight w:val="none"/>
          <w:lang w:val="en-US" w:eastAsia="zh-CN"/>
        </w:rPr>
        <w:t>权转让本授权</w:t>
      </w:r>
      <w:r>
        <w:rPr>
          <w:rFonts w:hint="eastAsia" w:ascii="宋体" w:hAnsi="宋体" w:eastAsia="宋体" w:cs="宋体"/>
          <w:b w:val="0"/>
          <w:bCs w:val="0"/>
          <w:color w:val="auto"/>
          <w:sz w:val="24"/>
          <w:szCs w:val="24"/>
          <w:highlight w:val="none"/>
        </w:rPr>
        <w:t>，特此</w:t>
      </w:r>
      <w:r>
        <w:rPr>
          <w:rFonts w:hint="eastAsia" w:ascii="宋体" w:hAnsi="宋体" w:eastAsia="宋体" w:cs="宋体"/>
          <w:b w:val="0"/>
          <w:bCs w:val="0"/>
          <w:color w:val="auto"/>
          <w:sz w:val="24"/>
          <w:szCs w:val="24"/>
          <w:highlight w:val="none"/>
          <w:lang w:eastAsia="zh-CN"/>
        </w:rPr>
        <w:t>声明。</w:t>
      </w:r>
    </w:p>
    <w:p w14:paraId="3F403363">
      <w:pPr>
        <w:pageBreakBefore w:val="0"/>
        <w:wordWrap/>
        <w:overflowPunct/>
        <w:topLinePunct w:val="0"/>
        <w:bidi w:val="0"/>
        <w:spacing w:line="560" w:lineRule="exact"/>
        <w:ind w:left="0" w:leftChars="0" w:right="0" w:rightChars="0"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附：授权人及被授权人身份证</w:t>
      </w:r>
      <w:r>
        <w:rPr>
          <w:rFonts w:hint="eastAsia" w:ascii="宋体" w:hAnsi="宋体" w:eastAsia="宋体" w:cs="宋体"/>
          <w:b w:val="0"/>
          <w:bCs w:val="0"/>
          <w:color w:val="auto"/>
          <w:sz w:val="24"/>
          <w:szCs w:val="24"/>
          <w:highlight w:val="none"/>
          <w:lang w:val="en-US" w:eastAsia="zh-CN"/>
        </w:rPr>
        <w:t>正反面。</w:t>
      </w:r>
    </w:p>
    <w:p w14:paraId="249D2BF2">
      <w:pPr>
        <w:pStyle w:val="30"/>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rPr>
      </w:pPr>
    </w:p>
    <w:p w14:paraId="14F2B167">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p>
    <w:p w14:paraId="1C2F666F">
      <w:pPr>
        <w:pStyle w:val="13"/>
        <w:pageBreakBefore w:val="0"/>
        <w:wordWrap/>
        <w:overflowPunct/>
        <w:topLinePunct w:val="0"/>
        <w:bidi w:val="0"/>
        <w:spacing w:after="0" w:line="560" w:lineRule="exact"/>
        <w:ind w:left="0" w:leftChars="0" w:right="0" w:rightChars="0"/>
        <w:jc w:val="righ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eastAsia="zh-CN"/>
        </w:rPr>
        <w:t>投标人</w:t>
      </w:r>
      <w:r>
        <w:rPr>
          <w:rFonts w:hint="eastAsia" w:ascii="宋体" w:hAnsi="宋体" w:eastAsia="宋体" w:cs="宋体"/>
          <w:bCs/>
          <w:color w:val="auto"/>
          <w:sz w:val="24"/>
          <w:szCs w:val="24"/>
          <w:highlight w:val="none"/>
        </w:rPr>
        <w:t>名称（盖章）：</w:t>
      </w:r>
    </w:p>
    <w:p w14:paraId="056E268C">
      <w:pPr>
        <w:pStyle w:val="13"/>
        <w:pageBreakBefore w:val="0"/>
        <w:wordWrap/>
        <w:overflowPunct/>
        <w:topLinePunct w:val="0"/>
        <w:bidi w:val="0"/>
        <w:spacing w:after="0" w:line="560" w:lineRule="exact"/>
        <w:ind w:left="0" w:leftChars="0" w:right="0" w:rightChars="0"/>
        <w:jc w:val="righ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             授权人</w:t>
      </w:r>
      <w:r>
        <w:rPr>
          <w:rFonts w:hint="eastAsia" w:ascii="宋体" w:hAnsi="宋体" w:eastAsia="宋体" w:cs="宋体"/>
          <w:bCs/>
          <w:color w:val="auto"/>
          <w:sz w:val="24"/>
          <w:szCs w:val="24"/>
          <w:highlight w:val="none"/>
        </w:rPr>
        <w:t>（盖章</w:t>
      </w:r>
      <w:r>
        <w:rPr>
          <w:rFonts w:hint="eastAsia" w:ascii="宋体" w:hAnsi="宋体" w:eastAsia="宋体" w:cs="宋体"/>
          <w:bCs/>
          <w:color w:val="auto"/>
          <w:sz w:val="24"/>
          <w:szCs w:val="24"/>
          <w:highlight w:val="none"/>
          <w:lang w:val="en-US" w:eastAsia="zh-CN"/>
        </w:rPr>
        <w:t>或签字</w:t>
      </w:r>
      <w:r>
        <w:rPr>
          <w:rFonts w:hint="eastAsia" w:ascii="宋体" w:hAnsi="宋体" w:eastAsia="宋体" w:cs="宋体"/>
          <w:bCs/>
          <w:color w:val="auto"/>
          <w:sz w:val="24"/>
          <w:szCs w:val="24"/>
          <w:highlight w:val="none"/>
        </w:rPr>
        <w:t>）：</w:t>
      </w:r>
    </w:p>
    <w:p w14:paraId="1AFA83AA">
      <w:pPr>
        <w:pageBreakBefore w:val="0"/>
        <w:wordWrap/>
        <w:overflowPunct/>
        <w:topLinePunct w:val="0"/>
        <w:bidi w:val="0"/>
        <w:spacing w:line="560" w:lineRule="exact"/>
        <w:ind w:left="0" w:leftChars="0" w:right="0" w:rightChars="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日期： </w:t>
      </w:r>
    </w:p>
    <w:p w14:paraId="28ABDD45">
      <w:pPr>
        <w:pageBreakBefore w:val="0"/>
        <w:wordWrap/>
        <w:overflowPunct/>
        <w:topLinePunct w:val="0"/>
        <w:bidi w:val="0"/>
        <w:spacing w:line="560" w:lineRule="exact"/>
        <w:ind w:left="0" w:leftChars="0" w:right="0" w:rightChars="0" w:firstLine="480" w:firstLineChars="200"/>
        <w:jc w:val="center"/>
        <w:rPr>
          <w:rFonts w:hint="eastAsia" w:ascii="宋体" w:hAnsi="宋体" w:eastAsia="宋体" w:cs="宋体"/>
          <w:b w:val="0"/>
          <w:bCs/>
          <w:color w:val="auto"/>
          <w:sz w:val="24"/>
          <w:szCs w:val="24"/>
          <w:highlight w:val="none"/>
        </w:rPr>
      </w:pPr>
    </w:p>
    <w:p w14:paraId="5B559F6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1"/>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br w:type="page"/>
      </w:r>
      <w:bookmarkStart w:id="141" w:name="_Toc28653"/>
      <w:r>
        <w:rPr>
          <w:rFonts w:hint="eastAsia" w:ascii="宋体" w:hAnsi="宋体" w:eastAsia="宋体" w:cs="宋体"/>
          <w:b w:val="0"/>
          <w:bCs/>
          <w:color w:val="auto"/>
          <w:sz w:val="24"/>
          <w:szCs w:val="24"/>
          <w:highlight w:val="none"/>
          <w:lang w:val="en-US" w:eastAsia="zh-CN"/>
        </w:rPr>
        <w:t>五</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基本情况表</w:t>
      </w:r>
    </w:p>
    <w:tbl>
      <w:tblPr>
        <w:tblStyle w:val="11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22"/>
        <w:gridCol w:w="1126"/>
        <w:gridCol w:w="195"/>
        <w:gridCol w:w="1360"/>
        <w:gridCol w:w="1332"/>
        <w:gridCol w:w="1275"/>
        <w:gridCol w:w="1704"/>
      </w:tblGrid>
      <w:tr w14:paraId="160EE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7" w:hRule="exact"/>
          <w:jc w:val="center"/>
        </w:trPr>
        <w:tc>
          <w:tcPr>
            <w:tcW w:w="795" w:type="pct"/>
            <w:vAlign w:val="center"/>
          </w:tcPr>
          <w:p w14:paraId="26BBAC1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lang w:val="en-US" w:eastAsia="zh-CN"/>
              </w:rPr>
              <w:t>投标人</w:t>
            </w:r>
            <w:r>
              <w:rPr>
                <w:rFonts w:hint="eastAsia" w:ascii="宋体" w:hAnsi="宋体" w:eastAsia="宋体" w:cs="宋体"/>
                <w:color w:val="auto"/>
                <w:spacing w:val="-3"/>
                <w:sz w:val="24"/>
                <w:szCs w:val="24"/>
                <w:highlight w:val="none"/>
                <w:u w:val="none"/>
              </w:rPr>
              <w:t>名称</w:t>
            </w:r>
          </w:p>
        </w:tc>
        <w:tc>
          <w:tcPr>
            <w:tcW w:w="4204" w:type="pct"/>
            <w:gridSpan w:val="6"/>
            <w:vAlign w:val="center"/>
          </w:tcPr>
          <w:p w14:paraId="18922F0C">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41F98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795" w:type="pct"/>
            <w:vAlign w:val="center"/>
          </w:tcPr>
          <w:p w14:paraId="2BDE3E1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4"/>
                <w:sz w:val="24"/>
                <w:szCs w:val="24"/>
                <w:highlight w:val="none"/>
                <w:u w:val="none"/>
              </w:rPr>
              <w:t>详细地址</w:t>
            </w:r>
          </w:p>
        </w:tc>
        <w:tc>
          <w:tcPr>
            <w:tcW w:w="4204" w:type="pct"/>
            <w:gridSpan w:val="6"/>
            <w:vAlign w:val="center"/>
          </w:tcPr>
          <w:p w14:paraId="13C612B4">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7A131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795" w:type="pct"/>
            <w:vAlign w:val="center"/>
          </w:tcPr>
          <w:p w14:paraId="62D1EA0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主管部门</w:t>
            </w:r>
          </w:p>
        </w:tc>
        <w:tc>
          <w:tcPr>
            <w:tcW w:w="794" w:type="pct"/>
            <w:gridSpan w:val="2"/>
            <w:vAlign w:val="center"/>
          </w:tcPr>
          <w:p w14:paraId="3FD82FF8">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817" w:type="pct"/>
            <w:vAlign w:val="center"/>
          </w:tcPr>
          <w:p w14:paraId="51024CE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pacing w:val="3"/>
                <w:sz w:val="24"/>
                <w:szCs w:val="24"/>
                <w:highlight w:val="none"/>
                <w:u w:val="none"/>
              </w:rPr>
            </w:pPr>
            <w:r>
              <w:rPr>
                <w:rFonts w:hint="eastAsia" w:ascii="宋体" w:hAnsi="宋体" w:eastAsia="宋体" w:cs="宋体"/>
                <w:color w:val="auto"/>
                <w:spacing w:val="-3"/>
                <w:sz w:val="24"/>
                <w:szCs w:val="24"/>
                <w:highlight w:val="none"/>
                <w:u w:val="none"/>
              </w:rPr>
              <w:t>法定代表人</w:t>
            </w:r>
            <w:r>
              <w:rPr>
                <w:rFonts w:hint="eastAsia" w:ascii="宋体" w:hAnsi="宋体" w:eastAsia="宋体" w:cs="宋体"/>
                <w:color w:val="auto"/>
                <w:spacing w:val="3"/>
                <w:sz w:val="24"/>
                <w:szCs w:val="24"/>
                <w:highlight w:val="none"/>
                <w:u w:val="none"/>
              </w:rPr>
              <w:t xml:space="preserve"> </w:t>
            </w:r>
          </w:p>
          <w:p w14:paraId="20AC1AB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4"/>
                <w:sz w:val="24"/>
                <w:szCs w:val="24"/>
                <w:highlight w:val="none"/>
                <w:u w:val="none"/>
              </w:rPr>
              <w:t>或负责人</w:t>
            </w:r>
          </w:p>
        </w:tc>
        <w:tc>
          <w:tcPr>
            <w:tcW w:w="801" w:type="pct"/>
            <w:vAlign w:val="center"/>
          </w:tcPr>
          <w:p w14:paraId="717D569C">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1761ECA2">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6"/>
                <w:sz w:val="24"/>
                <w:szCs w:val="24"/>
                <w:highlight w:val="none"/>
                <w:u w:val="none"/>
              </w:rPr>
              <w:t>职务</w:t>
            </w:r>
          </w:p>
        </w:tc>
        <w:tc>
          <w:tcPr>
            <w:tcW w:w="1023" w:type="pct"/>
            <w:vAlign w:val="center"/>
          </w:tcPr>
          <w:p w14:paraId="46082E7B">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72E99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795" w:type="pct"/>
            <w:vAlign w:val="center"/>
          </w:tcPr>
          <w:p w14:paraId="0727049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经济类型</w:t>
            </w:r>
          </w:p>
        </w:tc>
        <w:tc>
          <w:tcPr>
            <w:tcW w:w="794" w:type="pct"/>
            <w:gridSpan w:val="2"/>
            <w:vAlign w:val="center"/>
          </w:tcPr>
          <w:p w14:paraId="658DA336">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817" w:type="pct"/>
            <w:vAlign w:val="center"/>
          </w:tcPr>
          <w:p w14:paraId="5750592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授权代表</w:t>
            </w:r>
          </w:p>
        </w:tc>
        <w:tc>
          <w:tcPr>
            <w:tcW w:w="801" w:type="pct"/>
            <w:vAlign w:val="center"/>
          </w:tcPr>
          <w:p w14:paraId="4A75A400">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1CB557C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6"/>
                <w:sz w:val="24"/>
                <w:szCs w:val="24"/>
                <w:highlight w:val="none"/>
                <w:u w:val="none"/>
              </w:rPr>
              <w:t>职务</w:t>
            </w:r>
          </w:p>
        </w:tc>
        <w:tc>
          <w:tcPr>
            <w:tcW w:w="1023" w:type="pct"/>
            <w:vAlign w:val="center"/>
          </w:tcPr>
          <w:p w14:paraId="3F6B1AAD">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4ECB1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795" w:type="pct"/>
            <w:vAlign w:val="center"/>
          </w:tcPr>
          <w:p w14:paraId="2DD397D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7"/>
                <w:sz w:val="24"/>
                <w:szCs w:val="24"/>
                <w:highlight w:val="none"/>
                <w:u w:val="none"/>
              </w:rPr>
              <w:t>邮政编码</w:t>
            </w:r>
          </w:p>
        </w:tc>
        <w:tc>
          <w:tcPr>
            <w:tcW w:w="794" w:type="pct"/>
            <w:gridSpan w:val="2"/>
            <w:vAlign w:val="center"/>
          </w:tcPr>
          <w:p w14:paraId="2D27ECAA">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817" w:type="pct"/>
            <w:vAlign w:val="center"/>
          </w:tcPr>
          <w:p w14:paraId="7DA1FAB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9"/>
                <w:sz w:val="24"/>
                <w:szCs w:val="24"/>
                <w:highlight w:val="none"/>
                <w:u w:val="none"/>
              </w:rPr>
              <w:t>电话</w:t>
            </w:r>
          </w:p>
        </w:tc>
        <w:tc>
          <w:tcPr>
            <w:tcW w:w="801" w:type="pct"/>
            <w:vAlign w:val="center"/>
          </w:tcPr>
          <w:p w14:paraId="742820A7">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4A085FC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4"/>
                <w:sz w:val="24"/>
                <w:szCs w:val="24"/>
                <w:highlight w:val="none"/>
                <w:u w:val="none"/>
              </w:rPr>
              <w:t>传真</w:t>
            </w:r>
          </w:p>
        </w:tc>
        <w:tc>
          <w:tcPr>
            <w:tcW w:w="1023" w:type="pct"/>
            <w:vAlign w:val="center"/>
          </w:tcPr>
          <w:p w14:paraId="701727DA">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19911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795" w:type="pct"/>
            <w:vAlign w:val="center"/>
          </w:tcPr>
          <w:p w14:paraId="6E78D1B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单位简介及机构情况</w:t>
            </w:r>
          </w:p>
        </w:tc>
        <w:tc>
          <w:tcPr>
            <w:tcW w:w="4204" w:type="pct"/>
            <w:gridSpan w:val="6"/>
            <w:vAlign w:val="center"/>
          </w:tcPr>
          <w:p w14:paraId="659E3E6B">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64914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6" w:hRule="atLeast"/>
          <w:jc w:val="center"/>
        </w:trPr>
        <w:tc>
          <w:tcPr>
            <w:tcW w:w="795" w:type="pct"/>
            <w:vAlign w:val="center"/>
          </w:tcPr>
          <w:p w14:paraId="3FECE9EB">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生产设备及加工能力</w:t>
            </w:r>
          </w:p>
        </w:tc>
        <w:tc>
          <w:tcPr>
            <w:tcW w:w="4204" w:type="pct"/>
            <w:gridSpan w:val="6"/>
            <w:vAlign w:val="center"/>
          </w:tcPr>
          <w:p w14:paraId="35C3A6B9">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5B1CD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795" w:type="pct"/>
            <w:vAlign w:val="center"/>
          </w:tcPr>
          <w:p w14:paraId="5A459F1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内部管理制</w:t>
            </w:r>
            <w:r>
              <w:rPr>
                <w:rFonts w:hint="eastAsia" w:ascii="宋体" w:hAnsi="宋体" w:eastAsia="宋体" w:cs="宋体"/>
                <w:color w:val="auto"/>
                <w:spacing w:val="-3"/>
                <w:sz w:val="24"/>
                <w:szCs w:val="24"/>
                <w:highlight w:val="none"/>
                <w:u w:val="none"/>
              </w:rPr>
              <w:t>度情况</w:t>
            </w:r>
          </w:p>
        </w:tc>
        <w:tc>
          <w:tcPr>
            <w:tcW w:w="4204" w:type="pct"/>
            <w:gridSpan w:val="6"/>
            <w:vAlign w:val="center"/>
          </w:tcPr>
          <w:p w14:paraId="4183C936">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543AA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restart"/>
            <w:vAlign w:val="center"/>
          </w:tcPr>
          <w:p w14:paraId="61DEBDBF">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单位概况</w:t>
            </w:r>
          </w:p>
        </w:tc>
        <w:tc>
          <w:tcPr>
            <w:tcW w:w="676" w:type="pct"/>
            <w:vMerge w:val="restart"/>
            <w:vAlign w:val="center"/>
          </w:tcPr>
          <w:p w14:paraId="0E5E084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职工总数</w:t>
            </w:r>
          </w:p>
        </w:tc>
        <w:tc>
          <w:tcPr>
            <w:tcW w:w="935" w:type="pct"/>
            <w:gridSpan w:val="2"/>
            <w:vMerge w:val="restart"/>
            <w:vAlign w:val="center"/>
          </w:tcPr>
          <w:p w14:paraId="56E65A9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人</w:t>
            </w:r>
          </w:p>
        </w:tc>
        <w:tc>
          <w:tcPr>
            <w:tcW w:w="2592" w:type="pct"/>
            <w:gridSpan w:val="3"/>
            <w:vAlign w:val="center"/>
          </w:tcPr>
          <w:p w14:paraId="498A5E7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生产工人</w:t>
            </w:r>
            <w:r>
              <w:rPr>
                <w:rFonts w:hint="eastAsia" w:ascii="宋体" w:hAnsi="宋体" w:eastAsia="宋体" w:cs="宋体"/>
                <w:color w:val="auto"/>
                <w:sz w:val="24"/>
                <w:szCs w:val="24"/>
                <w:highlight w:val="none"/>
                <w:u w:val="none"/>
              </w:rPr>
              <w:t xml:space="preserve">               </w:t>
            </w:r>
            <w:r>
              <w:rPr>
                <w:rFonts w:hint="eastAsia" w:ascii="宋体" w:hAnsi="宋体" w:eastAsia="宋体" w:cs="宋体"/>
                <w:color w:val="auto"/>
                <w:spacing w:val="-3"/>
                <w:sz w:val="24"/>
                <w:szCs w:val="24"/>
                <w:highlight w:val="none"/>
                <w:u w:val="none"/>
              </w:rPr>
              <w:t>人</w:t>
            </w:r>
          </w:p>
        </w:tc>
      </w:tr>
      <w:tr w14:paraId="26D39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3A5085DF">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Merge w:val="continue"/>
            <w:vAlign w:val="center"/>
          </w:tcPr>
          <w:p w14:paraId="056B350E">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935" w:type="pct"/>
            <w:gridSpan w:val="2"/>
            <w:vMerge w:val="continue"/>
            <w:vAlign w:val="center"/>
          </w:tcPr>
          <w:p w14:paraId="4049315E">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2592" w:type="pct"/>
            <w:gridSpan w:val="3"/>
            <w:vAlign w:val="center"/>
          </w:tcPr>
          <w:p w14:paraId="2D8508C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技术人员               人</w:t>
            </w:r>
          </w:p>
        </w:tc>
      </w:tr>
      <w:tr w14:paraId="55D77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29B90B72">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Merge w:val="restart"/>
            <w:vAlign w:val="center"/>
          </w:tcPr>
          <w:p w14:paraId="39C1049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流动资金</w:t>
            </w:r>
          </w:p>
        </w:tc>
        <w:tc>
          <w:tcPr>
            <w:tcW w:w="935" w:type="pct"/>
            <w:gridSpan w:val="2"/>
            <w:vMerge w:val="restart"/>
            <w:vAlign w:val="center"/>
          </w:tcPr>
          <w:p w14:paraId="62812DC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万元</w:t>
            </w:r>
          </w:p>
        </w:tc>
        <w:tc>
          <w:tcPr>
            <w:tcW w:w="801" w:type="pct"/>
            <w:vMerge w:val="restart"/>
            <w:vAlign w:val="center"/>
          </w:tcPr>
          <w:p w14:paraId="2F22085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5"/>
                <w:sz w:val="24"/>
                <w:szCs w:val="24"/>
                <w:highlight w:val="none"/>
                <w:u w:val="none"/>
              </w:rPr>
              <w:t>资金来源</w:t>
            </w:r>
          </w:p>
        </w:tc>
        <w:tc>
          <w:tcPr>
            <w:tcW w:w="767" w:type="pct"/>
            <w:vAlign w:val="center"/>
          </w:tcPr>
          <w:p w14:paraId="03A435F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3"/>
                <w:sz w:val="24"/>
                <w:szCs w:val="24"/>
                <w:highlight w:val="none"/>
                <w:u w:val="none"/>
              </w:rPr>
              <w:t>自有资金</w:t>
            </w:r>
          </w:p>
        </w:tc>
        <w:tc>
          <w:tcPr>
            <w:tcW w:w="1023" w:type="pct"/>
            <w:vAlign w:val="center"/>
          </w:tcPr>
          <w:p w14:paraId="292294F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万元</w:t>
            </w:r>
          </w:p>
        </w:tc>
      </w:tr>
      <w:tr w14:paraId="008F9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36490460">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Merge w:val="continue"/>
            <w:vAlign w:val="center"/>
          </w:tcPr>
          <w:p w14:paraId="5485B626">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935" w:type="pct"/>
            <w:gridSpan w:val="2"/>
            <w:vMerge w:val="continue"/>
            <w:vAlign w:val="center"/>
          </w:tcPr>
          <w:p w14:paraId="5CC15F58">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801" w:type="pct"/>
            <w:vMerge w:val="continue"/>
            <w:vAlign w:val="center"/>
          </w:tcPr>
          <w:p w14:paraId="53F57D58">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219D262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银行贷款</w:t>
            </w:r>
          </w:p>
        </w:tc>
        <w:tc>
          <w:tcPr>
            <w:tcW w:w="1023" w:type="pct"/>
            <w:vAlign w:val="center"/>
          </w:tcPr>
          <w:p w14:paraId="4D45763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万元</w:t>
            </w:r>
          </w:p>
        </w:tc>
      </w:tr>
      <w:tr w14:paraId="7475A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11B7BB05">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Merge w:val="restart"/>
            <w:vAlign w:val="center"/>
          </w:tcPr>
          <w:p w14:paraId="57CADEE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固定资产</w:t>
            </w:r>
          </w:p>
        </w:tc>
        <w:tc>
          <w:tcPr>
            <w:tcW w:w="935" w:type="pct"/>
            <w:gridSpan w:val="2"/>
            <w:vAlign w:val="center"/>
          </w:tcPr>
          <w:p w14:paraId="378C61D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原值</w:t>
            </w:r>
            <w:r>
              <w:rPr>
                <w:rFonts w:hint="eastAsia" w:ascii="宋体" w:hAnsi="宋体" w:eastAsia="宋体" w:cs="宋体"/>
                <w:color w:val="auto"/>
                <w:spacing w:val="3"/>
                <w:sz w:val="24"/>
                <w:szCs w:val="24"/>
                <w:highlight w:val="none"/>
                <w:u w:val="none"/>
              </w:rPr>
              <w:t xml:space="preserve">     </w:t>
            </w:r>
            <w:r>
              <w:rPr>
                <w:rFonts w:hint="eastAsia" w:ascii="宋体" w:hAnsi="宋体" w:eastAsia="宋体" w:cs="宋体"/>
                <w:color w:val="auto"/>
                <w:spacing w:val="-8"/>
                <w:sz w:val="24"/>
                <w:szCs w:val="24"/>
                <w:highlight w:val="none"/>
                <w:u w:val="none"/>
              </w:rPr>
              <w:t>万元</w:t>
            </w:r>
          </w:p>
        </w:tc>
        <w:tc>
          <w:tcPr>
            <w:tcW w:w="801" w:type="pct"/>
            <w:vMerge w:val="restart"/>
            <w:vAlign w:val="center"/>
          </w:tcPr>
          <w:p w14:paraId="74B8832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5"/>
                <w:sz w:val="24"/>
                <w:szCs w:val="24"/>
                <w:highlight w:val="none"/>
                <w:u w:val="none"/>
              </w:rPr>
              <w:t>资金性质</w:t>
            </w:r>
          </w:p>
        </w:tc>
        <w:tc>
          <w:tcPr>
            <w:tcW w:w="767" w:type="pct"/>
            <w:vAlign w:val="center"/>
          </w:tcPr>
          <w:p w14:paraId="6CBED28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4"/>
                <w:sz w:val="24"/>
                <w:szCs w:val="24"/>
                <w:highlight w:val="none"/>
                <w:u w:val="none"/>
              </w:rPr>
              <w:t>生产性</w:t>
            </w:r>
          </w:p>
        </w:tc>
        <w:tc>
          <w:tcPr>
            <w:tcW w:w="1023" w:type="pct"/>
            <w:vAlign w:val="center"/>
          </w:tcPr>
          <w:p w14:paraId="7F4BEE92">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万元</w:t>
            </w:r>
          </w:p>
        </w:tc>
      </w:tr>
      <w:tr w14:paraId="5F8A6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56D5010E">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Merge w:val="continue"/>
            <w:vAlign w:val="center"/>
          </w:tcPr>
          <w:p w14:paraId="3BD9AE94">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935" w:type="pct"/>
            <w:gridSpan w:val="2"/>
            <w:vAlign w:val="center"/>
          </w:tcPr>
          <w:p w14:paraId="097F0EE2">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7"/>
                <w:sz w:val="24"/>
                <w:szCs w:val="24"/>
                <w:highlight w:val="none"/>
                <w:u w:val="none"/>
              </w:rPr>
              <w:t>净值</w:t>
            </w:r>
            <w:r>
              <w:rPr>
                <w:rFonts w:hint="eastAsia" w:ascii="宋体" w:hAnsi="宋体" w:eastAsia="宋体" w:cs="宋体"/>
                <w:color w:val="auto"/>
                <w:spacing w:val="3"/>
                <w:sz w:val="24"/>
                <w:szCs w:val="24"/>
                <w:highlight w:val="none"/>
                <w:u w:val="none"/>
              </w:rPr>
              <w:t xml:space="preserve">     </w:t>
            </w:r>
            <w:r>
              <w:rPr>
                <w:rFonts w:hint="eastAsia" w:ascii="宋体" w:hAnsi="宋体" w:eastAsia="宋体" w:cs="宋体"/>
                <w:color w:val="auto"/>
                <w:spacing w:val="-7"/>
                <w:sz w:val="24"/>
                <w:szCs w:val="24"/>
                <w:highlight w:val="none"/>
                <w:u w:val="none"/>
              </w:rPr>
              <w:t>万元</w:t>
            </w:r>
          </w:p>
        </w:tc>
        <w:tc>
          <w:tcPr>
            <w:tcW w:w="801" w:type="pct"/>
            <w:vMerge w:val="continue"/>
            <w:vAlign w:val="center"/>
          </w:tcPr>
          <w:p w14:paraId="15A9A172">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4323602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4"/>
                <w:sz w:val="24"/>
                <w:szCs w:val="24"/>
                <w:highlight w:val="none"/>
                <w:u w:val="none"/>
              </w:rPr>
              <w:t>非生产性</w:t>
            </w:r>
          </w:p>
        </w:tc>
        <w:tc>
          <w:tcPr>
            <w:tcW w:w="1023" w:type="pct"/>
            <w:vAlign w:val="center"/>
          </w:tcPr>
          <w:p w14:paraId="59161FE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8"/>
                <w:sz w:val="24"/>
                <w:szCs w:val="24"/>
                <w:highlight w:val="none"/>
                <w:u w:val="none"/>
              </w:rPr>
              <w:t>万元</w:t>
            </w:r>
          </w:p>
        </w:tc>
      </w:tr>
      <w:tr w14:paraId="6C0C2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restart"/>
            <w:vAlign w:val="center"/>
          </w:tcPr>
          <w:p w14:paraId="3401054A">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p w14:paraId="4208D4B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pacing w:val="-3"/>
                <w:sz w:val="24"/>
                <w:szCs w:val="24"/>
                <w:highlight w:val="none"/>
                <w:u w:val="none"/>
              </w:rPr>
            </w:pPr>
            <w:r>
              <w:rPr>
                <w:rFonts w:hint="eastAsia" w:ascii="宋体" w:hAnsi="宋体" w:eastAsia="宋体" w:cs="宋体"/>
                <w:color w:val="auto"/>
                <w:spacing w:val="-3"/>
                <w:sz w:val="24"/>
                <w:szCs w:val="24"/>
                <w:highlight w:val="none"/>
                <w:u w:val="none"/>
              </w:rPr>
              <w:t>企业财务</w:t>
            </w:r>
          </w:p>
          <w:p w14:paraId="56B6D7E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状</w:t>
            </w:r>
            <w:r>
              <w:rPr>
                <w:rFonts w:hint="eastAsia" w:ascii="宋体" w:hAnsi="宋体" w:eastAsia="宋体" w:cs="宋体"/>
                <w:color w:val="auto"/>
                <w:sz w:val="24"/>
                <w:szCs w:val="24"/>
                <w:highlight w:val="none"/>
                <w:u w:val="none"/>
              </w:rPr>
              <w:t>况</w:t>
            </w:r>
          </w:p>
        </w:tc>
        <w:tc>
          <w:tcPr>
            <w:tcW w:w="676" w:type="pct"/>
            <w:vAlign w:val="center"/>
          </w:tcPr>
          <w:p w14:paraId="1FEB77C3">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935" w:type="pct"/>
            <w:gridSpan w:val="2"/>
            <w:vAlign w:val="center"/>
          </w:tcPr>
          <w:p w14:paraId="1A05450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pacing w:val="-5"/>
                <w:sz w:val="24"/>
                <w:szCs w:val="24"/>
                <w:highlight w:val="none"/>
                <w:u w:val="none"/>
              </w:rPr>
            </w:pPr>
            <w:r>
              <w:rPr>
                <w:rFonts w:hint="eastAsia" w:ascii="宋体" w:hAnsi="宋体" w:eastAsia="宋体" w:cs="宋体"/>
                <w:color w:val="auto"/>
                <w:spacing w:val="-5"/>
                <w:sz w:val="24"/>
                <w:szCs w:val="24"/>
                <w:highlight w:val="none"/>
                <w:u w:val="none"/>
              </w:rPr>
              <w:t>收入总额</w:t>
            </w:r>
          </w:p>
          <w:p w14:paraId="6ED22B1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pacing w:val="-5"/>
                <w:sz w:val="24"/>
                <w:szCs w:val="24"/>
                <w:highlight w:val="none"/>
                <w:u w:val="none"/>
                <w:lang w:eastAsia="zh-CN"/>
              </w:rPr>
              <w:t>（</w:t>
            </w:r>
            <w:r>
              <w:rPr>
                <w:rFonts w:hint="eastAsia" w:ascii="宋体" w:hAnsi="宋体" w:eastAsia="宋体" w:cs="宋体"/>
                <w:color w:val="auto"/>
                <w:spacing w:val="-5"/>
                <w:sz w:val="24"/>
                <w:szCs w:val="24"/>
                <w:highlight w:val="none"/>
                <w:u w:val="none"/>
                <w:lang w:val="en-US" w:eastAsia="zh-CN"/>
              </w:rPr>
              <w:t>万元</w:t>
            </w:r>
            <w:r>
              <w:rPr>
                <w:rFonts w:hint="eastAsia" w:ascii="宋体" w:hAnsi="宋体" w:eastAsia="宋体" w:cs="宋体"/>
                <w:color w:val="auto"/>
                <w:spacing w:val="-5"/>
                <w:sz w:val="24"/>
                <w:szCs w:val="24"/>
                <w:highlight w:val="none"/>
                <w:u w:val="none"/>
                <w:lang w:eastAsia="zh-CN"/>
              </w:rPr>
              <w:t>）</w:t>
            </w:r>
          </w:p>
        </w:tc>
        <w:tc>
          <w:tcPr>
            <w:tcW w:w="801" w:type="pct"/>
            <w:vAlign w:val="center"/>
          </w:tcPr>
          <w:p w14:paraId="162DFB0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利润总额</w:t>
            </w:r>
            <w:r>
              <w:rPr>
                <w:rFonts w:hint="eastAsia" w:ascii="宋体" w:hAnsi="宋体" w:eastAsia="宋体" w:cs="宋体"/>
                <w:color w:val="auto"/>
                <w:spacing w:val="-5"/>
                <w:sz w:val="24"/>
                <w:szCs w:val="24"/>
                <w:highlight w:val="none"/>
                <w:u w:val="none"/>
                <w:lang w:eastAsia="zh-CN"/>
              </w:rPr>
              <w:t>（</w:t>
            </w:r>
            <w:r>
              <w:rPr>
                <w:rFonts w:hint="eastAsia" w:ascii="宋体" w:hAnsi="宋体" w:eastAsia="宋体" w:cs="宋体"/>
                <w:color w:val="auto"/>
                <w:spacing w:val="-5"/>
                <w:sz w:val="24"/>
                <w:szCs w:val="24"/>
                <w:highlight w:val="none"/>
                <w:u w:val="none"/>
                <w:lang w:val="en-US" w:eastAsia="zh-CN"/>
              </w:rPr>
              <w:t>万元</w:t>
            </w:r>
            <w:r>
              <w:rPr>
                <w:rFonts w:hint="eastAsia" w:ascii="宋体" w:hAnsi="宋体" w:eastAsia="宋体" w:cs="宋体"/>
                <w:color w:val="auto"/>
                <w:spacing w:val="-5"/>
                <w:sz w:val="24"/>
                <w:szCs w:val="24"/>
                <w:highlight w:val="none"/>
                <w:u w:val="none"/>
                <w:lang w:eastAsia="zh-CN"/>
              </w:rPr>
              <w:t>）</w:t>
            </w:r>
          </w:p>
        </w:tc>
        <w:tc>
          <w:tcPr>
            <w:tcW w:w="767" w:type="pct"/>
            <w:vAlign w:val="center"/>
          </w:tcPr>
          <w:p w14:paraId="2FEC146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5"/>
                <w:sz w:val="24"/>
                <w:szCs w:val="24"/>
                <w:highlight w:val="none"/>
                <w:u w:val="none"/>
              </w:rPr>
              <w:t>净利润</w:t>
            </w:r>
            <w:r>
              <w:rPr>
                <w:rFonts w:hint="eastAsia" w:ascii="宋体" w:hAnsi="宋体" w:eastAsia="宋体" w:cs="宋体"/>
                <w:color w:val="auto"/>
                <w:spacing w:val="-5"/>
                <w:sz w:val="24"/>
                <w:szCs w:val="24"/>
                <w:highlight w:val="none"/>
                <w:u w:val="none"/>
                <w:lang w:val="en-US" w:eastAsia="zh-CN"/>
              </w:rPr>
              <w:t xml:space="preserve"> </w:t>
            </w:r>
            <w:r>
              <w:rPr>
                <w:rFonts w:hint="eastAsia" w:ascii="宋体" w:hAnsi="宋体" w:eastAsia="宋体" w:cs="宋体"/>
                <w:color w:val="auto"/>
                <w:spacing w:val="-5"/>
                <w:sz w:val="24"/>
                <w:szCs w:val="24"/>
                <w:highlight w:val="none"/>
                <w:u w:val="none"/>
                <w:lang w:eastAsia="zh-CN"/>
              </w:rPr>
              <w:t>（</w:t>
            </w:r>
            <w:r>
              <w:rPr>
                <w:rFonts w:hint="eastAsia" w:ascii="宋体" w:hAnsi="宋体" w:eastAsia="宋体" w:cs="宋体"/>
                <w:color w:val="auto"/>
                <w:spacing w:val="-5"/>
                <w:sz w:val="24"/>
                <w:szCs w:val="24"/>
                <w:highlight w:val="none"/>
                <w:u w:val="none"/>
                <w:lang w:val="en-US" w:eastAsia="zh-CN"/>
              </w:rPr>
              <w:t>万元</w:t>
            </w:r>
            <w:r>
              <w:rPr>
                <w:rFonts w:hint="eastAsia" w:ascii="宋体" w:hAnsi="宋体" w:eastAsia="宋体" w:cs="宋体"/>
                <w:color w:val="auto"/>
                <w:spacing w:val="-5"/>
                <w:sz w:val="24"/>
                <w:szCs w:val="24"/>
                <w:highlight w:val="none"/>
                <w:u w:val="none"/>
                <w:lang w:eastAsia="zh-CN"/>
              </w:rPr>
              <w:t>）</w:t>
            </w:r>
          </w:p>
        </w:tc>
        <w:tc>
          <w:tcPr>
            <w:tcW w:w="1023" w:type="pct"/>
            <w:vAlign w:val="center"/>
          </w:tcPr>
          <w:p w14:paraId="31C10FE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5"/>
                <w:sz w:val="24"/>
                <w:szCs w:val="24"/>
                <w:highlight w:val="none"/>
                <w:u w:val="none"/>
              </w:rPr>
              <w:t>负债总额</w:t>
            </w:r>
            <w:r>
              <w:rPr>
                <w:rFonts w:hint="eastAsia" w:ascii="宋体" w:hAnsi="宋体" w:eastAsia="宋体" w:cs="宋体"/>
                <w:color w:val="auto"/>
                <w:spacing w:val="-5"/>
                <w:sz w:val="24"/>
                <w:szCs w:val="24"/>
                <w:highlight w:val="none"/>
                <w:u w:val="none"/>
                <w:lang w:val="en-US" w:eastAsia="zh-CN"/>
              </w:rPr>
              <w:t xml:space="preserve">  </w:t>
            </w:r>
            <w:r>
              <w:rPr>
                <w:rFonts w:hint="eastAsia" w:ascii="宋体" w:hAnsi="宋体" w:eastAsia="宋体" w:cs="宋体"/>
                <w:color w:val="auto"/>
                <w:spacing w:val="-5"/>
                <w:sz w:val="24"/>
                <w:szCs w:val="24"/>
                <w:highlight w:val="none"/>
                <w:u w:val="none"/>
                <w:lang w:eastAsia="zh-CN"/>
              </w:rPr>
              <w:t>（</w:t>
            </w:r>
            <w:r>
              <w:rPr>
                <w:rFonts w:hint="eastAsia" w:ascii="宋体" w:hAnsi="宋体" w:eastAsia="宋体" w:cs="宋体"/>
                <w:color w:val="auto"/>
                <w:spacing w:val="-5"/>
                <w:sz w:val="24"/>
                <w:szCs w:val="24"/>
                <w:highlight w:val="none"/>
                <w:u w:val="none"/>
                <w:lang w:val="en-US" w:eastAsia="zh-CN"/>
              </w:rPr>
              <w:t>万元</w:t>
            </w:r>
            <w:r>
              <w:rPr>
                <w:rFonts w:hint="eastAsia" w:ascii="宋体" w:hAnsi="宋体" w:eastAsia="宋体" w:cs="宋体"/>
                <w:color w:val="auto"/>
                <w:spacing w:val="-5"/>
                <w:sz w:val="24"/>
                <w:szCs w:val="24"/>
                <w:highlight w:val="none"/>
                <w:u w:val="none"/>
                <w:lang w:eastAsia="zh-CN"/>
              </w:rPr>
              <w:t>）</w:t>
            </w:r>
          </w:p>
        </w:tc>
      </w:tr>
      <w:tr w14:paraId="0674E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42B95381">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Align w:val="center"/>
          </w:tcPr>
          <w:p w14:paraId="1F09E500">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
                <w:sz w:val="24"/>
                <w:szCs w:val="24"/>
                <w:highlight w:val="none"/>
                <w:u w:val="none"/>
              </w:rPr>
              <w:t>20</w:t>
            </w:r>
            <w:r>
              <w:rPr>
                <w:rFonts w:hint="eastAsia" w:ascii="宋体" w:hAnsi="宋体" w:eastAsia="宋体" w:cs="宋体"/>
                <w:color w:val="auto"/>
                <w:spacing w:val="-1"/>
                <w:sz w:val="24"/>
                <w:szCs w:val="24"/>
                <w:highlight w:val="none"/>
                <w:u w:val="none"/>
                <w:lang w:val="en-US" w:eastAsia="zh-CN"/>
              </w:rPr>
              <w:t>23</w:t>
            </w:r>
            <w:r>
              <w:rPr>
                <w:rFonts w:hint="eastAsia" w:ascii="宋体" w:hAnsi="宋体" w:eastAsia="宋体" w:cs="宋体"/>
                <w:color w:val="auto"/>
                <w:spacing w:val="-1"/>
                <w:sz w:val="24"/>
                <w:szCs w:val="24"/>
                <w:highlight w:val="none"/>
                <w:u w:val="none"/>
              </w:rPr>
              <w:t xml:space="preserve"> 年</w:t>
            </w:r>
          </w:p>
        </w:tc>
        <w:tc>
          <w:tcPr>
            <w:tcW w:w="935" w:type="pct"/>
            <w:gridSpan w:val="2"/>
            <w:vAlign w:val="center"/>
          </w:tcPr>
          <w:p w14:paraId="649ACF1F">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801" w:type="pct"/>
            <w:vAlign w:val="center"/>
          </w:tcPr>
          <w:p w14:paraId="7D8C8B5F">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72FB3F7F">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1023" w:type="pct"/>
            <w:vAlign w:val="center"/>
          </w:tcPr>
          <w:p w14:paraId="3D174A07">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3D09F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3E64CECA">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Align w:val="center"/>
          </w:tcPr>
          <w:p w14:paraId="38F6A39E">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
                <w:sz w:val="24"/>
                <w:szCs w:val="24"/>
                <w:highlight w:val="none"/>
                <w:u w:val="none"/>
              </w:rPr>
              <w:t>20</w:t>
            </w:r>
            <w:r>
              <w:rPr>
                <w:rFonts w:hint="eastAsia" w:ascii="宋体" w:hAnsi="宋体" w:eastAsia="宋体" w:cs="宋体"/>
                <w:color w:val="auto"/>
                <w:spacing w:val="-1"/>
                <w:sz w:val="24"/>
                <w:szCs w:val="24"/>
                <w:highlight w:val="none"/>
                <w:u w:val="none"/>
                <w:lang w:val="en-US" w:eastAsia="zh-CN"/>
              </w:rPr>
              <w:t>22</w:t>
            </w:r>
            <w:r>
              <w:rPr>
                <w:rFonts w:hint="eastAsia" w:ascii="宋体" w:hAnsi="宋体" w:eastAsia="宋体" w:cs="宋体"/>
                <w:color w:val="auto"/>
                <w:spacing w:val="-1"/>
                <w:sz w:val="24"/>
                <w:szCs w:val="24"/>
                <w:highlight w:val="none"/>
                <w:u w:val="none"/>
              </w:rPr>
              <w:t>年</w:t>
            </w:r>
          </w:p>
        </w:tc>
        <w:tc>
          <w:tcPr>
            <w:tcW w:w="935" w:type="pct"/>
            <w:gridSpan w:val="2"/>
            <w:vAlign w:val="center"/>
          </w:tcPr>
          <w:p w14:paraId="3BE636E1">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801" w:type="pct"/>
            <w:vAlign w:val="center"/>
          </w:tcPr>
          <w:p w14:paraId="2139971C">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728B9209">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1023" w:type="pct"/>
            <w:vAlign w:val="center"/>
          </w:tcPr>
          <w:p w14:paraId="02A17D4B">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1E9EA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7C3CE65A">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676" w:type="pct"/>
            <w:vAlign w:val="center"/>
          </w:tcPr>
          <w:p w14:paraId="53072B68">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
                <w:sz w:val="24"/>
                <w:szCs w:val="24"/>
                <w:highlight w:val="none"/>
                <w:u w:val="none"/>
              </w:rPr>
              <w:t>20</w:t>
            </w:r>
            <w:r>
              <w:rPr>
                <w:rFonts w:hint="eastAsia" w:ascii="宋体" w:hAnsi="宋体" w:eastAsia="宋体" w:cs="宋体"/>
                <w:color w:val="auto"/>
                <w:spacing w:val="-1"/>
                <w:sz w:val="24"/>
                <w:szCs w:val="24"/>
                <w:highlight w:val="none"/>
                <w:u w:val="none"/>
                <w:lang w:val="en-US" w:eastAsia="zh-CN"/>
              </w:rPr>
              <w:t>21</w:t>
            </w:r>
            <w:r>
              <w:rPr>
                <w:rFonts w:hint="eastAsia" w:ascii="宋体" w:hAnsi="宋体" w:eastAsia="宋体" w:cs="宋体"/>
                <w:color w:val="auto"/>
                <w:spacing w:val="-1"/>
                <w:sz w:val="24"/>
                <w:szCs w:val="24"/>
                <w:highlight w:val="none"/>
                <w:u w:val="none"/>
              </w:rPr>
              <w:t>年</w:t>
            </w:r>
          </w:p>
        </w:tc>
        <w:tc>
          <w:tcPr>
            <w:tcW w:w="935" w:type="pct"/>
            <w:gridSpan w:val="2"/>
            <w:vAlign w:val="center"/>
          </w:tcPr>
          <w:p w14:paraId="0AAA5B58">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801" w:type="pct"/>
            <w:vAlign w:val="center"/>
          </w:tcPr>
          <w:p w14:paraId="4AD22738">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767" w:type="pct"/>
            <w:vAlign w:val="center"/>
          </w:tcPr>
          <w:p w14:paraId="73BFA893">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1023" w:type="pct"/>
            <w:vAlign w:val="center"/>
          </w:tcPr>
          <w:p w14:paraId="0B990FF7">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5907B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restart"/>
            <w:vAlign w:val="center"/>
          </w:tcPr>
          <w:p w14:paraId="029A49E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主要产品</w:t>
            </w:r>
            <w:r>
              <w:rPr>
                <w:rFonts w:hint="eastAsia" w:ascii="宋体" w:hAnsi="宋体" w:eastAsia="宋体" w:cs="宋体"/>
                <w:color w:val="auto"/>
                <w:sz w:val="24"/>
                <w:szCs w:val="24"/>
                <w:highlight w:val="none"/>
                <w:u w:val="none"/>
              </w:rPr>
              <w:t xml:space="preserve">  </w:t>
            </w:r>
          </w:p>
          <w:p w14:paraId="12209BD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8"/>
                <w:sz w:val="24"/>
                <w:szCs w:val="24"/>
                <w:highlight w:val="none"/>
                <w:u w:val="none"/>
              </w:rPr>
              <w:t>（供货）情况</w:t>
            </w:r>
          </w:p>
        </w:tc>
        <w:tc>
          <w:tcPr>
            <w:tcW w:w="1611" w:type="pct"/>
            <w:gridSpan w:val="3"/>
            <w:vAlign w:val="center"/>
          </w:tcPr>
          <w:p w14:paraId="443CC6C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3"/>
                <w:sz w:val="24"/>
                <w:szCs w:val="24"/>
                <w:highlight w:val="none"/>
                <w:u w:val="none"/>
              </w:rPr>
              <w:t>产品名称</w:t>
            </w:r>
          </w:p>
        </w:tc>
        <w:tc>
          <w:tcPr>
            <w:tcW w:w="2592" w:type="pct"/>
            <w:gridSpan w:val="3"/>
            <w:vAlign w:val="center"/>
          </w:tcPr>
          <w:p w14:paraId="7F0D0D3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2"/>
                <w:sz w:val="24"/>
                <w:szCs w:val="24"/>
                <w:highlight w:val="none"/>
                <w:u w:val="none"/>
              </w:rPr>
              <w:t>上年销售额（万元）</w:t>
            </w:r>
          </w:p>
        </w:tc>
      </w:tr>
      <w:tr w14:paraId="29C11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3585A2BA">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1611" w:type="pct"/>
            <w:gridSpan w:val="3"/>
            <w:vAlign w:val="center"/>
          </w:tcPr>
          <w:p w14:paraId="5468C7B0">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2592" w:type="pct"/>
            <w:gridSpan w:val="3"/>
            <w:vAlign w:val="center"/>
          </w:tcPr>
          <w:p w14:paraId="32453B8C">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0589C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795" w:type="pct"/>
            <w:vMerge w:val="continue"/>
            <w:vAlign w:val="center"/>
          </w:tcPr>
          <w:p w14:paraId="492F9436">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1611" w:type="pct"/>
            <w:gridSpan w:val="3"/>
            <w:vAlign w:val="center"/>
          </w:tcPr>
          <w:p w14:paraId="72F0D49E">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2592" w:type="pct"/>
            <w:gridSpan w:val="3"/>
            <w:vAlign w:val="center"/>
          </w:tcPr>
          <w:p w14:paraId="2955C861">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3C71F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1472" w:type="pct"/>
            <w:gridSpan w:val="2"/>
            <w:vAlign w:val="center"/>
          </w:tcPr>
          <w:p w14:paraId="6ECB15AD">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2"/>
                <w:position w:val="1"/>
                <w:sz w:val="24"/>
                <w:szCs w:val="24"/>
                <w:highlight w:val="none"/>
                <w:u w:val="none"/>
              </w:rPr>
              <w:t>生产/经营地点</w:t>
            </w:r>
          </w:p>
        </w:tc>
        <w:tc>
          <w:tcPr>
            <w:tcW w:w="3527" w:type="pct"/>
            <w:gridSpan w:val="5"/>
            <w:vAlign w:val="center"/>
          </w:tcPr>
          <w:p w14:paraId="17D1AAD6">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r>
      <w:tr w14:paraId="15A12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2" w:hRule="atLeast"/>
          <w:jc w:val="center"/>
        </w:trPr>
        <w:tc>
          <w:tcPr>
            <w:tcW w:w="1472" w:type="pct"/>
            <w:gridSpan w:val="2"/>
            <w:vMerge w:val="restart"/>
            <w:vAlign w:val="center"/>
          </w:tcPr>
          <w:p w14:paraId="07F22D4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4"/>
                <w:sz w:val="24"/>
                <w:szCs w:val="24"/>
                <w:highlight w:val="none"/>
                <w:u w:val="none"/>
              </w:rPr>
              <w:t>关联单位</w:t>
            </w:r>
          </w:p>
        </w:tc>
        <w:tc>
          <w:tcPr>
            <w:tcW w:w="3527" w:type="pct"/>
            <w:gridSpan w:val="5"/>
            <w:vAlign w:val="center"/>
          </w:tcPr>
          <w:p w14:paraId="4E2518C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
                <w:sz w:val="24"/>
                <w:szCs w:val="24"/>
                <w:highlight w:val="none"/>
                <w:u w:val="none"/>
              </w:rPr>
              <w:t>与</w:t>
            </w:r>
            <w:r>
              <w:rPr>
                <w:rFonts w:hint="eastAsia" w:ascii="宋体" w:hAnsi="宋体" w:eastAsia="宋体" w:cs="宋体"/>
                <w:color w:val="auto"/>
                <w:spacing w:val="-1"/>
                <w:sz w:val="24"/>
                <w:szCs w:val="24"/>
                <w:highlight w:val="none"/>
                <w:u w:val="none"/>
                <w:lang w:eastAsia="zh-CN"/>
              </w:rPr>
              <w:t>投标人</w:t>
            </w:r>
            <w:r>
              <w:rPr>
                <w:rFonts w:hint="eastAsia" w:ascii="宋体" w:hAnsi="宋体" w:eastAsia="宋体" w:cs="宋体"/>
                <w:color w:val="auto"/>
                <w:spacing w:val="-1"/>
                <w:sz w:val="24"/>
                <w:szCs w:val="24"/>
                <w:highlight w:val="none"/>
                <w:u w:val="none"/>
              </w:rPr>
              <w:t>单位负责人为同一人的其他单位：</w:t>
            </w:r>
          </w:p>
        </w:tc>
      </w:tr>
      <w:tr w14:paraId="41CD9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jc w:val="center"/>
        </w:trPr>
        <w:tc>
          <w:tcPr>
            <w:tcW w:w="1472" w:type="pct"/>
            <w:gridSpan w:val="2"/>
            <w:vMerge w:val="continue"/>
            <w:vAlign w:val="center"/>
          </w:tcPr>
          <w:p w14:paraId="17CB3530">
            <w:pPr>
              <w:pStyle w:val="112"/>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p>
        </w:tc>
        <w:tc>
          <w:tcPr>
            <w:tcW w:w="3527" w:type="pct"/>
            <w:gridSpan w:val="5"/>
            <w:vAlign w:val="center"/>
          </w:tcPr>
          <w:p w14:paraId="606D250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pacing w:val="-1"/>
                <w:sz w:val="24"/>
                <w:szCs w:val="24"/>
                <w:highlight w:val="none"/>
                <w:u w:val="none"/>
              </w:rPr>
              <w:t>与</w:t>
            </w:r>
            <w:r>
              <w:rPr>
                <w:rFonts w:hint="eastAsia" w:ascii="宋体" w:hAnsi="宋体" w:eastAsia="宋体" w:cs="宋体"/>
                <w:color w:val="auto"/>
                <w:spacing w:val="-1"/>
                <w:sz w:val="24"/>
                <w:szCs w:val="24"/>
                <w:highlight w:val="none"/>
                <w:u w:val="none"/>
                <w:lang w:eastAsia="zh-CN"/>
              </w:rPr>
              <w:t>投标人</w:t>
            </w:r>
            <w:r>
              <w:rPr>
                <w:rFonts w:hint="eastAsia" w:ascii="宋体" w:hAnsi="宋体" w:eastAsia="宋体" w:cs="宋体"/>
                <w:color w:val="auto"/>
                <w:spacing w:val="-1"/>
                <w:sz w:val="24"/>
                <w:szCs w:val="24"/>
                <w:highlight w:val="none"/>
                <w:u w:val="none"/>
              </w:rPr>
              <w:t>存在控股、管理关系的其他单位：</w:t>
            </w:r>
          </w:p>
        </w:tc>
      </w:tr>
      <w:bookmarkEnd w:id="141"/>
    </w:tbl>
    <w:p w14:paraId="01774A01">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bookmarkStart w:id="142" w:name="_Toc26218"/>
      <w:r>
        <w:rPr>
          <w:rFonts w:hint="eastAsia" w:ascii="宋体" w:hAnsi="宋体" w:eastAsia="宋体" w:cs="宋体"/>
          <w:b w:val="0"/>
          <w:bCs/>
          <w:color w:val="auto"/>
          <w:sz w:val="24"/>
          <w:szCs w:val="24"/>
          <w:highlight w:val="none"/>
        </w:rPr>
        <w:t>备注：</w:t>
      </w:r>
    </w:p>
    <w:p w14:paraId="204DE653">
      <w:pPr>
        <w:pageBreakBefore w:val="0"/>
        <w:numPr>
          <w:ilvl w:val="0"/>
          <w:numId w:val="7"/>
        </w:numPr>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lang w:eastAsia="zh-CN"/>
        </w:rPr>
      </w:pPr>
      <w:r>
        <w:rPr>
          <w:rFonts w:hint="eastAsia" w:ascii="宋体" w:hAnsi="宋体" w:eastAsia="宋体" w:cs="宋体"/>
          <w:color w:val="auto"/>
          <w:sz w:val="24"/>
          <w:szCs w:val="24"/>
          <w:highlight w:val="none"/>
          <w:lang w:val="en-US" w:eastAsia="zh-CN"/>
        </w:rPr>
        <w:t>投标人为法人时，</w:t>
      </w:r>
      <w:r>
        <w:rPr>
          <w:rFonts w:hint="eastAsia" w:ascii="宋体" w:hAnsi="宋体" w:eastAsia="宋体" w:cs="宋体"/>
          <w:b w:val="0"/>
          <w:bCs/>
          <w:color w:val="auto"/>
          <w:sz w:val="24"/>
          <w:szCs w:val="24"/>
          <w:highlight w:val="none"/>
        </w:rPr>
        <w:t>后附营业执照</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资质证书</w:t>
      </w:r>
      <w:r>
        <w:rPr>
          <w:rFonts w:hint="eastAsia" w:ascii="宋体" w:hAnsi="宋体" w:eastAsia="宋体" w:cs="宋体"/>
          <w:b w:val="0"/>
          <w:bCs/>
          <w:color w:val="auto"/>
          <w:sz w:val="24"/>
          <w:szCs w:val="24"/>
          <w:highlight w:val="none"/>
        </w:rPr>
        <w:t>等相关证明材料</w:t>
      </w:r>
      <w:r>
        <w:rPr>
          <w:rFonts w:hint="eastAsia" w:ascii="宋体" w:hAnsi="宋体" w:eastAsia="宋体" w:cs="宋体"/>
          <w:b w:val="0"/>
          <w:bCs/>
          <w:color w:val="auto"/>
          <w:sz w:val="24"/>
          <w:szCs w:val="24"/>
          <w:highlight w:val="none"/>
          <w:lang w:eastAsia="zh-CN"/>
        </w:rPr>
        <w:t>；</w:t>
      </w:r>
    </w:p>
    <w:p w14:paraId="3B944056">
      <w:pPr>
        <w:pageBreakBefore w:val="0"/>
        <w:numPr>
          <w:ilvl w:val="0"/>
          <w:numId w:val="7"/>
        </w:numPr>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为非法人时，格式自拟。</w:t>
      </w:r>
    </w:p>
    <w:p w14:paraId="41FB090A">
      <w:pPr>
        <w:pStyle w:val="40"/>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sectPr>
          <w:pgSz w:w="11906" w:h="16838"/>
          <w:pgMar w:top="1440" w:right="1800" w:bottom="1440" w:left="1800" w:header="851" w:footer="992" w:gutter="0"/>
          <w:pgNumType w:fmt="decimal"/>
          <w:cols w:space="720" w:num="1"/>
          <w:docGrid w:type="lines" w:linePitch="312" w:charSpace="0"/>
        </w:sectPr>
      </w:pPr>
    </w:p>
    <w:p w14:paraId="35280DBC">
      <w:pPr>
        <w:keepNext w:val="0"/>
        <w:keepLines w:val="0"/>
        <w:pageBreakBefore w:val="0"/>
        <w:widowControl/>
        <w:suppressLineNumbers w:val="0"/>
        <w:wordWrap/>
        <w:overflowPunct/>
        <w:topLinePunct w:val="0"/>
        <w:bidi w:val="0"/>
        <w:spacing w:line="560" w:lineRule="exact"/>
        <w:ind w:left="0" w:leftChars="0" w:right="0" w:rightChars="0"/>
        <w:jc w:val="center"/>
        <w:outlineLvl w:val="1"/>
        <w:rPr>
          <w:rFonts w:hint="eastAsia" w:ascii="宋体" w:hAnsi="宋体" w:eastAsia="宋体" w:cs="宋体"/>
          <w:bCs/>
          <w:i w:val="0"/>
          <w:iCs w:val="0"/>
          <w:color w:val="auto"/>
          <w:sz w:val="24"/>
          <w:szCs w:val="24"/>
          <w:highlight w:val="none"/>
          <w:lang w:val="en-US"/>
        </w:rPr>
      </w:pPr>
      <w:r>
        <w:rPr>
          <w:rFonts w:hint="eastAsia" w:ascii="宋体" w:hAnsi="宋体" w:eastAsia="宋体" w:cs="宋体"/>
          <w:b w:val="0"/>
          <w:bCs/>
          <w:i w:val="0"/>
          <w:iCs w:val="0"/>
          <w:color w:val="auto"/>
          <w:kern w:val="0"/>
          <w:sz w:val="24"/>
          <w:szCs w:val="24"/>
          <w:highlight w:val="none"/>
          <w:lang w:val="en-US" w:eastAsia="zh-CN"/>
        </w:rPr>
        <w:t>六、项目负责人简介</w:t>
      </w:r>
    </w:p>
    <w:tbl>
      <w:tblPr>
        <w:tblStyle w:val="31"/>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136"/>
        <w:gridCol w:w="1421"/>
        <w:gridCol w:w="1420"/>
        <w:gridCol w:w="1267"/>
        <w:gridCol w:w="2160"/>
      </w:tblGrid>
      <w:tr w14:paraId="71AD0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0FFF349A">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1136" w:type="dxa"/>
            <w:vAlign w:val="center"/>
          </w:tcPr>
          <w:p w14:paraId="2325B27B">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1421" w:type="dxa"/>
            <w:vAlign w:val="center"/>
          </w:tcPr>
          <w:p w14:paraId="75AE1F16">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性别</w:t>
            </w:r>
          </w:p>
        </w:tc>
        <w:tc>
          <w:tcPr>
            <w:tcW w:w="1420" w:type="dxa"/>
            <w:vAlign w:val="center"/>
          </w:tcPr>
          <w:p w14:paraId="0BC0E96E">
            <w:pPr>
              <w:pageBreakBefore w:val="0"/>
              <w:kinsoku/>
              <w:topLinePunct w:val="0"/>
              <w:bidi w:val="0"/>
              <w:spacing w:line="500" w:lineRule="exact"/>
              <w:jc w:val="center"/>
              <w:rPr>
                <w:rFonts w:hint="eastAsia" w:ascii="宋体" w:hAnsi="宋体" w:eastAsia="宋体" w:cs="宋体"/>
                <w:color w:val="auto"/>
                <w:sz w:val="24"/>
                <w:szCs w:val="24"/>
                <w:highlight w:val="none"/>
              </w:rPr>
            </w:pPr>
          </w:p>
        </w:tc>
        <w:tc>
          <w:tcPr>
            <w:tcW w:w="1267" w:type="dxa"/>
            <w:vAlign w:val="center"/>
          </w:tcPr>
          <w:p w14:paraId="6B9ED5EA">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2160" w:type="dxa"/>
            <w:vAlign w:val="center"/>
          </w:tcPr>
          <w:p w14:paraId="316540EB">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64EFA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14:paraId="782C4E61">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1136" w:type="dxa"/>
            <w:vAlign w:val="center"/>
          </w:tcPr>
          <w:p w14:paraId="497DFBEA">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1421" w:type="dxa"/>
            <w:vAlign w:val="center"/>
          </w:tcPr>
          <w:p w14:paraId="7CAC1B18">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420" w:type="dxa"/>
            <w:vAlign w:val="center"/>
          </w:tcPr>
          <w:p w14:paraId="1A2CC9D5">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1267" w:type="dxa"/>
            <w:vAlign w:val="center"/>
          </w:tcPr>
          <w:p w14:paraId="038F6A82">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w:t>
            </w:r>
          </w:p>
        </w:tc>
        <w:tc>
          <w:tcPr>
            <w:tcW w:w="2160" w:type="dxa"/>
            <w:vAlign w:val="center"/>
          </w:tcPr>
          <w:p w14:paraId="2790B72A">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06FA6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03F8D1A5">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身份证号</w:t>
            </w:r>
          </w:p>
        </w:tc>
        <w:tc>
          <w:tcPr>
            <w:tcW w:w="2557" w:type="dxa"/>
            <w:gridSpan w:val="2"/>
            <w:vAlign w:val="center"/>
          </w:tcPr>
          <w:p w14:paraId="0B0355D8">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2687" w:type="dxa"/>
            <w:gridSpan w:val="2"/>
            <w:vAlign w:val="center"/>
          </w:tcPr>
          <w:p w14:paraId="762E0E38">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w:t>
            </w:r>
          </w:p>
        </w:tc>
        <w:tc>
          <w:tcPr>
            <w:tcW w:w="2160" w:type="dxa"/>
            <w:vAlign w:val="center"/>
          </w:tcPr>
          <w:p w14:paraId="3D3CD1FD">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01540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06CA4E62">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参加工作时间</w:t>
            </w:r>
          </w:p>
        </w:tc>
        <w:tc>
          <w:tcPr>
            <w:tcW w:w="2557" w:type="dxa"/>
            <w:gridSpan w:val="2"/>
            <w:vAlign w:val="center"/>
          </w:tcPr>
          <w:p w14:paraId="147B1A81">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2687" w:type="dxa"/>
            <w:gridSpan w:val="2"/>
            <w:vAlign w:val="center"/>
          </w:tcPr>
          <w:p w14:paraId="4CA2A19C">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从事项目工作年限</w:t>
            </w:r>
          </w:p>
        </w:tc>
        <w:tc>
          <w:tcPr>
            <w:tcW w:w="2160" w:type="dxa"/>
            <w:vAlign w:val="center"/>
          </w:tcPr>
          <w:p w14:paraId="497652D6">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29395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4" w:type="dxa"/>
            <w:vAlign w:val="center"/>
          </w:tcPr>
          <w:p w14:paraId="1A399376">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相关证书</w:t>
            </w:r>
          </w:p>
        </w:tc>
        <w:tc>
          <w:tcPr>
            <w:tcW w:w="7404" w:type="dxa"/>
            <w:gridSpan w:val="5"/>
            <w:vAlign w:val="center"/>
          </w:tcPr>
          <w:p w14:paraId="6AFE93CC">
            <w:pPr>
              <w:pageBreakBefore w:val="0"/>
              <w:kinsoku/>
              <w:topLinePunct w:val="0"/>
              <w:bidi w:val="0"/>
              <w:spacing w:line="500" w:lineRule="exact"/>
              <w:jc w:val="both"/>
              <w:rPr>
                <w:rFonts w:hint="eastAsia" w:ascii="宋体" w:hAnsi="宋体" w:eastAsia="宋体" w:cs="宋体"/>
                <w:color w:val="auto"/>
                <w:sz w:val="24"/>
                <w:szCs w:val="24"/>
                <w:highlight w:val="none"/>
                <w:lang w:val="en-US" w:eastAsia="zh-CN"/>
              </w:rPr>
            </w:pPr>
          </w:p>
        </w:tc>
      </w:tr>
    </w:tbl>
    <w:p w14:paraId="1D5E60D1">
      <w:pPr>
        <w:pStyle w:val="40"/>
        <w:pageBreakBefore w:val="0"/>
        <w:tabs>
          <w:tab w:val="left" w:pos="2636"/>
        </w:tabs>
        <w:wordWrap/>
        <w:overflowPunct/>
        <w:topLinePunct w:val="0"/>
        <w:bidi w:val="0"/>
        <w:spacing w:line="560" w:lineRule="exact"/>
        <w:ind w:right="0" w:righ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后附项目负责人身份证、相关职业或执业或职称证书等证明材料。</w:t>
      </w:r>
    </w:p>
    <w:p w14:paraId="4B8A63A8">
      <w:pPr>
        <w:rPr>
          <w:rFonts w:hint="eastAsia" w:ascii="宋体" w:hAnsi="宋体" w:eastAsia="宋体" w:cs="宋体"/>
          <w:color w:val="auto"/>
          <w:sz w:val="24"/>
          <w:szCs w:val="24"/>
          <w:highlight w:val="none"/>
          <w:lang w:eastAsia="zh-CN"/>
        </w:rPr>
        <w:sectPr>
          <w:pgSz w:w="11906" w:h="16838"/>
          <w:pgMar w:top="1440" w:right="1800" w:bottom="1440" w:left="1800" w:header="851" w:footer="992" w:gutter="0"/>
          <w:pgNumType w:fmt="decimal"/>
          <w:cols w:space="720" w:num="1"/>
          <w:docGrid w:type="lines" w:linePitch="312" w:charSpace="0"/>
        </w:sectPr>
      </w:pPr>
    </w:p>
    <w:bookmarkEnd w:id="142"/>
    <w:p w14:paraId="0538DF33">
      <w:pPr>
        <w:keepNext w:val="0"/>
        <w:keepLines w:val="0"/>
        <w:pageBreakBefore w:val="0"/>
        <w:widowControl/>
        <w:numPr>
          <w:ilvl w:val="0"/>
          <w:numId w:val="8"/>
        </w:numPr>
        <w:suppressLineNumbers w:val="0"/>
        <w:kinsoku/>
        <w:wordWrap/>
        <w:overflowPunct/>
        <w:topLinePunct w:val="0"/>
        <w:autoSpaceDE/>
        <w:autoSpaceDN/>
        <w:bidi w:val="0"/>
        <w:adjustRightInd/>
        <w:snapToGrid/>
        <w:spacing w:line="560" w:lineRule="exact"/>
        <w:ind w:left="0" w:leftChars="0" w:right="0" w:rightChars="0"/>
        <w:jc w:val="center"/>
        <w:textAlignment w:val="auto"/>
        <w:outlineLvl w:val="1"/>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拟配备人员简介</w:t>
      </w:r>
    </w:p>
    <w:tbl>
      <w:tblPr>
        <w:tblStyle w:val="31"/>
        <w:tblpPr w:leftFromText="180" w:rightFromText="180" w:vertAnchor="text" w:horzAnchor="page" w:tblpX="1510" w:tblpY="527"/>
        <w:tblOverlap w:val="never"/>
        <w:tblW w:w="468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0"/>
        <w:gridCol w:w="973"/>
        <w:gridCol w:w="1389"/>
        <w:gridCol w:w="1131"/>
        <w:gridCol w:w="1473"/>
        <w:gridCol w:w="1036"/>
        <w:gridCol w:w="1180"/>
        <w:gridCol w:w="1066"/>
      </w:tblGrid>
      <w:tr w14:paraId="0DDC6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579" w:type="pct"/>
            <w:vMerge w:val="restart"/>
            <w:vAlign w:val="center"/>
          </w:tcPr>
          <w:p w14:paraId="31708F6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521" w:type="pct"/>
            <w:vMerge w:val="restart"/>
            <w:vAlign w:val="center"/>
          </w:tcPr>
          <w:p w14:paraId="0252F4E5">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姓名</w:t>
            </w:r>
          </w:p>
        </w:tc>
        <w:tc>
          <w:tcPr>
            <w:tcW w:w="744" w:type="pct"/>
            <w:vMerge w:val="restart"/>
            <w:vAlign w:val="center"/>
          </w:tcPr>
          <w:p w14:paraId="2B894EE7">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拟担任本项目职务/岗位</w:t>
            </w:r>
          </w:p>
        </w:tc>
        <w:tc>
          <w:tcPr>
            <w:tcW w:w="606" w:type="pct"/>
            <w:vMerge w:val="restart"/>
            <w:vAlign w:val="center"/>
          </w:tcPr>
          <w:p w14:paraId="2393949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常住地</w:t>
            </w:r>
          </w:p>
        </w:tc>
        <w:tc>
          <w:tcPr>
            <w:tcW w:w="2547" w:type="pct"/>
            <w:gridSpan w:val="4"/>
            <w:vAlign w:val="center"/>
          </w:tcPr>
          <w:p w14:paraId="446B010B">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相关证书</w:t>
            </w:r>
          </w:p>
        </w:tc>
      </w:tr>
      <w:tr w14:paraId="15F72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0" w:hRule="atLeast"/>
        </w:trPr>
        <w:tc>
          <w:tcPr>
            <w:tcW w:w="579" w:type="pct"/>
            <w:vMerge w:val="continue"/>
            <w:vAlign w:val="center"/>
          </w:tcPr>
          <w:p w14:paraId="1CAB10A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21" w:type="pct"/>
            <w:vMerge w:val="continue"/>
            <w:vAlign w:val="center"/>
          </w:tcPr>
          <w:p w14:paraId="4221F80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44" w:type="pct"/>
            <w:vMerge w:val="continue"/>
            <w:vAlign w:val="center"/>
          </w:tcPr>
          <w:p w14:paraId="1B38C99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06" w:type="pct"/>
            <w:vMerge w:val="continue"/>
            <w:vAlign w:val="center"/>
          </w:tcPr>
          <w:p w14:paraId="5B47CB12">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89" w:type="pct"/>
            <w:vAlign w:val="center"/>
          </w:tcPr>
          <w:p w14:paraId="09C2D0C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证书名称</w:t>
            </w:r>
          </w:p>
        </w:tc>
        <w:tc>
          <w:tcPr>
            <w:tcW w:w="555" w:type="pct"/>
            <w:vAlign w:val="center"/>
          </w:tcPr>
          <w:p w14:paraId="2DCBD10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级别</w:t>
            </w:r>
          </w:p>
        </w:tc>
        <w:tc>
          <w:tcPr>
            <w:tcW w:w="632" w:type="pct"/>
            <w:vAlign w:val="center"/>
          </w:tcPr>
          <w:p w14:paraId="05F7C6B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证书号</w:t>
            </w:r>
          </w:p>
        </w:tc>
        <w:tc>
          <w:tcPr>
            <w:tcW w:w="568" w:type="pct"/>
            <w:vAlign w:val="center"/>
          </w:tcPr>
          <w:p w14:paraId="1917207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专业</w:t>
            </w:r>
          </w:p>
        </w:tc>
      </w:tr>
      <w:tr w14:paraId="3D951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579" w:type="pct"/>
          </w:tcPr>
          <w:p w14:paraId="3B463C8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21" w:type="pct"/>
          </w:tcPr>
          <w:p w14:paraId="3C5F6B2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44" w:type="pct"/>
          </w:tcPr>
          <w:p w14:paraId="304C2AA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06" w:type="pct"/>
          </w:tcPr>
          <w:p w14:paraId="44BF0D4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89" w:type="pct"/>
          </w:tcPr>
          <w:p w14:paraId="12ED6CB0">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55" w:type="pct"/>
          </w:tcPr>
          <w:p w14:paraId="50B68A7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32" w:type="pct"/>
          </w:tcPr>
          <w:p w14:paraId="7E9312A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68" w:type="pct"/>
          </w:tcPr>
          <w:p w14:paraId="1BE3342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063CF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579" w:type="pct"/>
          </w:tcPr>
          <w:p w14:paraId="604EEA8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21" w:type="pct"/>
          </w:tcPr>
          <w:p w14:paraId="4F3FD3BB">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44" w:type="pct"/>
          </w:tcPr>
          <w:p w14:paraId="170B225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06" w:type="pct"/>
          </w:tcPr>
          <w:p w14:paraId="29C7B72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89" w:type="pct"/>
          </w:tcPr>
          <w:p w14:paraId="46D86A7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55" w:type="pct"/>
          </w:tcPr>
          <w:p w14:paraId="42766BD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32" w:type="pct"/>
          </w:tcPr>
          <w:p w14:paraId="481D59C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68" w:type="pct"/>
          </w:tcPr>
          <w:p w14:paraId="0A921BF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2178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579" w:type="pct"/>
          </w:tcPr>
          <w:p w14:paraId="4B1256B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21" w:type="pct"/>
          </w:tcPr>
          <w:p w14:paraId="1F48617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44" w:type="pct"/>
          </w:tcPr>
          <w:p w14:paraId="1FFEACB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06" w:type="pct"/>
          </w:tcPr>
          <w:p w14:paraId="0AE75CC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89" w:type="pct"/>
          </w:tcPr>
          <w:p w14:paraId="290B273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55" w:type="pct"/>
          </w:tcPr>
          <w:p w14:paraId="0B96F28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32" w:type="pct"/>
          </w:tcPr>
          <w:p w14:paraId="60C1D2E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68" w:type="pct"/>
          </w:tcPr>
          <w:p w14:paraId="1B7C51F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5CB69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579" w:type="pct"/>
            <w:vAlign w:val="center"/>
          </w:tcPr>
          <w:p w14:paraId="24DC250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21" w:type="pct"/>
          </w:tcPr>
          <w:p w14:paraId="53119C65">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44" w:type="pct"/>
          </w:tcPr>
          <w:p w14:paraId="6069FB2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06" w:type="pct"/>
          </w:tcPr>
          <w:p w14:paraId="4BEBCCA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89" w:type="pct"/>
          </w:tcPr>
          <w:p w14:paraId="3439CB8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55" w:type="pct"/>
          </w:tcPr>
          <w:p w14:paraId="0B4039C2">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32" w:type="pct"/>
          </w:tcPr>
          <w:p w14:paraId="0A7DBF2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68" w:type="pct"/>
          </w:tcPr>
          <w:p w14:paraId="6C5A07DB">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02CF5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579" w:type="pct"/>
          </w:tcPr>
          <w:p w14:paraId="3248CEC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21" w:type="pct"/>
          </w:tcPr>
          <w:p w14:paraId="183CAAE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44" w:type="pct"/>
          </w:tcPr>
          <w:p w14:paraId="3EDE977B">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06" w:type="pct"/>
          </w:tcPr>
          <w:p w14:paraId="2D47A3EB">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89" w:type="pct"/>
          </w:tcPr>
          <w:p w14:paraId="21DBA3C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55" w:type="pct"/>
          </w:tcPr>
          <w:p w14:paraId="5BA87C9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32" w:type="pct"/>
          </w:tcPr>
          <w:p w14:paraId="0AB4271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68" w:type="pct"/>
          </w:tcPr>
          <w:p w14:paraId="5CFFFE4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12F8B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579" w:type="pct"/>
          </w:tcPr>
          <w:p w14:paraId="684F966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21" w:type="pct"/>
          </w:tcPr>
          <w:p w14:paraId="6E7A311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44" w:type="pct"/>
          </w:tcPr>
          <w:p w14:paraId="6B8A407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06" w:type="pct"/>
          </w:tcPr>
          <w:p w14:paraId="718EA3D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789" w:type="pct"/>
          </w:tcPr>
          <w:p w14:paraId="79648FE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55" w:type="pct"/>
          </w:tcPr>
          <w:p w14:paraId="382A4960">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632" w:type="pct"/>
          </w:tcPr>
          <w:p w14:paraId="47ADBF0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568" w:type="pct"/>
          </w:tcPr>
          <w:p w14:paraId="069E791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bl>
    <w:p w14:paraId="171B95FD">
      <w:pPr>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拟配备人员汇总表</w:t>
      </w:r>
    </w:p>
    <w:p w14:paraId="0127B0BB">
      <w:pPr>
        <w:pageBreakBefore w:val="0"/>
        <w:wordWrap/>
        <w:overflowPunct/>
        <w:topLinePunct w:val="0"/>
        <w:bidi w:val="0"/>
        <w:adjustRightInd w:val="0"/>
        <w:spacing w:line="560" w:lineRule="exact"/>
        <w:ind w:left="0" w:leftChars="0" w:right="0" w:rightChars="0" w:firstLine="900" w:firstLineChars="375"/>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                </w:t>
      </w:r>
      <w:r>
        <w:rPr>
          <w:rFonts w:hint="eastAsia" w:ascii="宋体" w:hAnsi="宋体" w:eastAsia="宋体" w:cs="宋体"/>
          <w:b w:val="0"/>
          <w:bCs/>
          <w:color w:val="auto"/>
          <w:sz w:val="24"/>
          <w:szCs w:val="24"/>
          <w:highlight w:val="none"/>
          <w:lang w:eastAsia="zh-CN"/>
        </w:rPr>
        <w:t>投标人</w:t>
      </w:r>
      <w:r>
        <w:rPr>
          <w:rFonts w:hint="eastAsia" w:ascii="宋体" w:hAnsi="宋体" w:eastAsia="宋体" w:cs="宋体"/>
          <w:b w:val="0"/>
          <w:bCs/>
          <w:color w:val="auto"/>
          <w:sz w:val="24"/>
          <w:szCs w:val="24"/>
          <w:highlight w:val="none"/>
        </w:rPr>
        <w:t xml:space="preserve">名称（盖章）：        </w:t>
      </w:r>
    </w:p>
    <w:p w14:paraId="37F789BC">
      <w:pPr>
        <w:pStyle w:val="13"/>
        <w:pageBreakBefore w:val="0"/>
        <w:wordWrap/>
        <w:overflowPunct/>
        <w:topLinePunct w:val="0"/>
        <w:bidi w:val="0"/>
        <w:spacing w:after="0" w:line="560" w:lineRule="exact"/>
        <w:ind w:left="0" w:leftChars="0" w:right="0" w:rightChars="0"/>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 xml:space="preserve">                                </w:t>
      </w:r>
      <w:r>
        <w:rPr>
          <w:rFonts w:hint="eastAsia" w:ascii="宋体" w:hAnsi="宋体" w:eastAsia="宋体" w:cs="宋体"/>
          <w:b w:val="0"/>
          <w:bCs/>
          <w:color w:val="auto"/>
          <w:sz w:val="24"/>
          <w:szCs w:val="24"/>
          <w:highlight w:val="none"/>
        </w:rPr>
        <w:t>授权人</w:t>
      </w:r>
      <w:r>
        <w:rPr>
          <w:rFonts w:hint="eastAsia" w:ascii="宋体" w:hAnsi="宋体" w:eastAsia="宋体" w:cs="宋体"/>
          <w:b w:val="0"/>
          <w:bCs/>
          <w:color w:val="auto"/>
          <w:sz w:val="24"/>
          <w:szCs w:val="24"/>
          <w:highlight w:val="none"/>
          <w:lang w:val="en-US" w:eastAsia="zh-CN"/>
        </w:rPr>
        <w:t>或</w:t>
      </w:r>
      <w:r>
        <w:rPr>
          <w:rFonts w:hint="eastAsia" w:ascii="宋体" w:hAnsi="宋体" w:eastAsia="宋体" w:cs="宋体"/>
          <w:b w:val="0"/>
          <w:bCs/>
          <w:color w:val="auto"/>
          <w:sz w:val="24"/>
          <w:szCs w:val="24"/>
          <w:highlight w:val="none"/>
        </w:rPr>
        <w:t>被授权人（签字或盖章）：</w:t>
      </w:r>
    </w:p>
    <w:p w14:paraId="257A1355">
      <w:pPr>
        <w:pageBreakBefore w:val="0"/>
        <w:wordWrap/>
        <w:overflowPunct/>
        <w:topLinePunct w:val="0"/>
        <w:bidi w:val="0"/>
        <w:adjustRightInd w:val="0"/>
        <w:spacing w:line="560" w:lineRule="exact"/>
        <w:ind w:right="0" w:rightChars="0" w:firstLine="4320" w:firstLineChars="1800"/>
        <w:jc w:val="righ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日期</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 xml:space="preserve"> </w:t>
      </w:r>
    </w:p>
    <w:p w14:paraId="53D33070">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br w:type="page"/>
      </w:r>
    </w:p>
    <w:p w14:paraId="35AE92A7">
      <w:pPr>
        <w:pStyle w:val="10"/>
        <w:rPr>
          <w:rFonts w:hint="eastAsia" w:ascii="宋体" w:hAnsi="宋体" w:eastAsia="宋体" w:cs="宋体"/>
          <w:color w:val="auto"/>
          <w:sz w:val="24"/>
          <w:szCs w:val="24"/>
          <w:highlight w:val="none"/>
          <w:lang w:val="en-US" w:eastAsia="zh-CN"/>
        </w:rPr>
      </w:pPr>
    </w:p>
    <w:p w14:paraId="55C234D6">
      <w:pPr>
        <w:pageBreakBefore w:val="0"/>
        <w:kinsoku/>
        <w:topLinePunct w:val="0"/>
        <w:bidi w:val="0"/>
        <w:spacing w:line="500" w:lineRule="exact"/>
        <w:ind w:firstLine="480" w:firstLineChars="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人员简历</w:t>
      </w:r>
    </w:p>
    <w:tbl>
      <w:tblPr>
        <w:tblStyle w:val="3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2"/>
        <w:gridCol w:w="1241"/>
        <w:gridCol w:w="1554"/>
        <w:gridCol w:w="1552"/>
        <w:gridCol w:w="1384"/>
        <w:gridCol w:w="2365"/>
      </w:tblGrid>
      <w:tr w14:paraId="40B4F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5" w:type="pct"/>
            <w:vAlign w:val="center"/>
          </w:tcPr>
          <w:p w14:paraId="46956A95">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623" w:type="pct"/>
            <w:vAlign w:val="center"/>
          </w:tcPr>
          <w:p w14:paraId="3FC052B9">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780" w:type="pct"/>
            <w:vAlign w:val="center"/>
          </w:tcPr>
          <w:p w14:paraId="277751E3">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性别</w:t>
            </w:r>
          </w:p>
        </w:tc>
        <w:tc>
          <w:tcPr>
            <w:tcW w:w="779" w:type="pct"/>
            <w:vAlign w:val="center"/>
          </w:tcPr>
          <w:p w14:paraId="499BB93D">
            <w:pPr>
              <w:pageBreakBefore w:val="0"/>
              <w:kinsoku/>
              <w:topLinePunct w:val="0"/>
              <w:bidi w:val="0"/>
              <w:spacing w:line="500" w:lineRule="exact"/>
              <w:jc w:val="center"/>
              <w:rPr>
                <w:rFonts w:hint="eastAsia" w:ascii="宋体" w:hAnsi="宋体" w:eastAsia="宋体" w:cs="宋体"/>
                <w:color w:val="auto"/>
                <w:sz w:val="24"/>
                <w:szCs w:val="24"/>
                <w:highlight w:val="none"/>
              </w:rPr>
            </w:pPr>
          </w:p>
        </w:tc>
        <w:tc>
          <w:tcPr>
            <w:tcW w:w="695" w:type="pct"/>
            <w:vAlign w:val="center"/>
          </w:tcPr>
          <w:p w14:paraId="1D85A278">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1186" w:type="pct"/>
            <w:vAlign w:val="center"/>
          </w:tcPr>
          <w:p w14:paraId="1DA3498B">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4DC47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5" w:type="pct"/>
            <w:vAlign w:val="center"/>
          </w:tcPr>
          <w:p w14:paraId="6C6CA6FC">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623" w:type="pct"/>
            <w:vAlign w:val="center"/>
          </w:tcPr>
          <w:p w14:paraId="34EC91D4">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780" w:type="pct"/>
            <w:vAlign w:val="center"/>
          </w:tcPr>
          <w:p w14:paraId="05F319EF">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779" w:type="pct"/>
            <w:vAlign w:val="center"/>
          </w:tcPr>
          <w:p w14:paraId="3133A55C">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695" w:type="pct"/>
            <w:vAlign w:val="center"/>
          </w:tcPr>
          <w:p w14:paraId="2F933B78">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w:t>
            </w:r>
          </w:p>
        </w:tc>
        <w:tc>
          <w:tcPr>
            <w:tcW w:w="1186" w:type="pct"/>
            <w:vAlign w:val="center"/>
          </w:tcPr>
          <w:p w14:paraId="7F5D0B31">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380BD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pct"/>
            <w:vAlign w:val="center"/>
          </w:tcPr>
          <w:p w14:paraId="338D72DA">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身份证号</w:t>
            </w:r>
          </w:p>
        </w:tc>
        <w:tc>
          <w:tcPr>
            <w:tcW w:w="1403" w:type="pct"/>
            <w:gridSpan w:val="2"/>
            <w:vAlign w:val="center"/>
          </w:tcPr>
          <w:p w14:paraId="3C54DAEB">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1474" w:type="pct"/>
            <w:gridSpan w:val="2"/>
            <w:vAlign w:val="center"/>
          </w:tcPr>
          <w:p w14:paraId="489F5C70">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w:t>
            </w:r>
          </w:p>
        </w:tc>
        <w:tc>
          <w:tcPr>
            <w:tcW w:w="1186" w:type="pct"/>
            <w:vAlign w:val="center"/>
          </w:tcPr>
          <w:p w14:paraId="384FEFC0">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6AE1C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pct"/>
            <w:vAlign w:val="center"/>
          </w:tcPr>
          <w:p w14:paraId="290DA011">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参加工作时间</w:t>
            </w:r>
          </w:p>
        </w:tc>
        <w:tc>
          <w:tcPr>
            <w:tcW w:w="1403" w:type="pct"/>
            <w:gridSpan w:val="2"/>
            <w:vAlign w:val="center"/>
          </w:tcPr>
          <w:p w14:paraId="7C68EEC1">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c>
          <w:tcPr>
            <w:tcW w:w="1474" w:type="pct"/>
            <w:gridSpan w:val="2"/>
            <w:vAlign w:val="center"/>
          </w:tcPr>
          <w:p w14:paraId="7731D612">
            <w:pPr>
              <w:pageBreakBefore w:val="0"/>
              <w:kinsoku/>
              <w:topLinePunct w:val="0"/>
              <w:bidi w:val="0"/>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从事项目工作年限</w:t>
            </w:r>
          </w:p>
        </w:tc>
        <w:tc>
          <w:tcPr>
            <w:tcW w:w="1186" w:type="pct"/>
            <w:vAlign w:val="center"/>
          </w:tcPr>
          <w:p w14:paraId="472E55DA">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p>
        </w:tc>
      </w:tr>
      <w:tr w14:paraId="7890A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pct"/>
            <w:vAlign w:val="center"/>
          </w:tcPr>
          <w:p w14:paraId="2E0EBD26">
            <w:pPr>
              <w:pageBreakBefore w:val="0"/>
              <w:kinsoku/>
              <w:topLinePunct w:val="0"/>
              <w:bidi w:val="0"/>
              <w:spacing w:line="50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相关证书</w:t>
            </w:r>
          </w:p>
        </w:tc>
        <w:tc>
          <w:tcPr>
            <w:tcW w:w="4064" w:type="pct"/>
            <w:gridSpan w:val="5"/>
            <w:vAlign w:val="center"/>
          </w:tcPr>
          <w:p w14:paraId="09645F95">
            <w:pPr>
              <w:pageBreakBefore w:val="0"/>
              <w:kinsoku/>
              <w:topLinePunct w:val="0"/>
              <w:bidi w:val="0"/>
              <w:spacing w:line="500" w:lineRule="exact"/>
              <w:jc w:val="both"/>
              <w:rPr>
                <w:rFonts w:hint="eastAsia" w:ascii="宋体" w:hAnsi="宋体" w:eastAsia="宋体" w:cs="宋体"/>
                <w:color w:val="auto"/>
                <w:sz w:val="24"/>
                <w:szCs w:val="24"/>
                <w:highlight w:val="none"/>
                <w:lang w:val="en-US" w:eastAsia="zh-CN"/>
              </w:rPr>
            </w:pPr>
          </w:p>
        </w:tc>
      </w:tr>
    </w:tbl>
    <w:p w14:paraId="6E78D809">
      <w:pPr>
        <w:pStyle w:val="1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拟配备人员每人填一张简历，后附人员的身份证、相关职业或执业或职称证书等证明材料。</w:t>
      </w:r>
    </w:p>
    <w:p w14:paraId="152EBDB5">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br w:type="page"/>
      </w:r>
    </w:p>
    <w:p w14:paraId="63594712">
      <w:pPr>
        <w:pageBreakBefore w:val="0"/>
        <w:wordWrap/>
        <w:overflowPunct/>
        <w:topLinePunct w:val="0"/>
        <w:bidi w:val="0"/>
        <w:spacing w:line="560" w:lineRule="exact"/>
        <w:ind w:left="0" w:leftChars="0" w:right="0" w:rightChars="0"/>
        <w:jc w:val="center"/>
        <w:outlineLvl w:val="1"/>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八、</w:t>
      </w:r>
      <w:r>
        <w:rPr>
          <w:rFonts w:hint="eastAsia" w:ascii="宋体" w:hAnsi="宋体" w:eastAsia="宋体" w:cs="宋体"/>
          <w:b w:val="0"/>
          <w:bCs/>
          <w:color w:val="auto"/>
          <w:sz w:val="24"/>
          <w:szCs w:val="24"/>
          <w:highlight w:val="none"/>
        </w:rPr>
        <w:t>近年</w:t>
      </w:r>
      <w:r>
        <w:rPr>
          <w:rFonts w:hint="eastAsia" w:ascii="宋体" w:hAnsi="宋体" w:eastAsia="宋体" w:cs="宋体"/>
          <w:b w:val="0"/>
          <w:bCs/>
          <w:color w:val="auto"/>
          <w:sz w:val="24"/>
          <w:szCs w:val="24"/>
          <w:highlight w:val="none"/>
          <w:lang w:val="en-US" w:eastAsia="zh-CN"/>
        </w:rPr>
        <w:t>同类</w:t>
      </w:r>
      <w:r>
        <w:rPr>
          <w:rFonts w:hint="eastAsia" w:ascii="宋体" w:hAnsi="宋体" w:eastAsia="宋体" w:cs="宋体"/>
          <w:b w:val="0"/>
          <w:bCs/>
          <w:color w:val="auto"/>
          <w:sz w:val="24"/>
          <w:szCs w:val="24"/>
          <w:highlight w:val="none"/>
        </w:rPr>
        <w:t>项目情况表</w:t>
      </w:r>
    </w:p>
    <w:tbl>
      <w:tblPr>
        <w:tblStyle w:val="31"/>
        <w:tblW w:w="4997"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54" w:type="dxa"/>
          <w:bottom w:w="0" w:type="dxa"/>
          <w:right w:w="54" w:type="dxa"/>
        </w:tblCellMar>
      </w:tblPr>
      <w:tblGrid>
        <w:gridCol w:w="709"/>
        <w:gridCol w:w="1123"/>
        <w:gridCol w:w="1302"/>
        <w:gridCol w:w="1347"/>
        <w:gridCol w:w="1359"/>
        <w:gridCol w:w="1381"/>
        <w:gridCol w:w="1355"/>
        <w:gridCol w:w="1262"/>
        <w:gridCol w:w="10"/>
      </w:tblGrid>
      <w:tr w14:paraId="2FAB53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tcBorders>
              <w:top w:val="single" w:color="auto" w:sz="4" w:space="0"/>
            </w:tcBorders>
            <w:vAlign w:val="center"/>
          </w:tcPr>
          <w:p w14:paraId="64B9A656">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960" w:type="dxa"/>
            <w:vAlign w:val="center"/>
          </w:tcPr>
          <w:p w14:paraId="1C52383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采购人</w:t>
            </w:r>
          </w:p>
        </w:tc>
        <w:tc>
          <w:tcPr>
            <w:tcW w:w="1113" w:type="dxa"/>
            <w:vAlign w:val="center"/>
          </w:tcPr>
          <w:p w14:paraId="2D8DF48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联系人</w:t>
            </w:r>
          </w:p>
        </w:tc>
        <w:tc>
          <w:tcPr>
            <w:tcW w:w="1151" w:type="dxa"/>
            <w:vAlign w:val="center"/>
          </w:tcPr>
          <w:p w14:paraId="21132777">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联系电话</w:t>
            </w:r>
          </w:p>
        </w:tc>
        <w:tc>
          <w:tcPr>
            <w:tcW w:w="1162" w:type="dxa"/>
            <w:vAlign w:val="center"/>
          </w:tcPr>
          <w:p w14:paraId="56A63E3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项目名称</w:t>
            </w:r>
          </w:p>
        </w:tc>
        <w:tc>
          <w:tcPr>
            <w:tcW w:w="1180" w:type="dxa"/>
            <w:vAlign w:val="center"/>
          </w:tcPr>
          <w:p w14:paraId="194D674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完成时间</w:t>
            </w:r>
          </w:p>
        </w:tc>
        <w:tc>
          <w:tcPr>
            <w:tcW w:w="1158" w:type="dxa"/>
            <w:vAlign w:val="center"/>
          </w:tcPr>
          <w:p w14:paraId="1767673B">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合同金额</w:t>
            </w:r>
          </w:p>
        </w:tc>
        <w:tc>
          <w:tcPr>
            <w:tcW w:w="1079" w:type="dxa"/>
            <w:gridSpan w:val="2"/>
            <w:tcBorders>
              <w:right w:val="single" w:color="auto" w:sz="4" w:space="0"/>
            </w:tcBorders>
            <w:vAlign w:val="center"/>
          </w:tcPr>
          <w:p w14:paraId="3D7C58F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val="en-US" w:eastAsia="zh-CN"/>
              </w:rPr>
              <w:t>用户反馈</w:t>
            </w:r>
          </w:p>
        </w:tc>
      </w:tr>
      <w:tr w14:paraId="114BEB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4FC331A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vAlign w:val="center"/>
          </w:tcPr>
          <w:p w14:paraId="258069C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vAlign w:val="center"/>
          </w:tcPr>
          <w:p w14:paraId="3E47AC9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vAlign w:val="center"/>
          </w:tcPr>
          <w:p w14:paraId="5B54E9E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vAlign w:val="center"/>
          </w:tcPr>
          <w:p w14:paraId="06E3046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vAlign w:val="center"/>
          </w:tcPr>
          <w:p w14:paraId="3AF83A4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vAlign w:val="center"/>
          </w:tcPr>
          <w:p w14:paraId="0A26DDF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79" w:type="dxa"/>
            <w:gridSpan w:val="2"/>
            <w:tcBorders>
              <w:right w:val="single" w:color="auto" w:sz="4" w:space="0"/>
            </w:tcBorders>
            <w:vAlign w:val="center"/>
          </w:tcPr>
          <w:p w14:paraId="33E49F6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4A3B480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59A9EC4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vAlign w:val="center"/>
          </w:tcPr>
          <w:p w14:paraId="42C83AB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vAlign w:val="center"/>
          </w:tcPr>
          <w:p w14:paraId="7550C10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vAlign w:val="center"/>
          </w:tcPr>
          <w:p w14:paraId="27E2E33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vAlign w:val="center"/>
          </w:tcPr>
          <w:p w14:paraId="06B853D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vAlign w:val="center"/>
          </w:tcPr>
          <w:p w14:paraId="00A306C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vAlign w:val="center"/>
          </w:tcPr>
          <w:p w14:paraId="05CFACE5">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79" w:type="dxa"/>
            <w:gridSpan w:val="2"/>
            <w:tcBorders>
              <w:right w:val="single" w:color="auto" w:sz="4" w:space="0"/>
            </w:tcBorders>
            <w:vAlign w:val="center"/>
          </w:tcPr>
          <w:p w14:paraId="3112B98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05D36D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62A8D56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vAlign w:val="center"/>
          </w:tcPr>
          <w:p w14:paraId="5ABD75B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vAlign w:val="center"/>
          </w:tcPr>
          <w:p w14:paraId="051A178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vAlign w:val="center"/>
          </w:tcPr>
          <w:p w14:paraId="212C2970">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vAlign w:val="center"/>
          </w:tcPr>
          <w:p w14:paraId="3E18CE9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vAlign w:val="center"/>
          </w:tcPr>
          <w:p w14:paraId="1F63B11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vAlign w:val="center"/>
          </w:tcPr>
          <w:p w14:paraId="6413BBD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79" w:type="dxa"/>
            <w:gridSpan w:val="2"/>
            <w:tcBorders>
              <w:right w:val="single" w:color="auto" w:sz="4" w:space="0"/>
            </w:tcBorders>
            <w:vAlign w:val="center"/>
          </w:tcPr>
          <w:p w14:paraId="1C33019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6255DD7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6CD92F3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tcBorders>
              <w:right w:val="single" w:color="auto" w:sz="4" w:space="0"/>
            </w:tcBorders>
            <w:vAlign w:val="center"/>
          </w:tcPr>
          <w:p w14:paraId="6DA602D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tcBorders>
              <w:left w:val="single" w:color="auto" w:sz="4" w:space="0"/>
            </w:tcBorders>
            <w:vAlign w:val="center"/>
          </w:tcPr>
          <w:p w14:paraId="24F348E0">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tcBorders>
              <w:left w:val="single" w:color="auto" w:sz="4" w:space="0"/>
            </w:tcBorders>
            <w:vAlign w:val="center"/>
          </w:tcPr>
          <w:p w14:paraId="03B41C6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tcBorders>
              <w:left w:val="single" w:color="auto" w:sz="4" w:space="0"/>
            </w:tcBorders>
            <w:vAlign w:val="center"/>
          </w:tcPr>
          <w:p w14:paraId="193B8E4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vAlign w:val="center"/>
          </w:tcPr>
          <w:p w14:paraId="6F87368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vAlign w:val="center"/>
          </w:tcPr>
          <w:p w14:paraId="0DDBDDC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79" w:type="dxa"/>
            <w:gridSpan w:val="2"/>
            <w:tcBorders>
              <w:right w:val="single" w:color="auto" w:sz="4" w:space="0"/>
            </w:tcBorders>
            <w:vAlign w:val="center"/>
          </w:tcPr>
          <w:p w14:paraId="74B5657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242C77E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tcBorders>
              <w:right w:val="single" w:color="auto" w:sz="4" w:space="0"/>
            </w:tcBorders>
            <w:vAlign w:val="center"/>
          </w:tcPr>
          <w:p w14:paraId="087E2DD1">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960" w:type="dxa"/>
            <w:tcBorders>
              <w:left w:val="single" w:color="auto" w:sz="4" w:space="0"/>
              <w:right w:val="single" w:color="auto" w:sz="4" w:space="0"/>
            </w:tcBorders>
            <w:vAlign w:val="center"/>
          </w:tcPr>
          <w:p w14:paraId="430244BB">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13" w:type="dxa"/>
            <w:tcBorders>
              <w:left w:val="single" w:color="auto" w:sz="4" w:space="0"/>
              <w:right w:val="single" w:color="auto" w:sz="4" w:space="0"/>
            </w:tcBorders>
            <w:vAlign w:val="center"/>
          </w:tcPr>
          <w:p w14:paraId="27378E47">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51" w:type="dxa"/>
            <w:tcBorders>
              <w:left w:val="single" w:color="auto" w:sz="4" w:space="0"/>
              <w:right w:val="single" w:color="auto" w:sz="4" w:space="0"/>
            </w:tcBorders>
            <w:vAlign w:val="center"/>
          </w:tcPr>
          <w:p w14:paraId="6B9B2E21">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62" w:type="dxa"/>
            <w:tcBorders>
              <w:left w:val="single" w:color="auto" w:sz="4" w:space="0"/>
              <w:right w:val="single" w:color="auto" w:sz="4" w:space="0"/>
            </w:tcBorders>
            <w:vAlign w:val="center"/>
          </w:tcPr>
          <w:p w14:paraId="2E9AE2E3">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80" w:type="dxa"/>
            <w:tcBorders>
              <w:left w:val="single" w:color="auto" w:sz="4" w:space="0"/>
              <w:right w:val="single" w:color="auto" w:sz="4" w:space="0"/>
            </w:tcBorders>
            <w:vAlign w:val="center"/>
          </w:tcPr>
          <w:p w14:paraId="6A645643">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58" w:type="dxa"/>
            <w:tcBorders>
              <w:left w:val="single" w:color="auto" w:sz="4" w:space="0"/>
              <w:right w:val="single" w:color="auto" w:sz="4" w:space="0"/>
            </w:tcBorders>
            <w:vAlign w:val="center"/>
          </w:tcPr>
          <w:p w14:paraId="748AA9B9">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079" w:type="dxa"/>
            <w:gridSpan w:val="2"/>
            <w:tcBorders>
              <w:left w:val="single" w:color="auto" w:sz="4" w:space="0"/>
              <w:right w:val="single" w:color="auto" w:sz="4" w:space="0"/>
            </w:tcBorders>
            <w:vAlign w:val="center"/>
          </w:tcPr>
          <w:p w14:paraId="6D302150">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r>
      <w:tr w14:paraId="3BADE95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606" w:type="dxa"/>
            <w:vAlign w:val="center"/>
          </w:tcPr>
          <w:p w14:paraId="74BEC3E6">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960" w:type="dxa"/>
            <w:vAlign w:val="center"/>
          </w:tcPr>
          <w:p w14:paraId="6832B541">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13" w:type="dxa"/>
            <w:vAlign w:val="center"/>
          </w:tcPr>
          <w:p w14:paraId="007B9452">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51" w:type="dxa"/>
            <w:vAlign w:val="center"/>
          </w:tcPr>
          <w:p w14:paraId="3FD7AFC0">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62" w:type="dxa"/>
            <w:vAlign w:val="center"/>
          </w:tcPr>
          <w:p w14:paraId="6059022D">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80" w:type="dxa"/>
            <w:vAlign w:val="center"/>
          </w:tcPr>
          <w:p w14:paraId="458C2D15">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158" w:type="dxa"/>
            <w:tcBorders>
              <w:right w:val="single" w:color="auto" w:sz="4" w:space="0"/>
            </w:tcBorders>
            <w:vAlign w:val="center"/>
          </w:tcPr>
          <w:p w14:paraId="3207A9E7">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c>
          <w:tcPr>
            <w:tcW w:w="1069" w:type="dxa"/>
            <w:tcBorders>
              <w:left w:val="single" w:color="auto" w:sz="4" w:space="0"/>
              <w:right w:val="single" w:color="auto" w:sz="4" w:space="0"/>
            </w:tcBorders>
            <w:vAlign w:val="center"/>
          </w:tcPr>
          <w:p w14:paraId="2EDEFABE">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p>
        </w:tc>
      </w:tr>
      <w:tr w14:paraId="42AB97C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606" w:type="dxa"/>
            <w:vAlign w:val="center"/>
          </w:tcPr>
          <w:p w14:paraId="660544D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vAlign w:val="center"/>
          </w:tcPr>
          <w:p w14:paraId="381FA98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vAlign w:val="center"/>
          </w:tcPr>
          <w:p w14:paraId="59C5C58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vAlign w:val="center"/>
          </w:tcPr>
          <w:p w14:paraId="4DC0515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vAlign w:val="center"/>
          </w:tcPr>
          <w:p w14:paraId="04E2EA2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vAlign w:val="center"/>
          </w:tcPr>
          <w:p w14:paraId="3002C7C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tcBorders>
              <w:right w:val="single" w:color="auto" w:sz="4" w:space="0"/>
            </w:tcBorders>
            <w:vAlign w:val="center"/>
          </w:tcPr>
          <w:p w14:paraId="5921A88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69" w:type="dxa"/>
            <w:tcBorders>
              <w:left w:val="single" w:color="auto" w:sz="4" w:space="0"/>
              <w:right w:val="single" w:color="auto" w:sz="4" w:space="0"/>
            </w:tcBorders>
            <w:vAlign w:val="center"/>
          </w:tcPr>
          <w:p w14:paraId="2195768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468EAB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606" w:type="dxa"/>
            <w:vAlign w:val="center"/>
          </w:tcPr>
          <w:p w14:paraId="277586D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vAlign w:val="center"/>
          </w:tcPr>
          <w:p w14:paraId="449B060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vAlign w:val="center"/>
          </w:tcPr>
          <w:p w14:paraId="36ACC49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vAlign w:val="center"/>
          </w:tcPr>
          <w:p w14:paraId="3070CA22">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vAlign w:val="center"/>
          </w:tcPr>
          <w:p w14:paraId="1DE1065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vAlign w:val="center"/>
          </w:tcPr>
          <w:p w14:paraId="0979CED2">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tcBorders>
              <w:right w:val="single" w:color="auto" w:sz="4" w:space="0"/>
            </w:tcBorders>
            <w:vAlign w:val="center"/>
          </w:tcPr>
          <w:p w14:paraId="1F7CFDB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69" w:type="dxa"/>
            <w:tcBorders>
              <w:left w:val="single" w:color="auto" w:sz="4" w:space="0"/>
              <w:right w:val="single" w:color="auto" w:sz="4" w:space="0"/>
            </w:tcBorders>
            <w:vAlign w:val="center"/>
          </w:tcPr>
          <w:p w14:paraId="2A39B3B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605D40F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10" w:hRule="atLeast"/>
          <w:jc w:val="center"/>
        </w:trPr>
        <w:tc>
          <w:tcPr>
            <w:tcW w:w="606" w:type="dxa"/>
            <w:tcBorders>
              <w:bottom w:val="single" w:color="auto" w:sz="4" w:space="0"/>
            </w:tcBorders>
            <w:vAlign w:val="center"/>
          </w:tcPr>
          <w:p w14:paraId="13FF964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tcBorders>
              <w:bottom w:val="single" w:color="auto" w:sz="4" w:space="0"/>
            </w:tcBorders>
            <w:vAlign w:val="center"/>
          </w:tcPr>
          <w:p w14:paraId="6427424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tcBorders>
              <w:bottom w:val="single" w:color="auto" w:sz="4" w:space="0"/>
            </w:tcBorders>
            <w:vAlign w:val="center"/>
          </w:tcPr>
          <w:p w14:paraId="19976C9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tcBorders>
              <w:bottom w:val="single" w:color="auto" w:sz="4" w:space="0"/>
            </w:tcBorders>
            <w:vAlign w:val="center"/>
          </w:tcPr>
          <w:p w14:paraId="67009AFB">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tcBorders>
              <w:bottom w:val="single" w:color="auto" w:sz="4" w:space="0"/>
            </w:tcBorders>
            <w:vAlign w:val="center"/>
          </w:tcPr>
          <w:p w14:paraId="6EFCB62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tcBorders>
              <w:bottom w:val="single" w:color="auto" w:sz="4" w:space="0"/>
            </w:tcBorders>
            <w:vAlign w:val="center"/>
          </w:tcPr>
          <w:p w14:paraId="7B11318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tcBorders>
              <w:bottom w:val="single" w:color="auto" w:sz="4" w:space="0"/>
              <w:right w:val="single" w:color="auto" w:sz="4" w:space="0"/>
            </w:tcBorders>
            <w:vAlign w:val="center"/>
          </w:tcPr>
          <w:p w14:paraId="21FC1469">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69" w:type="dxa"/>
            <w:tcBorders>
              <w:left w:val="single" w:color="auto" w:sz="4" w:space="0"/>
              <w:bottom w:val="single" w:color="auto" w:sz="4" w:space="0"/>
              <w:right w:val="single" w:color="auto" w:sz="4" w:space="0"/>
            </w:tcBorders>
            <w:vAlign w:val="center"/>
          </w:tcPr>
          <w:p w14:paraId="2023832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056A04E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15" w:hRule="atLeast"/>
          <w:jc w:val="center"/>
        </w:trPr>
        <w:tc>
          <w:tcPr>
            <w:tcW w:w="606" w:type="dxa"/>
            <w:tcBorders>
              <w:top w:val="single" w:color="auto" w:sz="4" w:space="0"/>
              <w:bottom w:val="single" w:color="auto" w:sz="4" w:space="0"/>
            </w:tcBorders>
            <w:vAlign w:val="center"/>
          </w:tcPr>
          <w:p w14:paraId="7635FCE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tcBorders>
              <w:top w:val="single" w:color="auto" w:sz="4" w:space="0"/>
              <w:bottom w:val="single" w:color="auto" w:sz="4" w:space="0"/>
            </w:tcBorders>
            <w:vAlign w:val="center"/>
          </w:tcPr>
          <w:p w14:paraId="587B52B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tcBorders>
              <w:top w:val="single" w:color="auto" w:sz="4" w:space="0"/>
              <w:bottom w:val="single" w:color="auto" w:sz="4" w:space="0"/>
            </w:tcBorders>
            <w:vAlign w:val="center"/>
          </w:tcPr>
          <w:p w14:paraId="68FF912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tcBorders>
              <w:top w:val="single" w:color="auto" w:sz="4" w:space="0"/>
              <w:bottom w:val="single" w:color="auto" w:sz="4" w:space="0"/>
            </w:tcBorders>
            <w:vAlign w:val="center"/>
          </w:tcPr>
          <w:p w14:paraId="1BABDD8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tcBorders>
              <w:top w:val="single" w:color="auto" w:sz="4" w:space="0"/>
              <w:bottom w:val="single" w:color="auto" w:sz="4" w:space="0"/>
            </w:tcBorders>
            <w:vAlign w:val="center"/>
          </w:tcPr>
          <w:p w14:paraId="73890404">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tcBorders>
              <w:top w:val="single" w:color="auto" w:sz="4" w:space="0"/>
              <w:bottom w:val="single" w:color="auto" w:sz="4" w:space="0"/>
            </w:tcBorders>
            <w:vAlign w:val="center"/>
          </w:tcPr>
          <w:p w14:paraId="1B9FD1D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tcBorders>
              <w:top w:val="single" w:color="auto" w:sz="4" w:space="0"/>
              <w:bottom w:val="single" w:color="auto" w:sz="4" w:space="0"/>
              <w:right w:val="single" w:color="auto" w:sz="4" w:space="0"/>
            </w:tcBorders>
            <w:vAlign w:val="center"/>
          </w:tcPr>
          <w:p w14:paraId="7DCC2E7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69" w:type="dxa"/>
            <w:tcBorders>
              <w:top w:val="single" w:color="auto" w:sz="4" w:space="0"/>
              <w:left w:val="single" w:color="auto" w:sz="4" w:space="0"/>
              <w:bottom w:val="single" w:color="auto" w:sz="4" w:space="0"/>
              <w:right w:val="single" w:color="auto" w:sz="4" w:space="0"/>
            </w:tcBorders>
            <w:vAlign w:val="center"/>
          </w:tcPr>
          <w:p w14:paraId="50F3BF9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10AFDC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15" w:hRule="atLeast"/>
          <w:jc w:val="center"/>
        </w:trPr>
        <w:tc>
          <w:tcPr>
            <w:tcW w:w="606" w:type="dxa"/>
            <w:tcBorders>
              <w:top w:val="single" w:color="auto" w:sz="4" w:space="0"/>
              <w:bottom w:val="single" w:color="auto" w:sz="4" w:space="0"/>
            </w:tcBorders>
            <w:vAlign w:val="center"/>
          </w:tcPr>
          <w:p w14:paraId="1E2F094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tcBorders>
              <w:top w:val="single" w:color="auto" w:sz="4" w:space="0"/>
              <w:bottom w:val="single" w:color="auto" w:sz="4" w:space="0"/>
            </w:tcBorders>
            <w:vAlign w:val="center"/>
          </w:tcPr>
          <w:p w14:paraId="187BDA55">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tcBorders>
              <w:top w:val="single" w:color="auto" w:sz="4" w:space="0"/>
              <w:bottom w:val="single" w:color="auto" w:sz="4" w:space="0"/>
            </w:tcBorders>
            <w:vAlign w:val="center"/>
          </w:tcPr>
          <w:p w14:paraId="6A79201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tcBorders>
              <w:top w:val="single" w:color="auto" w:sz="4" w:space="0"/>
              <w:bottom w:val="single" w:color="auto" w:sz="4" w:space="0"/>
            </w:tcBorders>
            <w:vAlign w:val="center"/>
          </w:tcPr>
          <w:p w14:paraId="3222BDE5">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tcBorders>
              <w:top w:val="single" w:color="auto" w:sz="4" w:space="0"/>
              <w:bottom w:val="single" w:color="auto" w:sz="4" w:space="0"/>
            </w:tcBorders>
            <w:vAlign w:val="center"/>
          </w:tcPr>
          <w:p w14:paraId="37EF39D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tcBorders>
              <w:top w:val="single" w:color="auto" w:sz="4" w:space="0"/>
              <w:bottom w:val="single" w:color="auto" w:sz="4" w:space="0"/>
            </w:tcBorders>
            <w:vAlign w:val="center"/>
          </w:tcPr>
          <w:p w14:paraId="11361C85">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tcBorders>
              <w:top w:val="single" w:color="auto" w:sz="4" w:space="0"/>
              <w:bottom w:val="single" w:color="auto" w:sz="4" w:space="0"/>
              <w:right w:val="single" w:color="auto" w:sz="4" w:space="0"/>
            </w:tcBorders>
            <w:vAlign w:val="center"/>
          </w:tcPr>
          <w:p w14:paraId="1E686D31">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69" w:type="dxa"/>
            <w:tcBorders>
              <w:top w:val="single" w:color="auto" w:sz="4" w:space="0"/>
              <w:left w:val="single" w:color="auto" w:sz="4" w:space="0"/>
              <w:bottom w:val="single" w:color="auto" w:sz="4" w:space="0"/>
              <w:right w:val="single" w:color="auto" w:sz="4" w:space="0"/>
            </w:tcBorders>
            <w:vAlign w:val="center"/>
          </w:tcPr>
          <w:p w14:paraId="6374451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42DB83F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450" w:hRule="atLeast"/>
          <w:jc w:val="center"/>
        </w:trPr>
        <w:tc>
          <w:tcPr>
            <w:tcW w:w="606" w:type="dxa"/>
            <w:tcBorders>
              <w:top w:val="single" w:color="auto" w:sz="4" w:space="0"/>
              <w:bottom w:val="single" w:color="auto" w:sz="4" w:space="0"/>
            </w:tcBorders>
            <w:vAlign w:val="center"/>
          </w:tcPr>
          <w:p w14:paraId="4BCA1CFC">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tcBorders>
              <w:top w:val="single" w:color="auto" w:sz="4" w:space="0"/>
              <w:bottom w:val="single" w:color="auto" w:sz="4" w:space="0"/>
            </w:tcBorders>
            <w:vAlign w:val="center"/>
          </w:tcPr>
          <w:p w14:paraId="16DEDEE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tcBorders>
              <w:top w:val="single" w:color="auto" w:sz="4" w:space="0"/>
              <w:bottom w:val="single" w:color="auto" w:sz="4" w:space="0"/>
            </w:tcBorders>
            <w:vAlign w:val="center"/>
          </w:tcPr>
          <w:p w14:paraId="58900660">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tcBorders>
              <w:top w:val="single" w:color="auto" w:sz="4" w:space="0"/>
              <w:bottom w:val="single" w:color="auto" w:sz="4" w:space="0"/>
            </w:tcBorders>
            <w:vAlign w:val="center"/>
          </w:tcPr>
          <w:p w14:paraId="6740F6C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tcBorders>
              <w:top w:val="single" w:color="auto" w:sz="4" w:space="0"/>
              <w:bottom w:val="single" w:color="auto" w:sz="4" w:space="0"/>
            </w:tcBorders>
            <w:vAlign w:val="center"/>
          </w:tcPr>
          <w:p w14:paraId="7ACEFCD8">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tcBorders>
              <w:top w:val="single" w:color="auto" w:sz="4" w:space="0"/>
              <w:bottom w:val="single" w:color="auto" w:sz="4" w:space="0"/>
            </w:tcBorders>
            <w:vAlign w:val="center"/>
          </w:tcPr>
          <w:p w14:paraId="5AAD7C56">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tcBorders>
              <w:top w:val="single" w:color="auto" w:sz="4" w:space="0"/>
              <w:bottom w:val="single" w:color="auto" w:sz="4" w:space="0"/>
              <w:right w:val="single" w:color="auto" w:sz="4" w:space="0"/>
            </w:tcBorders>
            <w:vAlign w:val="center"/>
          </w:tcPr>
          <w:p w14:paraId="65F4404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69" w:type="dxa"/>
            <w:tcBorders>
              <w:top w:val="single" w:color="auto" w:sz="4" w:space="0"/>
              <w:left w:val="single" w:color="auto" w:sz="4" w:space="0"/>
              <w:bottom w:val="single" w:color="auto" w:sz="4" w:space="0"/>
              <w:right w:val="single" w:color="auto" w:sz="4" w:space="0"/>
            </w:tcBorders>
            <w:vAlign w:val="center"/>
          </w:tcPr>
          <w:p w14:paraId="5020A40D">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r w14:paraId="267BB5D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435" w:hRule="atLeast"/>
          <w:jc w:val="center"/>
        </w:trPr>
        <w:tc>
          <w:tcPr>
            <w:tcW w:w="606" w:type="dxa"/>
            <w:tcBorders>
              <w:top w:val="single" w:color="auto" w:sz="4" w:space="0"/>
            </w:tcBorders>
            <w:vAlign w:val="center"/>
          </w:tcPr>
          <w:p w14:paraId="2950298A">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960" w:type="dxa"/>
            <w:tcBorders>
              <w:top w:val="single" w:color="auto" w:sz="4" w:space="0"/>
            </w:tcBorders>
            <w:vAlign w:val="center"/>
          </w:tcPr>
          <w:p w14:paraId="660B261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13" w:type="dxa"/>
            <w:tcBorders>
              <w:top w:val="single" w:color="auto" w:sz="4" w:space="0"/>
            </w:tcBorders>
            <w:vAlign w:val="center"/>
          </w:tcPr>
          <w:p w14:paraId="41CEED1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1" w:type="dxa"/>
            <w:tcBorders>
              <w:top w:val="single" w:color="auto" w:sz="4" w:space="0"/>
            </w:tcBorders>
            <w:vAlign w:val="center"/>
          </w:tcPr>
          <w:p w14:paraId="552F40E7">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62" w:type="dxa"/>
            <w:tcBorders>
              <w:top w:val="single" w:color="auto" w:sz="4" w:space="0"/>
            </w:tcBorders>
            <w:vAlign w:val="center"/>
          </w:tcPr>
          <w:p w14:paraId="7739B00F">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80" w:type="dxa"/>
            <w:tcBorders>
              <w:top w:val="single" w:color="auto" w:sz="4" w:space="0"/>
            </w:tcBorders>
            <w:vAlign w:val="center"/>
          </w:tcPr>
          <w:p w14:paraId="0A36304E">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158" w:type="dxa"/>
            <w:tcBorders>
              <w:top w:val="single" w:color="auto" w:sz="4" w:space="0"/>
              <w:right w:val="single" w:color="auto" w:sz="4" w:space="0"/>
            </w:tcBorders>
            <w:vAlign w:val="center"/>
          </w:tcPr>
          <w:p w14:paraId="386886C0">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c>
          <w:tcPr>
            <w:tcW w:w="1069" w:type="dxa"/>
            <w:tcBorders>
              <w:top w:val="single" w:color="auto" w:sz="4" w:space="0"/>
              <w:left w:val="single" w:color="auto" w:sz="4" w:space="0"/>
              <w:right w:val="single" w:color="auto" w:sz="4" w:space="0"/>
            </w:tcBorders>
            <w:vAlign w:val="center"/>
          </w:tcPr>
          <w:p w14:paraId="4D29F803">
            <w:pPr>
              <w:pageBreakBefore w:val="0"/>
              <w:wordWrap/>
              <w:overflowPunct/>
              <w:topLinePunct w:val="0"/>
              <w:bidi w:val="0"/>
              <w:spacing w:line="560" w:lineRule="exact"/>
              <w:ind w:left="0" w:leftChars="0" w:right="0" w:rightChars="0"/>
              <w:jc w:val="center"/>
              <w:rPr>
                <w:rFonts w:hint="eastAsia" w:ascii="宋体" w:hAnsi="宋体" w:eastAsia="宋体" w:cs="宋体"/>
                <w:b w:val="0"/>
                <w:bCs/>
                <w:color w:val="auto"/>
                <w:sz w:val="24"/>
                <w:szCs w:val="24"/>
                <w:highlight w:val="none"/>
              </w:rPr>
            </w:pPr>
          </w:p>
        </w:tc>
      </w:tr>
    </w:tbl>
    <w:p w14:paraId="7299B3C7">
      <w:pPr>
        <w:pageBreakBefore w:val="0"/>
        <w:wordWrap/>
        <w:overflowPunct/>
        <w:topLinePunct w:val="0"/>
        <w:bidi w:val="0"/>
        <w:spacing w:line="560" w:lineRule="exact"/>
        <w:ind w:left="0" w:leftChars="0" w:right="0" w:rightChars="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备注：</w:t>
      </w:r>
    </w:p>
    <w:p w14:paraId="67D8A27E">
      <w:pPr>
        <w:pageBreakBefore w:val="0"/>
        <w:numPr>
          <w:ilvl w:val="0"/>
          <w:numId w:val="9"/>
        </w:numPr>
        <w:wordWrap/>
        <w:overflowPunct/>
        <w:topLinePunct w:val="0"/>
        <w:bidi w:val="0"/>
        <w:spacing w:line="560" w:lineRule="exact"/>
        <w:ind w:left="0" w:leftChars="0" w:right="0" w:rightChars="0"/>
        <w:jc w:val="left"/>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本表后附：投标文件上传截止时间前</w:t>
      </w:r>
      <w:r>
        <w:rPr>
          <w:rFonts w:hint="eastAsia" w:ascii="宋体" w:hAnsi="宋体" w:eastAsia="宋体" w:cs="宋体"/>
          <w:b w:val="0"/>
          <w:bCs/>
          <w:color w:val="auto"/>
          <w:sz w:val="24"/>
          <w:szCs w:val="24"/>
          <w:highlight w:val="none"/>
          <w:lang w:val="en-US" w:eastAsia="zh-CN"/>
        </w:rPr>
        <w:t>推算三年</w:t>
      </w:r>
      <w:r>
        <w:rPr>
          <w:rFonts w:hint="eastAsia" w:ascii="宋体" w:hAnsi="宋体" w:eastAsia="宋体" w:cs="宋体"/>
          <w:b w:val="0"/>
          <w:bCs/>
          <w:color w:val="auto"/>
          <w:sz w:val="24"/>
          <w:szCs w:val="24"/>
          <w:highlight w:val="none"/>
        </w:rPr>
        <w:t>，以合同签订日期为准</w:t>
      </w:r>
      <w:r>
        <w:rPr>
          <w:rFonts w:hint="eastAsia" w:ascii="宋体" w:hAnsi="宋体" w:eastAsia="宋体" w:cs="宋体"/>
          <w:color w:val="auto"/>
          <w:sz w:val="24"/>
          <w:szCs w:val="24"/>
          <w:highlight w:val="none"/>
          <w:lang w:eastAsia="zh-CN"/>
        </w:rPr>
        <w:t>；</w:t>
      </w:r>
    </w:p>
    <w:p w14:paraId="71CCDC84">
      <w:pPr>
        <w:pageBreakBefore w:val="0"/>
        <w:wordWrap/>
        <w:overflowPunct/>
        <w:topLinePunct w:val="0"/>
        <w:bidi w:val="0"/>
        <w:spacing w:line="560" w:lineRule="exact"/>
        <w:ind w:left="0" w:leftChars="0" w:right="0" w:rightChars="0"/>
        <w:jc w:val="left"/>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eastAsia="zh-CN"/>
        </w:rPr>
        <w:t>投标人须提供中标（成交）通知书</w:t>
      </w:r>
      <w:r>
        <w:rPr>
          <w:rFonts w:hint="eastAsia" w:ascii="宋体" w:hAnsi="宋体" w:eastAsia="宋体" w:cs="宋体"/>
          <w:b w:val="0"/>
          <w:bCs/>
          <w:color w:val="auto"/>
          <w:sz w:val="24"/>
          <w:szCs w:val="24"/>
          <w:highlight w:val="none"/>
          <w:lang w:val="en-US" w:eastAsia="zh-CN"/>
        </w:rPr>
        <w:t>和</w:t>
      </w:r>
      <w:r>
        <w:rPr>
          <w:rFonts w:hint="eastAsia" w:ascii="宋体" w:hAnsi="宋体" w:eastAsia="宋体" w:cs="宋体"/>
          <w:b w:val="0"/>
          <w:bCs/>
          <w:color w:val="auto"/>
          <w:sz w:val="24"/>
          <w:szCs w:val="24"/>
          <w:highlight w:val="none"/>
          <w:lang w:eastAsia="zh-CN"/>
        </w:rPr>
        <w:t>合同（至少包括合同首页、标的页、签字盖章页、采购内容页）</w:t>
      </w:r>
      <w:r>
        <w:rPr>
          <w:rFonts w:hint="eastAsia" w:ascii="宋体" w:hAnsi="宋体" w:eastAsia="宋体" w:cs="宋体"/>
          <w:b w:val="0"/>
          <w:bCs/>
          <w:color w:val="auto"/>
          <w:sz w:val="24"/>
          <w:szCs w:val="24"/>
          <w:highlight w:val="none"/>
          <w:lang w:val="en-US" w:eastAsia="zh-CN"/>
        </w:rPr>
        <w:t>复印件加盖公章</w:t>
      </w:r>
      <w:r>
        <w:rPr>
          <w:rFonts w:hint="eastAsia" w:ascii="宋体" w:hAnsi="宋体" w:eastAsia="宋体" w:cs="宋体"/>
          <w:b w:val="0"/>
          <w:bCs/>
          <w:color w:val="auto"/>
          <w:sz w:val="24"/>
          <w:szCs w:val="24"/>
          <w:highlight w:val="none"/>
          <w:lang w:eastAsia="zh-CN"/>
        </w:rPr>
        <w:t>；</w:t>
      </w:r>
    </w:p>
    <w:p w14:paraId="408E032E">
      <w:pPr>
        <w:pStyle w:val="85"/>
        <w:pageBreakBefore w:val="0"/>
        <w:wordWrap/>
        <w:overflowPunct/>
        <w:topLinePunct w:val="0"/>
        <w:bidi w:val="0"/>
        <w:spacing w:line="560" w:lineRule="exact"/>
        <w:ind w:left="0" w:leftChars="0" w:right="0" w:rightChars="0" w:firstLine="0" w:firstLineChars="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b/>
          <w:bCs w:val="0"/>
          <w:color w:val="auto"/>
          <w:sz w:val="24"/>
          <w:szCs w:val="24"/>
          <w:highlight w:val="none"/>
          <w:lang w:eastAsia="zh-CN"/>
        </w:rPr>
        <w:br w:type="page"/>
      </w:r>
    </w:p>
    <w:p w14:paraId="4B750482">
      <w:pPr>
        <w:pStyle w:val="3"/>
        <w:keepNext w:val="0"/>
        <w:pageBreakBefore w:val="0"/>
        <w:widowControl w:val="0"/>
        <w:numPr>
          <w:ilvl w:val="0"/>
          <w:numId w:val="0"/>
        </w:numPr>
        <w:kinsoku/>
        <w:wordWrap/>
        <w:overflowPunct/>
        <w:topLinePunct w:val="0"/>
        <w:autoSpaceDE/>
        <w:autoSpaceDN/>
        <w:bidi w:val="0"/>
        <w:snapToGrid/>
        <w:spacing w:before="0" w:after="0" w:line="400" w:lineRule="exact"/>
        <w:ind w:left="0" w:leftChars="0" w:right="0" w:rightChars="0"/>
        <w:jc w:val="center"/>
        <w:rPr>
          <w:rFonts w:hint="eastAsia" w:ascii="宋体" w:hAnsi="宋体" w:eastAsia="宋体" w:cs="宋体"/>
          <w:color w:val="auto"/>
          <w:sz w:val="24"/>
          <w:szCs w:val="24"/>
          <w:highlight w:val="none"/>
        </w:rPr>
      </w:pPr>
      <w:bookmarkStart w:id="143" w:name="_Toc217446091"/>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商务、技术需求偏离表</w:t>
      </w:r>
    </w:p>
    <w:p w14:paraId="6B45CCAF">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商务条款偏离表</w:t>
      </w:r>
    </w:p>
    <w:tbl>
      <w:tblPr>
        <w:tblStyle w:val="31"/>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5850"/>
        <w:gridCol w:w="1008"/>
        <w:gridCol w:w="1164"/>
      </w:tblGrid>
      <w:tr w14:paraId="7D304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3" w:type="dxa"/>
            <w:shd w:val="clear" w:color="auto" w:fill="FFFFFF"/>
            <w:vAlign w:val="center"/>
          </w:tcPr>
          <w:p w14:paraId="382E571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5850" w:type="dxa"/>
            <w:shd w:val="clear" w:color="auto" w:fill="FFFFFF"/>
            <w:vAlign w:val="center"/>
          </w:tcPr>
          <w:p w14:paraId="3478C092">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主要商务条款</w:t>
            </w:r>
          </w:p>
        </w:tc>
        <w:tc>
          <w:tcPr>
            <w:tcW w:w="1008" w:type="dxa"/>
            <w:shd w:val="clear" w:color="auto" w:fill="FFFFFF"/>
            <w:vAlign w:val="center"/>
          </w:tcPr>
          <w:p w14:paraId="48988D1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是否</w:t>
            </w:r>
          </w:p>
          <w:p w14:paraId="1293F98C">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响应</w:t>
            </w:r>
          </w:p>
        </w:tc>
        <w:tc>
          <w:tcPr>
            <w:tcW w:w="1164" w:type="dxa"/>
            <w:shd w:val="clear" w:color="auto" w:fill="FFFFFF"/>
            <w:vAlign w:val="center"/>
          </w:tcPr>
          <w:p w14:paraId="00E16CE7">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偏离说明</w:t>
            </w:r>
          </w:p>
        </w:tc>
      </w:tr>
      <w:tr w14:paraId="37A13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1E1B772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850" w:type="dxa"/>
            <w:vAlign w:val="center"/>
          </w:tcPr>
          <w:p w14:paraId="51D48E4A">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完全理解并接受对合格投标人、合格的货物质量和服务要求；</w:t>
            </w:r>
          </w:p>
        </w:tc>
        <w:tc>
          <w:tcPr>
            <w:tcW w:w="1008" w:type="dxa"/>
            <w:vAlign w:val="center"/>
          </w:tcPr>
          <w:p w14:paraId="193D179A">
            <w:pPr>
              <w:pStyle w:val="100"/>
              <w:keepNext w:val="0"/>
              <w:pageBreakBefore w:val="0"/>
              <w:widowControl w:val="0"/>
              <w:kinsoku/>
              <w:wordWrap/>
              <w:overflowPunct/>
              <w:topLinePunct w:val="0"/>
              <w:autoSpaceDE/>
              <w:autoSpaceDN/>
              <w:bidi w:val="0"/>
              <w:adjustRightInd/>
              <w:snapToGrid/>
              <w:spacing w:before="0" w:after="0" w:line="400" w:lineRule="exact"/>
              <w:ind w:left="0" w:leftChars="0" w:right="0" w:rightChars="0"/>
              <w:textAlignment w:val="auto"/>
              <w:rPr>
                <w:rFonts w:hint="eastAsia" w:ascii="宋体" w:hAnsi="宋体" w:eastAsia="宋体" w:cs="宋体"/>
                <w:color w:val="auto"/>
                <w:spacing w:val="0"/>
                <w:kern w:val="2"/>
                <w:sz w:val="24"/>
                <w:szCs w:val="24"/>
                <w:highlight w:val="none"/>
              </w:rPr>
            </w:pPr>
          </w:p>
        </w:tc>
        <w:tc>
          <w:tcPr>
            <w:tcW w:w="1164" w:type="dxa"/>
            <w:vAlign w:val="center"/>
          </w:tcPr>
          <w:p w14:paraId="193DAA2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75D07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2B1C70D2">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850" w:type="dxa"/>
            <w:vAlign w:val="center"/>
          </w:tcPr>
          <w:p w14:paraId="7E90C13A">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完全理解并接受对投标人的各项须知、规约要求和责任义务；</w:t>
            </w:r>
          </w:p>
        </w:tc>
        <w:tc>
          <w:tcPr>
            <w:tcW w:w="1008" w:type="dxa"/>
            <w:vAlign w:val="center"/>
          </w:tcPr>
          <w:p w14:paraId="231487D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570AB9D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4193A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6439B43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850" w:type="dxa"/>
            <w:vAlign w:val="center"/>
          </w:tcPr>
          <w:p w14:paraId="71A9555E">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同意接受拟签订的合同文本所列述的各项条款；</w:t>
            </w:r>
          </w:p>
        </w:tc>
        <w:tc>
          <w:tcPr>
            <w:tcW w:w="1008" w:type="dxa"/>
            <w:vAlign w:val="center"/>
          </w:tcPr>
          <w:p w14:paraId="02445F0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5893DA50">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0535E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3DE72D3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5850" w:type="dxa"/>
            <w:vAlign w:val="center"/>
          </w:tcPr>
          <w:p w14:paraId="0F5F3875">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同意按本项目要求缴付相关款项；</w:t>
            </w:r>
          </w:p>
        </w:tc>
        <w:tc>
          <w:tcPr>
            <w:tcW w:w="1008" w:type="dxa"/>
            <w:vAlign w:val="center"/>
          </w:tcPr>
          <w:p w14:paraId="759AA11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45B68BF9">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74E2E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673" w:type="dxa"/>
            <w:vAlign w:val="center"/>
          </w:tcPr>
          <w:p w14:paraId="7A0645E5">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5850" w:type="dxa"/>
            <w:vAlign w:val="center"/>
          </w:tcPr>
          <w:p w14:paraId="3B89D294">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可提供货物供货来源证明或供货渠道与品质的合法性证明；</w:t>
            </w:r>
          </w:p>
        </w:tc>
        <w:tc>
          <w:tcPr>
            <w:tcW w:w="1008" w:type="dxa"/>
            <w:vAlign w:val="center"/>
          </w:tcPr>
          <w:p w14:paraId="7285D10C">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2720C8D8">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060E2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673" w:type="dxa"/>
            <w:vAlign w:val="center"/>
          </w:tcPr>
          <w:p w14:paraId="6F2A3A0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5850" w:type="dxa"/>
            <w:vAlign w:val="center"/>
          </w:tcPr>
          <w:p w14:paraId="6D5F965B">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有效期</w:t>
            </w:r>
            <w:r>
              <w:rPr>
                <w:rFonts w:hint="eastAsia" w:ascii="宋体" w:hAnsi="宋体" w:eastAsia="宋体" w:cs="宋体"/>
                <w:color w:val="auto"/>
                <w:sz w:val="24"/>
                <w:szCs w:val="24"/>
                <w:highlight w:val="none"/>
                <w:lang w:eastAsia="zh-CN"/>
              </w:rPr>
              <w:t>；</w:t>
            </w:r>
          </w:p>
        </w:tc>
        <w:tc>
          <w:tcPr>
            <w:tcW w:w="1008" w:type="dxa"/>
            <w:vAlign w:val="center"/>
          </w:tcPr>
          <w:p w14:paraId="6E1DB59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3BCC5291">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7DDE8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4476A474">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5850" w:type="dxa"/>
            <w:vAlign w:val="center"/>
          </w:tcPr>
          <w:p w14:paraId="05C12F2C">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投标内容均涵盖招标要求及一切费用和伴随服务；</w:t>
            </w:r>
          </w:p>
        </w:tc>
        <w:tc>
          <w:tcPr>
            <w:tcW w:w="1008" w:type="dxa"/>
            <w:vAlign w:val="center"/>
          </w:tcPr>
          <w:p w14:paraId="1F18FD4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3F4FA6D4">
            <w:pPr>
              <w:pStyle w:val="100"/>
              <w:keepNext w:val="0"/>
              <w:pageBreakBefore w:val="0"/>
              <w:widowControl w:val="0"/>
              <w:kinsoku/>
              <w:wordWrap/>
              <w:overflowPunct/>
              <w:topLinePunct w:val="0"/>
              <w:autoSpaceDE/>
              <w:autoSpaceDN/>
              <w:bidi w:val="0"/>
              <w:adjustRightInd/>
              <w:snapToGrid/>
              <w:spacing w:before="0" w:after="0" w:line="400" w:lineRule="exact"/>
              <w:ind w:left="0" w:leftChars="0" w:right="0" w:rightChars="0"/>
              <w:textAlignment w:val="auto"/>
              <w:rPr>
                <w:rFonts w:hint="eastAsia" w:ascii="宋体" w:hAnsi="宋体" w:eastAsia="宋体" w:cs="宋体"/>
                <w:color w:val="auto"/>
                <w:spacing w:val="0"/>
                <w:kern w:val="2"/>
                <w:sz w:val="24"/>
                <w:szCs w:val="24"/>
                <w:highlight w:val="none"/>
              </w:rPr>
            </w:pPr>
          </w:p>
        </w:tc>
      </w:tr>
      <w:tr w14:paraId="1A5B8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6811170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5850" w:type="dxa"/>
            <w:vAlign w:val="center"/>
          </w:tcPr>
          <w:p w14:paraId="10574818">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同意接受本项目供货期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质保期</w:t>
            </w:r>
            <w:r>
              <w:rPr>
                <w:rFonts w:hint="eastAsia" w:ascii="宋体" w:hAnsi="宋体" w:eastAsia="宋体" w:cs="宋体"/>
                <w:color w:val="auto"/>
                <w:sz w:val="24"/>
                <w:szCs w:val="24"/>
                <w:highlight w:val="none"/>
              </w:rPr>
              <w:t>或相关进度安排要求；</w:t>
            </w:r>
          </w:p>
        </w:tc>
        <w:tc>
          <w:tcPr>
            <w:tcW w:w="1008" w:type="dxa"/>
            <w:vAlign w:val="center"/>
          </w:tcPr>
          <w:p w14:paraId="5C59898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2622B0B4">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4C399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4132D7B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5850" w:type="dxa"/>
            <w:vAlign w:val="center"/>
          </w:tcPr>
          <w:p w14:paraId="29FC2C7A">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同意接受本项目的验收要求及验收标准；</w:t>
            </w:r>
          </w:p>
        </w:tc>
        <w:tc>
          <w:tcPr>
            <w:tcW w:w="1008" w:type="dxa"/>
            <w:vAlign w:val="center"/>
          </w:tcPr>
          <w:p w14:paraId="7D0E90A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7BB2387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561D5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3" w:type="dxa"/>
            <w:vAlign w:val="center"/>
          </w:tcPr>
          <w:p w14:paraId="5D007F68">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5850" w:type="dxa"/>
            <w:vAlign w:val="center"/>
          </w:tcPr>
          <w:p w14:paraId="2C087974">
            <w:pPr>
              <w:pStyle w:val="20"/>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b w:val="0"/>
                <w:bCs w:val="0"/>
                <w:color w:val="auto"/>
                <w:kern w:val="2"/>
                <w:sz w:val="24"/>
                <w:szCs w:val="24"/>
                <w:highlight w:val="none"/>
              </w:rPr>
              <w:t>同意采购人以任何形式对我方的投标文件内容的真实性和有效性进行审查、验证；</w:t>
            </w:r>
          </w:p>
        </w:tc>
        <w:tc>
          <w:tcPr>
            <w:tcW w:w="1008" w:type="dxa"/>
            <w:vAlign w:val="center"/>
          </w:tcPr>
          <w:p w14:paraId="0E8C17AD">
            <w:pPr>
              <w:pStyle w:val="101"/>
              <w:keepNext w:val="0"/>
              <w:pageBreakBefore w:val="0"/>
              <w:widowControl w:val="0"/>
              <w:numPr>
                <w:ilvl w:val="0"/>
                <w:numId w:val="0"/>
              </w:numPr>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p>
        </w:tc>
        <w:tc>
          <w:tcPr>
            <w:tcW w:w="1164" w:type="dxa"/>
            <w:vAlign w:val="center"/>
          </w:tcPr>
          <w:p w14:paraId="485D6C5A">
            <w:pPr>
              <w:pStyle w:val="100"/>
              <w:keepNext w:val="0"/>
              <w:pageBreakBefore w:val="0"/>
              <w:widowControl w:val="0"/>
              <w:kinsoku/>
              <w:wordWrap/>
              <w:overflowPunct/>
              <w:topLinePunct w:val="0"/>
              <w:autoSpaceDE/>
              <w:autoSpaceDN/>
              <w:bidi w:val="0"/>
              <w:adjustRightInd/>
              <w:snapToGrid/>
              <w:spacing w:before="0" w:after="0" w:line="400" w:lineRule="exact"/>
              <w:ind w:left="0" w:leftChars="0" w:right="0" w:rightChars="0"/>
              <w:jc w:val="both"/>
              <w:textAlignment w:val="auto"/>
              <w:rPr>
                <w:rFonts w:hint="eastAsia" w:ascii="宋体" w:hAnsi="宋体" w:eastAsia="宋体" w:cs="宋体"/>
                <w:color w:val="auto"/>
                <w:spacing w:val="0"/>
                <w:kern w:val="2"/>
                <w:sz w:val="24"/>
                <w:szCs w:val="24"/>
                <w:highlight w:val="none"/>
              </w:rPr>
            </w:pPr>
          </w:p>
        </w:tc>
      </w:tr>
      <w:tr w14:paraId="02B1E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73" w:type="dxa"/>
            <w:vAlign w:val="center"/>
          </w:tcPr>
          <w:p w14:paraId="62AF5FD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5850" w:type="dxa"/>
            <w:vAlign w:val="center"/>
          </w:tcPr>
          <w:p w14:paraId="62A484F5">
            <w:pPr>
              <w:pStyle w:val="20"/>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同意接受本项目付款的各项要求。</w:t>
            </w:r>
          </w:p>
        </w:tc>
        <w:tc>
          <w:tcPr>
            <w:tcW w:w="1008" w:type="dxa"/>
            <w:vAlign w:val="center"/>
          </w:tcPr>
          <w:p w14:paraId="0B866BE8">
            <w:pPr>
              <w:pStyle w:val="101"/>
              <w:keepNext w:val="0"/>
              <w:pageBreakBefore w:val="0"/>
              <w:widowControl w:val="0"/>
              <w:numPr>
                <w:ilvl w:val="0"/>
                <w:numId w:val="0"/>
              </w:numPr>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p>
        </w:tc>
        <w:tc>
          <w:tcPr>
            <w:tcW w:w="1164" w:type="dxa"/>
            <w:vAlign w:val="center"/>
          </w:tcPr>
          <w:p w14:paraId="5BC43601">
            <w:pPr>
              <w:pStyle w:val="100"/>
              <w:keepNext w:val="0"/>
              <w:pageBreakBefore w:val="0"/>
              <w:widowControl w:val="0"/>
              <w:kinsoku/>
              <w:wordWrap/>
              <w:overflowPunct/>
              <w:topLinePunct w:val="0"/>
              <w:autoSpaceDE/>
              <w:autoSpaceDN/>
              <w:bidi w:val="0"/>
              <w:adjustRightInd/>
              <w:snapToGrid/>
              <w:spacing w:before="0" w:after="0" w:line="400" w:lineRule="exact"/>
              <w:ind w:left="0" w:leftChars="0" w:right="0" w:rightChars="0"/>
              <w:jc w:val="both"/>
              <w:textAlignment w:val="auto"/>
              <w:rPr>
                <w:rFonts w:hint="eastAsia" w:ascii="宋体" w:hAnsi="宋体" w:eastAsia="宋体" w:cs="宋体"/>
                <w:color w:val="auto"/>
                <w:spacing w:val="0"/>
                <w:kern w:val="2"/>
                <w:sz w:val="24"/>
                <w:szCs w:val="24"/>
                <w:highlight w:val="none"/>
              </w:rPr>
            </w:pPr>
          </w:p>
        </w:tc>
      </w:tr>
    </w:tbl>
    <w:p w14:paraId="748B21CD">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14:paraId="021AEB8C">
      <w:pPr>
        <w:keepNext w:val="0"/>
        <w:keepLines w:val="0"/>
        <w:pageBreakBefore w:val="0"/>
        <w:widowControl w:val="0"/>
        <w:numPr>
          <w:ilvl w:val="0"/>
          <w:numId w:val="10"/>
        </w:numPr>
        <w:kinsoku/>
        <w:wordWrap/>
        <w:overflowPunct/>
        <w:topLinePunct w:val="0"/>
        <w:autoSpaceDE/>
        <w:autoSpaceDN/>
        <w:bidi w:val="0"/>
        <w:adjustRightInd/>
        <w:snapToGrid/>
        <w:spacing w:line="400" w:lineRule="exact"/>
        <w:ind w:left="0" w:leftChars="0" w:right="0" w:rightChars="0"/>
        <w:textAlignment w:val="auto"/>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val="en-GB"/>
        </w:rPr>
        <w:t>于上述要求，如投标人完全响应，则请在“是否响应”栏内打“√”，对打“×”视为偏离，请在“偏离说明”栏内扼要说明偏离情况；</w:t>
      </w:r>
    </w:p>
    <w:p w14:paraId="62580BA7">
      <w:pPr>
        <w:keepNext w:val="0"/>
        <w:keepLines w:val="0"/>
        <w:pageBreakBefore w:val="0"/>
        <w:widowControl w:val="0"/>
        <w:numPr>
          <w:ilvl w:val="0"/>
          <w:numId w:val="10"/>
        </w:numPr>
        <w:kinsoku/>
        <w:wordWrap/>
        <w:overflowPunct/>
        <w:topLinePunct w:val="0"/>
        <w:autoSpaceDE/>
        <w:autoSpaceDN/>
        <w:bidi w:val="0"/>
        <w:adjustRightInd/>
        <w:snapToGrid/>
        <w:spacing w:line="400" w:lineRule="exact"/>
        <w:ind w:left="0" w:leftChars="0" w:right="0" w:rightChars="0"/>
        <w:textAlignment w:val="auto"/>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投标人应认真填写本响应表，若评标委员会在</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GB"/>
        </w:rPr>
        <w:t>期间，发现有虚假填写本响应表的，则将可能被视为存在两个</w:t>
      </w: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GB"/>
        </w:rPr>
        <w:t>方案，评标委员会将按本招标文件相关规定执行；</w:t>
      </w:r>
    </w:p>
    <w:p w14:paraId="73BDFC63">
      <w:pPr>
        <w:keepNext w:val="0"/>
        <w:keepLines w:val="0"/>
        <w:pageBreakBefore w:val="0"/>
        <w:widowControl w:val="0"/>
        <w:numPr>
          <w:ilvl w:val="0"/>
          <w:numId w:val="10"/>
        </w:numPr>
        <w:kinsoku/>
        <w:wordWrap/>
        <w:overflowPunct/>
        <w:topLinePunct w:val="0"/>
        <w:autoSpaceDE/>
        <w:autoSpaceDN/>
        <w:bidi w:val="0"/>
        <w:adjustRightInd/>
        <w:snapToGrid/>
        <w:spacing w:line="400" w:lineRule="exact"/>
        <w:ind w:left="0" w:leftChars="0" w:right="0" w:rightChars="0"/>
        <w:textAlignment w:val="auto"/>
        <w:rPr>
          <w:rFonts w:hint="eastAsia" w:ascii="宋体" w:hAnsi="宋体" w:eastAsia="宋体" w:cs="宋体"/>
          <w:color w:val="auto"/>
          <w:sz w:val="24"/>
          <w:szCs w:val="24"/>
          <w:highlight w:val="none"/>
          <w:lang w:val="en-GB"/>
        </w:rPr>
      </w:pPr>
      <w:r>
        <w:rPr>
          <w:rFonts w:hint="eastAsia" w:ascii="宋体" w:hAnsi="宋体" w:eastAsia="宋体" w:cs="宋体"/>
          <w:color w:val="auto"/>
          <w:sz w:val="24"/>
          <w:szCs w:val="24"/>
          <w:highlight w:val="none"/>
          <w:lang w:val="en-GB"/>
        </w:rPr>
        <w:t>本表内容不得擅自修改。</w:t>
      </w:r>
    </w:p>
    <w:p w14:paraId="5D7491E0">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textAlignment w:val="auto"/>
        <w:rPr>
          <w:rFonts w:hint="eastAsia" w:ascii="宋体" w:hAnsi="宋体" w:eastAsia="宋体" w:cs="宋体"/>
          <w:color w:val="auto"/>
          <w:sz w:val="24"/>
          <w:szCs w:val="24"/>
          <w:highlight w:val="none"/>
        </w:rPr>
      </w:pPr>
    </w:p>
    <w:p w14:paraId="3896358F">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jc w:val="righ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投标人名称（盖章）：</w:t>
      </w:r>
    </w:p>
    <w:p w14:paraId="44E1584D">
      <w:pPr>
        <w:pStyle w:val="13"/>
        <w:keepNext w:val="0"/>
        <w:keepLines w:val="0"/>
        <w:pageBreakBefore w:val="0"/>
        <w:widowControl w:val="0"/>
        <w:kinsoku/>
        <w:wordWrap/>
        <w:overflowPunct/>
        <w:topLinePunct w:val="0"/>
        <w:autoSpaceDE/>
        <w:autoSpaceDN/>
        <w:bidi w:val="0"/>
        <w:adjustRightInd/>
        <w:snapToGrid/>
        <w:spacing w:after="0" w:line="500" w:lineRule="exact"/>
        <w:ind w:left="0" w:leftChars="0" w:right="0" w:rightChars="0"/>
        <w:jc w:val="righ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授权人</w:t>
      </w:r>
      <w:r>
        <w:rPr>
          <w:rFonts w:hint="eastAsia" w:ascii="宋体" w:hAnsi="宋体" w:eastAsia="宋体" w:cs="宋体"/>
          <w:color w:val="auto"/>
          <w:sz w:val="24"/>
          <w:szCs w:val="24"/>
          <w:highlight w:val="none"/>
        </w:rPr>
        <w:t>或被授权人（签字或盖章）</w:t>
      </w:r>
      <w:r>
        <w:rPr>
          <w:rFonts w:hint="eastAsia" w:ascii="宋体" w:hAnsi="宋体" w:eastAsia="宋体" w:cs="宋体"/>
          <w:bCs/>
          <w:color w:val="auto"/>
          <w:sz w:val="24"/>
          <w:szCs w:val="24"/>
          <w:highlight w:val="none"/>
        </w:rPr>
        <w:t>：</w:t>
      </w:r>
    </w:p>
    <w:p w14:paraId="618E22B6">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日期：</w:t>
      </w:r>
    </w:p>
    <w:p w14:paraId="0F4DD274">
      <w:pP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br w:type="page"/>
      </w:r>
    </w:p>
    <w:p w14:paraId="7DE8DE2C">
      <w:pPr>
        <w:pStyle w:val="113"/>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560" w:lineRule="exact"/>
        <w:ind w:left="0" w:leftChars="0" w:right="0" w:rightChars="0"/>
        <w:jc w:val="center"/>
        <w:textAlignment w:val="auto"/>
        <w:outlineLvl w:val="9"/>
        <w:rPr>
          <w:rFonts w:hint="eastAsia" w:ascii="宋体" w:hAnsi="宋体" w:eastAsia="宋体" w:cs="宋体"/>
          <w:b/>
          <w:bCs/>
          <w:caps w:val="0"/>
          <w:color w:val="auto"/>
          <w:spacing w:val="0"/>
          <w:w w:val="100"/>
          <w:kern w:val="0"/>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aps w:val="0"/>
          <w:color w:val="auto"/>
          <w:spacing w:val="0"/>
          <w:w w:val="100"/>
          <w:kern w:val="0"/>
          <w:sz w:val="24"/>
          <w:szCs w:val="24"/>
          <w:highlight w:val="none"/>
          <w:lang w:eastAsia="zh-CN"/>
        </w:rPr>
        <w:t>技术需求偏离表</w:t>
      </w:r>
    </w:p>
    <w:tbl>
      <w:tblPr>
        <w:tblStyle w:val="31"/>
        <w:tblW w:w="4888" w:type="pct"/>
        <w:tblInd w:w="0" w:type="dxa"/>
        <w:tblLayout w:type="autofit"/>
        <w:tblCellMar>
          <w:top w:w="0" w:type="dxa"/>
          <w:left w:w="108" w:type="dxa"/>
          <w:bottom w:w="0" w:type="dxa"/>
          <w:right w:w="108" w:type="dxa"/>
        </w:tblCellMar>
      </w:tblPr>
      <w:tblGrid>
        <w:gridCol w:w="601"/>
        <w:gridCol w:w="859"/>
        <w:gridCol w:w="1058"/>
        <w:gridCol w:w="1070"/>
        <w:gridCol w:w="692"/>
        <w:gridCol w:w="908"/>
        <w:gridCol w:w="978"/>
        <w:gridCol w:w="846"/>
        <w:gridCol w:w="894"/>
        <w:gridCol w:w="1040"/>
        <w:gridCol w:w="793"/>
      </w:tblGrid>
      <w:tr w14:paraId="16E94933">
        <w:tblPrEx>
          <w:tblCellMar>
            <w:top w:w="0" w:type="dxa"/>
            <w:left w:w="108" w:type="dxa"/>
            <w:bottom w:w="0" w:type="dxa"/>
            <w:right w:w="108" w:type="dxa"/>
          </w:tblCellMar>
        </w:tblPrEx>
        <w:trPr>
          <w:trHeight w:val="1297" w:hRule="atLeast"/>
        </w:trPr>
        <w:tc>
          <w:tcPr>
            <w:tcW w:w="1293" w:type="pct"/>
            <w:gridSpan w:val="3"/>
            <w:tcBorders>
              <w:top w:val="single" w:color="auto" w:sz="4" w:space="0"/>
              <w:left w:val="single" w:color="auto" w:sz="4" w:space="0"/>
              <w:bottom w:val="single" w:color="auto" w:sz="4" w:space="0"/>
              <w:right w:val="single" w:color="auto" w:sz="4" w:space="0"/>
            </w:tcBorders>
            <w:shd w:val="clear" w:color="FFFFFF" w:fill="FFFFFF"/>
            <w:vAlign w:val="center"/>
          </w:tcPr>
          <w:p w14:paraId="4B931D80">
            <w:pPr>
              <w:pageBreakBefore w:val="0"/>
              <w:widowControl/>
              <w:wordWrap/>
              <w:overflowPunct/>
              <w:topLinePunct w:val="0"/>
              <w:bidi w:val="0"/>
              <w:spacing w:line="560" w:lineRule="exact"/>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招标</w:t>
            </w:r>
            <w:r>
              <w:rPr>
                <w:rFonts w:hint="eastAsia" w:ascii="宋体" w:hAnsi="宋体" w:eastAsia="宋体" w:cs="宋体"/>
                <w:b/>
                <w:bCs/>
                <w:color w:val="auto"/>
                <w:sz w:val="24"/>
                <w:szCs w:val="24"/>
                <w:highlight w:val="none"/>
                <w:lang w:eastAsia="zh-CN"/>
              </w:rPr>
              <w:t>文件</w:t>
            </w:r>
            <w:r>
              <w:rPr>
                <w:rFonts w:hint="eastAsia" w:ascii="宋体" w:hAnsi="宋体" w:eastAsia="宋体" w:cs="宋体"/>
                <w:b/>
                <w:bCs/>
                <w:color w:val="auto"/>
                <w:sz w:val="24"/>
                <w:szCs w:val="24"/>
                <w:highlight w:val="none"/>
              </w:rPr>
              <w:t>的要求</w:t>
            </w:r>
          </w:p>
        </w:tc>
        <w:tc>
          <w:tcPr>
            <w:tcW w:w="3706" w:type="pct"/>
            <w:gridSpan w:val="8"/>
            <w:tcBorders>
              <w:top w:val="single" w:color="auto" w:sz="4" w:space="0"/>
              <w:left w:val="single" w:color="auto" w:sz="4" w:space="0"/>
              <w:bottom w:val="single" w:color="auto" w:sz="4" w:space="0"/>
              <w:right w:val="single" w:color="auto" w:sz="4" w:space="0"/>
            </w:tcBorders>
            <w:shd w:val="clear" w:color="FFFFFF" w:fill="FFFFFF"/>
            <w:vAlign w:val="center"/>
          </w:tcPr>
          <w:p w14:paraId="48F6A966">
            <w:pPr>
              <w:pageBreakBefore w:val="0"/>
              <w:wordWrap/>
              <w:overflowPunct/>
              <w:topLinePunct w:val="0"/>
              <w:bidi w:val="0"/>
              <w:spacing w:line="560" w:lineRule="exact"/>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
                <w:bCs/>
                <w:color w:val="auto"/>
                <w:sz w:val="24"/>
                <w:szCs w:val="24"/>
                <w:highlight w:val="none"/>
                <w:lang w:val="en-US" w:eastAsia="zh-CN"/>
              </w:rPr>
              <w:t>投标</w:t>
            </w:r>
            <w:r>
              <w:rPr>
                <w:rFonts w:hint="eastAsia" w:ascii="宋体" w:hAnsi="宋体" w:eastAsia="宋体" w:cs="宋体"/>
                <w:b/>
                <w:bCs/>
                <w:color w:val="auto"/>
                <w:sz w:val="24"/>
                <w:szCs w:val="24"/>
                <w:highlight w:val="none"/>
                <w:lang w:eastAsia="zh-CN"/>
              </w:rPr>
              <w:t>文件</w:t>
            </w:r>
            <w:r>
              <w:rPr>
                <w:rFonts w:hint="eastAsia" w:ascii="宋体" w:hAnsi="宋体" w:eastAsia="宋体" w:cs="宋体"/>
                <w:b/>
                <w:bCs/>
                <w:color w:val="auto"/>
                <w:sz w:val="24"/>
                <w:szCs w:val="24"/>
                <w:highlight w:val="none"/>
              </w:rPr>
              <w:t>的响应</w:t>
            </w:r>
          </w:p>
        </w:tc>
      </w:tr>
      <w:tr w14:paraId="196DFE3F">
        <w:tblPrEx>
          <w:tblCellMar>
            <w:top w:w="0" w:type="dxa"/>
            <w:left w:w="108" w:type="dxa"/>
            <w:bottom w:w="0" w:type="dxa"/>
            <w:right w:w="108" w:type="dxa"/>
          </w:tblCellMar>
        </w:tblPrEx>
        <w:trPr>
          <w:trHeight w:val="1272" w:hRule="atLeast"/>
        </w:trPr>
        <w:tc>
          <w:tcPr>
            <w:tcW w:w="309" w:type="pct"/>
            <w:tcBorders>
              <w:top w:val="single" w:color="auto" w:sz="4" w:space="0"/>
              <w:left w:val="single" w:color="auto" w:sz="4" w:space="0"/>
              <w:bottom w:val="single" w:color="auto" w:sz="4" w:space="0"/>
              <w:right w:val="single" w:color="auto" w:sz="4" w:space="0"/>
            </w:tcBorders>
            <w:shd w:val="clear" w:color="FFFFFF" w:fill="FFFFFF"/>
            <w:vAlign w:val="center"/>
          </w:tcPr>
          <w:p w14:paraId="5B920AAB">
            <w:pPr>
              <w:pageBreakBefore w:val="0"/>
              <w:widowControl/>
              <w:wordWrap/>
              <w:overflowPunct/>
              <w:topLinePunct w:val="0"/>
              <w:bidi w:val="0"/>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序号</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3D789222">
            <w:pPr>
              <w:pageBreakBefore w:val="0"/>
              <w:widowControl/>
              <w:wordWrap/>
              <w:overflowPunct/>
              <w:topLinePunct w:val="0"/>
              <w:bidi w:val="0"/>
              <w:spacing w:line="240" w:lineRule="auto"/>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货物名称</w:t>
            </w:r>
          </w:p>
        </w:tc>
        <w:tc>
          <w:tcPr>
            <w:tcW w:w="543" w:type="pct"/>
            <w:tcBorders>
              <w:top w:val="single" w:color="auto" w:sz="4" w:space="0"/>
              <w:left w:val="single" w:color="auto" w:sz="4" w:space="0"/>
              <w:bottom w:val="single" w:color="auto" w:sz="4" w:space="0"/>
              <w:right w:val="single" w:color="auto" w:sz="4" w:space="0"/>
            </w:tcBorders>
            <w:shd w:val="clear" w:color="FFFFFF" w:fill="FFFFFF"/>
            <w:vAlign w:val="center"/>
          </w:tcPr>
          <w:p w14:paraId="69D474F5">
            <w:pPr>
              <w:pageBreakBefore w:val="0"/>
              <w:widowControl/>
              <w:wordWrap/>
              <w:overflowPunct/>
              <w:topLinePunct w:val="0"/>
              <w:bidi w:val="0"/>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技术参数要求</w:t>
            </w:r>
          </w:p>
        </w:tc>
        <w:tc>
          <w:tcPr>
            <w:tcW w:w="549" w:type="pct"/>
            <w:tcBorders>
              <w:top w:val="single" w:color="auto" w:sz="4" w:space="0"/>
              <w:left w:val="single" w:color="auto" w:sz="4" w:space="0"/>
              <w:bottom w:val="single" w:color="auto" w:sz="4" w:space="0"/>
              <w:right w:val="single" w:color="auto" w:sz="4" w:space="0"/>
            </w:tcBorders>
            <w:shd w:val="clear" w:color="FFFFFF" w:fill="FFFFFF"/>
            <w:vAlign w:val="center"/>
          </w:tcPr>
          <w:p w14:paraId="52E6999E">
            <w:pPr>
              <w:pageBreakBefore w:val="0"/>
              <w:wordWrap/>
              <w:overflowPunct/>
              <w:topLinePunct w:val="0"/>
              <w:bidi w:val="0"/>
              <w:spacing w:line="24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制造商名称</w:t>
            </w:r>
          </w:p>
        </w:tc>
        <w:tc>
          <w:tcPr>
            <w:tcW w:w="355" w:type="pct"/>
            <w:tcBorders>
              <w:top w:val="single" w:color="auto" w:sz="4" w:space="0"/>
              <w:left w:val="single" w:color="auto" w:sz="4" w:space="0"/>
              <w:bottom w:val="single" w:color="auto" w:sz="4" w:space="0"/>
              <w:right w:val="single" w:color="auto" w:sz="4" w:space="0"/>
            </w:tcBorders>
            <w:shd w:val="clear" w:color="FFFFFF" w:fill="FFFFFF"/>
            <w:vAlign w:val="center"/>
          </w:tcPr>
          <w:p w14:paraId="3EA3639F">
            <w:pPr>
              <w:pageBreakBefore w:val="0"/>
              <w:wordWrap/>
              <w:overflowPunct/>
              <w:topLinePunct w:val="0"/>
              <w:bidi w:val="0"/>
              <w:spacing w:line="24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品牌</w:t>
            </w:r>
          </w:p>
        </w:tc>
        <w:tc>
          <w:tcPr>
            <w:tcW w:w="466" w:type="pct"/>
            <w:tcBorders>
              <w:top w:val="single" w:color="auto" w:sz="4" w:space="0"/>
              <w:left w:val="single" w:color="auto" w:sz="4" w:space="0"/>
              <w:bottom w:val="single" w:color="auto" w:sz="4" w:space="0"/>
              <w:right w:val="single" w:color="auto" w:sz="4" w:space="0"/>
            </w:tcBorders>
            <w:shd w:val="clear" w:color="FFFFFF" w:fill="FFFFFF"/>
            <w:vAlign w:val="center"/>
          </w:tcPr>
          <w:p w14:paraId="2595C4D2">
            <w:pPr>
              <w:pageBreakBefore w:val="0"/>
              <w:wordWrap/>
              <w:overflowPunct/>
              <w:topLinePunct w:val="0"/>
              <w:bidi w:val="0"/>
              <w:spacing w:line="24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规格型号</w:t>
            </w: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5780DB48">
            <w:pPr>
              <w:pageBreakBefore w:val="0"/>
              <w:wordWrap/>
              <w:overflowPunct/>
              <w:topLinePunct w:val="0"/>
              <w:bidi w:val="0"/>
              <w:spacing w:line="24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响应情况</w:t>
            </w:r>
          </w:p>
        </w:tc>
        <w:tc>
          <w:tcPr>
            <w:tcW w:w="434" w:type="pct"/>
            <w:tcBorders>
              <w:top w:val="single" w:color="auto" w:sz="4" w:space="0"/>
              <w:left w:val="single" w:color="auto" w:sz="4" w:space="0"/>
              <w:bottom w:val="single" w:color="auto" w:sz="4" w:space="0"/>
              <w:right w:val="single" w:color="auto" w:sz="4" w:space="0"/>
            </w:tcBorders>
            <w:shd w:val="clear" w:color="FFFFFF" w:fill="FFFFFF"/>
            <w:vAlign w:val="center"/>
          </w:tcPr>
          <w:p w14:paraId="624A344F">
            <w:pPr>
              <w:pageBreakBefore w:val="0"/>
              <w:wordWrap/>
              <w:overflowPunct/>
              <w:topLinePunct w:val="0"/>
              <w:bidi w:val="0"/>
              <w:spacing w:line="24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偏离</w:t>
            </w:r>
            <w:r>
              <w:rPr>
                <w:rFonts w:hint="eastAsia" w:ascii="宋体" w:hAnsi="宋体" w:eastAsia="宋体" w:cs="宋体"/>
                <w:color w:val="auto"/>
                <w:sz w:val="24"/>
                <w:szCs w:val="24"/>
                <w:highlight w:val="none"/>
                <w:lang w:val="en-US" w:eastAsia="zh-CN"/>
              </w:rPr>
              <w:t>情况</w:t>
            </w:r>
          </w:p>
        </w:tc>
        <w:tc>
          <w:tcPr>
            <w:tcW w:w="459" w:type="pct"/>
            <w:tcBorders>
              <w:top w:val="single" w:color="auto" w:sz="4" w:space="0"/>
              <w:left w:val="single" w:color="auto" w:sz="4" w:space="0"/>
              <w:bottom w:val="single" w:color="auto" w:sz="4" w:space="0"/>
              <w:right w:val="single" w:color="auto" w:sz="4" w:space="0"/>
            </w:tcBorders>
            <w:shd w:val="clear" w:color="FFFFFF" w:fill="FFFFFF"/>
            <w:vAlign w:val="center"/>
          </w:tcPr>
          <w:p w14:paraId="11FED882">
            <w:pPr>
              <w:pageBreakBefore w:val="0"/>
              <w:wordWrap/>
              <w:overflowPunct/>
              <w:topLinePunct w:val="0"/>
              <w:bidi w:val="0"/>
              <w:spacing w:line="24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证明材料</w:t>
            </w:r>
          </w:p>
        </w:tc>
        <w:tc>
          <w:tcPr>
            <w:tcW w:w="534" w:type="pct"/>
            <w:tcBorders>
              <w:top w:val="single" w:color="auto" w:sz="4" w:space="0"/>
              <w:left w:val="single" w:color="auto" w:sz="4" w:space="0"/>
              <w:bottom w:val="single" w:color="auto" w:sz="4" w:space="0"/>
              <w:right w:val="single" w:color="auto" w:sz="4" w:space="0"/>
            </w:tcBorders>
            <w:shd w:val="clear" w:color="FFFFFF" w:fill="FFFFFF"/>
            <w:vAlign w:val="center"/>
          </w:tcPr>
          <w:p w14:paraId="465CFB5F">
            <w:pPr>
              <w:pageBreakBefore w:val="0"/>
              <w:wordWrap/>
              <w:overflowPunct/>
              <w:topLinePunct w:val="0"/>
              <w:bidi w:val="0"/>
              <w:spacing w:line="24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证明材料页码</w:t>
            </w:r>
          </w:p>
        </w:tc>
        <w:tc>
          <w:tcPr>
            <w:tcW w:w="402" w:type="pct"/>
            <w:tcBorders>
              <w:top w:val="single" w:color="auto" w:sz="4" w:space="0"/>
              <w:left w:val="single" w:color="auto" w:sz="4" w:space="0"/>
              <w:bottom w:val="single" w:color="auto" w:sz="4" w:space="0"/>
              <w:right w:val="single" w:color="auto" w:sz="4" w:space="0"/>
            </w:tcBorders>
            <w:shd w:val="clear" w:color="FFFFFF" w:fill="FFFFFF"/>
            <w:vAlign w:val="center"/>
          </w:tcPr>
          <w:p w14:paraId="7B40ED90">
            <w:pPr>
              <w:pageBreakBefore w:val="0"/>
              <w:wordWrap/>
              <w:overflowPunct/>
              <w:topLinePunct w:val="0"/>
              <w:bidi w:val="0"/>
              <w:spacing w:line="24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备注</w:t>
            </w:r>
          </w:p>
        </w:tc>
      </w:tr>
      <w:tr w14:paraId="09B9A0E4">
        <w:tblPrEx>
          <w:tblCellMar>
            <w:top w:w="0" w:type="dxa"/>
            <w:left w:w="108" w:type="dxa"/>
            <w:bottom w:w="0" w:type="dxa"/>
            <w:right w:w="108" w:type="dxa"/>
          </w:tblCellMar>
        </w:tblPrEx>
        <w:trPr>
          <w:trHeight w:val="670" w:hRule="atLeast"/>
        </w:trPr>
        <w:tc>
          <w:tcPr>
            <w:tcW w:w="309" w:type="pct"/>
            <w:tcBorders>
              <w:top w:val="single" w:color="auto" w:sz="4" w:space="0"/>
              <w:left w:val="single" w:color="auto" w:sz="4" w:space="0"/>
              <w:bottom w:val="single" w:color="auto" w:sz="4" w:space="0"/>
              <w:right w:val="single" w:color="auto" w:sz="4" w:space="0"/>
            </w:tcBorders>
            <w:shd w:val="clear" w:color="FFFFFF" w:fill="FFFFFF"/>
            <w:vAlign w:val="center"/>
          </w:tcPr>
          <w:p w14:paraId="29421DEE">
            <w:pPr>
              <w:pageBreakBefore w:val="0"/>
              <w:widowControl/>
              <w:wordWrap/>
              <w:overflowPunct/>
              <w:topLinePunct w:val="0"/>
              <w:bidi w:val="0"/>
              <w:spacing w:line="560" w:lineRule="exact"/>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6C126659">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3" w:type="pct"/>
            <w:tcBorders>
              <w:top w:val="single" w:color="auto" w:sz="4" w:space="0"/>
              <w:left w:val="single" w:color="auto" w:sz="4" w:space="0"/>
              <w:bottom w:val="single" w:color="auto" w:sz="4" w:space="0"/>
              <w:right w:val="single" w:color="auto" w:sz="4" w:space="0"/>
            </w:tcBorders>
            <w:shd w:val="clear" w:color="FFFFFF" w:fill="FFFFFF"/>
            <w:vAlign w:val="center"/>
          </w:tcPr>
          <w:p w14:paraId="2CBA91F8">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9" w:type="pct"/>
            <w:tcBorders>
              <w:top w:val="single" w:color="auto" w:sz="4" w:space="0"/>
              <w:left w:val="single" w:color="auto" w:sz="4" w:space="0"/>
              <w:bottom w:val="single" w:color="auto" w:sz="4" w:space="0"/>
              <w:right w:val="single" w:color="auto" w:sz="4" w:space="0"/>
            </w:tcBorders>
            <w:shd w:val="clear" w:color="FFFFFF" w:fill="FFFFFF"/>
            <w:vAlign w:val="center"/>
          </w:tcPr>
          <w:p w14:paraId="09D1FB42">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355" w:type="pct"/>
            <w:tcBorders>
              <w:top w:val="single" w:color="auto" w:sz="4" w:space="0"/>
              <w:left w:val="single" w:color="auto" w:sz="4" w:space="0"/>
              <w:bottom w:val="single" w:color="auto" w:sz="4" w:space="0"/>
              <w:right w:val="single" w:color="auto" w:sz="4" w:space="0"/>
            </w:tcBorders>
            <w:shd w:val="clear" w:color="FFFFFF" w:fill="FFFFFF"/>
            <w:vAlign w:val="center"/>
          </w:tcPr>
          <w:p w14:paraId="43A6DF8A">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shd w:val="clear" w:color="FFFFFF" w:fill="FFFFFF"/>
            <w:vAlign w:val="center"/>
          </w:tcPr>
          <w:p w14:paraId="3E4EEFDA">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08E5DF94">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34" w:type="pct"/>
            <w:tcBorders>
              <w:top w:val="single" w:color="auto" w:sz="4" w:space="0"/>
              <w:left w:val="single" w:color="auto" w:sz="4" w:space="0"/>
              <w:bottom w:val="single" w:color="auto" w:sz="4" w:space="0"/>
              <w:right w:val="single" w:color="auto" w:sz="4" w:space="0"/>
            </w:tcBorders>
            <w:shd w:val="clear" w:color="FFFFFF" w:fill="FFFFFF"/>
            <w:vAlign w:val="center"/>
          </w:tcPr>
          <w:p w14:paraId="6A064BAD">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59" w:type="pct"/>
            <w:tcBorders>
              <w:top w:val="single" w:color="auto" w:sz="4" w:space="0"/>
              <w:left w:val="single" w:color="auto" w:sz="4" w:space="0"/>
              <w:bottom w:val="single" w:color="auto" w:sz="4" w:space="0"/>
              <w:right w:val="single" w:color="auto" w:sz="4" w:space="0"/>
            </w:tcBorders>
            <w:shd w:val="clear" w:color="FFFFFF" w:fill="FFFFFF"/>
            <w:vAlign w:val="center"/>
          </w:tcPr>
          <w:p w14:paraId="26C56AA2">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34" w:type="pct"/>
            <w:tcBorders>
              <w:top w:val="single" w:color="auto" w:sz="4" w:space="0"/>
              <w:left w:val="single" w:color="auto" w:sz="4" w:space="0"/>
              <w:bottom w:val="single" w:color="auto" w:sz="4" w:space="0"/>
              <w:right w:val="single" w:color="auto" w:sz="4" w:space="0"/>
            </w:tcBorders>
            <w:shd w:val="clear" w:color="FFFFFF" w:fill="FFFFFF"/>
            <w:vAlign w:val="center"/>
          </w:tcPr>
          <w:p w14:paraId="02407D6B">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02" w:type="pct"/>
            <w:tcBorders>
              <w:top w:val="single" w:color="auto" w:sz="4" w:space="0"/>
              <w:left w:val="single" w:color="auto" w:sz="4" w:space="0"/>
              <w:bottom w:val="single" w:color="auto" w:sz="4" w:space="0"/>
              <w:right w:val="single" w:color="auto" w:sz="4" w:space="0"/>
            </w:tcBorders>
            <w:shd w:val="clear" w:color="FFFFFF" w:fill="FFFFFF"/>
            <w:vAlign w:val="center"/>
          </w:tcPr>
          <w:p w14:paraId="3E792B50">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r>
      <w:tr w14:paraId="63B64358">
        <w:tblPrEx>
          <w:tblCellMar>
            <w:top w:w="0" w:type="dxa"/>
            <w:left w:w="108" w:type="dxa"/>
            <w:bottom w:w="0" w:type="dxa"/>
            <w:right w:w="108" w:type="dxa"/>
          </w:tblCellMar>
        </w:tblPrEx>
        <w:trPr>
          <w:trHeight w:val="670" w:hRule="atLeast"/>
        </w:trPr>
        <w:tc>
          <w:tcPr>
            <w:tcW w:w="309" w:type="pct"/>
            <w:tcBorders>
              <w:top w:val="single" w:color="auto" w:sz="4" w:space="0"/>
              <w:left w:val="single" w:color="auto" w:sz="4" w:space="0"/>
              <w:bottom w:val="single" w:color="auto" w:sz="4" w:space="0"/>
              <w:right w:val="single" w:color="auto" w:sz="4" w:space="0"/>
            </w:tcBorders>
            <w:shd w:val="clear" w:color="FFFFFF" w:fill="FFFFFF"/>
            <w:vAlign w:val="center"/>
          </w:tcPr>
          <w:p w14:paraId="41153751">
            <w:pPr>
              <w:pageBreakBefore w:val="0"/>
              <w:widowControl/>
              <w:wordWrap/>
              <w:overflowPunct/>
              <w:topLinePunct w:val="0"/>
              <w:bidi w:val="0"/>
              <w:spacing w:line="560" w:lineRule="exact"/>
              <w:ind w:left="0" w:leftChars="0" w:right="0" w:rightChars="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3AF3CED0">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3" w:type="pct"/>
            <w:tcBorders>
              <w:top w:val="single" w:color="auto" w:sz="4" w:space="0"/>
              <w:left w:val="single" w:color="auto" w:sz="4" w:space="0"/>
              <w:bottom w:val="single" w:color="auto" w:sz="4" w:space="0"/>
              <w:right w:val="single" w:color="auto" w:sz="4" w:space="0"/>
            </w:tcBorders>
            <w:shd w:val="clear" w:color="FFFFFF" w:fill="FFFFFF"/>
            <w:vAlign w:val="center"/>
          </w:tcPr>
          <w:p w14:paraId="41F8C00B">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9" w:type="pct"/>
            <w:tcBorders>
              <w:top w:val="single" w:color="auto" w:sz="4" w:space="0"/>
              <w:left w:val="single" w:color="auto" w:sz="4" w:space="0"/>
              <w:bottom w:val="single" w:color="auto" w:sz="4" w:space="0"/>
              <w:right w:val="single" w:color="auto" w:sz="4" w:space="0"/>
            </w:tcBorders>
            <w:shd w:val="clear" w:color="FFFFFF" w:fill="FFFFFF"/>
            <w:vAlign w:val="center"/>
          </w:tcPr>
          <w:p w14:paraId="61B7088C">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355" w:type="pct"/>
            <w:tcBorders>
              <w:top w:val="single" w:color="auto" w:sz="4" w:space="0"/>
              <w:left w:val="single" w:color="auto" w:sz="4" w:space="0"/>
              <w:bottom w:val="single" w:color="auto" w:sz="4" w:space="0"/>
              <w:right w:val="single" w:color="auto" w:sz="4" w:space="0"/>
            </w:tcBorders>
            <w:shd w:val="clear" w:color="FFFFFF" w:fill="FFFFFF"/>
            <w:vAlign w:val="center"/>
          </w:tcPr>
          <w:p w14:paraId="46692E02">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shd w:val="clear" w:color="FFFFFF" w:fill="FFFFFF"/>
            <w:vAlign w:val="center"/>
          </w:tcPr>
          <w:p w14:paraId="55AEDDCA">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5A647D3A">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34" w:type="pct"/>
            <w:tcBorders>
              <w:top w:val="single" w:color="auto" w:sz="4" w:space="0"/>
              <w:left w:val="single" w:color="auto" w:sz="4" w:space="0"/>
              <w:bottom w:val="single" w:color="auto" w:sz="4" w:space="0"/>
              <w:right w:val="single" w:color="auto" w:sz="4" w:space="0"/>
            </w:tcBorders>
            <w:shd w:val="clear" w:color="FFFFFF" w:fill="FFFFFF"/>
            <w:vAlign w:val="center"/>
          </w:tcPr>
          <w:p w14:paraId="1B633111">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59" w:type="pct"/>
            <w:tcBorders>
              <w:top w:val="single" w:color="auto" w:sz="4" w:space="0"/>
              <w:left w:val="single" w:color="auto" w:sz="4" w:space="0"/>
              <w:bottom w:val="single" w:color="auto" w:sz="4" w:space="0"/>
              <w:right w:val="single" w:color="auto" w:sz="4" w:space="0"/>
            </w:tcBorders>
            <w:shd w:val="clear" w:color="FFFFFF" w:fill="FFFFFF"/>
            <w:vAlign w:val="center"/>
          </w:tcPr>
          <w:p w14:paraId="3F7679DE">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34" w:type="pct"/>
            <w:tcBorders>
              <w:top w:val="single" w:color="auto" w:sz="4" w:space="0"/>
              <w:left w:val="single" w:color="auto" w:sz="4" w:space="0"/>
              <w:bottom w:val="single" w:color="auto" w:sz="4" w:space="0"/>
              <w:right w:val="single" w:color="auto" w:sz="4" w:space="0"/>
            </w:tcBorders>
            <w:shd w:val="clear" w:color="FFFFFF" w:fill="FFFFFF"/>
            <w:vAlign w:val="center"/>
          </w:tcPr>
          <w:p w14:paraId="53B5D630">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02" w:type="pct"/>
            <w:tcBorders>
              <w:top w:val="single" w:color="auto" w:sz="4" w:space="0"/>
              <w:left w:val="single" w:color="auto" w:sz="4" w:space="0"/>
              <w:bottom w:val="single" w:color="auto" w:sz="4" w:space="0"/>
              <w:right w:val="single" w:color="auto" w:sz="4" w:space="0"/>
            </w:tcBorders>
            <w:shd w:val="clear" w:color="FFFFFF" w:fill="FFFFFF"/>
            <w:vAlign w:val="center"/>
          </w:tcPr>
          <w:p w14:paraId="1B1BDC30">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r>
      <w:tr w14:paraId="36E3A4E1">
        <w:tblPrEx>
          <w:tblCellMar>
            <w:top w:w="0" w:type="dxa"/>
            <w:left w:w="108" w:type="dxa"/>
            <w:bottom w:w="0" w:type="dxa"/>
            <w:right w:w="108" w:type="dxa"/>
          </w:tblCellMar>
        </w:tblPrEx>
        <w:trPr>
          <w:trHeight w:val="670" w:hRule="atLeast"/>
        </w:trPr>
        <w:tc>
          <w:tcPr>
            <w:tcW w:w="309" w:type="pct"/>
            <w:tcBorders>
              <w:top w:val="single" w:color="auto" w:sz="4" w:space="0"/>
              <w:left w:val="single" w:color="auto" w:sz="4" w:space="0"/>
              <w:bottom w:val="single" w:color="auto" w:sz="4" w:space="0"/>
              <w:right w:val="single" w:color="auto" w:sz="4" w:space="0"/>
            </w:tcBorders>
            <w:shd w:val="clear" w:color="FFFFFF" w:fill="FFFFFF"/>
            <w:vAlign w:val="center"/>
          </w:tcPr>
          <w:p w14:paraId="49DBDB26">
            <w:pPr>
              <w:pageBreakBefore w:val="0"/>
              <w:widowControl/>
              <w:wordWrap/>
              <w:overflowPunct/>
              <w:topLinePunct w:val="0"/>
              <w:bidi w:val="0"/>
              <w:spacing w:line="560" w:lineRule="exact"/>
              <w:ind w:left="0" w:leftChars="0" w:right="0" w:rightChars="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63EFDF6A">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3" w:type="pct"/>
            <w:tcBorders>
              <w:top w:val="single" w:color="auto" w:sz="4" w:space="0"/>
              <w:left w:val="single" w:color="auto" w:sz="4" w:space="0"/>
              <w:bottom w:val="single" w:color="auto" w:sz="4" w:space="0"/>
              <w:right w:val="single" w:color="auto" w:sz="4" w:space="0"/>
            </w:tcBorders>
            <w:shd w:val="clear" w:color="FFFFFF" w:fill="FFFFFF"/>
            <w:vAlign w:val="center"/>
          </w:tcPr>
          <w:p w14:paraId="331B5696">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9" w:type="pct"/>
            <w:tcBorders>
              <w:top w:val="single" w:color="auto" w:sz="4" w:space="0"/>
              <w:left w:val="single" w:color="auto" w:sz="4" w:space="0"/>
              <w:bottom w:val="single" w:color="auto" w:sz="4" w:space="0"/>
              <w:right w:val="single" w:color="auto" w:sz="4" w:space="0"/>
            </w:tcBorders>
            <w:shd w:val="clear" w:color="FFFFFF" w:fill="FFFFFF"/>
            <w:vAlign w:val="center"/>
          </w:tcPr>
          <w:p w14:paraId="5C12417B">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355" w:type="pct"/>
            <w:tcBorders>
              <w:top w:val="single" w:color="auto" w:sz="4" w:space="0"/>
              <w:left w:val="single" w:color="auto" w:sz="4" w:space="0"/>
              <w:bottom w:val="single" w:color="auto" w:sz="4" w:space="0"/>
              <w:right w:val="single" w:color="auto" w:sz="4" w:space="0"/>
            </w:tcBorders>
            <w:shd w:val="clear" w:color="FFFFFF" w:fill="FFFFFF"/>
            <w:vAlign w:val="center"/>
          </w:tcPr>
          <w:p w14:paraId="4A093CD0">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shd w:val="clear" w:color="FFFFFF" w:fill="FFFFFF"/>
            <w:vAlign w:val="center"/>
          </w:tcPr>
          <w:p w14:paraId="7C298DC6">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12D04CFD">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34" w:type="pct"/>
            <w:tcBorders>
              <w:top w:val="single" w:color="auto" w:sz="4" w:space="0"/>
              <w:left w:val="single" w:color="auto" w:sz="4" w:space="0"/>
              <w:bottom w:val="single" w:color="auto" w:sz="4" w:space="0"/>
              <w:right w:val="single" w:color="auto" w:sz="4" w:space="0"/>
            </w:tcBorders>
            <w:shd w:val="clear" w:color="FFFFFF" w:fill="FFFFFF"/>
            <w:vAlign w:val="center"/>
          </w:tcPr>
          <w:p w14:paraId="444E9077">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59" w:type="pct"/>
            <w:tcBorders>
              <w:top w:val="single" w:color="auto" w:sz="4" w:space="0"/>
              <w:left w:val="single" w:color="auto" w:sz="4" w:space="0"/>
              <w:bottom w:val="single" w:color="auto" w:sz="4" w:space="0"/>
              <w:right w:val="single" w:color="auto" w:sz="4" w:space="0"/>
            </w:tcBorders>
            <w:shd w:val="clear" w:color="FFFFFF" w:fill="FFFFFF"/>
            <w:vAlign w:val="center"/>
          </w:tcPr>
          <w:p w14:paraId="06C94028">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34" w:type="pct"/>
            <w:tcBorders>
              <w:top w:val="single" w:color="auto" w:sz="4" w:space="0"/>
              <w:left w:val="single" w:color="auto" w:sz="4" w:space="0"/>
              <w:bottom w:val="single" w:color="auto" w:sz="4" w:space="0"/>
              <w:right w:val="single" w:color="auto" w:sz="4" w:space="0"/>
            </w:tcBorders>
            <w:shd w:val="clear" w:color="FFFFFF" w:fill="FFFFFF"/>
            <w:vAlign w:val="center"/>
          </w:tcPr>
          <w:p w14:paraId="400FC19D">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02" w:type="pct"/>
            <w:tcBorders>
              <w:top w:val="single" w:color="auto" w:sz="4" w:space="0"/>
              <w:left w:val="single" w:color="auto" w:sz="4" w:space="0"/>
              <w:bottom w:val="single" w:color="auto" w:sz="4" w:space="0"/>
              <w:right w:val="single" w:color="auto" w:sz="4" w:space="0"/>
            </w:tcBorders>
            <w:shd w:val="clear" w:color="FFFFFF" w:fill="FFFFFF"/>
            <w:vAlign w:val="center"/>
          </w:tcPr>
          <w:p w14:paraId="35651176">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r>
      <w:tr w14:paraId="6FD854F9">
        <w:tblPrEx>
          <w:tblCellMar>
            <w:top w:w="0" w:type="dxa"/>
            <w:left w:w="108" w:type="dxa"/>
            <w:bottom w:w="0" w:type="dxa"/>
            <w:right w:w="108" w:type="dxa"/>
          </w:tblCellMar>
        </w:tblPrEx>
        <w:trPr>
          <w:trHeight w:val="714" w:hRule="atLeast"/>
        </w:trPr>
        <w:tc>
          <w:tcPr>
            <w:tcW w:w="309" w:type="pct"/>
            <w:tcBorders>
              <w:top w:val="single" w:color="auto" w:sz="4" w:space="0"/>
              <w:left w:val="single" w:color="auto" w:sz="4" w:space="0"/>
              <w:bottom w:val="single" w:color="auto" w:sz="4" w:space="0"/>
              <w:right w:val="single" w:color="auto" w:sz="4" w:space="0"/>
            </w:tcBorders>
            <w:shd w:val="clear" w:color="FFFFFF" w:fill="FFFFFF"/>
            <w:vAlign w:val="center"/>
          </w:tcPr>
          <w:p w14:paraId="0C6EFDF5">
            <w:pPr>
              <w:pageBreakBefore w:val="0"/>
              <w:widowControl/>
              <w:wordWrap/>
              <w:overflowPunct/>
              <w:topLinePunct w:val="0"/>
              <w:bidi w:val="0"/>
              <w:spacing w:line="560" w:lineRule="exact"/>
              <w:ind w:left="0" w:leftChars="0" w:right="0" w:rightChars="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p>
        </w:tc>
        <w:tc>
          <w:tcPr>
            <w:tcW w:w="441" w:type="pct"/>
            <w:tcBorders>
              <w:top w:val="single" w:color="auto" w:sz="4" w:space="0"/>
              <w:left w:val="single" w:color="auto" w:sz="4" w:space="0"/>
              <w:bottom w:val="single" w:color="auto" w:sz="4" w:space="0"/>
              <w:right w:val="single" w:color="auto" w:sz="4" w:space="0"/>
            </w:tcBorders>
            <w:shd w:val="clear" w:color="FFFFFF" w:fill="FFFFFF"/>
            <w:vAlign w:val="center"/>
          </w:tcPr>
          <w:p w14:paraId="3C9D06A9">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3" w:type="pct"/>
            <w:tcBorders>
              <w:top w:val="single" w:color="auto" w:sz="4" w:space="0"/>
              <w:left w:val="single" w:color="auto" w:sz="4" w:space="0"/>
              <w:bottom w:val="single" w:color="auto" w:sz="4" w:space="0"/>
              <w:right w:val="single" w:color="auto" w:sz="4" w:space="0"/>
            </w:tcBorders>
            <w:shd w:val="clear" w:color="FFFFFF" w:fill="FFFFFF"/>
            <w:vAlign w:val="center"/>
          </w:tcPr>
          <w:p w14:paraId="5539CF5E">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49" w:type="pct"/>
            <w:tcBorders>
              <w:top w:val="single" w:color="auto" w:sz="4" w:space="0"/>
              <w:left w:val="single" w:color="auto" w:sz="4" w:space="0"/>
              <w:bottom w:val="single" w:color="auto" w:sz="4" w:space="0"/>
              <w:right w:val="single" w:color="auto" w:sz="4" w:space="0"/>
            </w:tcBorders>
            <w:shd w:val="clear" w:color="FFFFFF" w:fill="FFFFFF"/>
            <w:vAlign w:val="center"/>
          </w:tcPr>
          <w:p w14:paraId="2CCF30A1">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355" w:type="pct"/>
            <w:tcBorders>
              <w:top w:val="single" w:color="auto" w:sz="4" w:space="0"/>
              <w:left w:val="single" w:color="auto" w:sz="4" w:space="0"/>
              <w:bottom w:val="single" w:color="auto" w:sz="4" w:space="0"/>
              <w:right w:val="single" w:color="auto" w:sz="4" w:space="0"/>
            </w:tcBorders>
            <w:shd w:val="clear" w:color="FFFFFF" w:fill="FFFFFF"/>
            <w:vAlign w:val="center"/>
          </w:tcPr>
          <w:p w14:paraId="596AE298">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66" w:type="pct"/>
            <w:tcBorders>
              <w:top w:val="single" w:color="auto" w:sz="4" w:space="0"/>
              <w:left w:val="single" w:color="auto" w:sz="4" w:space="0"/>
              <w:bottom w:val="single" w:color="auto" w:sz="4" w:space="0"/>
              <w:right w:val="single" w:color="auto" w:sz="4" w:space="0"/>
            </w:tcBorders>
            <w:shd w:val="clear" w:color="FFFFFF" w:fill="FFFFFF"/>
            <w:vAlign w:val="center"/>
          </w:tcPr>
          <w:p w14:paraId="55CD1255">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02" w:type="pct"/>
            <w:tcBorders>
              <w:top w:val="single" w:color="auto" w:sz="4" w:space="0"/>
              <w:left w:val="single" w:color="auto" w:sz="4" w:space="0"/>
              <w:bottom w:val="single" w:color="auto" w:sz="4" w:space="0"/>
              <w:right w:val="single" w:color="auto" w:sz="4" w:space="0"/>
            </w:tcBorders>
            <w:shd w:val="clear" w:color="FFFFFF" w:fill="FFFFFF"/>
            <w:vAlign w:val="center"/>
          </w:tcPr>
          <w:p w14:paraId="0535F284">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34" w:type="pct"/>
            <w:tcBorders>
              <w:top w:val="single" w:color="auto" w:sz="4" w:space="0"/>
              <w:left w:val="single" w:color="auto" w:sz="4" w:space="0"/>
              <w:bottom w:val="single" w:color="auto" w:sz="4" w:space="0"/>
              <w:right w:val="single" w:color="auto" w:sz="4" w:space="0"/>
            </w:tcBorders>
            <w:shd w:val="clear" w:color="FFFFFF" w:fill="FFFFFF"/>
            <w:vAlign w:val="center"/>
          </w:tcPr>
          <w:p w14:paraId="7A388B3F">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59" w:type="pct"/>
            <w:tcBorders>
              <w:top w:val="single" w:color="auto" w:sz="4" w:space="0"/>
              <w:left w:val="single" w:color="auto" w:sz="4" w:space="0"/>
              <w:bottom w:val="single" w:color="auto" w:sz="4" w:space="0"/>
              <w:right w:val="single" w:color="auto" w:sz="4" w:space="0"/>
            </w:tcBorders>
            <w:shd w:val="clear" w:color="FFFFFF" w:fill="FFFFFF"/>
            <w:vAlign w:val="center"/>
          </w:tcPr>
          <w:p w14:paraId="62D60E83">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534" w:type="pct"/>
            <w:tcBorders>
              <w:top w:val="single" w:color="auto" w:sz="4" w:space="0"/>
              <w:left w:val="single" w:color="auto" w:sz="4" w:space="0"/>
              <w:bottom w:val="single" w:color="auto" w:sz="4" w:space="0"/>
              <w:right w:val="single" w:color="auto" w:sz="4" w:space="0"/>
            </w:tcBorders>
            <w:shd w:val="clear" w:color="FFFFFF" w:fill="FFFFFF"/>
            <w:vAlign w:val="center"/>
          </w:tcPr>
          <w:p w14:paraId="3B93E10A">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c>
          <w:tcPr>
            <w:tcW w:w="402" w:type="pct"/>
            <w:tcBorders>
              <w:top w:val="single" w:color="auto" w:sz="4" w:space="0"/>
              <w:left w:val="single" w:color="auto" w:sz="4" w:space="0"/>
              <w:bottom w:val="single" w:color="auto" w:sz="4" w:space="0"/>
              <w:right w:val="single" w:color="auto" w:sz="4" w:space="0"/>
            </w:tcBorders>
            <w:shd w:val="clear" w:color="FFFFFF" w:fill="FFFFFF"/>
            <w:vAlign w:val="center"/>
          </w:tcPr>
          <w:p w14:paraId="0A1461FE">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c>
      </w:tr>
    </w:tbl>
    <w:p w14:paraId="4C82AABF">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14:paraId="2AC23EF5">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应对照</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“第四章</w:t>
      </w:r>
      <w:r>
        <w:rPr>
          <w:rFonts w:hint="eastAsia" w:ascii="宋体" w:hAnsi="宋体" w:eastAsia="宋体" w:cs="宋体"/>
          <w:color w:val="auto"/>
          <w:sz w:val="24"/>
          <w:szCs w:val="24"/>
          <w:highlight w:val="none"/>
          <w:lang w:eastAsia="zh-CN"/>
        </w:rPr>
        <w:t>项目采购需求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中技术参数</w:t>
      </w:r>
      <w:r>
        <w:rPr>
          <w:rFonts w:hint="eastAsia" w:ascii="宋体" w:hAnsi="宋体" w:eastAsia="宋体" w:cs="宋体"/>
          <w:color w:val="auto"/>
          <w:sz w:val="24"/>
          <w:szCs w:val="24"/>
          <w:highlight w:val="none"/>
        </w:rPr>
        <w:t>逐项填写，</w:t>
      </w:r>
      <w:r>
        <w:rPr>
          <w:rFonts w:hint="eastAsia" w:ascii="宋体" w:hAnsi="宋体" w:eastAsia="宋体" w:cs="宋体"/>
          <w:color w:val="auto"/>
          <w:sz w:val="24"/>
          <w:szCs w:val="24"/>
          <w:highlight w:val="none"/>
          <w:lang w:val="en-US" w:eastAsia="zh-CN"/>
        </w:rPr>
        <w:t>在“技术需求偏离表”中的“</w:t>
      </w:r>
      <w:r>
        <w:rPr>
          <w:rFonts w:hint="eastAsia" w:ascii="宋体" w:hAnsi="宋体" w:eastAsia="宋体" w:cs="宋体"/>
          <w:color w:val="auto"/>
          <w:sz w:val="24"/>
          <w:szCs w:val="24"/>
          <w:highlight w:val="none"/>
        </w:rPr>
        <w:t>偏离</w:t>
      </w:r>
      <w:r>
        <w:rPr>
          <w:rFonts w:hint="eastAsia" w:ascii="宋体" w:hAnsi="宋体" w:eastAsia="宋体" w:cs="宋体"/>
          <w:color w:val="auto"/>
          <w:sz w:val="24"/>
          <w:szCs w:val="24"/>
          <w:highlight w:val="none"/>
          <w:lang w:val="en-US" w:eastAsia="zh-CN"/>
        </w:rPr>
        <w:t>情况”中注明“正偏离”或“负偏离”或“无偏离”，</w:t>
      </w:r>
      <w:r>
        <w:rPr>
          <w:rFonts w:hint="eastAsia" w:ascii="宋体" w:hAnsi="宋体" w:eastAsia="宋体" w:cs="宋体"/>
          <w:color w:val="auto"/>
          <w:sz w:val="24"/>
          <w:szCs w:val="24"/>
          <w:highlight w:val="none"/>
        </w:rPr>
        <w:t>不得虚假响应</w:t>
      </w:r>
      <w:r>
        <w:rPr>
          <w:rFonts w:hint="eastAsia" w:ascii="宋体" w:hAnsi="宋体" w:eastAsia="宋体" w:cs="宋体"/>
          <w:color w:val="auto"/>
          <w:sz w:val="24"/>
          <w:szCs w:val="24"/>
          <w:highlight w:val="none"/>
          <w:lang w:eastAsia="zh-CN"/>
        </w:rPr>
        <w:t>。</w:t>
      </w:r>
    </w:p>
    <w:p w14:paraId="67CCF36E">
      <w:pPr>
        <w:pageBreakBefore w:val="0"/>
        <w:wordWrap/>
        <w:overflowPunct/>
        <w:topLinePunct w:val="0"/>
        <w:bidi w:val="0"/>
        <w:spacing w:line="560" w:lineRule="exact"/>
        <w:ind w:left="0" w:leftChars="0" w:right="0" w:rightChars="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“第四章</w:t>
      </w:r>
      <w:r>
        <w:rPr>
          <w:rFonts w:hint="eastAsia" w:ascii="宋体" w:hAnsi="宋体" w:eastAsia="宋体" w:cs="宋体"/>
          <w:color w:val="auto"/>
          <w:sz w:val="24"/>
          <w:szCs w:val="24"/>
          <w:highlight w:val="none"/>
          <w:lang w:eastAsia="zh-CN"/>
        </w:rPr>
        <w:t>项目采购需求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kern w:val="2"/>
          <w:sz w:val="24"/>
          <w:szCs w:val="24"/>
          <w:highlight w:val="none"/>
          <w:lang w:val="en-US" w:eastAsia="zh-CN" w:bidi="ar-SA"/>
        </w:rPr>
        <w:t>投标人需提供与产品技术参数相关的证明材料（</w:t>
      </w:r>
      <w:r>
        <w:rPr>
          <w:rFonts w:hint="eastAsia" w:ascii="宋体" w:hAnsi="宋体" w:eastAsia="宋体" w:cs="宋体"/>
          <w:color w:val="auto"/>
          <w:sz w:val="24"/>
          <w:szCs w:val="24"/>
          <w:highlight w:val="none"/>
          <w:lang w:val="en-US" w:eastAsia="zh-CN"/>
        </w:rPr>
        <w:t>如产品样式及材质清单、认证证书、产品检测报告、鉴定证书、制造商产品彩页、制造商官网截图、制造商技术白皮书、制造商产品说明书、检测报告中的检测结果数据、产品注册证等彩页、彩色实物照片等</w:t>
      </w:r>
      <w:r>
        <w:rPr>
          <w:rFonts w:hint="eastAsia" w:ascii="宋体" w:hAnsi="宋体" w:eastAsia="宋体" w:cs="宋体"/>
          <w:color w:val="auto"/>
          <w:kern w:val="2"/>
          <w:sz w:val="24"/>
          <w:szCs w:val="24"/>
          <w:highlight w:val="none"/>
          <w:lang w:val="en-US" w:eastAsia="zh-CN" w:bidi="ar-SA"/>
        </w:rPr>
        <w:t>，任一项即可）</w:t>
      </w:r>
      <w:r>
        <w:rPr>
          <w:rFonts w:hint="eastAsia" w:ascii="宋体" w:hAnsi="宋体" w:eastAsia="宋体" w:cs="宋体"/>
          <w:b w:val="0"/>
          <w:bCs w:val="0"/>
          <w:color w:val="auto"/>
          <w:sz w:val="24"/>
          <w:szCs w:val="24"/>
          <w:highlight w:val="none"/>
          <w:lang w:val="en-US" w:eastAsia="zh-CN"/>
        </w:rPr>
        <w:t>，未提供或不清楚，不予认可。</w:t>
      </w:r>
    </w:p>
    <w:p w14:paraId="13D7691B">
      <w:pPr>
        <w:pageBreakBefore w:val="0"/>
        <w:wordWrap/>
        <w:overflowPunct/>
        <w:topLinePunct w:val="0"/>
        <w:bidi w:val="0"/>
        <w:spacing w:line="560" w:lineRule="exact"/>
        <w:ind w:left="0" w:leftChars="0" w:right="0" w:rightChars="0"/>
        <w:rPr>
          <w:rFonts w:hint="eastAsia" w:ascii="宋体" w:hAnsi="宋体" w:eastAsia="宋体" w:cs="宋体"/>
          <w:bCs/>
          <w:caps w:val="0"/>
          <w:color w:val="auto"/>
          <w:spacing w:val="0"/>
          <w:w w:val="100"/>
          <w:sz w:val="24"/>
          <w:szCs w:val="24"/>
          <w:highlight w:val="none"/>
        </w:rPr>
      </w:pPr>
      <w:r>
        <w:rPr>
          <w:rFonts w:hint="eastAsia" w:ascii="宋体" w:hAnsi="宋体" w:eastAsia="宋体" w:cs="宋体"/>
          <w:bCs/>
          <w:caps w:val="0"/>
          <w:color w:val="auto"/>
          <w:spacing w:val="0"/>
          <w:w w:val="100"/>
          <w:sz w:val="24"/>
          <w:szCs w:val="24"/>
          <w:highlight w:val="none"/>
          <w:lang w:val="en-US" w:eastAsia="zh-CN"/>
        </w:rPr>
        <w:t xml:space="preserve">                      </w:t>
      </w:r>
    </w:p>
    <w:p w14:paraId="1E495744">
      <w:pPr>
        <w:pStyle w:val="13"/>
        <w:pageBreakBefore w:val="0"/>
        <w:wordWrap/>
        <w:overflowPunct/>
        <w:topLinePunct w:val="0"/>
        <w:bidi w:val="0"/>
        <w:spacing w:after="0" w:line="560" w:lineRule="exact"/>
        <w:ind w:left="0" w:leftChars="0" w:right="0" w:rightChars="0"/>
        <w:jc w:val="righ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bCs/>
          <w:color w:val="auto"/>
          <w:sz w:val="24"/>
          <w:szCs w:val="24"/>
          <w:highlight w:val="none"/>
        </w:rPr>
        <w:t>投标人名称（盖章）：</w:t>
      </w:r>
    </w:p>
    <w:p w14:paraId="4049BCD7">
      <w:pPr>
        <w:pStyle w:val="13"/>
        <w:pageBreakBefore w:val="0"/>
        <w:wordWrap/>
        <w:overflowPunct/>
        <w:topLinePunct w:val="0"/>
        <w:bidi w:val="0"/>
        <w:spacing w:after="0" w:line="560" w:lineRule="exact"/>
        <w:ind w:left="0" w:leftChars="0" w:right="0" w:rightChars="0"/>
        <w:jc w:val="righ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                      </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授权人</w:t>
      </w:r>
      <w:r>
        <w:rPr>
          <w:rFonts w:hint="eastAsia" w:ascii="宋体" w:hAnsi="宋体" w:eastAsia="宋体" w:cs="宋体"/>
          <w:color w:val="auto"/>
          <w:sz w:val="24"/>
          <w:szCs w:val="24"/>
          <w:highlight w:val="none"/>
        </w:rPr>
        <w:t>或被授权人（签字或盖章）</w:t>
      </w:r>
      <w:r>
        <w:rPr>
          <w:rFonts w:hint="eastAsia" w:ascii="宋体" w:hAnsi="宋体" w:eastAsia="宋体" w:cs="宋体"/>
          <w:bCs/>
          <w:color w:val="auto"/>
          <w:sz w:val="24"/>
          <w:szCs w:val="24"/>
          <w:highlight w:val="none"/>
        </w:rPr>
        <w:t>：</w:t>
      </w:r>
    </w:p>
    <w:p w14:paraId="2E1987D4">
      <w:pPr>
        <w:pageBreakBefore w:val="0"/>
        <w:wordWrap/>
        <w:overflowPunct/>
        <w:topLinePunct w:val="0"/>
        <w:bidi w:val="0"/>
        <w:spacing w:line="560" w:lineRule="exact"/>
        <w:ind w:left="0" w:leftChars="0" w:right="0" w:rightChars="0"/>
        <w:jc w:val="right"/>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color w:val="auto"/>
          <w:sz w:val="24"/>
          <w:szCs w:val="24"/>
          <w:highlight w:val="none"/>
        </w:rPr>
        <w:t xml:space="preserve">日期： </w:t>
      </w:r>
      <w:bookmarkEnd w:id="143"/>
      <w:r>
        <w:rPr>
          <w:rFonts w:hint="eastAsia" w:ascii="宋体" w:hAnsi="宋体" w:eastAsia="宋体" w:cs="宋体"/>
          <w:b/>
          <w:bCs/>
          <w:color w:val="auto"/>
          <w:kern w:val="0"/>
          <w:sz w:val="24"/>
          <w:szCs w:val="24"/>
          <w:highlight w:val="none"/>
          <w:lang w:val="en-US" w:eastAsia="zh-CN"/>
        </w:rPr>
        <w:t xml:space="preserve"> </w:t>
      </w:r>
    </w:p>
    <w:p w14:paraId="2FEB75BA">
      <w:pPr>
        <w:pageBreakBefore w:val="0"/>
        <w:wordWrap/>
        <w:overflowPunct/>
        <w:topLinePunct w:val="0"/>
        <w:bidi w:val="0"/>
        <w:spacing w:line="560" w:lineRule="exact"/>
        <w:ind w:left="0" w:leftChars="0" w:right="0" w:right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br w:type="page"/>
      </w:r>
      <w:bookmarkStart w:id="144" w:name="_Toc13020"/>
      <w:bookmarkStart w:id="145" w:name="_Toc9179"/>
      <w:r>
        <w:rPr>
          <w:rFonts w:hint="eastAsia" w:ascii="宋体" w:hAnsi="宋体" w:eastAsia="宋体" w:cs="宋体"/>
          <w:b/>
          <w:bCs/>
          <w:color w:val="auto"/>
          <w:kern w:val="0"/>
          <w:sz w:val="24"/>
          <w:szCs w:val="24"/>
          <w:highlight w:val="none"/>
          <w:lang w:val="en-US" w:eastAsia="zh-CN"/>
        </w:rPr>
        <w:t>十</w:t>
      </w:r>
      <w:r>
        <w:rPr>
          <w:rFonts w:hint="eastAsia" w:ascii="宋体" w:hAnsi="宋体" w:eastAsia="宋体" w:cs="宋体"/>
          <w:b/>
          <w:bCs/>
          <w:color w:val="auto"/>
          <w:kern w:val="0"/>
          <w:sz w:val="24"/>
          <w:szCs w:val="24"/>
          <w:highlight w:val="none"/>
          <w:lang w:eastAsia="zh-CN"/>
        </w:rPr>
        <w:t>、技术方案</w:t>
      </w:r>
      <w:bookmarkEnd w:id="144"/>
      <w:bookmarkEnd w:id="145"/>
    </w:p>
    <w:p w14:paraId="127A5FAF">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46D6D9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投标人应根据本招标文件要求和项目的具体情况，自行编制</w:t>
      </w:r>
      <w:r>
        <w:rPr>
          <w:rFonts w:hint="eastAsia" w:ascii="宋体" w:hAnsi="宋体" w:eastAsia="宋体" w:cs="宋体"/>
          <w:color w:val="auto"/>
          <w:sz w:val="24"/>
          <w:szCs w:val="24"/>
          <w:highlight w:val="none"/>
          <w:lang w:eastAsia="zh-CN"/>
        </w:rPr>
        <w:t>技术方案</w:t>
      </w:r>
      <w:r>
        <w:rPr>
          <w:rFonts w:hint="eastAsia" w:ascii="宋体" w:hAnsi="宋体" w:eastAsia="宋体" w:cs="宋体"/>
          <w:color w:val="auto"/>
          <w:sz w:val="24"/>
          <w:szCs w:val="24"/>
          <w:highlight w:val="none"/>
        </w:rPr>
        <w:t>，格式自拟，但应主要包括以下内容：</w:t>
      </w:r>
    </w:p>
    <w:bookmarkEnd w:id="140"/>
    <w:p w14:paraId="03B03105">
      <w:pPr>
        <w:keepNext w:val="0"/>
        <w:keepLines w:val="0"/>
        <w:pageBreakBefore w:val="0"/>
        <w:widowControl w:val="0"/>
        <w:kinsoku/>
        <w:wordWrap/>
        <w:overflowPunct/>
        <w:topLinePunct w:val="0"/>
        <w:autoSpaceDE/>
        <w:autoSpaceDN/>
        <w:bidi w:val="0"/>
        <w:adjustRightInd/>
        <w:snapToGrid/>
        <w:spacing w:line="560" w:lineRule="exact"/>
        <w:ind w:right="0" w:rightChars="0"/>
        <w:jc w:val="left"/>
        <w:textAlignment w:val="auto"/>
        <w:rPr>
          <w:rFonts w:hint="eastAsia" w:ascii="宋体" w:hAnsi="宋体" w:eastAsia="宋体" w:cs="宋体"/>
          <w:color w:val="auto"/>
          <w:sz w:val="24"/>
          <w:szCs w:val="24"/>
          <w:highlight w:val="none"/>
          <w:lang w:val="en-US" w:eastAsia="zh-CN"/>
        </w:rPr>
      </w:pPr>
      <w:bookmarkStart w:id="146" w:name="_Toc31271_WPSOffice_Level1"/>
      <w:r>
        <w:rPr>
          <w:rFonts w:hint="eastAsia" w:ascii="宋体" w:hAnsi="宋体" w:eastAsia="宋体" w:cs="宋体"/>
          <w:color w:val="auto"/>
          <w:sz w:val="24"/>
          <w:szCs w:val="24"/>
          <w:highlight w:val="none"/>
          <w:lang w:val="en-US" w:eastAsia="zh-CN"/>
        </w:rPr>
        <w:t>一、服务方案</w:t>
      </w:r>
    </w:p>
    <w:p w14:paraId="6BF6FAD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①供货方案</w:t>
      </w:r>
    </w:p>
    <w:p w14:paraId="4FA4E49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②项目管理制度</w:t>
      </w:r>
    </w:p>
    <w:p w14:paraId="5D0188B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③应急方案</w:t>
      </w:r>
    </w:p>
    <w:p w14:paraId="461C760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④培训及技术指导方案</w:t>
      </w:r>
    </w:p>
    <w:p w14:paraId="67175F50">
      <w:pPr>
        <w:keepNext w:val="0"/>
        <w:keepLines w:val="0"/>
        <w:pageBreakBefore w:val="0"/>
        <w:widowControl w:val="0"/>
        <w:kinsoku/>
        <w:wordWrap/>
        <w:overflowPunct/>
        <w:topLinePunct w:val="0"/>
        <w:autoSpaceDE/>
        <w:autoSpaceDN/>
        <w:bidi w:val="0"/>
        <w:adjustRightInd/>
        <w:snapToGrid/>
        <w:spacing w:line="560" w:lineRule="exact"/>
        <w:ind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二、售后方案</w:t>
      </w:r>
    </w:p>
    <w:p w14:paraId="5AFC1C0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①售后方案</w:t>
      </w:r>
    </w:p>
    <w:p w14:paraId="6FF8F01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②维护维修方案</w:t>
      </w:r>
    </w:p>
    <w:p w14:paraId="0B43D34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③备品备件</w:t>
      </w:r>
    </w:p>
    <w:p w14:paraId="3E619B00">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④质量保证方案</w:t>
      </w:r>
      <w:r>
        <w:rPr>
          <w:rFonts w:hint="eastAsia" w:ascii="宋体" w:hAnsi="宋体" w:eastAsia="宋体" w:cs="宋体"/>
          <w:b/>
          <w:bCs/>
          <w:color w:val="auto"/>
          <w:kern w:val="0"/>
          <w:sz w:val="24"/>
          <w:szCs w:val="24"/>
          <w:highlight w:val="none"/>
          <w:lang w:val="en-US" w:eastAsia="zh-CN"/>
        </w:rPr>
        <w:br w:type="page"/>
      </w:r>
    </w:p>
    <w:p w14:paraId="4DC0B531">
      <w:pPr>
        <w:pStyle w:val="12"/>
        <w:pageBreakBefore w:val="0"/>
        <w:wordWrap/>
        <w:overflowPunct/>
        <w:topLinePunct w:val="0"/>
        <w:bidi w:val="0"/>
        <w:spacing w:line="560" w:lineRule="exact"/>
        <w:ind w:left="0" w:leftChars="0" w:right="0" w:rightChars="0" w:firstLine="482" w:firstLineChars="200"/>
        <w:jc w:val="center"/>
        <w:outlineLvl w:val="1"/>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十一</w:t>
      </w:r>
      <w:r>
        <w:rPr>
          <w:rFonts w:hint="eastAsia" w:ascii="宋体" w:hAnsi="宋体" w:eastAsia="宋体" w:cs="宋体"/>
          <w:b/>
          <w:bCs/>
          <w:color w:val="auto"/>
          <w:kern w:val="0"/>
          <w:sz w:val="24"/>
          <w:szCs w:val="24"/>
          <w:highlight w:val="none"/>
        </w:rPr>
        <w:t>、政府采购政策</w:t>
      </w:r>
    </w:p>
    <w:p w14:paraId="05258E52">
      <w:pPr>
        <w:pStyle w:val="12"/>
        <w:pageBreakBefore w:val="0"/>
        <w:wordWrap/>
        <w:overflowPunct/>
        <w:topLinePunct w:val="0"/>
        <w:bidi w:val="0"/>
        <w:spacing w:line="560" w:lineRule="exact"/>
        <w:ind w:left="0" w:leftChars="0" w:right="0" w:rightChars="0" w:firstLine="482" w:firstLineChars="200"/>
        <w:jc w:val="center"/>
        <w:outlineLvl w:val="9"/>
        <w:rPr>
          <w:rFonts w:hint="eastAsia" w:ascii="宋体" w:hAnsi="宋体" w:eastAsia="宋体" w:cs="宋体"/>
          <w:color w:val="auto"/>
          <w:sz w:val="24"/>
          <w:szCs w:val="24"/>
          <w:highlight w:val="none"/>
          <w:lang w:eastAsia="zh-CN"/>
        </w:rPr>
      </w:pPr>
      <w:r>
        <w:rPr>
          <w:rFonts w:hint="eastAsia" w:ascii="宋体" w:hAnsi="宋体" w:eastAsia="宋体" w:cs="宋体"/>
          <w:b/>
          <w:bCs/>
          <w:color w:val="auto"/>
          <w:kern w:val="0"/>
          <w:sz w:val="24"/>
          <w:szCs w:val="24"/>
          <w:highlight w:val="none"/>
        </w:rPr>
        <w:t>（一）</w:t>
      </w:r>
      <w:r>
        <w:rPr>
          <w:rFonts w:hint="eastAsia" w:ascii="宋体" w:hAnsi="宋体" w:eastAsia="宋体" w:cs="宋体"/>
          <w:b/>
          <w:bCs/>
          <w:color w:val="auto"/>
          <w:sz w:val="24"/>
          <w:szCs w:val="24"/>
          <w:highlight w:val="none"/>
        </w:rPr>
        <w:t>中小企业声明函</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如有</w:t>
      </w:r>
      <w:r>
        <w:rPr>
          <w:rFonts w:hint="eastAsia" w:ascii="宋体" w:hAnsi="宋体" w:eastAsia="宋体" w:cs="宋体"/>
          <w:b/>
          <w:bCs/>
          <w:color w:val="auto"/>
          <w:sz w:val="24"/>
          <w:szCs w:val="24"/>
          <w:highlight w:val="none"/>
          <w:lang w:eastAsia="zh-CN"/>
        </w:rPr>
        <w:t>）</w:t>
      </w:r>
    </w:p>
    <w:p w14:paraId="6F753475">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采购活动，提供的货物全部由符合政策要求的中小企业制造。相关企业（含联合体中的中小企业、签订分包意向协议的中小企业）的具体情况如下：</w:t>
      </w:r>
    </w:p>
    <w:p w14:paraId="22A3AEDF">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 xml:space="preserve"> （标的名称）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lang w:val="en-US" w:eastAsia="zh-CN"/>
        </w:rPr>
        <w:t>（采购文件中明确的所属行业）</w:t>
      </w:r>
      <w:r>
        <w:rPr>
          <w:rFonts w:hint="eastAsia" w:ascii="宋体" w:hAnsi="宋体" w:eastAsia="宋体" w:cs="宋体"/>
          <w:color w:val="auto"/>
          <w:sz w:val="24"/>
          <w:szCs w:val="24"/>
          <w:highlight w:val="none"/>
          <w:u w:val="single"/>
        </w:rPr>
        <w:t>行业</w:t>
      </w:r>
      <w:r>
        <w:rPr>
          <w:rFonts w:hint="eastAsia" w:ascii="宋体" w:hAnsi="宋体" w:eastAsia="宋体" w:cs="宋体"/>
          <w:color w:val="auto"/>
          <w:sz w:val="24"/>
          <w:szCs w:val="24"/>
          <w:highlight w:val="none"/>
        </w:rPr>
        <w:t>；制造商为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vertAlign w:val="superscript"/>
        </w:rPr>
        <w:t>1</w:t>
      </w:r>
      <w:r>
        <w:rPr>
          <w:rFonts w:hint="eastAsia" w:ascii="宋体" w:hAnsi="宋体" w:eastAsia="宋体" w:cs="宋体"/>
          <w:color w:val="auto"/>
          <w:sz w:val="24"/>
          <w:szCs w:val="24"/>
          <w:highlight w:val="none"/>
        </w:rPr>
        <w:t>，属于（中型企业、小型企业、微型企业）；</w:t>
      </w:r>
    </w:p>
    <w:p w14:paraId="7A914510">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 xml:space="preserve"> （标的名称）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lang w:val="en-US" w:eastAsia="zh-CN"/>
        </w:rPr>
        <w:t>（采购文件中明确的所属行业）</w:t>
      </w:r>
      <w:r>
        <w:rPr>
          <w:rFonts w:hint="eastAsia" w:ascii="宋体" w:hAnsi="宋体" w:eastAsia="宋体" w:cs="宋体"/>
          <w:color w:val="auto"/>
          <w:sz w:val="24"/>
          <w:szCs w:val="24"/>
          <w:highlight w:val="none"/>
          <w:u w:val="single"/>
        </w:rPr>
        <w:t>行业</w:t>
      </w:r>
      <w:r>
        <w:rPr>
          <w:rFonts w:hint="eastAsia" w:ascii="宋体" w:hAnsi="宋体" w:eastAsia="宋体" w:cs="宋体"/>
          <w:color w:val="auto"/>
          <w:sz w:val="24"/>
          <w:szCs w:val="24"/>
          <w:highlight w:val="none"/>
        </w:rPr>
        <w:t>；制造商为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0DAA563B">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6A0AA891">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68BAEDC7">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43B2D59A">
      <w:pPr>
        <w:pStyle w:val="12"/>
        <w:pageBreakBefore w:val="0"/>
        <w:wordWrap/>
        <w:overflowPunct/>
        <w:topLinePunct w:val="0"/>
        <w:bidi w:val="0"/>
        <w:spacing w:line="560" w:lineRule="exact"/>
        <w:ind w:left="0" w:leftChars="0" w:right="0" w:rightChars="0"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企业名称（盖章）：</w:t>
      </w:r>
    </w:p>
    <w:p w14:paraId="02E5E8E3">
      <w:pPr>
        <w:pStyle w:val="12"/>
        <w:pageBreakBefore w:val="0"/>
        <w:wordWrap/>
        <w:overflowPunct/>
        <w:topLinePunct w:val="0"/>
        <w:bidi w:val="0"/>
        <w:spacing w:line="560" w:lineRule="exact"/>
        <w:ind w:left="0" w:leftChars="0" w:right="0" w:rightChars="0" w:firstLine="480" w:firstLineChars="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p>
    <w:p w14:paraId="3804F44B">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1、从业人员、营业收入、资产总额填报上一年度数据，无上一年度数据的新成立企业可不填报</w:t>
      </w:r>
    </w:p>
    <w:p w14:paraId="1FFF853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6A49C0D4">
      <w:pPr>
        <w:pStyle w:val="1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特别说明</w:t>
      </w:r>
    </w:p>
    <w:p w14:paraId="63EFC11D">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（1）以上《中小企业声明函》只须填写所投产品的制造商名称及相关信息。</w:t>
      </w:r>
    </w:p>
    <w:p w14:paraId="65E30D28">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为工业行业，划型标准为：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投标人须明确所投产品制造商的从业人员、</w:t>
      </w:r>
      <w:r>
        <w:rPr>
          <w:rFonts w:hint="eastAsia" w:ascii="宋体" w:hAnsi="宋体" w:eastAsia="宋体" w:cs="宋体"/>
          <w:color w:val="auto"/>
          <w:sz w:val="24"/>
          <w:szCs w:val="24"/>
          <w:highlight w:val="none"/>
        </w:rPr>
        <w:t>营业收入、资产总额</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属于中型企业或小型企业或微型企业（只能填一项），未明确的，《中小企业声明函》按无效处理。</w:t>
      </w:r>
    </w:p>
    <w:p w14:paraId="626027D1">
      <w:pPr>
        <w:pStyle w:val="12"/>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含多个标的，须逐一明确每个标的制造商的中小微企业情况。所有标的均由小微企业制造的，方可享受10%的价格扣除优惠。若有一个标的为非小微企业制造，不可享受价格扣除优惠政策，中型企业不享受价格扣除优惠政策。</w:t>
      </w:r>
    </w:p>
    <w:p w14:paraId="2FF384FA">
      <w:pP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p>
    <w:p w14:paraId="7A8F5F65">
      <w:pPr>
        <w:pageBreakBefore w:val="0"/>
        <w:wordWrap/>
        <w:overflowPunct/>
        <w:topLinePunct w:val="0"/>
        <w:bidi w:val="0"/>
        <w:spacing w:line="560" w:lineRule="exact"/>
        <w:ind w:left="0" w:leftChars="0" w:right="0" w:rightChars="0"/>
        <w:jc w:val="center"/>
        <w:outlineLvl w:val="9"/>
        <w:rPr>
          <w:rFonts w:hint="eastAsia" w:ascii="宋体" w:hAnsi="宋体" w:eastAsia="宋体" w:cs="宋体"/>
          <w:b/>
          <w:color w:val="auto"/>
          <w:spacing w:val="6"/>
          <w:sz w:val="24"/>
          <w:szCs w:val="24"/>
          <w:highlight w:val="none"/>
        </w:rPr>
      </w:pPr>
      <w:r>
        <w:rPr>
          <w:rFonts w:hint="eastAsia" w:ascii="宋体" w:hAnsi="宋体" w:eastAsia="宋体" w:cs="宋体"/>
          <w:b/>
          <w:bCs/>
          <w:color w:val="auto"/>
          <w:sz w:val="24"/>
          <w:szCs w:val="24"/>
          <w:highlight w:val="none"/>
        </w:rPr>
        <w:t>（二）</w:t>
      </w:r>
      <w:r>
        <w:rPr>
          <w:rFonts w:hint="eastAsia" w:ascii="宋体" w:hAnsi="宋体" w:eastAsia="宋体" w:cs="宋体"/>
          <w:b/>
          <w:color w:val="auto"/>
          <w:spacing w:val="6"/>
          <w:sz w:val="24"/>
          <w:szCs w:val="24"/>
          <w:highlight w:val="none"/>
        </w:rPr>
        <w:t>残疾人福利性单位声明函</w:t>
      </w:r>
      <w:r>
        <w:rPr>
          <w:rFonts w:hint="eastAsia" w:ascii="宋体" w:hAnsi="宋体" w:eastAsia="宋体" w:cs="宋体"/>
          <w:b/>
          <w:color w:val="auto"/>
          <w:sz w:val="24"/>
          <w:szCs w:val="24"/>
          <w:highlight w:val="none"/>
        </w:rPr>
        <w:t>（如有）</w:t>
      </w:r>
    </w:p>
    <w:p w14:paraId="1E84A933">
      <w:pPr>
        <w:pageBreakBefore w:val="0"/>
        <w:wordWrap/>
        <w:overflowPunct/>
        <w:topLinePunct w:val="0"/>
        <w:bidi w:val="0"/>
        <w:spacing w:line="560" w:lineRule="exact"/>
        <w:ind w:left="0" w:leftChars="0" w:right="0" w:rightChars="0"/>
        <w:rPr>
          <w:rFonts w:hint="eastAsia" w:ascii="宋体" w:hAnsi="宋体" w:eastAsia="宋体" w:cs="宋体"/>
          <w:b/>
          <w:color w:val="auto"/>
          <w:spacing w:val="6"/>
          <w:sz w:val="24"/>
          <w:szCs w:val="24"/>
          <w:highlight w:val="none"/>
        </w:rPr>
      </w:pPr>
    </w:p>
    <w:p w14:paraId="4120DDD7">
      <w:pPr>
        <w:pageBreakBefore w:val="0"/>
        <w:wordWrap/>
        <w:overflowPunct/>
        <w:topLinePunct w:val="0"/>
        <w:bidi w:val="0"/>
        <w:spacing w:line="560" w:lineRule="exact"/>
        <w:ind w:left="0" w:leftChars="0" w:right="0" w:rightChars="0"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本单位郑重声明，根据《财政部 民政部 中国残疾人联合会关于促进残疾人就业政府采购政策的通知》（财库</w:t>
      </w:r>
      <w:r>
        <w:rPr>
          <w:rFonts w:hint="eastAsia" w:ascii="宋体" w:hAnsi="宋体" w:eastAsia="宋体" w:cs="宋体"/>
          <w:color w:val="auto"/>
          <w:sz w:val="24"/>
          <w:szCs w:val="24"/>
          <w:highlight w:val="none"/>
        </w:rPr>
        <w:t>〔2017〕 141</w:t>
      </w:r>
      <w:r>
        <w:rPr>
          <w:rFonts w:hint="eastAsia" w:ascii="宋体" w:hAnsi="宋体" w:eastAsia="宋体" w:cs="宋体"/>
          <w:color w:val="auto"/>
          <w:spacing w:val="6"/>
          <w:sz w:val="24"/>
          <w:szCs w:val="24"/>
          <w:highlight w:val="none"/>
        </w:rPr>
        <w:t>号）的规定，本单位为符合条件的残疾人福利性单位，且本单位参加</w:t>
      </w:r>
      <w:r>
        <w:rPr>
          <w:rFonts w:hint="eastAsia" w:ascii="宋体" w:hAnsi="宋体" w:eastAsia="宋体" w:cs="宋体"/>
          <w:color w:val="auto"/>
          <w:spacing w:val="6"/>
          <w:sz w:val="24"/>
          <w:szCs w:val="24"/>
          <w:highlight w:val="none"/>
          <w:u w:val="single"/>
        </w:rPr>
        <w:t xml:space="preserve">         </w:t>
      </w:r>
      <w:r>
        <w:rPr>
          <w:rFonts w:hint="eastAsia" w:ascii="宋体" w:hAnsi="宋体" w:eastAsia="宋体" w:cs="宋体"/>
          <w:color w:val="auto"/>
          <w:spacing w:val="6"/>
          <w:sz w:val="24"/>
          <w:szCs w:val="24"/>
          <w:highlight w:val="none"/>
        </w:rPr>
        <w:t>单位的</w:t>
      </w:r>
      <w:r>
        <w:rPr>
          <w:rFonts w:hint="eastAsia" w:ascii="宋体" w:hAnsi="宋体" w:eastAsia="宋体" w:cs="宋体"/>
          <w:color w:val="auto"/>
          <w:spacing w:val="6"/>
          <w:sz w:val="24"/>
          <w:szCs w:val="24"/>
          <w:highlight w:val="none"/>
          <w:u w:val="single"/>
        </w:rPr>
        <w:t xml:space="preserve">      </w:t>
      </w:r>
      <w:r>
        <w:rPr>
          <w:rFonts w:hint="eastAsia" w:ascii="宋体" w:hAnsi="宋体" w:eastAsia="宋体" w:cs="宋体"/>
          <w:color w:val="auto"/>
          <w:spacing w:val="6"/>
          <w:sz w:val="24"/>
          <w:szCs w:val="24"/>
          <w:highlight w:val="none"/>
        </w:rPr>
        <w:t>项目投标活动提供本单位制造的货物（由本单位承担工程/提供服务），或者提供其他残疾人福利性单位制造的货物（不包括使用非残疾人福利性单位注册商标的货物）。</w:t>
      </w:r>
    </w:p>
    <w:p w14:paraId="1422DBE0">
      <w:pPr>
        <w:pageBreakBefore w:val="0"/>
        <w:wordWrap/>
        <w:overflowPunct/>
        <w:topLinePunct w:val="0"/>
        <w:bidi w:val="0"/>
        <w:spacing w:line="560" w:lineRule="exact"/>
        <w:ind w:left="0" w:leftChars="0" w:right="0" w:rightChars="0"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本单位对上述声明的真实性负责。如有虚假，将依法承担相应责任。</w:t>
      </w:r>
    </w:p>
    <w:p w14:paraId="4779C293">
      <w:pPr>
        <w:pageBreakBefore w:val="0"/>
        <w:wordWrap/>
        <w:overflowPunct/>
        <w:topLinePunct w:val="0"/>
        <w:bidi w:val="0"/>
        <w:spacing w:line="560" w:lineRule="exact"/>
        <w:ind w:left="0" w:leftChars="0" w:right="0" w:rightChars="0" w:firstLine="504" w:firstLineChars="200"/>
        <w:rPr>
          <w:rFonts w:hint="eastAsia" w:ascii="宋体" w:hAnsi="宋体" w:eastAsia="宋体" w:cs="宋体"/>
          <w:color w:val="auto"/>
          <w:spacing w:val="6"/>
          <w:sz w:val="24"/>
          <w:szCs w:val="24"/>
          <w:highlight w:val="none"/>
        </w:rPr>
      </w:pPr>
    </w:p>
    <w:p w14:paraId="48B6A8E0">
      <w:pPr>
        <w:pageBreakBefore w:val="0"/>
        <w:wordWrap/>
        <w:overflowPunct/>
        <w:topLinePunct w:val="0"/>
        <w:bidi w:val="0"/>
        <w:spacing w:line="560" w:lineRule="exact"/>
        <w:ind w:left="0" w:leftChars="0" w:right="0" w:rightChars="0" w:firstLine="504" w:firstLineChars="200"/>
        <w:rPr>
          <w:rFonts w:hint="eastAsia" w:ascii="宋体" w:hAnsi="宋体" w:eastAsia="宋体" w:cs="宋体"/>
          <w:color w:val="auto"/>
          <w:spacing w:val="6"/>
          <w:sz w:val="24"/>
          <w:szCs w:val="24"/>
          <w:highlight w:val="none"/>
        </w:rPr>
      </w:pPr>
    </w:p>
    <w:p w14:paraId="39BAEB3D">
      <w:pPr>
        <w:pageBreakBefore w:val="0"/>
        <w:tabs>
          <w:tab w:val="left" w:pos="4860"/>
        </w:tabs>
        <w:wordWrap/>
        <w:overflowPunct/>
        <w:topLinePunct w:val="0"/>
        <w:bidi w:val="0"/>
        <w:spacing w:line="560" w:lineRule="exact"/>
        <w:ind w:left="0" w:leftChars="0" w:right="0" w:rightChars="0" w:firstLine="504" w:firstLineChars="20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 xml:space="preserve">               单位名称（盖章）：</w:t>
      </w:r>
    </w:p>
    <w:p w14:paraId="338B8981">
      <w:pPr>
        <w:pageBreakBefore w:val="0"/>
        <w:tabs>
          <w:tab w:val="left" w:pos="4860"/>
        </w:tabs>
        <w:wordWrap/>
        <w:overflowPunct/>
        <w:topLinePunct w:val="0"/>
        <w:bidi w:val="0"/>
        <w:spacing w:line="560" w:lineRule="exact"/>
        <w:ind w:left="0" w:leftChars="0" w:right="0" w:rightChars="0" w:firstLine="504" w:firstLineChars="20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 xml:space="preserve">       日  期：</w:t>
      </w:r>
    </w:p>
    <w:p w14:paraId="750C8634">
      <w:pPr>
        <w:pageBreakBefore w:val="0"/>
        <w:widowControl/>
        <w:wordWrap/>
        <w:overflowPunct/>
        <w:topLinePunct w:val="0"/>
        <w:bidi w:val="0"/>
        <w:adjustRightInd w:val="0"/>
        <w:snapToGrid w:val="0"/>
        <w:spacing w:line="560" w:lineRule="exact"/>
        <w:ind w:left="0" w:leftChars="0" w:right="0" w:rightChars="0"/>
        <w:rPr>
          <w:rFonts w:hint="eastAsia" w:ascii="宋体" w:hAnsi="宋体" w:eastAsia="宋体" w:cs="宋体"/>
          <w:color w:val="auto"/>
          <w:sz w:val="24"/>
          <w:szCs w:val="24"/>
          <w:highlight w:val="none"/>
        </w:rPr>
      </w:pPr>
    </w:p>
    <w:p w14:paraId="21CC1829">
      <w:pPr>
        <w:pageBreakBefore w:val="0"/>
        <w:wordWrap/>
        <w:overflowPunct/>
        <w:topLinePunct w:val="0"/>
        <w:bidi w:val="0"/>
        <w:spacing w:line="560" w:lineRule="exact"/>
        <w:ind w:left="0" w:leftChars="0" w:right="0" w:rightChars="0"/>
        <w:jc w:val="left"/>
        <w:rPr>
          <w:rFonts w:hint="eastAsia" w:ascii="宋体" w:hAnsi="宋体" w:eastAsia="宋体" w:cs="宋体"/>
          <w:bCs/>
          <w:color w:val="auto"/>
          <w:sz w:val="24"/>
          <w:szCs w:val="24"/>
          <w:highlight w:val="none"/>
        </w:rPr>
      </w:pPr>
    </w:p>
    <w:p w14:paraId="0F2D56D8">
      <w:pPr>
        <w:pageBreakBefore w:val="0"/>
        <w:widowControl/>
        <w:wordWrap/>
        <w:overflowPunct/>
        <w:topLinePunct w:val="0"/>
        <w:bidi w:val="0"/>
        <w:spacing w:line="560" w:lineRule="exact"/>
        <w:ind w:left="0" w:leftChars="0"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备注：须提供证明材料（能反映出企业残疾人的占比等情况的材料及残疾人证等）。</w:t>
      </w:r>
    </w:p>
    <w:p w14:paraId="4C9E2688">
      <w:pPr>
        <w:pageBreakBefore w:val="0"/>
        <w:wordWrap/>
        <w:overflowPunct/>
        <w:topLinePunct w:val="0"/>
        <w:bidi w:val="0"/>
        <w:spacing w:line="560" w:lineRule="exact"/>
        <w:ind w:left="0" w:leftChars="0" w:right="0" w:rightChars="0"/>
        <w:jc w:val="center"/>
        <w:rPr>
          <w:rFonts w:hint="eastAsia" w:ascii="宋体" w:hAnsi="宋体" w:eastAsia="宋体" w:cs="宋体"/>
          <w:b/>
          <w:bCs/>
          <w:color w:val="auto"/>
          <w:sz w:val="24"/>
          <w:szCs w:val="24"/>
          <w:highlight w:val="none"/>
        </w:rPr>
      </w:pPr>
    </w:p>
    <w:p w14:paraId="2CD87416">
      <w:pPr>
        <w:pageBreakBefore w:val="0"/>
        <w:wordWrap/>
        <w:overflowPunct/>
        <w:topLinePunct w:val="0"/>
        <w:bidi w:val="0"/>
        <w:spacing w:line="560" w:lineRule="exact"/>
        <w:ind w:left="0" w:leftChars="0" w:right="0" w:rightChars="0"/>
        <w:jc w:val="center"/>
        <w:rPr>
          <w:rFonts w:hint="eastAsia" w:ascii="宋体" w:hAnsi="宋体" w:eastAsia="宋体" w:cs="宋体"/>
          <w:b/>
          <w:bCs/>
          <w:color w:val="auto"/>
          <w:sz w:val="24"/>
          <w:szCs w:val="24"/>
          <w:highlight w:val="none"/>
        </w:rPr>
      </w:pPr>
    </w:p>
    <w:p w14:paraId="03706D5E">
      <w:pPr>
        <w:pageBreakBefore w:val="0"/>
        <w:widowControl/>
        <w:wordWrap/>
        <w:overflowPunct/>
        <w:topLinePunct w:val="0"/>
        <w:bidi w:val="0"/>
        <w:spacing w:line="560" w:lineRule="exact"/>
        <w:ind w:left="0" w:leftChars="0" w:right="0" w:rightChars="0"/>
        <w:jc w:val="center"/>
        <w:outlineLvl w:val="9"/>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rPr>
        <w:t>（三）监狱企业证明文件（如有）</w:t>
      </w:r>
    </w:p>
    <w:p w14:paraId="0567C970">
      <w:pPr>
        <w:pageBreakBefore w:val="0"/>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p>
    <w:p w14:paraId="2C5E9B41">
      <w:pPr>
        <w:pageBreakBefore w:val="0"/>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4A4ABBB0">
      <w:pPr>
        <w:pStyle w:val="12"/>
        <w:pageBreakBefore w:val="0"/>
        <w:wordWrap/>
        <w:overflowPunct/>
        <w:topLinePunct w:val="0"/>
        <w:bidi w:val="0"/>
        <w:spacing w:line="56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2.证明材料加盖</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公章。</w:t>
      </w:r>
    </w:p>
    <w:p w14:paraId="18AD85D2">
      <w:pPr>
        <w:pStyle w:val="30"/>
        <w:pageBreakBefore w:val="0"/>
        <w:wordWrap/>
        <w:overflowPunct/>
        <w:topLinePunct w:val="0"/>
        <w:bidi w:val="0"/>
        <w:spacing w:line="560" w:lineRule="exact"/>
        <w:ind w:left="0" w:leftChars="0" w:right="0" w:rightChars="0" w:firstLine="482" w:firstLineChars="200"/>
        <w:jc w:val="center"/>
        <w:rPr>
          <w:rFonts w:hint="eastAsia" w:ascii="宋体" w:hAnsi="宋体" w:eastAsia="宋体" w:cs="宋体"/>
          <w:b/>
          <w:bCs/>
          <w:color w:val="auto"/>
          <w:kern w:val="0"/>
          <w:sz w:val="24"/>
          <w:szCs w:val="24"/>
          <w:highlight w:val="none"/>
        </w:rPr>
      </w:pPr>
    </w:p>
    <w:p w14:paraId="4BD586C9">
      <w:pPr>
        <w:pStyle w:val="12"/>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1"/>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rPr>
        <w:br w:type="page"/>
      </w:r>
      <w:r>
        <w:rPr>
          <w:rFonts w:hint="eastAsia" w:ascii="宋体" w:hAnsi="宋体" w:eastAsia="宋体" w:cs="宋体"/>
          <w:b/>
          <w:bCs/>
          <w:color w:val="auto"/>
          <w:kern w:val="0"/>
          <w:sz w:val="24"/>
          <w:szCs w:val="24"/>
          <w:highlight w:val="none"/>
          <w:lang w:val="en-US" w:eastAsia="zh-CN"/>
        </w:rPr>
        <w:t>十二、</w:t>
      </w:r>
      <w:r>
        <w:rPr>
          <w:rFonts w:hint="eastAsia" w:ascii="宋体" w:hAnsi="宋体" w:eastAsia="宋体" w:cs="宋体"/>
          <w:b/>
          <w:bCs/>
          <w:color w:val="auto"/>
          <w:kern w:val="0"/>
          <w:sz w:val="24"/>
          <w:szCs w:val="24"/>
          <w:highlight w:val="none"/>
          <w:lang w:eastAsia="zh-CN"/>
        </w:rPr>
        <w:t>投标人认为需要提供的资料</w:t>
      </w:r>
    </w:p>
    <w:p w14:paraId="36976587">
      <w:pPr>
        <w:pStyle w:val="12"/>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投标保证金缴纳凭证</w:t>
      </w:r>
    </w:p>
    <w:p w14:paraId="4E98E8F3">
      <w:pPr>
        <w:pStyle w:val="12"/>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p>
    <w:tbl>
      <w:tblPr>
        <w:tblStyle w:val="31"/>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962"/>
      </w:tblGrid>
      <w:tr w14:paraId="790BD6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8522" w:type="dxa"/>
            <w:tcBorders>
              <w:top w:val="single" w:color="auto" w:sz="4" w:space="0"/>
              <w:bottom w:val="single" w:color="auto" w:sz="4" w:space="0"/>
            </w:tcBorders>
            <w:vAlign w:val="center"/>
          </w:tcPr>
          <w:p w14:paraId="432D2E70">
            <w:pPr>
              <w:pStyle w:val="12"/>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投标保证金缴纳凭证</w:t>
            </w:r>
          </w:p>
        </w:tc>
      </w:tr>
    </w:tbl>
    <w:p w14:paraId="5489BAC5">
      <w:pPr>
        <w:pageBreakBefore w:val="0"/>
        <w:wordWrap/>
        <w:overflowPunct/>
        <w:topLinePunct w:val="0"/>
        <w:bidi w:val="0"/>
        <w:adjustRightInd w:val="0"/>
        <w:snapToGrid w:val="0"/>
        <w:spacing w:line="560" w:lineRule="exact"/>
        <w:ind w:left="0" w:leftChars="0" w:right="0" w:rightChars="0" w:firstLine="480" w:firstLineChars="200"/>
        <w:rPr>
          <w:rFonts w:hint="eastAsia" w:ascii="宋体" w:hAnsi="宋体" w:eastAsia="宋体" w:cs="宋体"/>
          <w:color w:val="auto"/>
          <w:sz w:val="24"/>
          <w:szCs w:val="24"/>
          <w:highlight w:val="none"/>
        </w:rPr>
      </w:pPr>
    </w:p>
    <w:p w14:paraId="589C3D55">
      <w:pPr>
        <w:pStyle w:val="12"/>
        <w:pageBreakBefore w:val="0"/>
        <w:wordWrap/>
        <w:overflowPunct/>
        <w:topLinePunct w:val="0"/>
        <w:bidi w:val="0"/>
        <w:spacing w:line="560" w:lineRule="exact"/>
        <w:ind w:left="0" w:leftChars="0" w:right="0" w:rightChars="0"/>
        <w:jc w:val="cente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（二）其他</w:t>
      </w:r>
    </w:p>
    <w:p w14:paraId="35AF9E8B">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应当仔细核对</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中有关</w:t>
      </w:r>
      <w:r>
        <w:rPr>
          <w:rFonts w:hint="eastAsia" w:ascii="宋体" w:hAnsi="宋体" w:eastAsia="宋体" w:cs="宋体"/>
          <w:b/>
          <w:bCs/>
          <w:color w:val="auto"/>
          <w:sz w:val="24"/>
          <w:szCs w:val="24"/>
          <w:highlight w:val="none"/>
        </w:rPr>
        <w:t>“响应无效”、“拒收”</w:t>
      </w:r>
      <w:r>
        <w:rPr>
          <w:rFonts w:hint="eastAsia" w:ascii="宋体" w:hAnsi="宋体" w:eastAsia="宋体" w:cs="宋体"/>
          <w:color w:val="auto"/>
          <w:sz w:val="24"/>
          <w:szCs w:val="24"/>
          <w:highlight w:val="none"/>
        </w:rPr>
        <w:t>和评审标准等条款内容，提供</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认为应当附加</w:t>
      </w:r>
      <w:r>
        <w:rPr>
          <w:rFonts w:hint="eastAsia" w:ascii="宋体" w:hAnsi="宋体" w:eastAsia="宋体" w:cs="宋体"/>
          <w:color w:val="auto"/>
          <w:sz w:val="24"/>
          <w:szCs w:val="24"/>
          <w:highlight w:val="none"/>
          <w:lang w:eastAsia="zh-CN"/>
        </w:rPr>
        <w:t>的其他内容</w:t>
      </w:r>
      <w:r>
        <w:rPr>
          <w:rFonts w:hint="eastAsia" w:ascii="宋体" w:hAnsi="宋体" w:eastAsia="宋体" w:cs="宋体"/>
          <w:color w:val="auto"/>
          <w:sz w:val="24"/>
          <w:szCs w:val="24"/>
          <w:highlight w:val="none"/>
        </w:rPr>
        <w:t>，以充分证明其</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响应符合</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要求，并为评审提供充分依据。</w:t>
      </w:r>
    </w:p>
    <w:p w14:paraId="50A40D10">
      <w:pPr>
        <w:pageBreakBefore w:val="0"/>
        <w:widowControl w:val="0"/>
        <w:numPr>
          <w:ilvl w:val="0"/>
          <w:numId w:val="0"/>
        </w:numPr>
        <w:tabs>
          <w:tab w:val="left" w:pos="360"/>
        </w:tabs>
        <w:kinsoku/>
        <w:wordWrap/>
        <w:overflowPunct/>
        <w:topLinePunct w:val="0"/>
        <w:bidi w:val="0"/>
        <w:snapToGrid/>
        <w:spacing w:line="240" w:lineRule="auto"/>
        <w:ind w:leftChars="0"/>
        <w:jc w:val="center"/>
        <w:textAlignment w:val="auto"/>
        <w:outlineLvl w:val="9"/>
        <w:rPr>
          <w:rFonts w:hint="eastAsia" w:ascii="宋体" w:hAnsi="宋体" w:eastAsia="宋体" w:cs="宋体"/>
          <w:b/>
          <w:bCs/>
          <w:color w:val="auto"/>
          <w:sz w:val="24"/>
          <w:szCs w:val="24"/>
          <w:highlight w:val="none"/>
          <w:lang w:val="zh-CN" w:eastAsia="zh-CN"/>
        </w:rPr>
      </w:pPr>
      <w:bookmarkStart w:id="147" w:name="_Toc10306"/>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zh-CN" w:eastAsia="zh-CN"/>
        </w:rPr>
        <w:t>不参与围标串标承诺书</w:t>
      </w:r>
      <w:bookmarkEnd w:id="147"/>
      <w:r>
        <w:rPr>
          <w:rFonts w:hint="eastAsia" w:ascii="宋体" w:hAnsi="宋体" w:eastAsia="宋体" w:cs="宋体"/>
          <w:b/>
          <w:bCs/>
          <w:color w:val="auto"/>
          <w:sz w:val="24"/>
          <w:szCs w:val="24"/>
          <w:highlight w:val="none"/>
          <w:lang w:val="zh-CN" w:eastAsia="zh-CN"/>
        </w:rPr>
        <w:t>（</w:t>
      </w:r>
      <w:r>
        <w:rPr>
          <w:rFonts w:hint="eastAsia" w:ascii="宋体" w:hAnsi="宋体" w:eastAsia="宋体" w:cs="宋体"/>
          <w:b/>
          <w:bCs/>
          <w:color w:val="auto"/>
          <w:sz w:val="24"/>
          <w:szCs w:val="24"/>
          <w:highlight w:val="none"/>
          <w:lang w:val="en-US" w:eastAsia="zh-CN"/>
        </w:rPr>
        <w:t>必填</w:t>
      </w:r>
      <w:r>
        <w:rPr>
          <w:rFonts w:hint="eastAsia" w:ascii="宋体" w:hAnsi="宋体" w:eastAsia="宋体" w:cs="宋体"/>
          <w:b/>
          <w:bCs/>
          <w:color w:val="auto"/>
          <w:sz w:val="24"/>
          <w:szCs w:val="24"/>
          <w:highlight w:val="none"/>
          <w:lang w:val="zh-CN" w:eastAsia="zh-CN"/>
        </w:rPr>
        <w:t>）</w:t>
      </w:r>
    </w:p>
    <w:p w14:paraId="1CBBA347">
      <w:pPr>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kern w:val="0"/>
          <w:sz w:val="24"/>
          <w:szCs w:val="24"/>
          <w:highlight w:val="none"/>
          <w:lang w:val="zh-CN"/>
        </w:rPr>
      </w:pPr>
    </w:p>
    <w:p w14:paraId="113F9B54">
      <w:pPr>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为诚实、客观、有序地参与</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项目采购活动，愿就以下内容作出承诺：</w:t>
      </w:r>
    </w:p>
    <w:p w14:paraId="73ADE8DE">
      <w:pPr>
        <w:pageBreakBefore w:val="0"/>
        <w:widowControl w:val="0"/>
        <w:kinsoku/>
        <w:wordWrap/>
        <w:overflowPunct/>
        <w:topLinePunct w:val="0"/>
        <w:autoSpaceDE w:val="0"/>
        <w:autoSpaceDN w:val="0"/>
        <w:bidi w:val="0"/>
        <w:adjustRightInd w:val="0"/>
        <w:snapToGrid/>
        <w:spacing w:line="360" w:lineRule="auto"/>
        <w:ind w:firstLine="482"/>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一、严格遵守国家法律法规和行业规范，诚实守信，公平竞争，不参与任何形式的围标、串标行为，不与其他投标供应商存在控股、管理及其他关联关系。</w:t>
      </w:r>
    </w:p>
    <w:p w14:paraId="795004B2">
      <w:pPr>
        <w:pageBreakBefore w:val="0"/>
        <w:widowControl w:val="0"/>
        <w:kinsoku/>
        <w:wordWrap/>
        <w:overflowPunct/>
        <w:topLinePunct w:val="0"/>
        <w:autoSpaceDE w:val="0"/>
        <w:autoSpaceDN w:val="0"/>
        <w:bidi w:val="0"/>
        <w:adjustRightInd w:val="0"/>
        <w:snapToGrid/>
        <w:spacing w:line="360" w:lineRule="auto"/>
        <w:ind w:firstLine="482"/>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44A827A6">
      <w:pPr>
        <w:pageBreakBefore w:val="0"/>
        <w:widowControl w:val="0"/>
        <w:kinsoku/>
        <w:wordWrap/>
        <w:overflowPunct/>
        <w:topLinePunct w:val="0"/>
        <w:autoSpaceDE w:val="0"/>
        <w:autoSpaceDN w:val="0"/>
        <w:bidi w:val="0"/>
        <w:adjustRightInd w:val="0"/>
        <w:snapToGrid/>
        <w:spacing w:line="360" w:lineRule="auto"/>
        <w:ind w:firstLine="482"/>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三、若在招标投标过程中发现其他投标人或相关方有围标、串标等违法行为，及时告知采购人或代理机构，积极配合调查。</w:t>
      </w:r>
    </w:p>
    <w:p w14:paraId="4AD01E54">
      <w:pPr>
        <w:pageBreakBefore w:val="0"/>
        <w:widowControl w:val="0"/>
        <w:kinsoku/>
        <w:wordWrap/>
        <w:overflowPunct/>
        <w:topLinePunct w:val="0"/>
        <w:autoSpaceDE w:val="0"/>
        <w:autoSpaceDN w:val="0"/>
        <w:bidi w:val="0"/>
        <w:adjustRightInd w:val="0"/>
        <w:snapToGrid/>
        <w:spacing w:line="360" w:lineRule="auto"/>
        <w:ind w:firstLine="482"/>
        <w:textAlignment w:val="auto"/>
        <w:rPr>
          <w:rFonts w:hint="eastAsia" w:ascii="宋体" w:hAnsi="宋体" w:eastAsia="宋体" w:cs="宋体"/>
          <w:bCs/>
          <w:color w:val="auto"/>
          <w:kern w:val="0"/>
          <w:sz w:val="24"/>
          <w:szCs w:val="24"/>
          <w:highlight w:val="none"/>
          <w:lang w:val="zh-CN"/>
        </w:rPr>
      </w:pPr>
      <w:r>
        <w:rPr>
          <w:rFonts w:hint="eastAsia" w:ascii="宋体" w:hAnsi="宋体" w:eastAsia="宋体" w:cs="宋体"/>
          <w:color w:val="auto"/>
          <w:kern w:val="0"/>
          <w:sz w:val="24"/>
          <w:szCs w:val="24"/>
          <w:highlight w:val="none"/>
          <w:lang w:val="zh-CN"/>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1FCCFD55">
      <w:pPr>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bCs/>
          <w:color w:val="auto"/>
          <w:kern w:val="0"/>
          <w:sz w:val="24"/>
          <w:szCs w:val="24"/>
          <w:highlight w:val="none"/>
          <w:lang w:val="zh-CN"/>
        </w:rPr>
      </w:pPr>
      <w:r>
        <w:rPr>
          <w:rFonts w:hint="eastAsia" w:ascii="宋体" w:hAnsi="宋体" w:eastAsia="宋体" w:cs="宋体"/>
          <w:bCs/>
          <w:color w:val="auto"/>
          <w:kern w:val="0"/>
          <w:sz w:val="24"/>
          <w:szCs w:val="24"/>
          <w:highlight w:val="none"/>
          <w:lang w:val="zh-CN"/>
        </w:rPr>
        <w:t>供应商：                             （公章）</w:t>
      </w:r>
    </w:p>
    <w:p w14:paraId="0C5739AC">
      <w:pPr>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bCs/>
          <w:color w:val="auto"/>
          <w:kern w:val="0"/>
          <w:sz w:val="24"/>
          <w:szCs w:val="24"/>
          <w:highlight w:val="none"/>
          <w:lang w:val="zh-CN"/>
        </w:rPr>
      </w:pPr>
      <w:r>
        <w:rPr>
          <w:rFonts w:hint="eastAsia" w:ascii="宋体" w:hAnsi="宋体" w:eastAsia="宋体" w:cs="宋体"/>
          <w:bCs/>
          <w:color w:val="auto"/>
          <w:kern w:val="0"/>
          <w:sz w:val="24"/>
          <w:szCs w:val="24"/>
          <w:highlight w:val="none"/>
          <w:lang w:val="zh-CN"/>
        </w:rPr>
        <w:t>法定代表人或委托代理人：             （签字）</w:t>
      </w:r>
    </w:p>
    <w:p w14:paraId="31132421">
      <w:pPr>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kern w:val="0"/>
          <w:sz w:val="24"/>
          <w:szCs w:val="24"/>
          <w:highlight w:val="none"/>
          <w:lang w:val="zh-CN"/>
        </w:rPr>
        <w:t>年   月   日</w:t>
      </w:r>
    </w:p>
    <w:p w14:paraId="7A7C7072">
      <w:pPr>
        <w:pageBreakBefore w:val="0"/>
        <w:widowControl w:val="0"/>
        <w:numPr>
          <w:ilvl w:val="0"/>
          <w:numId w:val="0"/>
        </w:numPr>
        <w:tabs>
          <w:tab w:val="left" w:pos="360"/>
        </w:tabs>
        <w:kinsoku/>
        <w:wordWrap/>
        <w:overflowPunct/>
        <w:topLinePunct w:val="0"/>
        <w:bidi w:val="0"/>
        <w:snapToGrid/>
        <w:spacing w:line="240" w:lineRule="auto"/>
        <w:ind w:left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bookmarkStart w:id="148" w:name="_Toc3208"/>
      <w:r>
        <w:rPr>
          <w:rFonts w:hint="eastAsia" w:ascii="宋体" w:hAnsi="宋体" w:eastAsia="宋体" w:cs="宋体"/>
          <w:b/>
          <w:bCs/>
          <w:color w:val="auto"/>
          <w:sz w:val="24"/>
          <w:szCs w:val="24"/>
          <w:highlight w:val="none"/>
          <w:lang w:val="en-US" w:eastAsia="zh-CN"/>
        </w:rPr>
        <w:t>2、供应商诚信承诺书</w:t>
      </w:r>
      <w:bookmarkEnd w:id="148"/>
      <w:r>
        <w:rPr>
          <w:rFonts w:hint="eastAsia" w:ascii="宋体" w:hAnsi="宋体" w:eastAsia="宋体" w:cs="宋体"/>
          <w:b/>
          <w:bCs/>
          <w:color w:val="auto"/>
          <w:sz w:val="24"/>
          <w:szCs w:val="24"/>
          <w:highlight w:val="none"/>
          <w:lang w:val="en-US" w:eastAsia="zh-CN"/>
        </w:rPr>
        <w:t>（必填）</w:t>
      </w:r>
    </w:p>
    <w:p w14:paraId="7A7F6FF2">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为了诚实、客观、有序地参与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w:t>
      </w:r>
      <w:r>
        <w:rPr>
          <w:rFonts w:hint="eastAsia" w:ascii="宋体" w:hAnsi="宋体" w:eastAsia="宋体" w:cs="宋体"/>
          <w:color w:val="auto"/>
          <w:kern w:val="0"/>
          <w:sz w:val="24"/>
          <w:szCs w:val="24"/>
          <w:highlight w:val="none"/>
          <w:lang w:val="zh-CN"/>
        </w:rPr>
        <w:t>采购活动，愿就以下内容作出承诺：</w:t>
      </w:r>
    </w:p>
    <w:p w14:paraId="718BBF20">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一、自觉遵守各项法律、法规、规章、制度以及社会公德，维护廉洁环境，与同场竞争的供应商平等参加招采购活动。</w:t>
      </w:r>
    </w:p>
    <w:p w14:paraId="14307A5A">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二、参加采购代理机构组织的采购活动时，严格按照</w:t>
      </w:r>
      <w:r>
        <w:rPr>
          <w:rFonts w:hint="eastAsia" w:ascii="宋体" w:hAnsi="宋体" w:eastAsia="宋体" w:cs="宋体"/>
          <w:color w:val="auto"/>
          <w:kern w:val="0"/>
          <w:sz w:val="24"/>
          <w:szCs w:val="24"/>
          <w:highlight w:val="none"/>
        </w:rPr>
        <w:t>招标</w:t>
      </w:r>
      <w:r>
        <w:rPr>
          <w:rFonts w:hint="eastAsia" w:ascii="宋体" w:hAnsi="宋体" w:eastAsia="宋体" w:cs="宋体"/>
          <w:color w:val="auto"/>
          <w:kern w:val="0"/>
          <w:sz w:val="24"/>
          <w:szCs w:val="24"/>
          <w:highlight w:val="none"/>
          <w:lang w:val="zh-CN"/>
        </w:rPr>
        <w:t>文件的规定和要求提供所需的相关材料，并对所提供的各类资料的真实性负责，不虚假应标，不虚列业绩；不以他人名义投标或者以其他方式弄虚作假，骗取中标。</w:t>
      </w:r>
    </w:p>
    <w:p w14:paraId="0F6011EB">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三、尊重参与采购活动各相关方的合法行为，接受采购活动依法形成的意见、结果。</w:t>
      </w:r>
    </w:p>
    <w:p w14:paraId="49E5773A">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p w14:paraId="33D76F2D">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404DD396">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六、积极推动采购活动健康开展，对采购活动有疑问、异议时，按法律规定的程序实名（加盖单位章和法定代表人签名）反映情况，不恶意中伤、无事生非，以和谐、平等的心态参加采购活动。</w:t>
      </w:r>
    </w:p>
    <w:p w14:paraId="6AB9A887">
      <w:pPr>
        <w:autoSpaceDE w:val="0"/>
        <w:autoSpaceDN w:val="0"/>
        <w:adjustRightInd w:val="0"/>
        <w:spacing w:line="400" w:lineRule="exact"/>
        <w:ind w:firstLine="48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七、认真履行成交人应承担的责任和义务，全面执行采购合同规定的各项内容，保质保量地按时提供采购物品。</w:t>
      </w:r>
    </w:p>
    <w:p w14:paraId="5953C9F9">
      <w:pPr>
        <w:autoSpaceDE w:val="0"/>
        <w:autoSpaceDN w:val="0"/>
        <w:adjustRightInd w:val="0"/>
        <w:spacing w:line="400" w:lineRule="exact"/>
        <w:ind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若本企业（单位）发生有悖于上述承诺的行为或形成恶意投诉，我们自愿接受《政府采购法》等有关法律法规中对供应商的相关处理：自愿放弃中标资格、限制以后投标、记入不良信用档案、没收本次投标保证金，并愿意承担由此引起的其他法律责任。</w:t>
      </w:r>
    </w:p>
    <w:p w14:paraId="05FC1614">
      <w:pPr>
        <w:autoSpaceDE w:val="0"/>
        <w:autoSpaceDN w:val="0"/>
        <w:adjustRightInd w:val="0"/>
        <w:spacing w:line="400" w:lineRule="exact"/>
        <w:ind w:firstLine="4435" w:firstLineChars="1848"/>
        <w:rPr>
          <w:rFonts w:hint="eastAsia" w:ascii="宋体" w:hAnsi="宋体" w:eastAsia="宋体" w:cs="宋体"/>
          <w:bCs/>
          <w:color w:val="auto"/>
          <w:kern w:val="0"/>
          <w:sz w:val="24"/>
          <w:szCs w:val="24"/>
          <w:highlight w:val="none"/>
          <w:lang w:val="zh-CN"/>
        </w:rPr>
      </w:pPr>
      <w:r>
        <w:rPr>
          <w:rFonts w:hint="eastAsia" w:ascii="宋体" w:hAnsi="宋体" w:eastAsia="宋体" w:cs="宋体"/>
          <w:bCs/>
          <w:color w:val="auto"/>
          <w:kern w:val="0"/>
          <w:sz w:val="24"/>
          <w:szCs w:val="24"/>
          <w:highlight w:val="none"/>
          <w:lang w:val="zh-CN"/>
        </w:rPr>
        <w:t>供应商：             （公章）</w:t>
      </w:r>
    </w:p>
    <w:p w14:paraId="1FD6F17A">
      <w:pPr>
        <w:autoSpaceDE w:val="0"/>
        <w:autoSpaceDN w:val="0"/>
        <w:adjustRightInd w:val="0"/>
        <w:spacing w:line="400" w:lineRule="exact"/>
        <w:ind w:firstLine="2640" w:firstLineChars="1100"/>
        <w:rPr>
          <w:rFonts w:hint="eastAsia" w:ascii="宋体" w:hAnsi="宋体" w:eastAsia="宋体" w:cs="宋体"/>
          <w:bCs/>
          <w:color w:val="auto"/>
          <w:kern w:val="0"/>
          <w:sz w:val="24"/>
          <w:szCs w:val="24"/>
          <w:highlight w:val="none"/>
          <w:lang w:val="zh-CN"/>
        </w:rPr>
      </w:pPr>
      <w:r>
        <w:rPr>
          <w:rFonts w:hint="eastAsia" w:ascii="宋体" w:hAnsi="宋体" w:eastAsia="宋体" w:cs="宋体"/>
          <w:bCs/>
          <w:color w:val="auto"/>
          <w:kern w:val="0"/>
          <w:sz w:val="24"/>
          <w:szCs w:val="24"/>
          <w:highlight w:val="none"/>
          <w:lang w:val="zh-CN"/>
        </w:rPr>
        <w:t>法定代表人或委托代理人：             （签字）</w:t>
      </w:r>
    </w:p>
    <w:p w14:paraId="3BDEAA27">
      <w:pPr>
        <w:ind w:firstLine="4560" w:firstLineChars="1900"/>
        <w:rPr>
          <w:rFonts w:hint="eastAsia" w:ascii="宋体" w:hAnsi="宋体" w:eastAsia="宋体" w:cs="宋体"/>
          <w:color w:val="auto"/>
          <w:sz w:val="24"/>
          <w:szCs w:val="24"/>
          <w:highlight w:val="none"/>
        </w:rPr>
      </w:pPr>
      <w:r>
        <w:rPr>
          <w:rFonts w:hint="eastAsia" w:ascii="宋体" w:hAnsi="宋体" w:eastAsia="宋体" w:cs="宋体"/>
          <w:bCs/>
          <w:color w:val="auto"/>
          <w:kern w:val="0"/>
          <w:sz w:val="24"/>
          <w:szCs w:val="24"/>
          <w:highlight w:val="none"/>
          <w:lang w:val="zh-CN"/>
        </w:rPr>
        <w:t>年   月   日</w:t>
      </w:r>
    </w:p>
    <w:p w14:paraId="6F2F8473">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sz w:val="28"/>
          <w:szCs w:val="28"/>
          <w:highlight w:val="none"/>
        </w:rPr>
        <w:t>注：表</w:t>
      </w:r>
      <w:r>
        <w:rPr>
          <w:rFonts w:hint="eastAsia" w:ascii="宋体" w:hAnsi="宋体" w:eastAsia="宋体" w:cs="宋体"/>
          <w:b/>
          <w:bCs/>
          <w:color w:val="auto"/>
          <w:sz w:val="28"/>
          <w:szCs w:val="28"/>
          <w:highlight w:val="none"/>
          <w:lang w:val="en-US" w:eastAsia="zh-CN"/>
        </w:rPr>
        <w:t>3/4/5</w:t>
      </w:r>
      <w:r>
        <w:rPr>
          <w:rFonts w:hint="eastAsia" w:ascii="宋体" w:hAnsi="宋体" w:eastAsia="宋体" w:cs="宋体"/>
          <w:b/>
          <w:bCs/>
          <w:color w:val="auto"/>
          <w:sz w:val="28"/>
          <w:szCs w:val="28"/>
          <w:highlight w:val="none"/>
        </w:rPr>
        <w:t>无需和</w:t>
      </w:r>
      <w:r>
        <w:rPr>
          <w:rFonts w:hint="eastAsia" w:ascii="宋体" w:hAnsi="宋体" w:eastAsia="宋体" w:cs="宋体"/>
          <w:b/>
          <w:bCs/>
          <w:color w:val="auto"/>
          <w:sz w:val="28"/>
          <w:szCs w:val="28"/>
          <w:highlight w:val="none"/>
          <w:lang w:val="en-US" w:eastAsia="zh-CN"/>
        </w:rPr>
        <w:t>投标</w:t>
      </w:r>
      <w:r>
        <w:rPr>
          <w:rFonts w:hint="eastAsia" w:ascii="宋体" w:hAnsi="宋体" w:eastAsia="宋体" w:cs="宋体"/>
          <w:b/>
          <w:bCs/>
          <w:color w:val="auto"/>
          <w:sz w:val="28"/>
          <w:szCs w:val="28"/>
          <w:highlight w:val="none"/>
        </w:rPr>
        <w:t>文件一起上传政采云平台。</w:t>
      </w:r>
    </w:p>
    <w:p w14:paraId="2CBB9BC9">
      <w:pPr>
        <w:numPr>
          <w:ilvl w:val="0"/>
          <w:numId w:val="0"/>
        </w:numPr>
        <w:ind w:left="360" w:leftChars="0" w:hanging="360" w:firstLineChars="0"/>
        <w:jc w:val="center"/>
        <w:outlineLvl w:val="9"/>
        <w:rPr>
          <w:rFonts w:hint="eastAsia" w:ascii="宋体" w:hAnsi="宋体" w:eastAsia="宋体" w:cs="宋体"/>
          <w:b w:val="0"/>
          <w:color w:val="auto"/>
          <w:sz w:val="24"/>
          <w:szCs w:val="24"/>
          <w:highlight w:val="none"/>
        </w:rPr>
      </w:pPr>
      <w:bookmarkStart w:id="149" w:name="_Toc25864"/>
      <w:r>
        <w:rPr>
          <w:rFonts w:hint="eastAsia" w:ascii="宋体" w:hAnsi="宋体" w:eastAsia="宋体" w:cs="宋体"/>
          <w:b/>
          <w:color w:val="auto"/>
          <w:kern w:val="2"/>
          <w:sz w:val="24"/>
          <w:szCs w:val="24"/>
          <w:highlight w:val="none"/>
          <w:lang w:val="en-US" w:eastAsia="zh-CN" w:bidi="ar-SA"/>
        </w:rPr>
        <w:t>3、专家履行义务承诺书</w:t>
      </w:r>
      <w:bookmarkEnd w:id="149"/>
    </w:p>
    <w:p w14:paraId="012938C8">
      <w:pPr>
        <w:spacing w:line="400" w:lineRule="exact"/>
        <w:ind w:firstLine="480" w:firstLineChars="200"/>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根据《中华人民共和国政府采购法》、《中华人民共和国政府采购法实施条例》及《政府采购评审专家管理办法》等法律法规规定，本人承诺如下：</w:t>
      </w:r>
    </w:p>
    <w:p w14:paraId="7632BBCB">
      <w:pPr>
        <w:widowControl/>
        <w:spacing w:line="400" w:lineRule="exact"/>
        <w:ind w:left="566" w:hanging="484" w:hangingChars="202"/>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一、严格遵守评审工作纪律,按照客观、公正、审慎的原则,根据采购文件规定的评审程序、评审方法和评审标准进行独立评审。</w:t>
      </w:r>
    </w:p>
    <w:p w14:paraId="77D0DBBF">
      <w:pPr>
        <w:widowControl/>
        <w:shd w:val="clear" w:color="auto" w:fill="FFFFFF"/>
        <w:spacing w:line="400" w:lineRule="exact"/>
        <w:ind w:left="560" w:hanging="480" w:hangingChars="200"/>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二、评审专家发现采购文件内容违反国家有关强制性规定或者采购文件存在歧义、重大缺陷导致评审工作无法进行时,应当停止评审并向采购人或者采购代理机构书面说明情况。</w:t>
      </w:r>
    </w:p>
    <w:p w14:paraId="4E26D6B9">
      <w:pPr>
        <w:widowControl/>
        <w:shd w:val="clear" w:color="auto" w:fill="FFFFFF"/>
        <w:spacing w:line="400" w:lineRule="exact"/>
        <w:ind w:left="560" w:hanging="480" w:hangingChars="200"/>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三、评审专家应当配合答复供应商的询问、质疑和投诉等事项,不得泄露评审文件、评审情况和在评审过程中获悉的商业秘密。</w:t>
      </w:r>
    </w:p>
    <w:p w14:paraId="0B6F6B14">
      <w:pPr>
        <w:widowControl/>
        <w:shd w:val="clear" w:color="auto" w:fill="FFFFFF"/>
        <w:spacing w:line="400" w:lineRule="exact"/>
        <w:ind w:left="560" w:hanging="480" w:hangingChars="200"/>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四、评审专家发现供应商具有行贿、提供虚假材料或者串通等违法行为的,应当及时向财政部门报告（现场及时告知监督人并申请停止采购活动）。</w:t>
      </w:r>
    </w:p>
    <w:p w14:paraId="6394CA4D">
      <w:pPr>
        <w:widowControl/>
        <w:shd w:val="clear" w:color="auto" w:fill="FFFFFF"/>
        <w:spacing w:line="400" w:lineRule="exact"/>
        <w:ind w:left="560" w:hanging="480" w:hangingChars="200"/>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评审专家应当在评审报告上签字,对自己的评审意见承担法律责任。对需要共同认定的事项存在争议的,按照少数服从多数的原则做出结论。对评审报告有异议的,应当在评审报告上签署不同意见并说明理由,否则视为同意评审报告。</w:t>
      </w:r>
    </w:p>
    <w:p w14:paraId="74E25322">
      <w:pPr>
        <w:widowControl/>
        <w:shd w:val="clear" w:color="auto" w:fill="FFFFFF"/>
        <w:spacing w:line="400" w:lineRule="exact"/>
        <w:ind w:left="560" w:hanging="480" w:hangingChars="200"/>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六、在评审过程中，保证不出现下列行为：</w:t>
      </w:r>
    </w:p>
    <w:p w14:paraId="4BCC536F">
      <w:pPr>
        <w:widowControl/>
        <w:shd w:val="clear" w:color="auto" w:fill="FFFFFF"/>
        <w:spacing w:line="400" w:lineRule="exact"/>
        <w:ind w:left="900" w:leftChars="200" w:hanging="480" w:hanging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(一)未按照采购文件规定的评审程序、评审方法和评审标准进  行独立评审;</w:t>
      </w:r>
    </w:p>
    <w:p w14:paraId="35DC03F6">
      <w:pPr>
        <w:widowControl/>
        <w:shd w:val="clear" w:color="auto" w:fill="FFFFFF"/>
        <w:spacing w:line="400" w:lineRule="exac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(二)泄露评审文件、评审情况;</w:t>
      </w:r>
    </w:p>
    <w:p w14:paraId="6647CF1A">
      <w:pPr>
        <w:widowControl/>
        <w:shd w:val="clear" w:color="auto" w:fill="FFFFFF"/>
        <w:spacing w:line="400" w:lineRule="exac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(三)与供应商存在利害关系未回避;</w:t>
      </w:r>
    </w:p>
    <w:p w14:paraId="7BD5C806">
      <w:pPr>
        <w:widowControl/>
        <w:shd w:val="clear" w:color="auto" w:fill="FFFFFF"/>
        <w:spacing w:line="400" w:lineRule="exact"/>
        <w:ind w:left="900" w:leftChars="200" w:hanging="480" w:hanging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(四)收受采购人、采购代理机构、供应商贿赂或者获取其他不  正当利益;</w:t>
      </w:r>
    </w:p>
    <w:p w14:paraId="634392EE">
      <w:pPr>
        <w:widowControl/>
        <w:shd w:val="clear" w:color="auto" w:fill="FFFFFF"/>
        <w:spacing w:line="400" w:lineRule="exac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(五)提供虚假申请材料;</w:t>
      </w:r>
    </w:p>
    <w:p w14:paraId="581633C8">
      <w:pPr>
        <w:widowControl/>
        <w:shd w:val="clear" w:color="auto" w:fill="FFFFFF"/>
        <w:spacing w:line="400" w:lineRule="exac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(六)拒不履行配合答复供应商询问、质疑、投诉等法定义务;</w:t>
      </w:r>
    </w:p>
    <w:p w14:paraId="7834EA87">
      <w:pPr>
        <w:widowControl/>
        <w:shd w:val="clear" w:color="auto" w:fill="FFFFFF"/>
        <w:spacing w:line="400" w:lineRule="exac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(七)以评审专家身份从事有损政府采购公信力的活动。</w:t>
      </w:r>
    </w:p>
    <w:p w14:paraId="30C8115F">
      <w:pPr>
        <w:spacing w:line="400" w:lineRule="exact"/>
        <w:rPr>
          <w:rFonts w:hint="eastAsia" w:ascii="宋体" w:hAnsi="宋体" w:eastAsia="宋体" w:cs="宋体"/>
          <w:color w:val="auto"/>
          <w:sz w:val="24"/>
          <w:szCs w:val="24"/>
          <w:highlight w:val="none"/>
        </w:rPr>
      </w:pPr>
    </w:p>
    <w:p w14:paraId="2AC519B0">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承诺人：</w:t>
      </w:r>
    </w:p>
    <w:p w14:paraId="14C7692E">
      <w:pPr>
        <w:numPr>
          <w:ilvl w:val="0"/>
          <w:numId w:val="0"/>
        </w:numPr>
        <w:ind w:left="360" w:leftChars="0" w:hanging="360" w:firstLineChars="0"/>
        <w:jc w:val="center"/>
        <w:outlineLvl w:val="9"/>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color w:val="auto"/>
          <w:sz w:val="24"/>
          <w:szCs w:val="24"/>
          <w:highlight w:val="none"/>
        </w:rPr>
        <w:br w:type="page"/>
      </w:r>
      <w:bookmarkStart w:id="150" w:name="_Toc18371"/>
      <w:r>
        <w:rPr>
          <w:rFonts w:hint="eastAsia" w:ascii="宋体" w:hAnsi="宋体" w:eastAsia="宋体" w:cs="宋体"/>
          <w:b/>
          <w:color w:val="auto"/>
          <w:kern w:val="2"/>
          <w:sz w:val="24"/>
          <w:szCs w:val="24"/>
          <w:highlight w:val="none"/>
          <w:lang w:val="en-US" w:eastAsia="zh-CN" w:bidi="ar-SA"/>
        </w:rPr>
        <w:t>4、围标、串标风险审查表</w:t>
      </w:r>
      <w:bookmarkEnd w:id="150"/>
    </w:p>
    <w:tbl>
      <w:tblPr>
        <w:tblStyle w:val="32"/>
        <w:tblW w:w="86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5103"/>
        <w:gridCol w:w="1275"/>
        <w:gridCol w:w="1276"/>
      </w:tblGrid>
      <w:tr w14:paraId="31234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05FB8F9B">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5103" w:type="dxa"/>
            <w:noWrap w:val="0"/>
            <w:vAlign w:val="center"/>
          </w:tcPr>
          <w:p w14:paraId="10DA66CB">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内容</w:t>
            </w:r>
          </w:p>
        </w:tc>
        <w:tc>
          <w:tcPr>
            <w:tcW w:w="2551" w:type="dxa"/>
            <w:gridSpan w:val="2"/>
            <w:noWrap w:val="0"/>
            <w:vAlign w:val="center"/>
          </w:tcPr>
          <w:p w14:paraId="42309A73">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是否存在下列行为</w:t>
            </w:r>
          </w:p>
        </w:tc>
      </w:tr>
      <w:tr w14:paraId="200E1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4338E4D1">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103" w:type="dxa"/>
            <w:noWrap w:val="0"/>
            <w:vAlign w:val="center"/>
          </w:tcPr>
          <w:p w14:paraId="68785F4D">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不同投标人的投标文件由同一单位或者个人编制以及不同投标人的投标文件异常一致；（核查文件内容、格式、字体、颜色、排版、装订方式、错误甚至是错别字都一致的情况。）</w:t>
            </w:r>
          </w:p>
        </w:tc>
        <w:tc>
          <w:tcPr>
            <w:tcW w:w="1275" w:type="dxa"/>
            <w:noWrap w:val="0"/>
            <w:vAlign w:val="center"/>
          </w:tcPr>
          <w:p w14:paraId="018D70B9">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w:t>
            </w:r>
          </w:p>
        </w:tc>
        <w:tc>
          <w:tcPr>
            <w:tcW w:w="1276" w:type="dxa"/>
            <w:noWrap w:val="0"/>
            <w:vAlign w:val="center"/>
          </w:tcPr>
          <w:p w14:paraId="75580A8B">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w:t>
            </w:r>
          </w:p>
        </w:tc>
      </w:tr>
      <w:tr w14:paraId="6DA19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72C187A0">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103" w:type="dxa"/>
            <w:noWrap w:val="0"/>
            <w:vAlign w:val="center"/>
          </w:tcPr>
          <w:p w14:paraId="1C3EC9DB">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不同投标人委托同一单位或者个人办理投标事宜；（核查投标人代表、法人授权代表是否为同一人的情况）</w:t>
            </w:r>
          </w:p>
        </w:tc>
        <w:tc>
          <w:tcPr>
            <w:tcW w:w="1275" w:type="dxa"/>
            <w:noWrap w:val="0"/>
            <w:vAlign w:val="center"/>
          </w:tcPr>
          <w:p w14:paraId="7BDC4F3D">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w:t>
            </w:r>
          </w:p>
        </w:tc>
        <w:tc>
          <w:tcPr>
            <w:tcW w:w="1276" w:type="dxa"/>
            <w:noWrap w:val="0"/>
            <w:vAlign w:val="center"/>
          </w:tcPr>
          <w:p w14:paraId="75C5F831">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w:t>
            </w:r>
          </w:p>
        </w:tc>
      </w:tr>
      <w:tr w14:paraId="589D9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34A63005">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103" w:type="dxa"/>
            <w:noWrap w:val="0"/>
            <w:vAlign w:val="center"/>
          </w:tcPr>
          <w:p w14:paraId="2C27C46A">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不同投标人的投标文件载明的项目管理成员或者联系人员为同一人；</w:t>
            </w:r>
          </w:p>
        </w:tc>
        <w:tc>
          <w:tcPr>
            <w:tcW w:w="1275" w:type="dxa"/>
            <w:noWrap w:val="0"/>
            <w:vAlign w:val="center"/>
          </w:tcPr>
          <w:p w14:paraId="7EA2813F">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w:t>
            </w:r>
          </w:p>
        </w:tc>
        <w:tc>
          <w:tcPr>
            <w:tcW w:w="1276" w:type="dxa"/>
            <w:noWrap w:val="0"/>
            <w:vAlign w:val="center"/>
          </w:tcPr>
          <w:p w14:paraId="32E6DCF7">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w:t>
            </w:r>
          </w:p>
        </w:tc>
      </w:tr>
      <w:tr w14:paraId="15E87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5B9E0D96">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5103" w:type="dxa"/>
            <w:noWrap w:val="0"/>
            <w:vAlign w:val="center"/>
          </w:tcPr>
          <w:p w14:paraId="6BC38593">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不同投标人的投标报价呈规律性差异；（核查投标报是否成价成阶梯性报价或等差数列等情况）</w:t>
            </w:r>
          </w:p>
        </w:tc>
        <w:tc>
          <w:tcPr>
            <w:tcW w:w="1275" w:type="dxa"/>
            <w:noWrap w:val="0"/>
            <w:vAlign w:val="center"/>
          </w:tcPr>
          <w:p w14:paraId="590099FE">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w:t>
            </w:r>
          </w:p>
        </w:tc>
        <w:tc>
          <w:tcPr>
            <w:tcW w:w="1276" w:type="dxa"/>
            <w:noWrap w:val="0"/>
            <w:vAlign w:val="center"/>
          </w:tcPr>
          <w:p w14:paraId="661F6D10">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w:t>
            </w:r>
          </w:p>
        </w:tc>
      </w:tr>
      <w:tr w14:paraId="330E7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537DE342">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5103" w:type="dxa"/>
            <w:noWrap w:val="0"/>
            <w:vAlign w:val="center"/>
          </w:tcPr>
          <w:p w14:paraId="68B5E658">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不同投标人的投标文件相互混装；（仅适用于纸质投标）</w:t>
            </w:r>
          </w:p>
        </w:tc>
        <w:tc>
          <w:tcPr>
            <w:tcW w:w="1275" w:type="dxa"/>
            <w:noWrap w:val="0"/>
            <w:vAlign w:val="center"/>
          </w:tcPr>
          <w:p w14:paraId="0A9D0FDA">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w:t>
            </w:r>
          </w:p>
        </w:tc>
        <w:tc>
          <w:tcPr>
            <w:tcW w:w="1276" w:type="dxa"/>
            <w:noWrap w:val="0"/>
            <w:vAlign w:val="center"/>
          </w:tcPr>
          <w:p w14:paraId="050D425B">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w:t>
            </w:r>
          </w:p>
        </w:tc>
      </w:tr>
      <w:tr w14:paraId="09DE5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6D2B4069">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5103" w:type="dxa"/>
            <w:noWrap w:val="0"/>
            <w:vAlign w:val="center"/>
          </w:tcPr>
          <w:p w14:paraId="68C311F9">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不同投标人的投标保证金从同一单位或者个人的账户转出。（核查投标保证金缴纳证明文件，是否存在从同一单位或个人账户转出）</w:t>
            </w:r>
          </w:p>
        </w:tc>
        <w:tc>
          <w:tcPr>
            <w:tcW w:w="1275" w:type="dxa"/>
            <w:noWrap w:val="0"/>
            <w:vAlign w:val="center"/>
          </w:tcPr>
          <w:p w14:paraId="692D34D0">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w:t>
            </w:r>
          </w:p>
        </w:tc>
        <w:tc>
          <w:tcPr>
            <w:tcW w:w="1276" w:type="dxa"/>
            <w:noWrap w:val="0"/>
            <w:vAlign w:val="center"/>
          </w:tcPr>
          <w:p w14:paraId="45A0B978">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w:t>
            </w:r>
          </w:p>
        </w:tc>
      </w:tr>
      <w:tr w14:paraId="4B64F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noWrap w:val="0"/>
            <w:vAlign w:val="center"/>
          </w:tcPr>
          <w:p w14:paraId="73F695AD">
            <w:pPr>
              <w:spacing w:line="500" w:lineRule="exact"/>
              <w:contextualSpacing/>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5103" w:type="dxa"/>
            <w:noWrap w:val="0"/>
            <w:vAlign w:val="center"/>
          </w:tcPr>
          <w:p w14:paraId="2E1C7FC4">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不同投标人登记邮箱、电话、管理人员一致，存在关联关系。（核查投标文件中不同单位的电话、邮箱、管理人员等是否一致，或其他存在关联关系的情况）</w:t>
            </w:r>
          </w:p>
        </w:tc>
        <w:tc>
          <w:tcPr>
            <w:tcW w:w="1275" w:type="dxa"/>
            <w:noWrap w:val="0"/>
            <w:vAlign w:val="center"/>
          </w:tcPr>
          <w:p w14:paraId="6ED522CD">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□存在</w:t>
            </w:r>
          </w:p>
        </w:tc>
        <w:tc>
          <w:tcPr>
            <w:tcW w:w="1276" w:type="dxa"/>
            <w:noWrap w:val="0"/>
            <w:vAlign w:val="center"/>
          </w:tcPr>
          <w:p w14:paraId="3C7A65F0">
            <w:pPr>
              <w:spacing w:line="500" w:lineRule="exact"/>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w:t>
            </w:r>
          </w:p>
        </w:tc>
      </w:tr>
    </w:tbl>
    <w:p w14:paraId="2BC9BF4B">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评标委员会签字：</w:t>
      </w:r>
    </w:p>
    <w:p w14:paraId="73E81219">
      <w:pPr>
        <w:numPr>
          <w:ilvl w:val="0"/>
          <w:numId w:val="0"/>
        </w:numPr>
        <w:ind w:left="360" w:leftChars="0" w:hanging="360" w:firstLineChars="0"/>
        <w:jc w:val="center"/>
        <w:outlineLvl w:val="9"/>
        <w:rPr>
          <w:rFonts w:hint="eastAsia" w:ascii="宋体" w:hAnsi="宋体" w:eastAsia="宋体" w:cs="宋体"/>
          <w:b/>
          <w:color w:val="auto"/>
          <w:kern w:val="2"/>
          <w:sz w:val="24"/>
          <w:szCs w:val="24"/>
          <w:highlight w:val="none"/>
          <w:lang w:val="en-US" w:eastAsia="zh-CN" w:bidi="ar-SA"/>
        </w:rPr>
      </w:pPr>
      <w:bookmarkStart w:id="151" w:name="_Toc9805"/>
      <w:r>
        <w:rPr>
          <w:rFonts w:hint="eastAsia" w:ascii="宋体" w:hAnsi="宋体" w:eastAsia="宋体" w:cs="宋体"/>
          <w:color w:val="auto"/>
          <w:sz w:val="24"/>
          <w:szCs w:val="24"/>
          <w:highlight w:val="none"/>
          <w:lang w:val="en-US" w:eastAsia="zh-CN"/>
        </w:rPr>
        <w:br w:type="page"/>
      </w:r>
      <w:r>
        <w:rPr>
          <w:rFonts w:hint="eastAsia" w:ascii="宋体" w:hAnsi="宋体" w:eastAsia="宋体" w:cs="宋体"/>
          <w:b/>
          <w:color w:val="auto"/>
          <w:kern w:val="2"/>
          <w:sz w:val="24"/>
          <w:szCs w:val="24"/>
          <w:highlight w:val="none"/>
          <w:lang w:val="en-US" w:eastAsia="zh-CN" w:bidi="ar-SA"/>
        </w:rPr>
        <w:t>5、专项资格审查登记表</w:t>
      </w:r>
      <w:bookmarkEnd w:id="151"/>
    </w:p>
    <w:p w14:paraId="1CD77E2C">
      <w:pPr>
        <w:rPr>
          <w:rFonts w:hint="eastAsia" w:ascii="宋体" w:hAnsi="宋体" w:eastAsia="宋体" w:cs="宋体"/>
          <w:color w:val="auto"/>
          <w:sz w:val="24"/>
          <w:szCs w:val="24"/>
          <w:highlight w:val="none"/>
          <w:u w:val="single"/>
        </w:rPr>
      </w:pPr>
    </w:p>
    <w:p w14:paraId="23FB87DC">
      <w:pPr>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项目于</w:t>
      </w:r>
      <w:r>
        <w:rPr>
          <w:rFonts w:hint="eastAsia" w:ascii="宋体" w:hAnsi="宋体" w:eastAsia="宋体" w:cs="宋体"/>
          <w:color w:val="auto"/>
          <w:sz w:val="24"/>
          <w:szCs w:val="24"/>
          <w:highlight w:val="none"/>
          <w:u w:val="single"/>
        </w:rPr>
        <w:t xml:space="preserve">   年  月  日</w:t>
      </w:r>
      <w:r>
        <w:rPr>
          <w:rFonts w:hint="eastAsia" w:ascii="宋体" w:hAnsi="宋体" w:eastAsia="宋体" w:cs="宋体"/>
          <w:color w:val="auto"/>
          <w:sz w:val="24"/>
          <w:szCs w:val="24"/>
          <w:highlight w:val="none"/>
        </w:rPr>
        <w:t>在新疆医科大学附属肿瘤医院</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会议室进行了开评标会议。该项目参与投标的供应商共计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家，即：</w:t>
      </w:r>
    </w:p>
    <w:p w14:paraId="29E19E51">
      <w:pPr>
        <w:ind w:firstLine="56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 xml:space="preserve">                      </w:t>
      </w:r>
    </w:p>
    <w:p w14:paraId="4A055173">
      <w:pPr>
        <w:ind w:firstLine="56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 xml:space="preserve">                      </w:t>
      </w:r>
    </w:p>
    <w:p w14:paraId="29A5B1ED">
      <w:pPr>
        <w:ind w:firstLine="56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u w:val="single"/>
        </w:rPr>
        <w:t xml:space="preserve">                      </w:t>
      </w:r>
    </w:p>
    <w:p w14:paraId="79A580F1">
      <w:pPr>
        <w:ind w:firstLine="56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u w:val="single"/>
        </w:rPr>
        <w:t xml:space="preserve">                      </w:t>
      </w:r>
    </w:p>
    <w:p w14:paraId="2806A834">
      <w:pPr>
        <w:ind w:firstLine="564"/>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u w:val="single"/>
        </w:rPr>
        <w:t xml:space="preserve">                      </w:t>
      </w:r>
    </w:p>
    <w:p w14:paraId="0BBBE2BD">
      <w:pPr>
        <w:ind w:firstLine="6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招标代理公司与资格审查人员通过天眼查等网站查询，上述投标的供应商，未发现存在股东、董事、高管人员（财务负责人、董事、监事）存在控股、管理以及关联关系。</w:t>
      </w:r>
    </w:p>
    <w:p w14:paraId="4064C06D">
      <w:pPr>
        <w:rPr>
          <w:rFonts w:hint="eastAsia" w:ascii="宋体" w:hAnsi="宋体" w:eastAsia="宋体" w:cs="宋体"/>
          <w:color w:val="auto"/>
          <w:sz w:val="24"/>
          <w:szCs w:val="24"/>
          <w:highlight w:val="none"/>
        </w:rPr>
      </w:pPr>
    </w:p>
    <w:p w14:paraId="59269876">
      <w:pPr>
        <w:rPr>
          <w:rFonts w:hint="eastAsia" w:ascii="宋体" w:hAnsi="宋体" w:eastAsia="宋体" w:cs="宋体"/>
          <w:color w:val="auto"/>
          <w:sz w:val="24"/>
          <w:szCs w:val="24"/>
          <w:highlight w:val="none"/>
        </w:rPr>
      </w:pPr>
    </w:p>
    <w:p w14:paraId="4A723E79">
      <w:pPr>
        <w:rPr>
          <w:rFonts w:hint="eastAsia" w:ascii="宋体" w:hAnsi="宋体" w:eastAsia="宋体" w:cs="宋体"/>
          <w:color w:val="auto"/>
          <w:sz w:val="24"/>
          <w:szCs w:val="24"/>
          <w:highlight w:val="none"/>
        </w:rPr>
      </w:pPr>
    </w:p>
    <w:p w14:paraId="2884DA12">
      <w:pPr>
        <w:wordWrap w:val="0"/>
        <w:ind w:right="640" w:firstLine="2880" w:firstLineChars="1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招标代理公司（签名）：</w:t>
      </w:r>
    </w:p>
    <w:p w14:paraId="11E11DF7">
      <w:pPr>
        <w:ind w:right="640"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资格审查人（签名）：</w:t>
      </w:r>
    </w:p>
    <w:p w14:paraId="563E42A7">
      <w:pPr>
        <w:wordWrap w:val="0"/>
        <w:ind w:firstLine="564"/>
        <w:jc w:val="right"/>
        <w:rPr>
          <w:rFonts w:hint="eastAsia" w:ascii="宋体" w:hAnsi="宋体" w:eastAsia="宋体" w:cs="宋体"/>
          <w:color w:val="auto"/>
          <w:sz w:val="24"/>
          <w:szCs w:val="24"/>
          <w:highlight w:val="none"/>
        </w:rPr>
      </w:pPr>
    </w:p>
    <w:p w14:paraId="0B04674B">
      <w:pPr>
        <w:wordWrap w:val="0"/>
        <w:ind w:right="640" w:firstLine="2880" w:firstLineChars="1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月    日</w:t>
      </w:r>
    </w:p>
    <w:p w14:paraId="2A69D40D">
      <w:pPr>
        <w:rPr>
          <w:rFonts w:hint="eastAsia" w:ascii="宋体" w:hAnsi="宋体" w:eastAsia="宋体" w:cs="宋体"/>
          <w:i w:val="0"/>
          <w:iCs w:val="0"/>
          <w:color w:val="auto"/>
          <w:highlight w:val="none"/>
        </w:rPr>
      </w:pPr>
    </w:p>
    <w:p w14:paraId="3ED431CC">
      <w:pPr>
        <w:pageBreakBefore w:val="0"/>
        <w:wordWrap/>
        <w:overflowPunct/>
        <w:topLinePunct w:val="0"/>
        <w:bidi w:val="0"/>
        <w:spacing w:line="560" w:lineRule="exact"/>
        <w:ind w:left="0" w:leftChars="0" w:right="0" w:rightChars="0" w:firstLine="482" w:firstLineChars="200"/>
        <w:jc w:val="center"/>
        <w:rPr>
          <w:rFonts w:hint="eastAsia" w:ascii="宋体" w:hAnsi="宋体" w:eastAsia="宋体" w:cs="宋体"/>
          <w:b/>
          <w:bCs/>
          <w:color w:val="auto"/>
          <w:sz w:val="24"/>
          <w:szCs w:val="24"/>
          <w:highlight w:val="none"/>
        </w:rPr>
      </w:pPr>
    </w:p>
    <w:p w14:paraId="581F9502">
      <w:pPr>
        <w:pageBreakBefore w:val="0"/>
        <w:widowControl/>
        <w:shd w:val="clear" w:color="auto" w:fill="FFFFFF"/>
        <w:wordWrap/>
        <w:overflowPunct/>
        <w:topLinePunct w:val="0"/>
        <w:bidi w:val="0"/>
        <w:spacing w:line="560" w:lineRule="exact"/>
        <w:ind w:left="0" w:leftChars="0" w:right="0" w:rightChars="0"/>
        <w:jc w:val="left"/>
        <w:rPr>
          <w:rFonts w:hint="eastAsia" w:ascii="宋体" w:hAnsi="宋体" w:eastAsia="宋体" w:cs="宋体"/>
          <w:color w:val="auto"/>
          <w:kern w:val="0"/>
          <w:sz w:val="24"/>
          <w:szCs w:val="24"/>
          <w:highlight w:val="none"/>
        </w:rPr>
      </w:pPr>
    </w:p>
    <w:p w14:paraId="6638E77D">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bookmarkEnd w:id="146"/>
    <w:p w14:paraId="08B123CC">
      <w:pPr>
        <w:pageBreakBefore w:val="0"/>
        <w:wordWrap/>
        <w:overflowPunct/>
        <w:topLinePunct w:val="0"/>
        <w:bidi w:val="0"/>
        <w:spacing w:line="560" w:lineRule="exact"/>
        <w:ind w:left="0" w:leftChars="0" w:right="0" w:rightChars="0"/>
        <w:rPr>
          <w:rFonts w:hint="eastAsia" w:ascii="宋体" w:hAnsi="宋体" w:eastAsia="宋体" w:cs="宋体"/>
          <w:color w:val="auto"/>
          <w:sz w:val="24"/>
          <w:szCs w:val="24"/>
          <w:highlight w:val="none"/>
        </w:rPr>
      </w:pPr>
    </w:p>
    <w:p w14:paraId="4A493C65">
      <w:pPr>
        <w:pStyle w:val="86"/>
        <w:keepNext w:val="0"/>
        <w:keepLines w:val="0"/>
        <w:pageBreakBefore w:val="0"/>
        <w:widowControl/>
        <w:numPr>
          <w:ilvl w:val="0"/>
          <w:numId w:val="11"/>
        </w:numPr>
        <w:kinsoku/>
        <w:wordWrap/>
        <w:overflowPunct/>
        <w:topLinePunct w:val="0"/>
        <w:autoSpaceDE/>
        <w:autoSpaceDN/>
        <w:bidi w:val="0"/>
        <w:adjustRightInd/>
        <w:snapToGrid/>
        <w:spacing w:after="0" w:line="560" w:lineRule="exact"/>
        <w:ind w:left="0" w:leftChars="0" w:right="0" w:rightChars="0" w:firstLine="0"/>
        <w:jc w:val="center"/>
        <w:textAlignment w:val="auto"/>
        <w:outlineLvl w:val="0"/>
        <w:rPr>
          <w:rFonts w:hint="eastAsia" w:ascii="宋体" w:hAnsi="宋体" w:eastAsia="宋体" w:cs="宋体"/>
          <w:b/>
          <w:bCs/>
          <w:color w:val="auto"/>
          <w:kern w:val="2"/>
          <w:sz w:val="28"/>
          <w:szCs w:val="28"/>
          <w:highlight w:val="none"/>
          <w:lang w:eastAsia="zh-CN"/>
        </w:rPr>
      </w:pPr>
      <w:r>
        <w:rPr>
          <w:rFonts w:hint="eastAsia" w:ascii="宋体" w:hAnsi="宋体" w:eastAsia="宋体" w:cs="宋体"/>
          <w:b/>
          <w:color w:val="auto"/>
          <w:sz w:val="24"/>
          <w:szCs w:val="24"/>
          <w:highlight w:val="none"/>
          <w:lang w:eastAsia="zh-CN"/>
        </w:rPr>
        <w:br w:type="page"/>
      </w:r>
      <w:bookmarkStart w:id="152" w:name="_Toc25336"/>
      <w:r>
        <w:rPr>
          <w:rFonts w:hint="eastAsia" w:ascii="宋体" w:hAnsi="宋体" w:eastAsia="宋体" w:cs="宋体"/>
          <w:b/>
          <w:bCs/>
          <w:color w:val="auto"/>
          <w:kern w:val="2"/>
          <w:sz w:val="28"/>
          <w:szCs w:val="28"/>
          <w:highlight w:val="none"/>
          <w:lang w:eastAsia="zh-CN"/>
        </w:rPr>
        <w:t xml:space="preserve"> 项目采购需求</w:t>
      </w:r>
      <w:bookmarkEnd w:id="152"/>
    </w:p>
    <w:p w14:paraId="24B76E3E">
      <w:pPr>
        <w:pStyle w:val="122"/>
        <w:keepNext/>
        <w:keepLines/>
        <w:spacing w:after="240"/>
        <w:outlineLvl w:val="9"/>
        <w:rPr>
          <w:rFonts w:hint="eastAsia"/>
          <w:color w:val="auto"/>
          <w:sz w:val="24"/>
          <w:szCs w:val="24"/>
          <w:highlight w:val="none"/>
        </w:rPr>
      </w:pPr>
      <w:bookmarkStart w:id="153" w:name="bookmark2"/>
      <w:bookmarkStart w:id="154" w:name="bookmark1"/>
      <w:bookmarkStart w:id="155" w:name="bookmark0"/>
    </w:p>
    <w:p w14:paraId="64FA1BA8">
      <w:pPr>
        <w:pStyle w:val="122"/>
        <w:keepNext/>
        <w:keepLines/>
        <w:spacing w:after="240"/>
        <w:outlineLvl w:val="9"/>
        <w:rPr>
          <w:rFonts w:hint="eastAsia" w:ascii="宋体" w:hAnsi="宋体" w:eastAsia="宋体" w:cs="宋体"/>
          <w:b/>
          <w:bCs/>
          <w:color w:val="auto"/>
          <w:kern w:val="2"/>
          <w:sz w:val="28"/>
          <w:szCs w:val="28"/>
          <w:highlight w:val="none"/>
          <w:lang w:eastAsia="zh-CN"/>
        </w:rPr>
      </w:pPr>
      <w:r>
        <w:rPr>
          <w:rFonts w:hint="eastAsia"/>
          <w:color w:val="auto"/>
          <w:sz w:val="24"/>
          <w:szCs w:val="24"/>
          <w:highlight w:val="none"/>
        </w:rPr>
        <w:t>超声诊断设备</w:t>
      </w:r>
      <w:bookmarkEnd w:id="153"/>
      <w:bookmarkStart w:id="156" w:name="bookmark3"/>
      <w:r>
        <w:rPr>
          <w:rFonts w:hint="eastAsia"/>
          <w:color w:val="auto"/>
          <w:sz w:val="24"/>
          <w:szCs w:val="24"/>
          <w:highlight w:val="none"/>
        </w:rPr>
        <w:t>技术参数</w:t>
      </w:r>
      <w:bookmarkEnd w:id="154"/>
      <w:bookmarkEnd w:id="155"/>
      <w:bookmarkEnd w:id="156"/>
    </w:p>
    <w:p w14:paraId="0CFDA645">
      <w:pPr>
        <w:pStyle w:val="92"/>
        <w:numPr>
          <w:ilvl w:val="0"/>
          <w:numId w:val="12"/>
        </w:numPr>
        <w:spacing w:line="360" w:lineRule="auto"/>
        <w:rPr>
          <w:rFonts w:hint="eastAsia"/>
          <w:color w:val="auto"/>
          <w:sz w:val="24"/>
          <w:szCs w:val="24"/>
          <w:highlight w:val="none"/>
        </w:rPr>
      </w:pPr>
      <w:bookmarkStart w:id="157" w:name="_Toc31658"/>
      <w:bookmarkStart w:id="158" w:name="_Toc17884_WPSOffice_Level1"/>
      <w:r>
        <w:rPr>
          <w:rFonts w:hint="eastAsia"/>
          <w:color w:val="auto"/>
          <w:sz w:val="24"/>
          <w:szCs w:val="24"/>
          <w:highlight w:val="none"/>
        </w:rPr>
        <w:t>★成像模式：</w:t>
      </w:r>
      <w:r>
        <w:rPr>
          <w:rFonts w:hint="eastAsia"/>
          <w:color w:val="auto"/>
          <w:sz w:val="24"/>
          <w:szCs w:val="24"/>
          <w:highlight w:val="none"/>
          <w:lang w:val="en-US" w:eastAsia="en-US"/>
        </w:rPr>
        <w:t>B</w:t>
      </w:r>
      <w:r>
        <w:rPr>
          <w:rFonts w:hint="eastAsia"/>
          <w:color w:val="auto"/>
          <w:sz w:val="24"/>
          <w:szCs w:val="24"/>
          <w:highlight w:val="none"/>
        </w:rPr>
        <w:t>模式；</w:t>
      </w:r>
    </w:p>
    <w:p w14:paraId="79E06B0C">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val="en-US" w:eastAsia="zh-CN" w:bidi="ar"/>
        </w:rPr>
        <w:t xml:space="preserve">扫描方式：360°机械环扫 </w:t>
      </w:r>
    </w:p>
    <w:p w14:paraId="31779E3A">
      <w:pPr>
        <w:pStyle w:val="92"/>
        <w:numPr>
          <w:ilvl w:val="0"/>
          <w:numId w:val="12"/>
        </w:numPr>
        <w:spacing w:line="360" w:lineRule="auto"/>
        <w:rPr>
          <w:rFonts w:hint="eastAsia"/>
          <w:color w:val="auto"/>
          <w:sz w:val="24"/>
          <w:szCs w:val="24"/>
          <w:highlight w:val="none"/>
          <w:lang w:val="en-US" w:eastAsia="zh-CN" w:bidi="ar"/>
        </w:rPr>
      </w:pPr>
      <w:r>
        <w:rPr>
          <w:rFonts w:hint="eastAsia"/>
          <w:color w:val="auto"/>
          <w:sz w:val="24"/>
          <w:szCs w:val="24"/>
          <w:highlight w:val="none"/>
          <w:lang w:val="en-US" w:eastAsia="zh-CN" w:bidi="ar"/>
        </w:rPr>
        <w:t xml:space="preserve">操控界面：中/英多语言版本 </w:t>
      </w:r>
    </w:p>
    <w:p w14:paraId="54FDDC14">
      <w:pPr>
        <w:pStyle w:val="92"/>
        <w:numPr>
          <w:ilvl w:val="0"/>
          <w:numId w:val="12"/>
        </w:numPr>
        <w:spacing w:line="360" w:lineRule="auto"/>
        <w:rPr>
          <w:rFonts w:hint="eastAsia"/>
          <w:color w:val="auto"/>
          <w:sz w:val="24"/>
          <w:szCs w:val="24"/>
          <w:highlight w:val="none"/>
          <w:lang w:val="en-US" w:eastAsia="zh-CN" w:bidi="ar"/>
        </w:rPr>
      </w:pPr>
      <w:r>
        <w:rPr>
          <w:rFonts w:hint="eastAsia"/>
          <w:color w:val="auto"/>
          <w:sz w:val="24"/>
          <w:szCs w:val="24"/>
          <w:highlight w:val="none"/>
          <w:lang w:val="en-US" w:eastAsia="zh-CN" w:bidi="ar"/>
        </w:rPr>
        <w:t>图像保存：支持≥3种格式图像；</w:t>
      </w:r>
      <w:r>
        <w:rPr>
          <w:rFonts w:hint="eastAsia"/>
          <w:color w:val="auto"/>
          <w:sz w:val="24"/>
          <w:szCs w:val="24"/>
          <w:highlight w:val="none"/>
          <w:lang w:val="en-US" w:eastAsia="zh-CN"/>
        </w:rPr>
        <w:t>存储格式：包括但不限于BMP、PNG、JPG等；</w:t>
      </w:r>
    </w:p>
    <w:p w14:paraId="29F0D045">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图像旋转：支持冻结图像可进行360</w:t>
      </w:r>
      <w:r>
        <w:rPr>
          <w:rFonts w:hint="eastAsia"/>
          <w:color w:val="auto"/>
          <w:sz w:val="24"/>
          <w:szCs w:val="24"/>
          <w:highlight w:val="none"/>
          <w:lang w:val="en-US" w:eastAsia="zh-CN"/>
        </w:rPr>
        <w:t>°</w:t>
      </w:r>
      <w:r>
        <w:rPr>
          <w:rFonts w:hint="eastAsia"/>
          <w:color w:val="auto"/>
          <w:sz w:val="24"/>
          <w:szCs w:val="24"/>
          <w:highlight w:val="none"/>
        </w:rPr>
        <w:t>任意角度旋转；</w:t>
      </w:r>
    </w:p>
    <w:p w14:paraId="1672BB37">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val="en-US" w:eastAsia="zh-CN" w:bidi="ar"/>
        </w:rPr>
        <w:t>图像回放：冻结后可实现最大750帧图像回放，支持自动回放和手动回放；</w:t>
      </w:r>
    </w:p>
    <w:p w14:paraId="4A84DFC8">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图像镜像：支持图像基于垂直方向的镜像操作；</w:t>
      </w:r>
    </w:p>
    <w:p w14:paraId="6689DB56">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val="en-US" w:eastAsia="zh-CN"/>
        </w:rPr>
        <w:t>图像测量及标注：支持同一画面距离测量（≥20组数据），同一画面面积及周长测量（≥ 6组数据），并支持测量完成后快速修改和再编辑，支持图像的注释信息保存与导出 ；</w:t>
      </w:r>
    </w:p>
    <w:p w14:paraId="51B070B8">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系统支持内镜图像输入，内镜图像与超声图像同屏显示，并可进行主副</w:t>
      </w:r>
      <w:r>
        <w:rPr>
          <w:rFonts w:hint="eastAsia"/>
          <w:color w:val="auto"/>
          <w:sz w:val="24"/>
          <w:szCs w:val="24"/>
          <w:highlight w:val="none"/>
          <w:lang w:val="en-US" w:eastAsia="zh-CN"/>
        </w:rPr>
        <w:t>显示</w:t>
      </w:r>
      <w:r>
        <w:rPr>
          <w:rFonts w:hint="eastAsia"/>
          <w:color w:val="auto"/>
          <w:sz w:val="24"/>
          <w:szCs w:val="24"/>
          <w:highlight w:val="none"/>
        </w:rPr>
        <w:t>切换，图像位置可根据医生习惯进行调节；</w:t>
      </w:r>
    </w:p>
    <w:p w14:paraId="78E1340F">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内窥镜超声诊断设备的自有图像显示为高分辨率</w:t>
      </w:r>
      <w:r>
        <w:rPr>
          <w:rFonts w:hint="eastAsia"/>
          <w:color w:val="auto"/>
          <w:sz w:val="24"/>
          <w:szCs w:val="24"/>
          <w:highlight w:val="none"/>
          <w:lang w:val="en-US" w:eastAsia="zh-CN"/>
        </w:rPr>
        <w:t>≥1080P</w:t>
      </w:r>
      <w:r>
        <w:rPr>
          <w:rFonts w:hint="eastAsia"/>
          <w:color w:val="auto"/>
          <w:sz w:val="24"/>
          <w:szCs w:val="24"/>
          <w:highlight w:val="none"/>
        </w:rPr>
        <w:t>图像，且可局部放大，呈现更清晰的组织细节</w:t>
      </w:r>
      <w:r>
        <w:rPr>
          <w:rFonts w:hint="eastAsia"/>
          <w:color w:val="auto"/>
          <w:sz w:val="24"/>
          <w:szCs w:val="24"/>
          <w:highlight w:val="none"/>
          <w:lang w:eastAsia="zh-CN"/>
        </w:rPr>
        <w:t>；</w:t>
      </w:r>
    </w:p>
    <w:p w14:paraId="28235351">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增益可调</w:t>
      </w:r>
      <w:r>
        <w:rPr>
          <w:rFonts w:hint="eastAsia"/>
          <w:color w:val="auto"/>
          <w:sz w:val="24"/>
          <w:szCs w:val="24"/>
          <w:highlight w:val="none"/>
          <w:lang w:eastAsia="zh-CN"/>
        </w:rPr>
        <w:t>：</w:t>
      </w:r>
      <w:r>
        <w:rPr>
          <w:rFonts w:hint="eastAsia"/>
          <w:color w:val="auto"/>
          <w:sz w:val="24"/>
          <w:szCs w:val="24"/>
          <w:highlight w:val="none"/>
        </w:rPr>
        <w:t>系统图像增益提供</w:t>
      </w:r>
      <w:r>
        <w:rPr>
          <w:rFonts w:hint="eastAsia"/>
          <w:color w:val="auto"/>
          <w:sz w:val="24"/>
          <w:szCs w:val="24"/>
          <w:highlight w:val="none"/>
          <w:lang w:val="en-US" w:eastAsia="zh-CN" w:bidi="ar"/>
        </w:rPr>
        <w:t>≥</w:t>
      </w:r>
      <w:r>
        <w:rPr>
          <w:rFonts w:hint="eastAsia"/>
          <w:color w:val="auto"/>
          <w:sz w:val="24"/>
          <w:szCs w:val="24"/>
          <w:highlight w:val="none"/>
        </w:rPr>
        <w:t>16档可调；</w:t>
      </w:r>
    </w:p>
    <w:p w14:paraId="6E400218">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对比度可调：系统图像对比度提供</w:t>
      </w:r>
      <w:r>
        <w:rPr>
          <w:rFonts w:hint="eastAsia"/>
          <w:color w:val="auto"/>
          <w:sz w:val="24"/>
          <w:szCs w:val="24"/>
          <w:highlight w:val="none"/>
          <w:lang w:val="en-US" w:eastAsia="zh-CN" w:bidi="ar"/>
        </w:rPr>
        <w:t>≥</w:t>
      </w:r>
      <w:r>
        <w:rPr>
          <w:rFonts w:hint="eastAsia"/>
          <w:color w:val="auto"/>
          <w:sz w:val="24"/>
          <w:szCs w:val="24"/>
          <w:highlight w:val="none"/>
        </w:rPr>
        <w:t>5 档可调；</w:t>
      </w:r>
    </w:p>
    <w:p w14:paraId="289D5159">
      <w:pPr>
        <w:pStyle w:val="92"/>
        <w:numPr>
          <w:ilvl w:val="0"/>
          <w:numId w:val="12"/>
        </w:numPr>
        <w:spacing w:line="360" w:lineRule="auto"/>
        <w:rPr>
          <w:rFonts w:hint="eastAsia"/>
          <w:color w:val="auto"/>
          <w:sz w:val="24"/>
          <w:szCs w:val="24"/>
          <w:highlight w:val="none"/>
        </w:rPr>
      </w:pPr>
      <w:bookmarkStart w:id="159" w:name="bookmark13"/>
      <w:bookmarkEnd w:id="159"/>
      <w:r>
        <w:rPr>
          <w:rFonts w:hint="eastAsia"/>
          <w:color w:val="auto"/>
          <w:sz w:val="24"/>
          <w:szCs w:val="24"/>
          <w:highlight w:val="none"/>
        </w:rPr>
        <w:t>患者检查信息库管理：具备患者检查信息库管理功能。可对患者检查信息进行检索、查看、编辑、保存、 预览、报告打印；</w:t>
      </w:r>
    </w:p>
    <w:p w14:paraId="36469C46">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患者检查信息传输：支持</w:t>
      </w:r>
      <w:r>
        <w:rPr>
          <w:rFonts w:hint="eastAsia"/>
          <w:color w:val="auto"/>
          <w:sz w:val="24"/>
          <w:szCs w:val="24"/>
          <w:highlight w:val="none"/>
          <w:lang w:val="en-US" w:eastAsia="zh-CN"/>
        </w:rPr>
        <w:t>DIC0M</w:t>
      </w:r>
      <w:r>
        <w:rPr>
          <w:rFonts w:hint="eastAsia"/>
          <w:color w:val="auto"/>
          <w:sz w:val="24"/>
          <w:szCs w:val="24"/>
          <w:highlight w:val="none"/>
        </w:rPr>
        <w:t>标准协议，通过网络可传输患者检查信息</w:t>
      </w:r>
      <w:r>
        <w:rPr>
          <w:rFonts w:hint="eastAsia"/>
          <w:color w:val="auto"/>
          <w:sz w:val="24"/>
          <w:szCs w:val="24"/>
          <w:highlight w:val="none"/>
          <w:lang w:eastAsia="zh-CN"/>
        </w:rPr>
        <w:t>；</w:t>
      </w:r>
      <w:bookmarkStart w:id="160" w:name="bookmark14"/>
      <w:bookmarkEnd w:id="160"/>
    </w:p>
    <w:p w14:paraId="09D679BD">
      <w:pPr>
        <w:pStyle w:val="92"/>
        <w:numPr>
          <w:ilvl w:val="0"/>
          <w:numId w:val="12"/>
        </w:numPr>
        <w:spacing w:line="360" w:lineRule="auto"/>
        <w:rPr>
          <w:rFonts w:hint="eastAsia"/>
          <w:color w:val="auto"/>
          <w:sz w:val="24"/>
          <w:szCs w:val="24"/>
          <w:highlight w:val="none"/>
          <w:lang w:eastAsia="zh-CN" w:bidi="ar"/>
        </w:rPr>
      </w:pPr>
      <w:r>
        <w:rPr>
          <w:rFonts w:hint="eastAsia"/>
          <w:color w:val="auto"/>
          <w:sz w:val="24"/>
          <w:szCs w:val="24"/>
          <w:highlight w:val="none"/>
          <w:lang w:val="en-US" w:eastAsia="zh-CN"/>
        </w:rPr>
        <w:t xml:space="preserve">数据接口，传输协议：支持USB 3.0协议、TCP/IP协议、DIC0M协议； </w:t>
      </w:r>
    </w:p>
    <w:p w14:paraId="0408EB08">
      <w:pPr>
        <w:pStyle w:val="92"/>
        <w:numPr>
          <w:ilvl w:val="0"/>
          <w:numId w:val="12"/>
        </w:numPr>
        <w:spacing w:line="360" w:lineRule="auto"/>
        <w:rPr>
          <w:rFonts w:hint="eastAsia"/>
          <w:color w:val="auto"/>
          <w:sz w:val="24"/>
          <w:szCs w:val="24"/>
          <w:highlight w:val="none"/>
          <w:lang w:eastAsia="zh-CN" w:bidi="ar"/>
        </w:rPr>
      </w:pPr>
      <w:r>
        <w:rPr>
          <w:rFonts w:hint="eastAsia"/>
          <w:color w:val="auto"/>
          <w:sz w:val="24"/>
          <w:szCs w:val="24"/>
          <w:highlight w:val="none"/>
          <w:lang w:eastAsia="zh-CN" w:bidi="ar"/>
        </w:rPr>
        <w:t xml:space="preserve">具备TGC功能：支持调节≥6段； </w:t>
      </w:r>
    </w:p>
    <w:p w14:paraId="652D3B31">
      <w:pPr>
        <w:pStyle w:val="92"/>
        <w:numPr>
          <w:ilvl w:val="0"/>
          <w:numId w:val="12"/>
        </w:numPr>
        <w:spacing w:line="360" w:lineRule="auto"/>
        <w:rPr>
          <w:rFonts w:hint="eastAsia"/>
          <w:color w:val="auto"/>
          <w:sz w:val="24"/>
          <w:szCs w:val="24"/>
          <w:highlight w:val="none"/>
          <w:lang w:eastAsia="zh-CN" w:bidi="ar"/>
        </w:rPr>
      </w:pPr>
      <w:r>
        <w:rPr>
          <w:rFonts w:hint="eastAsia"/>
          <w:color w:val="auto"/>
          <w:sz w:val="24"/>
          <w:szCs w:val="24"/>
          <w:highlight w:val="none"/>
          <w:lang w:val="en-US" w:eastAsia="zh-CN" w:bidi="ar"/>
        </w:rPr>
        <w:t>支持</w:t>
      </w:r>
      <w:r>
        <w:rPr>
          <w:rFonts w:hint="eastAsia"/>
          <w:color w:val="auto"/>
          <w:sz w:val="24"/>
          <w:szCs w:val="24"/>
          <w:highlight w:val="none"/>
          <w:lang w:eastAsia="zh-CN" w:bidi="ar"/>
        </w:rPr>
        <w:t>记录回放原始数据：可记录和回放采集到的超声原始数据，可在离线模式下使用范围调节、对比度调节、TGC调节、标注、测量功能；</w:t>
      </w:r>
    </w:p>
    <w:p w14:paraId="4B4F1FB0">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eastAsia="zh-CN" w:bidi="ar"/>
        </w:rPr>
        <w:t>视频功能;可录制和导出视频文件；</w:t>
      </w:r>
    </w:p>
    <w:p w14:paraId="357F8AF0">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eastAsia="zh-CN" w:bidi="ar"/>
        </w:rPr>
        <w:t>支持高清输入显示;可支持高清图像的输入和高清图像的显示</w:t>
      </w:r>
      <w:r>
        <w:rPr>
          <w:rFonts w:hint="eastAsia"/>
          <w:color w:val="auto"/>
          <w:sz w:val="24"/>
          <w:szCs w:val="24"/>
          <w:highlight w:val="none"/>
          <w:lang w:val="en-US" w:eastAsia="zh-CN"/>
        </w:rPr>
        <w:t>≥1080P</w:t>
      </w:r>
      <w:r>
        <w:rPr>
          <w:rFonts w:hint="eastAsia"/>
          <w:color w:val="auto"/>
          <w:sz w:val="24"/>
          <w:szCs w:val="24"/>
          <w:highlight w:val="none"/>
          <w:lang w:eastAsia="zh-CN" w:bidi="ar"/>
        </w:rPr>
        <w:t>；</w:t>
      </w:r>
    </w:p>
    <w:p w14:paraId="7901F785">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具有外接辅助显示的功能;支持外接显示屏进行辅助显示；</w:t>
      </w:r>
    </w:p>
    <w:p w14:paraId="5B819D74">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rPr>
        <w:t>输入功能;支持中英文输入、支持外接 USB 键盘、鼠标</w:t>
      </w:r>
      <w:r>
        <w:rPr>
          <w:rFonts w:hint="eastAsia"/>
          <w:color w:val="auto"/>
          <w:sz w:val="24"/>
          <w:szCs w:val="24"/>
          <w:highlight w:val="none"/>
          <w:lang w:eastAsia="zh-CN"/>
        </w:rPr>
        <w:t>、</w:t>
      </w:r>
      <w:r>
        <w:rPr>
          <w:rFonts w:hint="eastAsia"/>
          <w:color w:val="auto"/>
          <w:sz w:val="24"/>
          <w:szCs w:val="24"/>
          <w:highlight w:val="none"/>
          <w:lang w:val="en-US" w:eastAsia="zh-CN"/>
        </w:rPr>
        <w:t>专用键盘</w:t>
      </w:r>
      <w:r>
        <w:rPr>
          <w:rFonts w:hint="eastAsia"/>
          <w:color w:val="auto"/>
          <w:sz w:val="24"/>
          <w:szCs w:val="24"/>
          <w:highlight w:val="none"/>
          <w:lang w:eastAsia="zh-CN"/>
        </w:rPr>
        <w:t>；</w:t>
      </w:r>
    </w:p>
    <w:p w14:paraId="168259F6">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eastAsia="zh-CN" w:bidi="ar"/>
        </w:rPr>
        <w:t>探头频率切换：支持对</w:t>
      </w:r>
      <w:r>
        <w:rPr>
          <w:rFonts w:hint="eastAsia"/>
          <w:color w:val="auto"/>
          <w:sz w:val="24"/>
          <w:szCs w:val="24"/>
          <w:highlight w:val="none"/>
          <w:lang w:val="en-US" w:eastAsia="zh-CN" w:bidi="ar"/>
        </w:rPr>
        <w:t>多</w:t>
      </w:r>
      <w:r>
        <w:rPr>
          <w:rFonts w:hint="eastAsia"/>
          <w:color w:val="auto"/>
          <w:sz w:val="24"/>
          <w:szCs w:val="24"/>
          <w:highlight w:val="none"/>
          <w:lang w:eastAsia="zh-CN" w:bidi="ar"/>
        </w:rPr>
        <w:t>频探头频率进行一键切换；</w:t>
      </w:r>
    </w:p>
    <w:p w14:paraId="21C1FEA5">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eastAsia="zh-CN" w:bidi="ar"/>
        </w:rPr>
        <w:t>双幅成像：支持同屏同时显示一幅冻结图像</w:t>
      </w:r>
      <w:r>
        <w:rPr>
          <w:rFonts w:hint="eastAsia"/>
          <w:color w:val="auto"/>
          <w:sz w:val="24"/>
          <w:szCs w:val="24"/>
          <w:highlight w:val="none"/>
          <w:lang w:val="en-US" w:eastAsia="zh-CN" w:bidi="ar"/>
        </w:rPr>
        <w:t>功能；</w:t>
      </w:r>
    </w:p>
    <w:p w14:paraId="2A52D656">
      <w:pPr>
        <w:pStyle w:val="92"/>
        <w:numPr>
          <w:ilvl w:val="0"/>
          <w:numId w:val="0"/>
        </w:numPr>
        <w:spacing w:line="360" w:lineRule="auto"/>
        <w:rPr>
          <w:rFonts w:hint="eastAsia"/>
          <w:color w:val="auto"/>
          <w:sz w:val="24"/>
          <w:szCs w:val="24"/>
          <w:highlight w:val="none"/>
        </w:rPr>
      </w:pPr>
    </w:p>
    <w:p w14:paraId="46F56547">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val="en-US" w:eastAsia="zh-CN" w:bidi="ar"/>
        </w:rPr>
        <w:t xml:space="preserve">防水：IPX7 级超声小探头，方便临床清洁、消毒和灭菌； </w:t>
      </w:r>
    </w:p>
    <w:p w14:paraId="4F3B2BEF">
      <w:pPr>
        <w:pStyle w:val="92"/>
        <w:numPr>
          <w:ilvl w:val="0"/>
          <w:numId w:val="12"/>
        </w:numPr>
        <w:spacing w:line="360" w:lineRule="auto"/>
        <w:rPr>
          <w:rFonts w:hint="eastAsia"/>
          <w:color w:val="auto"/>
          <w:sz w:val="24"/>
          <w:szCs w:val="24"/>
          <w:highlight w:val="none"/>
        </w:rPr>
      </w:pPr>
      <w:r>
        <w:rPr>
          <w:rFonts w:hint="eastAsia"/>
          <w:color w:val="auto"/>
          <w:sz w:val="24"/>
          <w:szCs w:val="24"/>
          <w:highlight w:val="none"/>
          <w:lang w:val="en-US" w:eastAsia="zh-CN"/>
        </w:rPr>
        <w:t xml:space="preserve">兼容性：兼容器械通道≥1.7mm 的各品牌支气管内镜，方便医院与内窥镜结合，操 </w:t>
      </w:r>
    </w:p>
    <w:p w14:paraId="2C11532E">
      <w:pPr>
        <w:pStyle w:val="92"/>
        <w:spacing w:line="360" w:lineRule="auto"/>
        <w:rPr>
          <w:rFonts w:hint="eastAsia"/>
          <w:color w:val="auto"/>
          <w:sz w:val="24"/>
          <w:szCs w:val="24"/>
          <w:highlight w:val="none"/>
          <w:lang w:val="en-US" w:eastAsia="zh-CN" w:bidi="en-US"/>
        </w:rPr>
      </w:pPr>
      <w:r>
        <w:rPr>
          <w:rFonts w:hint="eastAsia"/>
          <w:color w:val="auto"/>
          <w:sz w:val="24"/>
          <w:szCs w:val="24"/>
          <w:highlight w:val="none"/>
          <w:lang w:val="en-US" w:eastAsia="zh-CN"/>
        </w:rPr>
        <w:t>作方便、易清洁，可搭配 12MHz、20MHz 超声小探头，变频消化、呼吸、满足临床需求；</w:t>
      </w:r>
    </w:p>
    <w:p w14:paraId="2FB0E002">
      <w:pPr>
        <w:pStyle w:val="92"/>
        <w:numPr>
          <w:ilvl w:val="0"/>
          <w:numId w:val="12"/>
        </w:numPr>
        <w:spacing w:line="360" w:lineRule="auto"/>
        <w:rPr>
          <w:rFonts w:hint="eastAsia"/>
          <w:color w:val="auto"/>
          <w:sz w:val="24"/>
          <w:szCs w:val="24"/>
          <w:highlight w:val="none"/>
          <w:lang w:val="en-US" w:eastAsia="zh-CN" w:bidi="en-US"/>
        </w:rPr>
      </w:pPr>
      <w:r>
        <w:rPr>
          <w:rFonts w:hint="eastAsia"/>
          <w:color w:val="auto"/>
          <w:sz w:val="24"/>
          <w:szCs w:val="24"/>
          <w:highlight w:val="none"/>
          <w:lang w:val="en-US" w:eastAsia="zh-CN"/>
        </w:rPr>
        <w:t>主机使用年限≥10年，探头使用年限≥2年。</w:t>
      </w:r>
    </w:p>
    <w:p w14:paraId="03419FAB">
      <w:pPr>
        <w:pStyle w:val="92"/>
        <w:spacing w:after="240" w:line="240" w:lineRule="auto"/>
        <w:rPr>
          <w:rFonts w:hint="eastAsia"/>
          <w:b/>
          <w:bCs/>
          <w:color w:val="auto"/>
          <w:sz w:val="24"/>
          <w:szCs w:val="24"/>
          <w:highlight w:val="none"/>
          <w:lang w:val="en-US" w:eastAsia="zh-CN"/>
        </w:rPr>
      </w:pPr>
      <w:r>
        <w:rPr>
          <w:rFonts w:hint="eastAsia"/>
          <w:b/>
          <w:bCs/>
          <w:color w:val="auto"/>
          <w:sz w:val="24"/>
          <w:szCs w:val="24"/>
          <w:highlight w:val="none"/>
          <w:lang w:val="en-US" w:eastAsia="zh-CN" w:bidi="en-US"/>
        </w:rPr>
        <w:t>双频超声消化</w:t>
      </w:r>
      <w:r>
        <w:rPr>
          <w:rFonts w:hint="eastAsia"/>
          <w:b/>
          <w:bCs/>
          <w:color w:val="auto"/>
          <w:sz w:val="24"/>
          <w:szCs w:val="24"/>
          <w:highlight w:val="none"/>
        </w:rPr>
        <w:t>探头</w:t>
      </w:r>
      <w:r>
        <w:rPr>
          <w:rFonts w:hint="eastAsia"/>
          <w:b/>
          <w:bCs/>
          <w:color w:val="auto"/>
          <w:sz w:val="24"/>
          <w:szCs w:val="24"/>
          <w:highlight w:val="none"/>
          <w:lang w:val="en-US" w:eastAsia="zh-CN"/>
        </w:rPr>
        <w:t>1个</w:t>
      </w:r>
    </w:p>
    <w:p w14:paraId="0797255D">
      <w:pPr>
        <w:pStyle w:val="92"/>
        <w:numPr>
          <w:ilvl w:val="0"/>
          <w:numId w:val="13"/>
        </w:numPr>
        <w:tabs>
          <w:tab w:val="left" w:pos="854"/>
        </w:tabs>
        <w:spacing w:after="240" w:line="240" w:lineRule="auto"/>
        <w:rPr>
          <w:rFonts w:hint="eastAsia"/>
          <w:color w:val="auto"/>
          <w:sz w:val="24"/>
          <w:szCs w:val="24"/>
          <w:highlight w:val="none"/>
        </w:rPr>
      </w:pPr>
      <w:r>
        <w:rPr>
          <w:rFonts w:hint="eastAsia"/>
          <w:color w:val="auto"/>
          <w:sz w:val="24"/>
          <w:szCs w:val="24"/>
          <w:highlight w:val="none"/>
          <w:lang w:val="en-US" w:eastAsia="zh-CN" w:bidi="en-US"/>
        </w:rPr>
        <w:t>工作频率：12MHz+20MHz</w:t>
      </w:r>
    </w:p>
    <w:p w14:paraId="4C8103C7">
      <w:pPr>
        <w:pStyle w:val="92"/>
        <w:numPr>
          <w:ilvl w:val="0"/>
          <w:numId w:val="13"/>
        </w:numPr>
        <w:tabs>
          <w:tab w:val="left" w:pos="854"/>
        </w:tabs>
        <w:spacing w:after="240" w:line="240" w:lineRule="auto"/>
        <w:rPr>
          <w:rFonts w:hint="eastAsia"/>
          <w:color w:val="auto"/>
          <w:sz w:val="24"/>
          <w:szCs w:val="24"/>
          <w:highlight w:val="none"/>
        </w:rPr>
      </w:pPr>
      <w:r>
        <w:rPr>
          <w:rFonts w:hint="eastAsia"/>
          <w:color w:val="auto"/>
          <w:sz w:val="24"/>
          <w:szCs w:val="24"/>
          <w:highlight w:val="none"/>
          <w:lang w:val="en-US" w:eastAsia="zh-CN" w:bidi="en-US"/>
        </w:rPr>
        <w:t>12MHz</w:t>
      </w:r>
      <w:r>
        <w:rPr>
          <w:rFonts w:hint="eastAsia"/>
          <w:color w:val="auto"/>
          <w:sz w:val="24"/>
          <w:szCs w:val="24"/>
          <w:highlight w:val="none"/>
        </w:rPr>
        <w:t>轴向分辨力：</w:t>
      </w:r>
      <w:r>
        <w:rPr>
          <w:rFonts w:hint="eastAsia"/>
          <w:color w:val="auto"/>
          <w:sz w:val="24"/>
          <w:szCs w:val="24"/>
          <w:highlight w:val="none"/>
          <w:lang w:val="en-US" w:eastAsia="zh-CN" w:bidi="en-US"/>
        </w:rPr>
        <w:t>≤0.5</w:t>
      </w:r>
      <w:r>
        <w:rPr>
          <w:rFonts w:hint="eastAsia"/>
          <w:color w:val="auto"/>
          <w:sz w:val="24"/>
          <w:szCs w:val="24"/>
          <w:highlight w:val="none"/>
          <w:lang w:val="en-US" w:eastAsia="en-US" w:bidi="en-US"/>
        </w:rPr>
        <w:t>mm</w:t>
      </w:r>
      <w:r>
        <w:rPr>
          <w:rFonts w:hint="eastAsia"/>
          <w:color w:val="auto"/>
          <w:sz w:val="24"/>
          <w:szCs w:val="24"/>
          <w:highlight w:val="none"/>
          <w:lang w:val="en-US" w:eastAsia="zh-CN" w:bidi="en-US"/>
        </w:rPr>
        <w:t>，20</w:t>
      </w:r>
      <w:r>
        <w:rPr>
          <w:rFonts w:hint="eastAsia"/>
          <w:color w:val="auto"/>
          <w:sz w:val="24"/>
          <w:szCs w:val="24"/>
          <w:highlight w:val="none"/>
          <w:lang w:val="en-US" w:eastAsia="en-US" w:bidi="en-US"/>
        </w:rPr>
        <w:t>MHz</w:t>
      </w:r>
      <w:r>
        <w:rPr>
          <w:rFonts w:hint="eastAsia"/>
          <w:color w:val="auto"/>
          <w:sz w:val="24"/>
          <w:szCs w:val="24"/>
          <w:highlight w:val="none"/>
        </w:rPr>
        <w:t>轴向分辨力：</w:t>
      </w:r>
      <w:r>
        <w:rPr>
          <w:rFonts w:hint="eastAsia"/>
          <w:color w:val="auto"/>
          <w:sz w:val="24"/>
          <w:szCs w:val="24"/>
          <w:highlight w:val="none"/>
          <w:lang w:val="en-US" w:eastAsia="zh-CN" w:bidi="en-US"/>
        </w:rPr>
        <w:t>≤</w:t>
      </w:r>
      <w:r>
        <w:rPr>
          <w:rFonts w:hint="eastAsia"/>
          <w:color w:val="auto"/>
          <w:sz w:val="24"/>
          <w:szCs w:val="24"/>
          <w:highlight w:val="none"/>
          <w:lang w:val="en-US" w:eastAsia="en-US" w:bidi="en-US"/>
        </w:rPr>
        <w:t>0.</w:t>
      </w:r>
      <w:r>
        <w:rPr>
          <w:rFonts w:hint="eastAsia"/>
          <w:color w:val="auto"/>
          <w:sz w:val="24"/>
          <w:szCs w:val="24"/>
          <w:highlight w:val="none"/>
          <w:lang w:val="en-US" w:eastAsia="zh-CN" w:bidi="en-US"/>
        </w:rPr>
        <w:t>5</w:t>
      </w:r>
      <w:r>
        <w:rPr>
          <w:rFonts w:hint="eastAsia"/>
          <w:color w:val="auto"/>
          <w:sz w:val="24"/>
          <w:szCs w:val="24"/>
          <w:highlight w:val="none"/>
          <w:lang w:val="en-US" w:eastAsia="en-US" w:bidi="en-US"/>
        </w:rPr>
        <w:t>mm</w:t>
      </w:r>
      <w:r>
        <w:rPr>
          <w:rFonts w:hint="eastAsia"/>
          <w:color w:val="auto"/>
          <w:sz w:val="24"/>
          <w:szCs w:val="24"/>
          <w:highlight w:val="none"/>
          <w:lang w:val="en-US" w:eastAsia="zh-CN" w:bidi="en-US"/>
        </w:rPr>
        <w:t>；</w:t>
      </w:r>
    </w:p>
    <w:p w14:paraId="0C7AD376">
      <w:pPr>
        <w:pStyle w:val="92"/>
        <w:numPr>
          <w:ilvl w:val="0"/>
          <w:numId w:val="13"/>
        </w:numPr>
        <w:tabs>
          <w:tab w:val="left" w:pos="854"/>
        </w:tabs>
        <w:spacing w:after="240" w:line="240" w:lineRule="auto"/>
        <w:rPr>
          <w:rFonts w:hint="eastAsia"/>
          <w:color w:val="auto"/>
          <w:sz w:val="24"/>
          <w:szCs w:val="24"/>
          <w:highlight w:val="none"/>
        </w:rPr>
      </w:pPr>
      <w:r>
        <w:rPr>
          <w:rFonts w:hint="eastAsia"/>
          <w:color w:val="auto"/>
          <w:sz w:val="24"/>
          <w:szCs w:val="24"/>
          <w:highlight w:val="none"/>
        </w:rPr>
        <w:t>12MHz 探测深度：≥15mm；20MHz 探测深度：≥10mm</w:t>
      </w:r>
    </w:p>
    <w:p w14:paraId="5F0F08D1">
      <w:pPr>
        <w:pStyle w:val="92"/>
        <w:numPr>
          <w:ilvl w:val="0"/>
          <w:numId w:val="13"/>
        </w:numPr>
        <w:tabs>
          <w:tab w:val="left" w:pos="854"/>
        </w:tabs>
        <w:spacing w:after="240" w:line="240" w:lineRule="auto"/>
        <w:rPr>
          <w:rFonts w:hint="eastAsia"/>
          <w:color w:val="auto"/>
          <w:sz w:val="24"/>
          <w:szCs w:val="24"/>
          <w:highlight w:val="none"/>
        </w:rPr>
      </w:pPr>
      <w:r>
        <w:rPr>
          <w:rFonts w:hint="eastAsia"/>
          <w:color w:val="auto"/>
          <w:sz w:val="24"/>
          <w:szCs w:val="24"/>
          <w:highlight w:val="none"/>
        </w:rPr>
        <w:t>图像几何畸变：≤</w:t>
      </w:r>
      <w:r>
        <w:rPr>
          <w:rFonts w:hint="eastAsia"/>
          <w:color w:val="auto"/>
          <w:sz w:val="24"/>
          <w:szCs w:val="24"/>
          <w:highlight w:val="none"/>
          <w:lang w:val="en-US" w:eastAsia="zh-CN"/>
        </w:rPr>
        <w:t>±</w:t>
      </w:r>
      <w:r>
        <w:rPr>
          <w:rFonts w:hint="eastAsia"/>
          <w:color w:val="auto"/>
          <w:sz w:val="24"/>
          <w:szCs w:val="24"/>
          <w:highlight w:val="none"/>
        </w:rPr>
        <w:t>10%</w:t>
      </w:r>
    </w:p>
    <w:p w14:paraId="20286721">
      <w:pPr>
        <w:pStyle w:val="92"/>
        <w:numPr>
          <w:ilvl w:val="0"/>
          <w:numId w:val="13"/>
        </w:numPr>
        <w:tabs>
          <w:tab w:val="left" w:pos="854"/>
        </w:tabs>
        <w:spacing w:after="240" w:line="240" w:lineRule="auto"/>
        <w:rPr>
          <w:rFonts w:hint="eastAsia"/>
          <w:color w:val="auto"/>
          <w:sz w:val="24"/>
          <w:szCs w:val="24"/>
          <w:highlight w:val="none"/>
          <w:lang w:val="en-US" w:eastAsia="zh-CN" w:bidi="ar"/>
        </w:rPr>
      </w:pPr>
      <w:r>
        <w:rPr>
          <w:rFonts w:hint="eastAsia"/>
          <w:color w:val="auto"/>
          <w:sz w:val="24"/>
          <w:szCs w:val="24"/>
          <w:highlight w:val="none"/>
        </w:rPr>
        <w:t>扫描角度</w:t>
      </w:r>
      <w:r>
        <w:rPr>
          <w:rFonts w:hint="eastAsia"/>
          <w:color w:val="auto"/>
          <w:sz w:val="24"/>
          <w:szCs w:val="24"/>
          <w:highlight w:val="none"/>
          <w:lang w:eastAsia="zh-CN"/>
        </w:rPr>
        <w:t>：</w:t>
      </w:r>
      <w:r>
        <w:rPr>
          <w:rFonts w:hint="eastAsia"/>
          <w:color w:val="auto"/>
          <w:sz w:val="24"/>
          <w:szCs w:val="24"/>
          <w:highlight w:val="none"/>
        </w:rPr>
        <w:t>环形360°</w:t>
      </w:r>
      <w:r>
        <w:rPr>
          <w:rFonts w:hint="eastAsia"/>
          <w:color w:val="auto"/>
          <w:sz w:val="24"/>
          <w:szCs w:val="24"/>
          <w:highlight w:val="none"/>
          <w:lang w:eastAsia="zh-CN"/>
        </w:rPr>
        <w:t>；</w:t>
      </w:r>
    </w:p>
    <w:p w14:paraId="490930C2">
      <w:pPr>
        <w:pStyle w:val="92"/>
        <w:spacing w:after="240" w:line="240" w:lineRule="auto"/>
        <w:rPr>
          <w:rFonts w:hint="eastAsia"/>
          <w:b/>
          <w:bCs/>
          <w:color w:val="auto"/>
          <w:sz w:val="24"/>
          <w:szCs w:val="24"/>
          <w:highlight w:val="none"/>
        </w:rPr>
      </w:pPr>
      <w:r>
        <w:rPr>
          <w:rFonts w:hint="eastAsia"/>
          <w:b/>
          <w:bCs/>
          <w:color w:val="auto"/>
          <w:sz w:val="24"/>
          <w:szCs w:val="24"/>
          <w:highlight w:val="none"/>
          <w:lang w:val="en-US" w:eastAsia="zh-CN" w:bidi="en-US"/>
        </w:rPr>
        <w:t>20M消化</w:t>
      </w:r>
      <w:r>
        <w:rPr>
          <w:rFonts w:hint="eastAsia"/>
          <w:b/>
          <w:bCs/>
          <w:color w:val="auto"/>
          <w:sz w:val="24"/>
          <w:szCs w:val="24"/>
          <w:highlight w:val="none"/>
        </w:rPr>
        <w:t>超声探头</w:t>
      </w:r>
      <w:r>
        <w:rPr>
          <w:rFonts w:hint="eastAsia"/>
          <w:b/>
          <w:bCs/>
          <w:color w:val="auto"/>
          <w:sz w:val="24"/>
          <w:szCs w:val="24"/>
          <w:highlight w:val="none"/>
          <w:lang w:val="en-US" w:eastAsia="zh-CN"/>
        </w:rPr>
        <w:t>1个</w:t>
      </w:r>
      <w:r>
        <w:rPr>
          <w:rFonts w:hint="eastAsia"/>
          <w:b/>
          <w:bCs/>
          <w:color w:val="auto"/>
          <w:sz w:val="24"/>
          <w:szCs w:val="24"/>
          <w:highlight w:val="none"/>
        </w:rPr>
        <w:t>：</w:t>
      </w:r>
    </w:p>
    <w:p w14:paraId="00A05F2B">
      <w:pPr>
        <w:pStyle w:val="92"/>
        <w:numPr>
          <w:ilvl w:val="0"/>
          <w:numId w:val="14"/>
        </w:numPr>
        <w:tabs>
          <w:tab w:val="left" w:pos="854"/>
        </w:tabs>
        <w:spacing w:after="240" w:line="240" w:lineRule="auto"/>
        <w:rPr>
          <w:rFonts w:hint="eastAsia"/>
          <w:color w:val="auto"/>
          <w:sz w:val="24"/>
          <w:szCs w:val="24"/>
          <w:highlight w:val="none"/>
        </w:rPr>
      </w:pPr>
      <w:r>
        <w:rPr>
          <w:rFonts w:hint="eastAsia"/>
          <w:color w:val="auto"/>
          <w:sz w:val="24"/>
          <w:szCs w:val="24"/>
          <w:highlight w:val="none"/>
        </w:rPr>
        <w:t>工作频率：</w:t>
      </w:r>
      <w:r>
        <w:rPr>
          <w:rFonts w:hint="eastAsia"/>
          <w:color w:val="auto"/>
          <w:sz w:val="24"/>
          <w:szCs w:val="24"/>
          <w:highlight w:val="none"/>
          <w:lang w:val="en-US" w:eastAsia="zh-CN" w:bidi="en-US"/>
        </w:rPr>
        <w:t>20MHz；</w:t>
      </w:r>
    </w:p>
    <w:p w14:paraId="236F9C2F">
      <w:pPr>
        <w:pStyle w:val="92"/>
        <w:numPr>
          <w:ilvl w:val="0"/>
          <w:numId w:val="14"/>
        </w:numPr>
        <w:tabs>
          <w:tab w:val="left" w:pos="854"/>
        </w:tabs>
        <w:spacing w:after="240" w:line="240" w:lineRule="auto"/>
        <w:rPr>
          <w:rFonts w:hint="eastAsia"/>
          <w:color w:val="auto"/>
          <w:sz w:val="24"/>
          <w:szCs w:val="24"/>
          <w:highlight w:val="none"/>
        </w:rPr>
      </w:pPr>
      <w:r>
        <w:rPr>
          <w:rFonts w:hint="eastAsia"/>
          <w:color w:val="auto"/>
          <w:sz w:val="24"/>
          <w:szCs w:val="24"/>
          <w:highlight w:val="none"/>
        </w:rPr>
        <w:t>轴向分辨力：</w:t>
      </w:r>
      <w:r>
        <w:rPr>
          <w:rFonts w:hint="eastAsia"/>
          <w:color w:val="auto"/>
          <w:sz w:val="24"/>
          <w:szCs w:val="24"/>
          <w:highlight w:val="none"/>
          <w:lang w:val="en-US" w:eastAsia="zh-CN" w:bidi="en-US"/>
        </w:rPr>
        <w:t>≤</w:t>
      </w:r>
      <w:r>
        <w:rPr>
          <w:rFonts w:hint="eastAsia"/>
          <w:color w:val="auto"/>
          <w:sz w:val="24"/>
          <w:szCs w:val="24"/>
          <w:highlight w:val="none"/>
          <w:lang w:val="en-US" w:eastAsia="en-US" w:bidi="en-US"/>
        </w:rPr>
        <w:t>0.2mm</w:t>
      </w:r>
      <w:r>
        <w:rPr>
          <w:rFonts w:hint="eastAsia"/>
          <w:color w:val="auto"/>
          <w:sz w:val="24"/>
          <w:szCs w:val="24"/>
          <w:highlight w:val="none"/>
          <w:lang w:val="en-US" w:eastAsia="zh-CN" w:bidi="en-US"/>
        </w:rPr>
        <w:t>；</w:t>
      </w:r>
    </w:p>
    <w:p w14:paraId="0BC78D52">
      <w:pPr>
        <w:pStyle w:val="92"/>
        <w:numPr>
          <w:ilvl w:val="0"/>
          <w:numId w:val="14"/>
        </w:numPr>
        <w:tabs>
          <w:tab w:val="left" w:pos="854"/>
        </w:tabs>
        <w:spacing w:after="240" w:line="240" w:lineRule="auto"/>
        <w:rPr>
          <w:rFonts w:hint="eastAsia"/>
          <w:color w:val="auto"/>
          <w:sz w:val="24"/>
          <w:szCs w:val="24"/>
          <w:highlight w:val="none"/>
        </w:rPr>
      </w:pPr>
      <w:r>
        <w:rPr>
          <w:rFonts w:hint="eastAsia"/>
          <w:color w:val="auto"/>
          <w:sz w:val="24"/>
          <w:szCs w:val="24"/>
          <w:highlight w:val="none"/>
        </w:rPr>
        <w:t>探测深度：≥10mm</w:t>
      </w:r>
    </w:p>
    <w:p w14:paraId="01854465">
      <w:pPr>
        <w:pStyle w:val="92"/>
        <w:numPr>
          <w:ilvl w:val="0"/>
          <w:numId w:val="14"/>
        </w:numPr>
        <w:tabs>
          <w:tab w:val="left" w:pos="854"/>
        </w:tabs>
        <w:spacing w:after="240" w:line="240" w:lineRule="auto"/>
        <w:rPr>
          <w:rFonts w:hint="eastAsia"/>
          <w:color w:val="auto"/>
          <w:sz w:val="24"/>
          <w:szCs w:val="24"/>
          <w:highlight w:val="none"/>
        </w:rPr>
      </w:pPr>
      <w:r>
        <w:rPr>
          <w:rFonts w:hint="eastAsia"/>
          <w:color w:val="auto"/>
          <w:sz w:val="24"/>
          <w:szCs w:val="24"/>
          <w:highlight w:val="none"/>
        </w:rPr>
        <w:t>扫描角度</w:t>
      </w:r>
      <w:r>
        <w:rPr>
          <w:rFonts w:hint="eastAsia"/>
          <w:color w:val="auto"/>
          <w:sz w:val="24"/>
          <w:szCs w:val="24"/>
          <w:highlight w:val="none"/>
          <w:lang w:eastAsia="zh-CN"/>
        </w:rPr>
        <w:t>：</w:t>
      </w:r>
      <w:r>
        <w:rPr>
          <w:rFonts w:hint="eastAsia"/>
          <w:color w:val="auto"/>
          <w:sz w:val="24"/>
          <w:szCs w:val="24"/>
          <w:highlight w:val="none"/>
        </w:rPr>
        <w:t>环形360°</w:t>
      </w:r>
      <w:r>
        <w:rPr>
          <w:rFonts w:hint="eastAsia"/>
          <w:color w:val="auto"/>
          <w:sz w:val="24"/>
          <w:szCs w:val="24"/>
          <w:highlight w:val="none"/>
          <w:lang w:eastAsia="zh-CN"/>
        </w:rPr>
        <w:t>；</w:t>
      </w:r>
    </w:p>
    <w:p w14:paraId="709D77FF">
      <w:pPr>
        <w:pStyle w:val="92"/>
        <w:numPr>
          <w:ilvl w:val="0"/>
          <w:numId w:val="14"/>
        </w:numPr>
        <w:tabs>
          <w:tab w:val="left" w:pos="854"/>
        </w:tabs>
        <w:spacing w:after="240" w:line="240" w:lineRule="auto"/>
        <w:rPr>
          <w:rFonts w:hint="eastAsia"/>
          <w:color w:val="auto"/>
          <w:sz w:val="24"/>
          <w:szCs w:val="24"/>
          <w:highlight w:val="none"/>
        </w:rPr>
      </w:pPr>
      <w:r>
        <w:rPr>
          <w:rFonts w:hint="eastAsia"/>
          <w:color w:val="auto"/>
          <w:sz w:val="24"/>
          <w:szCs w:val="24"/>
          <w:highlight w:val="none"/>
          <w:lang w:val="en-US" w:eastAsia="zh-CN"/>
        </w:rPr>
        <w:t>探头外径：≤2.5mm。</w:t>
      </w:r>
    </w:p>
    <w:p w14:paraId="641154A7">
      <w:pPr>
        <w:pStyle w:val="92"/>
        <w:spacing w:after="240" w:line="240" w:lineRule="auto"/>
        <w:rPr>
          <w:rFonts w:hint="eastAsia"/>
          <w:b/>
          <w:bCs/>
          <w:color w:val="auto"/>
          <w:sz w:val="24"/>
          <w:szCs w:val="24"/>
          <w:highlight w:val="none"/>
          <w:lang w:val="en-US" w:eastAsia="zh-CN"/>
        </w:rPr>
      </w:pPr>
      <w:r>
        <w:rPr>
          <w:rFonts w:hint="eastAsia"/>
          <w:b/>
          <w:bCs/>
          <w:color w:val="auto"/>
          <w:sz w:val="24"/>
          <w:szCs w:val="24"/>
          <w:highlight w:val="none"/>
          <w:lang w:val="en-US" w:eastAsia="zh-CN" w:bidi="en-US"/>
        </w:rPr>
        <w:t>12M消化</w:t>
      </w:r>
      <w:r>
        <w:rPr>
          <w:rFonts w:hint="eastAsia"/>
          <w:b/>
          <w:bCs/>
          <w:color w:val="auto"/>
          <w:sz w:val="24"/>
          <w:szCs w:val="24"/>
          <w:highlight w:val="none"/>
        </w:rPr>
        <w:t>超声探头</w:t>
      </w:r>
      <w:r>
        <w:rPr>
          <w:rFonts w:hint="eastAsia"/>
          <w:b/>
          <w:bCs/>
          <w:color w:val="auto"/>
          <w:sz w:val="24"/>
          <w:szCs w:val="24"/>
          <w:highlight w:val="none"/>
          <w:lang w:val="en-US" w:eastAsia="zh-CN"/>
        </w:rPr>
        <w:t>1个</w:t>
      </w:r>
    </w:p>
    <w:p w14:paraId="07E984BB">
      <w:pPr>
        <w:pStyle w:val="92"/>
        <w:numPr>
          <w:ilvl w:val="0"/>
          <w:numId w:val="15"/>
        </w:numPr>
        <w:tabs>
          <w:tab w:val="left" w:pos="854"/>
        </w:tabs>
        <w:spacing w:after="240" w:line="240" w:lineRule="auto"/>
        <w:rPr>
          <w:rFonts w:hint="eastAsia"/>
          <w:color w:val="auto"/>
          <w:sz w:val="24"/>
          <w:szCs w:val="24"/>
          <w:highlight w:val="none"/>
        </w:rPr>
      </w:pPr>
      <w:r>
        <w:rPr>
          <w:rFonts w:hint="eastAsia"/>
          <w:color w:val="auto"/>
          <w:sz w:val="24"/>
          <w:szCs w:val="24"/>
          <w:highlight w:val="none"/>
        </w:rPr>
        <w:t>工作频率：</w:t>
      </w:r>
      <w:r>
        <w:rPr>
          <w:rFonts w:hint="eastAsia"/>
          <w:color w:val="auto"/>
          <w:sz w:val="24"/>
          <w:szCs w:val="24"/>
          <w:highlight w:val="none"/>
          <w:lang w:val="en-US" w:eastAsia="zh-CN" w:bidi="en-US"/>
        </w:rPr>
        <w:t>12MHz</w:t>
      </w:r>
    </w:p>
    <w:p w14:paraId="2495A94A">
      <w:pPr>
        <w:pStyle w:val="92"/>
        <w:numPr>
          <w:ilvl w:val="0"/>
          <w:numId w:val="15"/>
        </w:numPr>
        <w:tabs>
          <w:tab w:val="left" w:pos="854"/>
        </w:tabs>
        <w:spacing w:after="240" w:line="240" w:lineRule="auto"/>
        <w:rPr>
          <w:rFonts w:hint="eastAsia"/>
          <w:color w:val="auto"/>
          <w:sz w:val="24"/>
          <w:szCs w:val="24"/>
          <w:highlight w:val="none"/>
        </w:rPr>
      </w:pPr>
      <w:r>
        <w:rPr>
          <w:rFonts w:hint="eastAsia"/>
          <w:color w:val="auto"/>
          <w:sz w:val="24"/>
          <w:szCs w:val="24"/>
          <w:highlight w:val="none"/>
        </w:rPr>
        <w:t>轴向分辨力：</w:t>
      </w:r>
      <w:r>
        <w:rPr>
          <w:rFonts w:hint="eastAsia"/>
          <w:color w:val="auto"/>
          <w:sz w:val="24"/>
          <w:szCs w:val="24"/>
          <w:highlight w:val="none"/>
          <w:lang w:val="en-US" w:eastAsia="zh-CN" w:bidi="en-US"/>
        </w:rPr>
        <w:t>≤</w:t>
      </w:r>
      <w:r>
        <w:rPr>
          <w:rFonts w:hint="eastAsia"/>
          <w:color w:val="auto"/>
          <w:sz w:val="24"/>
          <w:szCs w:val="24"/>
          <w:highlight w:val="none"/>
          <w:lang w:val="en-US" w:eastAsia="en-US" w:bidi="en-US"/>
        </w:rPr>
        <w:t>0.</w:t>
      </w:r>
      <w:r>
        <w:rPr>
          <w:rFonts w:hint="eastAsia"/>
          <w:color w:val="auto"/>
          <w:sz w:val="24"/>
          <w:szCs w:val="24"/>
          <w:highlight w:val="none"/>
          <w:lang w:val="en-US" w:eastAsia="zh-CN" w:bidi="en-US"/>
        </w:rPr>
        <w:t>3</w:t>
      </w:r>
      <w:r>
        <w:rPr>
          <w:rFonts w:hint="eastAsia"/>
          <w:color w:val="auto"/>
          <w:sz w:val="24"/>
          <w:szCs w:val="24"/>
          <w:highlight w:val="none"/>
          <w:lang w:val="en-US" w:eastAsia="en-US" w:bidi="en-US"/>
        </w:rPr>
        <w:t>mm</w:t>
      </w:r>
    </w:p>
    <w:p w14:paraId="1C8C4DEF">
      <w:pPr>
        <w:pStyle w:val="92"/>
        <w:numPr>
          <w:ilvl w:val="0"/>
          <w:numId w:val="15"/>
        </w:numPr>
        <w:tabs>
          <w:tab w:val="left" w:pos="854"/>
        </w:tabs>
        <w:spacing w:after="240" w:line="240" w:lineRule="auto"/>
        <w:rPr>
          <w:rFonts w:hint="eastAsia"/>
          <w:color w:val="auto"/>
          <w:sz w:val="24"/>
          <w:szCs w:val="24"/>
          <w:highlight w:val="none"/>
        </w:rPr>
      </w:pPr>
      <w:r>
        <w:rPr>
          <w:rFonts w:hint="eastAsia"/>
          <w:color w:val="auto"/>
          <w:sz w:val="24"/>
          <w:szCs w:val="24"/>
          <w:highlight w:val="none"/>
        </w:rPr>
        <w:t>探测深度：≥1</w:t>
      </w:r>
      <w:r>
        <w:rPr>
          <w:rFonts w:hint="eastAsia"/>
          <w:color w:val="auto"/>
          <w:sz w:val="24"/>
          <w:szCs w:val="24"/>
          <w:highlight w:val="none"/>
          <w:lang w:val="en-US" w:eastAsia="zh-CN"/>
        </w:rPr>
        <w:t>5</w:t>
      </w:r>
      <w:r>
        <w:rPr>
          <w:rFonts w:hint="eastAsia"/>
          <w:color w:val="auto"/>
          <w:sz w:val="24"/>
          <w:szCs w:val="24"/>
          <w:highlight w:val="none"/>
        </w:rPr>
        <w:t>mm</w:t>
      </w:r>
    </w:p>
    <w:p w14:paraId="4D967954">
      <w:pPr>
        <w:pStyle w:val="92"/>
        <w:numPr>
          <w:ilvl w:val="0"/>
          <w:numId w:val="15"/>
        </w:numPr>
        <w:tabs>
          <w:tab w:val="left" w:pos="854"/>
        </w:tabs>
        <w:spacing w:after="240" w:line="240" w:lineRule="auto"/>
        <w:rPr>
          <w:rFonts w:hint="eastAsia"/>
          <w:color w:val="auto"/>
          <w:sz w:val="24"/>
          <w:szCs w:val="24"/>
          <w:highlight w:val="none"/>
        </w:rPr>
      </w:pPr>
      <w:r>
        <w:rPr>
          <w:rFonts w:hint="eastAsia"/>
          <w:color w:val="auto"/>
          <w:sz w:val="24"/>
          <w:szCs w:val="24"/>
          <w:highlight w:val="none"/>
        </w:rPr>
        <w:t>扫描角度</w:t>
      </w:r>
      <w:r>
        <w:rPr>
          <w:rFonts w:hint="eastAsia"/>
          <w:color w:val="auto"/>
          <w:sz w:val="24"/>
          <w:szCs w:val="24"/>
          <w:highlight w:val="none"/>
          <w:lang w:eastAsia="zh-CN"/>
        </w:rPr>
        <w:t>：</w:t>
      </w:r>
      <w:r>
        <w:rPr>
          <w:rFonts w:hint="eastAsia"/>
          <w:color w:val="auto"/>
          <w:sz w:val="24"/>
          <w:szCs w:val="24"/>
          <w:highlight w:val="none"/>
        </w:rPr>
        <w:t>环形360°</w:t>
      </w:r>
      <w:r>
        <w:rPr>
          <w:rFonts w:hint="eastAsia"/>
          <w:color w:val="auto"/>
          <w:sz w:val="24"/>
          <w:szCs w:val="24"/>
          <w:highlight w:val="none"/>
          <w:lang w:eastAsia="zh-CN"/>
        </w:rPr>
        <w:t>；</w:t>
      </w:r>
    </w:p>
    <w:p w14:paraId="20B96B80">
      <w:pPr>
        <w:pStyle w:val="92"/>
        <w:numPr>
          <w:ilvl w:val="0"/>
          <w:numId w:val="15"/>
        </w:numPr>
        <w:tabs>
          <w:tab w:val="left" w:pos="854"/>
        </w:tabs>
        <w:spacing w:after="240" w:line="240" w:lineRule="auto"/>
        <w:rPr>
          <w:rFonts w:hint="eastAsia"/>
          <w:color w:val="auto"/>
          <w:sz w:val="24"/>
          <w:szCs w:val="24"/>
          <w:highlight w:val="none"/>
          <w:lang w:val="en-US" w:eastAsia="zh-CN" w:bidi="ar"/>
        </w:rPr>
      </w:pPr>
      <w:r>
        <w:rPr>
          <w:rFonts w:hint="eastAsia"/>
          <w:color w:val="auto"/>
          <w:sz w:val="24"/>
          <w:szCs w:val="24"/>
          <w:highlight w:val="none"/>
          <w:lang w:val="en-US" w:eastAsia="zh-CN"/>
        </w:rPr>
        <w:t>探头外径：≤2.5mm。</w:t>
      </w:r>
    </w:p>
    <w:p w14:paraId="045DDB21">
      <w:pPr>
        <w:pStyle w:val="92"/>
        <w:spacing w:after="240" w:line="240" w:lineRule="auto"/>
        <w:rPr>
          <w:rFonts w:hint="eastAsia"/>
          <w:b/>
          <w:bCs/>
          <w:color w:val="auto"/>
          <w:sz w:val="24"/>
          <w:szCs w:val="24"/>
          <w:highlight w:val="none"/>
          <w:lang w:val="en-US" w:eastAsia="zh-CN"/>
        </w:rPr>
      </w:pPr>
      <w:r>
        <w:rPr>
          <w:rFonts w:hint="eastAsia"/>
          <w:b/>
          <w:bCs/>
          <w:color w:val="auto"/>
          <w:sz w:val="24"/>
          <w:szCs w:val="24"/>
          <w:highlight w:val="none"/>
          <w:lang w:val="en-US" w:eastAsia="en-US" w:bidi="en-US"/>
        </w:rPr>
        <w:t>20M</w:t>
      </w:r>
      <w:r>
        <w:rPr>
          <w:rFonts w:hint="eastAsia"/>
          <w:b/>
          <w:bCs/>
          <w:color w:val="auto"/>
          <w:sz w:val="24"/>
          <w:szCs w:val="24"/>
          <w:highlight w:val="none"/>
          <w:lang w:val="en-US" w:eastAsia="zh-CN" w:bidi="en-US"/>
        </w:rPr>
        <w:t>呼吸</w:t>
      </w:r>
      <w:r>
        <w:rPr>
          <w:rFonts w:hint="eastAsia"/>
          <w:b/>
          <w:bCs/>
          <w:color w:val="auto"/>
          <w:sz w:val="24"/>
          <w:szCs w:val="24"/>
          <w:highlight w:val="none"/>
        </w:rPr>
        <w:t>超声小探头</w:t>
      </w:r>
      <w:r>
        <w:rPr>
          <w:rFonts w:hint="eastAsia"/>
          <w:b/>
          <w:bCs/>
          <w:color w:val="auto"/>
          <w:sz w:val="24"/>
          <w:szCs w:val="24"/>
          <w:highlight w:val="none"/>
          <w:lang w:val="en-US" w:eastAsia="zh-CN"/>
        </w:rPr>
        <w:t>2个</w:t>
      </w:r>
    </w:p>
    <w:p w14:paraId="1FAC3B5C">
      <w:pPr>
        <w:pStyle w:val="92"/>
        <w:numPr>
          <w:ilvl w:val="0"/>
          <w:numId w:val="16"/>
        </w:numPr>
        <w:tabs>
          <w:tab w:val="left" w:pos="854"/>
        </w:tabs>
        <w:spacing w:after="240" w:line="240" w:lineRule="auto"/>
        <w:rPr>
          <w:rFonts w:hint="eastAsia"/>
          <w:color w:val="auto"/>
          <w:sz w:val="24"/>
          <w:szCs w:val="24"/>
          <w:highlight w:val="none"/>
        </w:rPr>
      </w:pPr>
      <w:r>
        <w:rPr>
          <w:rFonts w:hint="eastAsia"/>
          <w:color w:val="auto"/>
          <w:sz w:val="24"/>
          <w:szCs w:val="24"/>
          <w:highlight w:val="none"/>
        </w:rPr>
        <w:t>工作频率：</w:t>
      </w:r>
      <w:r>
        <w:rPr>
          <w:rFonts w:hint="eastAsia"/>
          <w:color w:val="auto"/>
          <w:sz w:val="24"/>
          <w:szCs w:val="24"/>
          <w:highlight w:val="none"/>
          <w:lang w:val="en-US" w:eastAsia="zh-CN" w:bidi="en-US"/>
        </w:rPr>
        <w:t>20MHz</w:t>
      </w:r>
      <w:bookmarkStart w:id="161" w:name="bookmark27"/>
      <w:bookmarkEnd w:id="161"/>
      <w:r>
        <w:rPr>
          <w:rFonts w:hint="eastAsia"/>
          <w:color w:val="auto"/>
          <w:sz w:val="24"/>
          <w:szCs w:val="24"/>
          <w:highlight w:val="none"/>
          <w:lang w:val="en-US" w:eastAsia="zh-CN" w:bidi="en-US"/>
        </w:rPr>
        <w:t>；</w:t>
      </w:r>
    </w:p>
    <w:p w14:paraId="2D6DFF01">
      <w:pPr>
        <w:pStyle w:val="92"/>
        <w:numPr>
          <w:ilvl w:val="0"/>
          <w:numId w:val="16"/>
        </w:numPr>
        <w:tabs>
          <w:tab w:val="left" w:pos="854"/>
        </w:tabs>
        <w:spacing w:after="240" w:line="240" w:lineRule="auto"/>
        <w:rPr>
          <w:rFonts w:hint="eastAsia"/>
          <w:color w:val="auto"/>
          <w:sz w:val="24"/>
          <w:szCs w:val="24"/>
          <w:highlight w:val="none"/>
          <w:lang w:val="en-US"/>
        </w:rPr>
      </w:pPr>
      <w:r>
        <w:rPr>
          <w:rFonts w:hint="eastAsia"/>
          <w:color w:val="auto"/>
          <w:sz w:val="24"/>
          <w:szCs w:val="24"/>
          <w:highlight w:val="none"/>
        </w:rPr>
        <w:t>轴向分辨力：</w:t>
      </w:r>
      <w:r>
        <w:rPr>
          <w:rFonts w:hint="eastAsia"/>
          <w:color w:val="auto"/>
          <w:sz w:val="24"/>
          <w:szCs w:val="24"/>
          <w:highlight w:val="none"/>
          <w:lang w:val="en-US" w:eastAsia="zh-CN" w:bidi="en-US"/>
        </w:rPr>
        <w:t>≤</w:t>
      </w:r>
      <w:r>
        <w:rPr>
          <w:rFonts w:hint="eastAsia"/>
          <w:color w:val="auto"/>
          <w:sz w:val="24"/>
          <w:szCs w:val="24"/>
          <w:highlight w:val="none"/>
          <w:lang w:val="en-US" w:eastAsia="en-US" w:bidi="en-US"/>
        </w:rPr>
        <w:t>0.2mm</w:t>
      </w:r>
      <w:r>
        <w:rPr>
          <w:rFonts w:hint="eastAsia"/>
          <w:color w:val="auto"/>
          <w:sz w:val="24"/>
          <w:szCs w:val="24"/>
          <w:highlight w:val="none"/>
          <w:lang w:val="en-US" w:eastAsia="zh-CN" w:bidi="en-US"/>
        </w:rPr>
        <w:t>；</w:t>
      </w:r>
    </w:p>
    <w:p w14:paraId="6FDCA73F">
      <w:pPr>
        <w:pStyle w:val="92"/>
        <w:numPr>
          <w:ilvl w:val="0"/>
          <w:numId w:val="16"/>
        </w:numPr>
        <w:tabs>
          <w:tab w:val="left" w:pos="854"/>
        </w:tabs>
        <w:spacing w:after="240" w:line="240" w:lineRule="auto"/>
        <w:rPr>
          <w:rFonts w:hint="eastAsia"/>
          <w:color w:val="auto"/>
          <w:sz w:val="24"/>
          <w:szCs w:val="24"/>
          <w:highlight w:val="none"/>
          <w:lang w:val="en-US"/>
        </w:rPr>
      </w:pPr>
      <w:r>
        <w:rPr>
          <w:rFonts w:hint="eastAsia"/>
          <w:color w:val="auto"/>
          <w:sz w:val="24"/>
          <w:szCs w:val="24"/>
          <w:highlight w:val="none"/>
          <w:lang w:val="en-US"/>
        </w:rPr>
        <w:t>探测深度：≥10mm</w:t>
      </w:r>
    </w:p>
    <w:p w14:paraId="7F090C93">
      <w:pPr>
        <w:pStyle w:val="92"/>
        <w:numPr>
          <w:ilvl w:val="0"/>
          <w:numId w:val="16"/>
        </w:numPr>
        <w:tabs>
          <w:tab w:val="left" w:pos="854"/>
        </w:tabs>
        <w:spacing w:after="240" w:line="240" w:lineRule="auto"/>
        <w:rPr>
          <w:rFonts w:hint="eastAsia"/>
          <w:color w:val="auto"/>
          <w:sz w:val="24"/>
          <w:szCs w:val="24"/>
          <w:highlight w:val="none"/>
          <w:lang w:val="en-US"/>
        </w:rPr>
      </w:pPr>
      <w:r>
        <w:rPr>
          <w:rFonts w:hint="eastAsia"/>
          <w:color w:val="auto"/>
          <w:sz w:val="24"/>
          <w:szCs w:val="24"/>
          <w:highlight w:val="none"/>
          <w:lang w:val="en-US"/>
        </w:rPr>
        <w:t>图像几何畸变：≤</w:t>
      </w:r>
      <w:r>
        <w:rPr>
          <w:rFonts w:hint="eastAsia"/>
          <w:color w:val="auto"/>
          <w:sz w:val="24"/>
          <w:szCs w:val="24"/>
          <w:highlight w:val="none"/>
          <w:lang w:val="en-US" w:eastAsia="zh-CN"/>
        </w:rPr>
        <w:t>±</w:t>
      </w:r>
      <w:r>
        <w:rPr>
          <w:rFonts w:hint="eastAsia"/>
          <w:color w:val="auto"/>
          <w:sz w:val="24"/>
          <w:szCs w:val="24"/>
          <w:highlight w:val="none"/>
          <w:lang w:val="en-US"/>
        </w:rPr>
        <w:t>10%</w:t>
      </w:r>
    </w:p>
    <w:p w14:paraId="7F8FC5F2">
      <w:pPr>
        <w:pStyle w:val="92"/>
        <w:numPr>
          <w:ilvl w:val="0"/>
          <w:numId w:val="16"/>
        </w:numPr>
        <w:tabs>
          <w:tab w:val="left" w:pos="854"/>
        </w:tabs>
        <w:spacing w:after="240" w:line="240" w:lineRule="auto"/>
        <w:rPr>
          <w:rFonts w:hint="eastAsia"/>
          <w:color w:val="auto"/>
          <w:sz w:val="24"/>
          <w:szCs w:val="24"/>
          <w:highlight w:val="none"/>
          <w:lang w:val="en-US" w:eastAsia="zh-CN"/>
        </w:rPr>
      </w:pPr>
      <w:r>
        <w:rPr>
          <w:rFonts w:hint="eastAsia"/>
          <w:color w:val="auto"/>
          <w:sz w:val="24"/>
          <w:szCs w:val="24"/>
          <w:highlight w:val="none"/>
        </w:rPr>
        <w:t>扫描角度：环形360°</w:t>
      </w:r>
      <w:r>
        <w:rPr>
          <w:rFonts w:hint="eastAsia"/>
          <w:color w:val="auto"/>
          <w:sz w:val="24"/>
          <w:szCs w:val="24"/>
          <w:highlight w:val="none"/>
          <w:lang w:eastAsia="zh-CN"/>
        </w:rPr>
        <w:t>；</w:t>
      </w:r>
    </w:p>
    <w:p w14:paraId="687C530E">
      <w:pPr>
        <w:keepNext w:val="0"/>
        <w:keepLines w:val="0"/>
        <w:pageBreakBefore w:val="0"/>
        <w:widowControl w:val="0"/>
        <w:shd w:val="clear"/>
        <w:kinsoku/>
        <w:wordWrap/>
        <w:overflowPunct/>
        <w:topLinePunct w:val="0"/>
        <w:autoSpaceDE/>
        <w:autoSpaceDN/>
        <w:bidi w:val="0"/>
        <w:adjustRightInd/>
        <w:snapToGrid/>
        <w:spacing w:line="540" w:lineRule="exact"/>
        <w:ind w:left="0" w:leftChars="0" w:right="0" w:rightChars="0" w:firstLine="482" w:firstLineChars="200"/>
        <w:jc w:val="left"/>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注：参数中★项必须满足，否则响应文件无效</w:t>
      </w:r>
    </w:p>
    <w:p w14:paraId="06F2648D">
      <w:pPr>
        <w:rPr>
          <w:rFonts w:hint="eastAsia" w:ascii="宋体" w:hAnsi="宋体" w:eastAsia="宋体" w:cs="宋体"/>
          <w:b/>
          <w:bCs w:val="0"/>
          <w:color w:val="auto"/>
          <w:sz w:val="24"/>
          <w:szCs w:val="24"/>
          <w:highlight w:val="none"/>
          <w:lang w:val="en-US" w:eastAsia="zh-CN"/>
        </w:rPr>
      </w:pPr>
    </w:p>
    <w:p w14:paraId="578DAF95">
      <w:pPr>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br w:type="page"/>
      </w:r>
    </w:p>
    <w:bookmarkEnd w:id="157"/>
    <w:p w14:paraId="3B132286">
      <w:pPr>
        <w:rPr>
          <w:rFonts w:hint="eastAsia" w:ascii="宋体" w:hAnsi="宋体" w:eastAsia="宋体" w:cs="宋体"/>
          <w:color w:val="auto"/>
          <w:sz w:val="24"/>
          <w:szCs w:val="24"/>
          <w:highlight w:val="none"/>
        </w:rPr>
      </w:pPr>
      <w:bookmarkStart w:id="162" w:name="_Toc1378"/>
    </w:p>
    <w:p w14:paraId="679BDD82">
      <w:pPr>
        <w:keepNext w:val="0"/>
        <w:keepLines w:val="0"/>
        <w:pageBreakBefore w:val="0"/>
        <w:widowControl w:val="0"/>
        <w:kinsoku/>
        <w:wordWrap/>
        <w:overflowPunct/>
        <w:topLinePunct w:val="0"/>
        <w:autoSpaceDE/>
        <w:autoSpaceDN/>
        <w:bidi w:val="0"/>
        <w:adjustRightInd/>
        <w:snapToGrid/>
        <w:spacing w:line="360" w:lineRule="exact"/>
        <w:ind w:firstLine="562" w:firstLineChars="200"/>
        <w:jc w:val="center"/>
        <w:textAlignment w:val="auto"/>
        <w:outlineLvl w:val="0"/>
        <w:rPr>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sz w:val="28"/>
          <w:szCs w:val="28"/>
          <w:highlight w:val="none"/>
          <w:lang w:eastAsia="zh-CN"/>
        </w:rPr>
        <w:t>第五章  评标办法</w:t>
      </w:r>
      <w:bookmarkEnd w:id="158"/>
      <w:bookmarkEnd w:id="162"/>
      <w:bookmarkStart w:id="163" w:name="_Hlt101846155"/>
      <w:bookmarkEnd w:id="163"/>
      <w:bookmarkStart w:id="164" w:name="_Toc183582280"/>
      <w:bookmarkStart w:id="165" w:name="_Toc208849007"/>
      <w:bookmarkStart w:id="166" w:name="_Toc183682415"/>
      <w:bookmarkStart w:id="167" w:name="_Toc217446097"/>
    </w:p>
    <w:p w14:paraId="0E0C6F2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总则</w:t>
      </w:r>
      <w:bookmarkEnd w:id="164"/>
      <w:bookmarkEnd w:id="165"/>
      <w:bookmarkEnd w:id="166"/>
      <w:bookmarkEnd w:id="167"/>
    </w:p>
    <w:p w14:paraId="7673303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根据《中华人民共和国政府采购法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中华人民共和国政府采购法实施条例》和《政府采购货物和服务招标投标管理办法》（财政部第87号令）等法律法规、规章和相关规定，结合招标项目特点制定本评标办法。</w:t>
      </w:r>
    </w:p>
    <w:p w14:paraId="40A93C92">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1.2 </w:t>
      </w:r>
      <w:r>
        <w:rPr>
          <w:rFonts w:hint="eastAsia" w:ascii="宋体" w:hAnsi="宋体" w:eastAsia="宋体" w:cs="宋体"/>
          <w:bCs/>
          <w:color w:val="auto"/>
          <w:sz w:val="24"/>
          <w:szCs w:val="24"/>
          <w:highlight w:val="none"/>
        </w:rPr>
        <w:t>评标工作由采购人负责组织，具体评标工作由采购人依法组建的评标委员会负责。评标委员会由采购人代表和有关技术、经济等方面的专家组成。</w:t>
      </w:r>
    </w:p>
    <w:p w14:paraId="2FB6599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 评标工作应遵循公平、公正、科学及择优的原则。</w:t>
      </w:r>
    </w:p>
    <w:p w14:paraId="603BE1EA">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 评标委员会按照招标文件规定的评标方法和标准进行评标，并独立履行下列职责：</w:t>
      </w:r>
    </w:p>
    <w:p w14:paraId="028E9DC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（1）审查投标文件是否符合招标文件要求，并作出评价；</w:t>
      </w:r>
    </w:p>
    <w:p w14:paraId="331333B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（2）要求</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对投标文件有关事项作出解释或者澄清；</w:t>
      </w:r>
    </w:p>
    <w:p w14:paraId="7EE0C6C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（3）推荐中标候选投标人名单，或者受采购人委托按照事先确定的办法直接确定中标投标人；</w:t>
      </w:r>
    </w:p>
    <w:p w14:paraId="6B3522F5">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（4）向采购人或者有关部门报告非法干预评标工作的行为。</w:t>
      </w:r>
      <w:bookmarkStart w:id="168" w:name="_Toc217446098"/>
    </w:p>
    <w:p w14:paraId="517BEA9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 评标过程严格保密。投标人对评标委员会的评标过程或合同授予决定施加影响的任何行为都可能导致其投标被拒绝。</w:t>
      </w:r>
    </w:p>
    <w:p w14:paraId="3AA1F833">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1.6评标委员会决定投标文件的响应性应依据投标文件本身的内容，而不寻求外部的证据。</w:t>
      </w:r>
    </w:p>
    <w:p w14:paraId="3D66416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1.7评标委员会发现招标文件表述不明确或需要说明的事项，可提请采购人书面解释说明。发现招标文件违反法律、法规、规章和相关规定的，可以拒绝评标，并向采购人书面说明情况。</w:t>
      </w:r>
    </w:p>
    <w:p w14:paraId="727C8AC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2</w:t>
      </w: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评标方法</w:t>
      </w:r>
    </w:p>
    <w:p w14:paraId="729C650C">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本项目评标方法为：综合评分法。</w:t>
      </w:r>
    </w:p>
    <w:p w14:paraId="50E6EC19">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3</w:t>
      </w: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评标程序</w:t>
      </w:r>
      <w:bookmarkEnd w:id="168"/>
    </w:p>
    <w:p w14:paraId="3DB4E64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textAlignment w:val="auto"/>
        <w:rPr>
          <w:rFonts w:hint="eastAsia" w:ascii="宋体" w:hAnsi="宋体" w:eastAsia="宋体" w:cs="宋体"/>
          <w:color w:val="auto"/>
          <w:sz w:val="24"/>
          <w:szCs w:val="24"/>
          <w:highlight w:val="none"/>
        </w:rPr>
      </w:pPr>
      <w:bookmarkStart w:id="169" w:name="_Toc217446099"/>
      <w:r>
        <w:rPr>
          <w:rFonts w:hint="eastAsia" w:ascii="宋体" w:hAnsi="宋体" w:eastAsia="宋体" w:cs="宋体"/>
          <w:color w:val="auto"/>
          <w:sz w:val="24"/>
          <w:szCs w:val="24"/>
          <w:highlight w:val="none"/>
        </w:rPr>
        <w:t>3.1资格审查</w:t>
      </w:r>
    </w:p>
    <w:p w14:paraId="7C71741F">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78E5D43E">
      <w:pPr>
        <w:keepNext/>
        <w:keepLines/>
        <w:pageBreakBefore w:val="0"/>
        <w:wordWrap/>
        <w:overflowPunct/>
        <w:topLinePunct w:val="0"/>
        <w:bidi w:val="0"/>
        <w:spacing w:line="560" w:lineRule="exact"/>
        <w:ind w:left="0" w:leftChars="0" w:right="0" w:rightChars="0"/>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资格审查表</w:t>
      </w:r>
    </w:p>
    <w:tbl>
      <w:tblPr>
        <w:tblStyle w:val="31"/>
        <w:tblW w:w="48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04"/>
        <w:gridCol w:w="3508"/>
        <w:gridCol w:w="5143"/>
      </w:tblGrid>
      <w:tr w14:paraId="25259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5" w:hRule="atLeast"/>
          <w:jc w:val="center"/>
        </w:trPr>
        <w:tc>
          <w:tcPr>
            <w:tcW w:w="903" w:type="dxa"/>
            <w:vMerge w:val="restart"/>
            <w:vAlign w:val="center"/>
          </w:tcPr>
          <w:p w14:paraId="7FE43C07">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505" w:type="dxa"/>
            <w:vMerge w:val="restart"/>
            <w:vAlign w:val="center"/>
          </w:tcPr>
          <w:p w14:paraId="4F366AA0">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审查</w:t>
            </w:r>
            <w:r>
              <w:rPr>
                <w:rFonts w:hint="eastAsia" w:ascii="宋体" w:hAnsi="宋体" w:eastAsia="宋体" w:cs="宋体"/>
                <w:color w:val="auto"/>
                <w:sz w:val="24"/>
                <w:szCs w:val="24"/>
                <w:highlight w:val="none"/>
                <w:lang w:val="en-US" w:eastAsia="zh-CN"/>
              </w:rPr>
              <w:t>因素</w:t>
            </w:r>
          </w:p>
        </w:tc>
        <w:tc>
          <w:tcPr>
            <w:tcW w:w="5139" w:type="dxa"/>
            <w:vMerge w:val="restart"/>
            <w:vAlign w:val="center"/>
          </w:tcPr>
          <w:p w14:paraId="0D2D2CD7">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审查标准</w:t>
            </w:r>
          </w:p>
        </w:tc>
      </w:tr>
      <w:tr w14:paraId="20746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9" w:hRule="atLeast"/>
          <w:jc w:val="center"/>
        </w:trPr>
        <w:tc>
          <w:tcPr>
            <w:tcW w:w="903" w:type="dxa"/>
            <w:vMerge w:val="continue"/>
            <w:vAlign w:val="center"/>
          </w:tcPr>
          <w:p w14:paraId="289361C2">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p>
        </w:tc>
        <w:tc>
          <w:tcPr>
            <w:tcW w:w="3505" w:type="dxa"/>
            <w:vMerge w:val="continue"/>
            <w:vAlign w:val="center"/>
          </w:tcPr>
          <w:p w14:paraId="1D5082F1">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p>
        </w:tc>
        <w:tc>
          <w:tcPr>
            <w:tcW w:w="5139" w:type="dxa"/>
            <w:vMerge w:val="continue"/>
            <w:vAlign w:val="center"/>
          </w:tcPr>
          <w:p w14:paraId="6099C5C2">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lang w:val="en-US" w:eastAsia="zh-CN"/>
              </w:rPr>
            </w:pPr>
          </w:p>
        </w:tc>
      </w:tr>
      <w:tr w14:paraId="1AB87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5" w:hRule="atLeast"/>
          <w:jc w:val="center"/>
        </w:trPr>
        <w:tc>
          <w:tcPr>
            <w:tcW w:w="903" w:type="dxa"/>
            <w:vAlign w:val="center"/>
          </w:tcPr>
          <w:p w14:paraId="7E129827">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3505" w:type="dxa"/>
            <w:vAlign w:val="center"/>
          </w:tcPr>
          <w:p w14:paraId="46869B35">
            <w:pPr>
              <w:pStyle w:val="90"/>
              <w:keepNext w:val="0"/>
              <w:keepLines w:val="0"/>
              <w:pageBreakBefore w:val="0"/>
              <w:kinsoku/>
              <w:wordWrap/>
              <w:overflowPunct/>
              <w:topLinePunct w:val="0"/>
              <w:autoSpaceDE/>
              <w:autoSpaceDN/>
              <w:bidi w:val="0"/>
              <w:adjustRightInd/>
              <w:snapToGrid/>
              <w:spacing w:line="240" w:lineRule="auto"/>
              <w:ind w:left="0" w:leftChars="0" w:right="0" w:rightChars="0"/>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具有独立承担民事责任的能力；</w:t>
            </w:r>
          </w:p>
        </w:tc>
        <w:tc>
          <w:tcPr>
            <w:tcW w:w="5139" w:type="dxa"/>
            <w:vAlign w:val="center"/>
          </w:tcPr>
          <w:p w14:paraId="7319C29B">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满足以下条件之一即可</w:t>
            </w:r>
            <w:r>
              <w:rPr>
                <w:rFonts w:hint="eastAsia" w:ascii="宋体" w:hAnsi="宋体" w:eastAsia="宋体" w:cs="宋体"/>
                <w:color w:val="auto"/>
                <w:sz w:val="24"/>
                <w:szCs w:val="24"/>
                <w:highlight w:val="none"/>
                <w:lang w:eastAsia="zh-CN"/>
              </w:rPr>
              <w:t>：</w:t>
            </w:r>
          </w:p>
          <w:p w14:paraId="7989FB57">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投标人为企业（包括合伙企业）的，应提供有效的“营业执照”；</w:t>
            </w:r>
          </w:p>
          <w:p w14:paraId="206BE5A6">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投标人为事业单位的，应提供有效的“事业单位法人证书”；</w:t>
            </w:r>
          </w:p>
          <w:p w14:paraId="4B49E74C">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投标人是非企业机构的，应提供有效的“执业许可证”、“登记证书”等证明文件；</w:t>
            </w:r>
          </w:p>
          <w:p w14:paraId="32A7B20A">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投标人是个体工商户的，应提供有效的“个体工商户营业执照”；</w:t>
            </w:r>
          </w:p>
          <w:p w14:paraId="1C40F710">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投标人是自然人的，应提供有效的自然人身份证明。</w:t>
            </w:r>
          </w:p>
          <w:p w14:paraId="127EF10E">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r>
              <w:rPr>
                <w:rFonts w:hint="eastAsia" w:ascii="宋体" w:hAnsi="宋体" w:eastAsia="宋体" w:cs="宋体"/>
                <w:color w:val="auto"/>
                <w:sz w:val="24"/>
                <w:szCs w:val="24"/>
                <w:highlight w:val="none"/>
                <w:lang w:eastAsia="zh-CN"/>
              </w:rPr>
              <w:t>。</w:t>
            </w:r>
          </w:p>
        </w:tc>
      </w:tr>
      <w:tr w14:paraId="1E847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22" w:hRule="atLeast"/>
          <w:jc w:val="center"/>
        </w:trPr>
        <w:tc>
          <w:tcPr>
            <w:tcW w:w="903" w:type="dxa"/>
            <w:vAlign w:val="center"/>
          </w:tcPr>
          <w:p w14:paraId="2912D55A">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3505" w:type="dxa"/>
            <w:vAlign w:val="center"/>
          </w:tcPr>
          <w:p w14:paraId="363394E9">
            <w:pPr>
              <w:keepNext w:val="0"/>
              <w:keepLines w:val="0"/>
              <w:pageBreakBefore w:val="0"/>
              <w:widowControl/>
              <w:kinsoku/>
              <w:wordWrap/>
              <w:overflowPunct/>
              <w:topLinePunct w:val="0"/>
              <w:autoSpaceDE/>
              <w:autoSpaceDN/>
              <w:bidi w:val="0"/>
              <w:adjustRightInd/>
              <w:snapToGrid/>
              <w:spacing w:line="24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具有良好的商业信誉和健全的财务会计制度；</w:t>
            </w:r>
          </w:p>
        </w:tc>
        <w:tc>
          <w:tcPr>
            <w:tcW w:w="5139" w:type="dxa"/>
            <w:vAlign w:val="center"/>
          </w:tcPr>
          <w:p w14:paraId="2E938F54">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具有良好的商业信誉和健全的财务会计制度；</w:t>
            </w:r>
          </w:p>
          <w:p w14:paraId="05011401">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①以开标截止时间点投标人未列入“信用中国”&lt;www.creditchina.gov.cn&gt;网站的“失信被执行人”和“重大税收违法失信主体”及“中国政府采购网”&lt;www.ccgp.gov.cn&gt;网站的“政府采购严重违法失信行为记录名单”；开标截止时间点，由采购代理公司统一登陆网站查询递交响应文件的供应商信誉情况，并以保存的网页查询截图为准。投标人为自然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事业单位、个体工商户</w:t>
            </w:r>
            <w:r>
              <w:rPr>
                <w:rFonts w:hint="eastAsia" w:ascii="宋体" w:hAnsi="宋体" w:eastAsia="宋体" w:cs="宋体"/>
                <w:color w:val="auto"/>
                <w:sz w:val="24"/>
                <w:szCs w:val="24"/>
                <w:highlight w:val="none"/>
              </w:rPr>
              <w:t>需提供</w:t>
            </w:r>
            <w:r>
              <w:rPr>
                <w:rFonts w:hint="eastAsia" w:ascii="宋体" w:hAnsi="宋体" w:eastAsia="宋体" w:cs="宋体"/>
                <w:color w:val="auto"/>
                <w:sz w:val="24"/>
                <w:szCs w:val="24"/>
                <w:highlight w:val="none"/>
                <w:lang w:val="en-US" w:eastAsia="zh-CN"/>
              </w:rPr>
              <w:t>承诺函；</w:t>
            </w:r>
          </w:p>
          <w:p w14:paraId="68730D69">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②银行出具的近1年内</w:t>
            </w:r>
            <w:r>
              <w:rPr>
                <w:rFonts w:hint="eastAsia" w:ascii="宋体" w:hAnsi="宋体" w:eastAsia="宋体" w:cs="宋体"/>
                <w:color w:val="auto"/>
                <w:sz w:val="24"/>
                <w:szCs w:val="24"/>
                <w:highlight w:val="none"/>
                <w:lang w:val="en-US" w:eastAsia="zh-CN"/>
              </w:rPr>
              <w:t>任意三个月银行</w:t>
            </w:r>
            <w:r>
              <w:rPr>
                <w:rFonts w:hint="eastAsia" w:ascii="宋体" w:hAnsi="宋体" w:eastAsia="宋体" w:cs="宋体"/>
                <w:color w:val="auto"/>
                <w:sz w:val="24"/>
                <w:szCs w:val="24"/>
                <w:highlight w:val="none"/>
              </w:rPr>
              <w:t>资信证明或2023年度经会计师事务所或审计机构审计的财务审计报告，财务报告</w:t>
            </w:r>
            <w:r>
              <w:rPr>
                <w:rFonts w:hint="eastAsia" w:ascii="宋体" w:hAnsi="宋体" w:eastAsia="宋体" w:cs="宋体"/>
                <w:color w:val="auto"/>
                <w:sz w:val="24"/>
                <w:szCs w:val="24"/>
                <w:highlight w:val="none"/>
                <w:lang w:val="en-US" w:eastAsia="zh-CN"/>
              </w:rPr>
              <w:t>至少包含现金流量表‌、资产负债表、利润表；</w:t>
            </w:r>
            <w:r>
              <w:rPr>
                <w:rFonts w:hint="eastAsia" w:ascii="宋体" w:hAnsi="宋体" w:eastAsia="宋体" w:cs="宋体"/>
                <w:color w:val="auto"/>
                <w:sz w:val="24"/>
                <w:szCs w:val="24"/>
                <w:highlight w:val="none"/>
              </w:rPr>
              <w:t>投标人为自然人</w:t>
            </w:r>
            <w:r>
              <w:rPr>
                <w:rFonts w:hint="eastAsia" w:ascii="宋体" w:hAnsi="宋体" w:eastAsia="宋体" w:cs="宋体"/>
                <w:color w:val="auto"/>
                <w:sz w:val="24"/>
                <w:szCs w:val="24"/>
                <w:highlight w:val="none"/>
                <w:lang w:val="en-US" w:eastAsia="zh-CN"/>
              </w:rPr>
              <w:t>、个体工商户、营业执照成立日期不足一年的新成立单位</w:t>
            </w: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val="en-US" w:eastAsia="zh-CN"/>
              </w:rPr>
              <w:t>承诺函；</w:t>
            </w:r>
          </w:p>
        </w:tc>
      </w:tr>
      <w:tr w14:paraId="17B0A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9" w:hRule="atLeast"/>
          <w:jc w:val="center"/>
        </w:trPr>
        <w:tc>
          <w:tcPr>
            <w:tcW w:w="903" w:type="dxa"/>
            <w:vAlign w:val="center"/>
          </w:tcPr>
          <w:p w14:paraId="48BE6394">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3505" w:type="dxa"/>
            <w:vAlign w:val="center"/>
          </w:tcPr>
          <w:p w14:paraId="765FC12E">
            <w:pPr>
              <w:keepNext w:val="0"/>
              <w:keepLines w:val="0"/>
              <w:pageBreakBefore w:val="0"/>
              <w:widowControl/>
              <w:kinsoku/>
              <w:wordWrap/>
              <w:overflowPunct/>
              <w:topLinePunct w:val="0"/>
              <w:autoSpaceDE/>
              <w:autoSpaceDN/>
              <w:bidi w:val="0"/>
              <w:adjustRightInd/>
              <w:snapToGrid/>
              <w:spacing w:line="24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具有履行合同所必需的设备和专业技术能力；</w:t>
            </w:r>
          </w:p>
        </w:tc>
        <w:tc>
          <w:tcPr>
            <w:tcW w:w="5139" w:type="dxa"/>
            <w:vAlign w:val="center"/>
          </w:tcPr>
          <w:p w14:paraId="7ACE6DCB">
            <w:pPr>
              <w:keepNext w:val="0"/>
              <w:keepLines w:val="0"/>
              <w:pageBreakBefore w:val="0"/>
              <w:widowControl/>
              <w:kinsoku/>
              <w:wordWrap/>
              <w:overflowPunct/>
              <w:topLinePunct w:val="0"/>
              <w:autoSpaceDE/>
              <w:autoSpaceDN/>
              <w:bidi w:val="0"/>
              <w:adjustRightInd/>
              <w:snapToGrid/>
              <w:spacing w:line="24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提供相关设备设施购置发票或单据</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pacing w:val="-2"/>
                <w:sz w:val="24"/>
                <w:szCs w:val="24"/>
                <w:highlight w:val="none"/>
              </w:rPr>
              <w:t>具有履行合同所必需的专业技术能力相关证明材料或</w:t>
            </w:r>
            <w:r>
              <w:rPr>
                <w:rFonts w:hint="eastAsia" w:ascii="宋体" w:hAnsi="宋体" w:eastAsia="宋体" w:cs="宋体"/>
                <w:color w:val="auto"/>
                <w:sz w:val="24"/>
                <w:szCs w:val="24"/>
                <w:highlight w:val="none"/>
              </w:rPr>
              <w:t>承诺函</w:t>
            </w:r>
            <w:r>
              <w:rPr>
                <w:rFonts w:hint="eastAsia" w:ascii="宋体" w:hAnsi="宋体" w:eastAsia="宋体" w:cs="宋体"/>
                <w:color w:val="auto"/>
                <w:sz w:val="24"/>
                <w:szCs w:val="24"/>
                <w:highlight w:val="none"/>
                <w:lang w:eastAsia="zh-CN"/>
              </w:rPr>
              <w:t>；</w:t>
            </w:r>
          </w:p>
        </w:tc>
      </w:tr>
      <w:tr w14:paraId="1515D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89" w:hRule="atLeast"/>
          <w:jc w:val="center"/>
        </w:trPr>
        <w:tc>
          <w:tcPr>
            <w:tcW w:w="903" w:type="dxa"/>
            <w:vAlign w:val="center"/>
          </w:tcPr>
          <w:p w14:paraId="653EE857">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3505" w:type="dxa"/>
            <w:vAlign w:val="center"/>
          </w:tcPr>
          <w:p w14:paraId="23F5078D">
            <w:pPr>
              <w:pStyle w:val="10"/>
              <w:keepNext w:val="0"/>
              <w:keepLines w:val="0"/>
              <w:pageBreakBefore w:val="0"/>
              <w:widowControl/>
              <w:kinsoku/>
              <w:wordWrap/>
              <w:overflowPunct/>
              <w:topLinePunct w:val="0"/>
              <w:autoSpaceDE/>
              <w:autoSpaceDN/>
              <w:bidi w:val="0"/>
              <w:adjustRightInd/>
              <w:snapToGrid/>
              <w:spacing w:after="0" w:line="24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tc>
        <w:tc>
          <w:tcPr>
            <w:tcW w:w="5139" w:type="dxa"/>
            <w:vAlign w:val="center"/>
          </w:tcPr>
          <w:p w14:paraId="0E5E9783">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提供：①近</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个月内任意</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个月已依法缴纳税收的凭据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自然人、个体工商户无需提供；</w:t>
            </w:r>
            <w:r>
              <w:rPr>
                <w:rFonts w:hint="eastAsia" w:ascii="宋体" w:hAnsi="宋体" w:eastAsia="宋体" w:cs="宋体"/>
                <w:color w:val="auto"/>
                <w:sz w:val="24"/>
                <w:szCs w:val="24"/>
                <w:highlight w:val="none"/>
              </w:rPr>
              <w:t>依法免税</w:t>
            </w:r>
            <w:r>
              <w:rPr>
                <w:rFonts w:hint="eastAsia" w:ascii="宋体" w:hAnsi="宋体" w:eastAsia="宋体" w:cs="宋体"/>
                <w:color w:val="auto"/>
                <w:sz w:val="24"/>
                <w:szCs w:val="24"/>
                <w:highlight w:val="none"/>
                <w:lang w:eastAsia="zh-CN"/>
              </w:rPr>
              <w:t>的投标人</w:t>
            </w:r>
            <w:r>
              <w:rPr>
                <w:rFonts w:hint="eastAsia" w:ascii="宋体" w:hAnsi="宋体" w:eastAsia="宋体" w:cs="宋体"/>
                <w:color w:val="auto"/>
                <w:sz w:val="24"/>
                <w:szCs w:val="24"/>
                <w:highlight w:val="none"/>
              </w:rPr>
              <w:t>，应提供相应证明文件；②近</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个月内任意</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个月已依法缴纳社会保险的凭据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自然人、个体工商户无需提供。</w:t>
            </w:r>
          </w:p>
          <w:p w14:paraId="2F6E57E3">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公司员工为返聘人员提供返聘合同、退休证；</w:t>
            </w:r>
          </w:p>
        </w:tc>
      </w:tr>
      <w:tr w14:paraId="42C85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6" w:hRule="atLeast"/>
          <w:jc w:val="center"/>
        </w:trPr>
        <w:tc>
          <w:tcPr>
            <w:tcW w:w="903" w:type="dxa"/>
            <w:vAlign w:val="center"/>
          </w:tcPr>
          <w:p w14:paraId="3B97EA8C">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3505" w:type="dxa"/>
            <w:vAlign w:val="center"/>
          </w:tcPr>
          <w:p w14:paraId="564081ED">
            <w:pPr>
              <w:keepNext w:val="0"/>
              <w:keepLines w:val="0"/>
              <w:pageBreakBefore w:val="0"/>
              <w:widowControl/>
              <w:kinsoku/>
              <w:wordWrap/>
              <w:overflowPunct/>
              <w:topLinePunct w:val="0"/>
              <w:autoSpaceDE/>
              <w:autoSpaceDN/>
              <w:bidi w:val="0"/>
              <w:adjustRightInd/>
              <w:snapToGrid/>
              <w:spacing w:line="24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参加政府采购活动前三年内，在经营活动中没有重大违法记录；</w:t>
            </w:r>
          </w:p>
        </w:tc>
        <w:tc>
          <w:tcPr>
            <w:tcW w:w="5139" w:type="dxa"/>
            <w:vAlign w:val="center"/>
          </w:tcPr>
          <w:p w14:paraId="1E22DFA7">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提供承诺函</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自行承诺并承担后果，声明不实的，按《政府采购法》及相关法律法规中提供虚假材料的有关规定处理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 </w:t>
            </w:r>
          </w:p>
        </w:tc>
      </w:tr>
      <w:tr w14:paraId="7250D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9" w:hRule="atLeast"/>
          <w:jc w:val="center"/>
        </w:trPr>
        <w:tc>
          <w:tcPr>
            <w:tcW w:w="903" w:type="dxa"/>
            <w:vAlign w:val="center"/>
          </w:tcPr>
          <w:p w14:paraId="2F8E37FB">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3505" w:type="dxa"/>
            <w:vAlign w:val="center"/>
          </w:tcPr>
          <w:p w14:paraId="29253733">
            <w:pPr>
              <w:keepNext w:val="0"/>
              <w:keepLines w:val="0"/>
              <w:pageBreakBefore w:val="0"/>
              <w:widowControl/>
              <w:kinsoku/>
              <w:wordWrap/>
              <w:overflowPunct/>
              <w:topLinePunct w:val="0"/>
              <w:autoSpaceDE/>
              <w:autoSpaceDN/>
              <w:bidi w:val="0"/>
              <w:adjustRightInd/>
              <w:snapToGrid/>
              <w:spacing w:line="240" w:lineRule="auto"/>
              <w:ind w:left="0" w:leftChars="0" w:right="0" w:righ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5139" w:type="dxa"/>
            <w:vAlign w:val="center"/>
          </w:tcPr>
          <w:p w14:paraId="3CBD69E9">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提供承诺函，投标人自行承诺并承担后果，声明函不实的，按《政府采购法》及相关法律法规中提供虚假材料的有关规定处理）； </w:t>
            </w:r>
          </w:p>
        </w:tc>
      </w:tr>
      <w:tr w14:paraId="0A78B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63" w:hRule="atLeast"/>
          <w:jc w:val="center"/>
        </w:trPr>
        <w:tc>
          <w:tcPr>
            <w:tcW w:w="903" w:type="dxa"/>
            <w:vAlign w:val="center"/>
          </w:tcPr>
          <w:p w14:paraId="1B8F1648">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3505" w:type="dxa"/>
            <w:vAlign w:val="center"/>
          </w:tcPr>
          <w:p w14:paraId="608CD579">
            <w:pPr>
              <w:keepNext w:val="0"/>
              <w:keepLines w:val="0"/>
              <w:pageBreakBefore w:val="0"/>
              <w:widowControl/>
              <w:kinsoku/>
              <w:wordWrap/>
              <w:overflowPunct/>
              <w:topLinePunct w:val="0"/>
              <w:autoSpaceDE/>
              <w:autoSpaceDN/>
              <w:bidi w:val="0"/>
              <w:adjustRightInd/>
              <w:snapToGrid/>
              <w:spacing w:line="24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投标人具有医疗器械经营资格；属于医疗器械管理的产品需根据《医疗器械监督管理条例》 有关内容办理医疗器械产品注册或备案.</w:t>
            </w:r>
          </w:p>
        </w:tc>
        <w:tc>
          <w:tcPr>
            <w:tcW w:w="5139" w:type="dxa"/>
            <w:vAlign w:val="center"/>
          </w:tcPr>
          <w:p w14:paraId="32ED0FCE">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val="en-US" w:eastAsia="zh-CN"/>
              </w:rPr>
              <w:t>合格有效的</w:t>
            </w:r>
            <w:r>
              <w:rPr>
                <w:rFonts w:hint="eastAsia" w:ascii="宋体" w:hAnsi="宋体" w:eastAsia="宋体" w:cs="宋体"/>
                <w:color w:val="auto"/>
                <w:spacing w:val="-2"/>
                <w:sz w:val="24"/>
                <w:szCs w:val="24"/>
                <w:highlight w:val="none"/>
                <w:lang w:val="en-US" w:eastAsia="zh-CN"/>
              </w:rPr>
              <w:t>相关</w:t>
            </w:r>
            <w:r>
              <w:rPr>
                <w:rFonts w:hint="eastAsia" w:ascii="宋体" w:hAnsi="宋体" w:eastAsia="宋体" w:cs="宋体"/>
                <w:color w:val="auto"/>
                <w:sz w:val="24"/>
                <w:szCs w:val="24"/>
                <w:highlight w:val="none"/>
              </w:rPr>
              <w:t>证明</w:t>
            </w:r>
            <w:r>
              <w:rPr>
                <w:rFonts w:hint="eastAsia" w:ascii="宋体" w:hAnsi="宋体" w:eastAsia="宋体" w:cs="宋体"/>
                <w:color w:val="auto"/>
                <w:sz w:val="24"/>
                <w:szCs w:val="24"/>
                <w:highlight w:val="none"/>
                <w:lang w:val="en-US" w:eastAsia="zh-CN"/>
              </w:rPr>
              <w:t>材料</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z w:val="24"/>
                <w:szCs w:val="24"/>
                <w:highlight w:val="none"/>
              </w:rPr>
              <w:t xml:space="preserve"> </w:t>
            </w:r>
          </w:p>
        </w:tc>
      </w:tr>
      <w:tr w14:paraId="10AC5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2" w:hRule="atLeast"/>
          <w:jc w:val="center"/>
        </w:trPr>
        <w:tc>
          <w:tcPr>
            <w:tcW w:w="903" w:type="dxa"/>
            <w:vAlign w:val="center"/>
          </w:tcPr>
          <w:p w14:paraId="019BE62B">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3505" w:type="dxa"/>
            <w:vAlign w:val="center"/>
          </w:tcPr>
          <w:p w14:paraId="56B12FD6">
            <w:pPr>
              <w:keepNext w:val="0"/>
              <w:keepLines w:val="0"/>
              <w:pageBreakBefore w:val="0"/>
              <w:widowControl/>
              <w:kinsoku/>
              <w:wordWrap/>
              <w:overflowPunct/>
              <w:topLinePunct w:val="0"/>
              <w:autoSpaceDE/>
              <w:autoSpaceDN/>
              <w:bidi w:val="0"/>
              <w:adjustRightInd/>
              <w:snapToGrid/>
              <w:spacing w:line="24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本项目不接受联合体</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eastAsia="zh-CN"/>
              </w:rPr>
              <w:t>。</w:t>
            </w:r>
          </w:p>
        </w:tc>
        <w:tc>
          <w:tcPr>
            <w:tcW w:w="5139" w:type="dxa"/>
            <w:vAlign w:val="center"/>
          </w:tcPr>
          <w:p w14:paraId="5AD2CE41">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无需提供任何证明材料。</w:t>
            </w:r>
          </w:p>
        </w:tc>
      </w:tr>
      <w:tr w14:paraId="680F5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9" w:hRule="atLeast"/>
          <w:jc w:val="center"/>
        </w:trPr>
        <w:tc>
          <w:tcPr>
            <w:tcW w:w="9547" w:type="dxa"/>
            <w:gridSpan w:val="3"/>
            <w:vAlign w:val="center"/>
          </w:tcPr>
          <w:p w14:paraId="6CE901F5">
            <w:pPr>
              <w:pStyle w:val="90"/>
              <w:keepNext w:val="0"/>
              <w:keepLines w:val="0"/>
              <w:pageBreakBefore w:val="0"/>
              <w:kinsoku/>
              <w:wordWrap/>
              <w:overflowPunct/>
              <w:topLinePunct w:val="0"/>
              <w:autoSpaceDE/>
              <w:autoSpaceDN/>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shd w:val="clear" w:color="auto" w:fill="FFFFFF"/>
              </w:rPr>
              <w:t>如果资格性审查有一项未通过上述审查标准，</w:t>
            </w:r>
            <w:r>
              <w:rPr>
                <w:rFonts w:hint="eastAsia" w:ascii="宋体" w:hAnsi="宋体" w:eastAsia="宋体" w:cs="宋体"/>
                <w:color w:val="auto"/>
                <w:sz w:val="24"/>
                <w:szCs w:val="24"/>
                <w:highlight w:val="none"/>
                <w:shd w:val="clear" w:color="auto" w:fill="FFFFFF"/>
                <w:lang w:val="en-US" w:eastAsia="zh-CN"/>
              </w:rPr>
              <w:t>采购人或采购代理机构</w:t>
            </w:r>
            <w:r>
              <w:rPr>
                <w:rFonts w:hint="eastAsia" w:ascii="宋体" w:hAnsi="宋体" w:eastAsia="宋体" w:cs="宋体"/>
                <w:color w:val="auto"/>
                <w:sz w:val="24"/>
                <w:szCs w:val="24"/>
                <w:highlight w:val="none"/>
                <w:shd w:val="clear" w:color="auto" w:fill="FFFFFF"/>
              </w:rPr>
              <w:t>将认定整个投标文件不响应招标文件而予以无效处理，并且不允许</w:t>
            </w:r>
            <w:r>
              <w:rPr>
                <w:rFonts w:hint="eastAsia" w:ascii="宋体" w:hAnsi="宋体" w:eastAsia="宋体" w:cs="宋体"/>
                <w:color w:val="auto"/>
                <w:sz w:val="24"/>
                <w:szCs w:val="24"/>
                <w:highlight w:val="none"/>
                <w:shd w:val="clear" w:color="auto" w:fill="FFFFFF"/>
                <w:lang w:eastAsia="zh-CN"/>
              </w:rPr>
              <w:t>投标供应商</w:t>
            </w:r>
            <w:r>
              <w:rPr>
                <w:rFonts w:hint="eastAsia" w:ascii="宋体" w:hAnsi="宋体" w:eastAsia="宋体" w:cs="宋体"/>
                <w:color w:val="auto"/>
                <w:sz w:val="24"/>
                <w:szCs w:val="24"/>
                <w:highlight w:val="none"/>
                <w:shd w:val="clear" w:color="auto" w:fill="FFFFFF"/>
              </w:rPr>
              <w:t>通过修改或撤销其不符合要求的差异或保留，使之成为具有响应性的投标。</w:t>
            </w:r>
          </w:p>
        </w:tc>
      </w:tr>
    </w:tbl>
    <w:p w14:paraId="2B657D89">
      <w:pPr>
        <w:pageBreakBefore w:val="0"/>
        <w:wordWrap/>
        <w:overflowPunct/>
        <w:topLinePunct w:val="0"/>
        <w:bidi w:val="0"/>
        <w:spacing w:line="560" w:lineRule="exact"/>
        <w:ind w:left="0" w:leftChars="0" w:right="0" w:rightChars="0" w:firstLine="480" w:firstLineChars="200"/>
        <w:rPr>
          <w:rFonts w:hint="eastAsia" w:ascii="宋体" w:hAnsi="宋体" w:eastAsia="宋体" w:cs="宋体"/>
          <w:strike/>
          <w:color w:val="auto"/>
          <w:sz w:val="24"/>
          <w:szCs w:val="24"/>
          <w:highlight w:val="none"/>
        </w:rPr>
      </w:pPr>
      <w:r>
        <w:rPr>
          <w:rFonts w:hint="eastAsia" w:ascii="宋体" w:hAnsi="宋体" w:eastAsia="宋体" w:cs="宋体"/>
          <w:color w:val="auto"/>
          <w:sz w:val="24"/>
          <w:szCs w:val="24"/>
          <w:highlight w:val="none"/>
        </w:rPr>
        <w:t>3.2符合性审查。依据招标文件的规定，从投标文件的有效性、完整性和对招标文件的响应程度进行审查，以确定是否对招标文件的实质性要求作出响应。</w:t>
      </w:r>
    </w:p>
    <w:p w14:paraId="4A45CFE5">
      <w:pPr>
        <w:pageBreakBefore w:val="0"/>
        <w:wordWrap/>
        <w:overflowPunct/>
        <w:topLinePunct w:val="0"/>
        <w:bidi w:val="0"/>
        <w:spacing w:line="560" w:lineRule="exact"/>
        <w:ind w:left="0" w:leftChars="0" w:right="0" w:rightChars="0"/>
        <w:jc w:val="center"/>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符合性审查表</w:t>
      </w:r>
    </w:p>
    <w:tbl>
      <w:tblPr>
        <w:tblStyle w:val="31"/>
        <w:tblW w:w="47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14"/>
        <w:gridCol w:w="8634"/>
      </w:tblGrid>
      <w:tr w14:paraId="75FB6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713" w:type="dxa"/>
            <w:vMerge w:val="restart"/>
            <w:vAlign w:val="center"/>
          </w:tcPr>
          <w:p w14:paraId="68866B7A">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8626" w:type="dxa"/>
            <w:vMerge w:val="restart"/>
            <w:vAlign w:val="center"/>
          </w:tcPr>
          <w:p w14:paraId="43E704E5">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审   查   标   准</w:t>
            </w:r>
          </w:p>
        </w:tc>
      </w:tr>
      <w:tr w14:paraId="5FEC8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713" w:type="dxa"/>
            <w:vMerge w:val="continue"/>
            <w:vAlign w:val="center"/>
          </w:tcPr>
          <w:p w14:paraId="7835C09B">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rPr>
            </w:pPr>
          </w:p>
        </w:tc>
        <w:tc>
          <w:tcPr>
            <w:tcW w:w="8626" w:type="dxa"/>
            <w:vMerge w:val="continue"/>
            <w:vAlign w:val="center"/>
          </w:tcPr>
          <w:p w14:paraId="60762014">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rPr>
            </w:pPr>
          </w:p>
        </w:tc>
      </w:tr>
      <w:tr w14:paraId="636EE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6" w:hRule="exact"/>
          <w:jc w:val="center"/>
        </w:trPr>
        <w:tc>
          <w:tcPr>
            <w:tcW w:w="713" w:type="dxa"/>
            <w:vAlign w:val="center"/>
          </w:tcPr>
          <w:p w14:paraId="517AB577">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8626" w:type="dxa"/>
            <w:vAlign w:val="center"/>
          </w:tcPr>
          <w:p w14:paraId="0BAE7F5A">
            <w:pPr>
              <w:pStyle w:val="90"/>
              <w:keepNext w:val="0"/>
              <w:keepLines w:val="0"/>
              <w:pageBreakBefore w:val="0"/>
              <w:widowControl/>
              <w:kinsoku/>
              <w:wordWrap/>
              <w:overflowPunct/>
              <w:topLinePunct w:val="0"/>
              <w:autoSpaceDE/>
              <w:autoSpaceDN/>
              <w:bidi w:val="0"/>
              <w:adjustRightInd/>
              <w:snapToGrid/>
              <w:spacing w:line="560" w:lineRule="exact"/>
              <w:ind w:left="0" w:leftChars="0" w:right="0" w:rightChars="0"/>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按照招标文件规定的格式要求编制投标文件，实质性响应招标文件内容</w:t>
            </w:r>
            <w:r>
              <w:rPr>
                <w:rFonts w:hint="eastAsia" w:ascii="宋体" w:hAnsi="宋体" w:eastAsia="宋体" w:cs="宋体"/>
                <w:color w:val="auto"/>
                <w:sz w:val="24"/>
                <w:szCs w:val="24"/>
                <w:highlight w:val="none"/>
                <w:lang w:eastAsia="zh-CN"/>
              </w:rPr>
              <w:t>；</w:t>
            </w:r>
          </w:p>
        </w:tc>
      </w:tr>
      <w:tr w14:paraId="03A38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exact"/>
          <w:jc w:val="center"/>
        </w:trPr>
        <w:tc>
          <w:tcPr>
            <w:tcW w:w="713" w:type="dxa"/>
            <w:vAlign w:val="center"/>
          </w:tcPr>
          <w:p w14:paraId="7F05801C">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8626" w:type="dxa"/>
            <w:vAlign w:val="center"/>
          </w:tcPr>
          <w:p w14:paraId="7C750E79">
            <w:pPr>
              <w:pStyle w:val="90"/>
              <w:keepNext w:val="0"/>
              <w:keepLines w:val="0"/>
              <w:pageBreakBefore w:val="0"/>
              <w:widowControl/>
              <w:kinsoku/>
              <w:wordWrap/>
              <w:overflowPunct/>
              <w:topLinePunct w:val="0"/>
              <w:autoSpaceDE/>
              <w:autoSpaceDN/>
              <w:bidi w:val="0"/>
              <w:adjustRightInd/>
              <w:snapToGrid/>
              <w:spacing w:line="560" w:lineRule="exact"/>
              <w:ind w:left="0" w:leftChars="0" w:right="0" w:rightChars="0"/>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按</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要求签署、盖章；</w:t>
            </w:r>
          </w:p>
        </w:tc>
      </w:tr>
      <w:tr w14:paraId="53BDA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1" w:hRule="exact"/>
          <w:jc w:val="center"/>
        </w:trPr>
        <w:tc>
          <w:tcPr>
            <w:tcW w:w="713" w:type="dxa"/>
            <w:vAlign w:val="center"/>
          </w:tcPr>
          <w:p w14:paraId="0666878F">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8626" w:type="dxa"/>
            <w:vAlign w:val="center"/>
          </w:tcPr>
          <w:p w14:paraId="625BA17B">
            <w:pPr>
              <w:pStyle w:val="90"/>
              <w:keepNext w:val="0"/>
              <w:keepLines w:val="0"/>
              <w:pageBreakBefore w:val="0"/>
              <w:widowControl/>
              <w:kinsoku/>
              <w:wordWrap/>
              <w:overflowPunct/>
              <w:topLinePunct w:val="0"/>
              <w:autoSpaceDE/>
              <w:autoSpaceDN/>
              <w:bidi w:val="0"/>
              <w:adjustRightInd/>
              <w:snapToGrid/>
              <w:spacing w:line="560" w:lineRule="exact"/>
              <w:ind w:left="0" w:leftChars="0" w:right="0" w:rightChars="0"/>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的规定提交</w:t>
            </w:r>
            <w:r>
              <w:rPr>
                <w:rFonts w:hint="eastAsia" w:ascii="宋体" w:hAnsi="宋体" w:eastAsia="宋体" w:cs="宋体"/>
                <w:color w:val="auto"/>
                <w:sz w:val="24"/>
                <w:szCs w:val="24"/>
                <w:highlight w:val="none"/>
                <w:lang w:val="en-US" w:eastAsia="zh-CN"/>
              </w:rPr>
              <w:t>投标保证金</w:t>
            </w:r>
            <w:r>
              <w:rPr>
                <w:rFonts w:hint="eastAsia" w:ascii="宋体" w:hAnsi="宋体" w:eastAsia="宋体" w:cs="宋体"/>
                <w:color w:val="auto"/>
                <w:sz w:val="24"/>
                <w:szCs w:val="24"/>
                <w:highlight w:val="none"/>
              </w:rPr>
              <w:t>；</w:t>
            </w:r>
          </w:p>
        </w:tc>
      </w:tr>
      <w:tr w14:paraId="03029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3" w:hRule="exact"/>
          <w:jc w:val="center"/>
        </w:trPr>
        <w:tc>
          <w:tcPr>
            <w:tcW w:w="713" w:type="dxa"/>
            <w:vAlign w:val="center"/>
          </w:tcPr>
          <w:p w14:paraId="790B64F1">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8626" w:type="dxa"/>
            <w:vAlign w:val="center"/>
          </w:tcPr>
          <w:p w14:paraId="05519B45">
            <w:pPr>
              <w:pStyle w:val="90"/>
              <w:keepNext w:val="0"/>
              <w:keepLines w:val="0"/>
              <w:pageBreakBefore w:val="0"/>
              <w:widowControl/>
              <w:kinsoku/>
              <w:wordWrap/>
              <w:overflowPunct/>
              <w:topLinePunct w:val="0"/>
              <w:autoSpaceDE/>
              <w:autoSpaceDN/>
              <w:bidi w:val="0"/>
              <w:adjustRightInd/>
              <w:snapToGrid/>
              <w:spacing w:line="560" w:lineRule="exact"/>
              <w:ind w:left="0" w:leftChars="0" w:right="0" w:rightChars="0"/>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w:t>
            </w:r>
            <w:r>
              <w:rPr>
                <w:rFonts w:hint="eastAsia" w:ascii="宋体" w:hAnsi="宋体" w:eastAsia="宋体" w:cs="宋体"/>
                <w:color w:val="auto"/>
                <w:sz w:val="24"/>
                <w:szCs w:val="24"/>
                <w:highlight w:val="none"/>
                <w:lang w:val="en-US" w:eastAsia="zh-CN"/>
              </w:rPr>
              <w:t>未</w:t>
            </w:r>
            <w:r>
              <w:rPr>
                <w:rFonts w:hint="eastAsia" w:ascii="宋体" w:hAnsi="宋体" w:eastAsia="宋体" w:cs="宋体"/>
                <w:color w:val="auto"/>
                <w:sz w:val="24"/>
                <w:szCs w:val="24"/>
                <w:highlight w:val="none"/>
              </w:rPr>
              <w:t>超过</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中规定的最高限价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CN"/>
              </w:rPr>
              <w:t>任何有选择的报价或有附加条件的报价，视为无效报价</w:t>
            </w:r>
            <w:r>
              <w:rPr>
                <w:rFonts w:hint="eastAsia" w:ascii="宋体" w:hAnsi="宋体" w:eastAsia="宋体" w:cs="宋体"/>
                <w:color w:val="auto"/>
                <w:sz w:val="24"/>
                <w:szCs w:val="24"/>
                <w:highlight w:val="none"/>
              </w:rPr>
              <w:t>；</w:t>
            </w:r>
          </w:p>
        </w:tc>
      </w:tr>
      <w:tr w14:paraId="2DEFB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6" w:hRule="exact"/>
          <w:jc w:val="center"/>
        </w:trPr>
        <w:tc>
          <w:tcPr>
            <w:tcW w:w="713" w:type="dxa"/>
            <w:vAlign w:val="center"/>
          </w:tcPr>
          <w:p w14:paraId="165BFBA3">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8626" w:type="dxa"/>
            <w:vAlign w:val="center"/>
          </w:tcPr>
          <w:p w14:paraId="2BEB635C">
            <w:pPr>
              <w:pStyle w:val="90"/>
              <w:keepNext w:val="0"/>
              <w:keepLines w:val="0"/>
              <w:pageBreakBefore w:val="0"/>
              <w:widowControl/>
              <w:kinsoku/>
              <w:wordWrap/>
              <w:overflowPunct/>
              <w:topLinePunct w:val="0"/>
              <w:autoSpaceDE/>
              <w:autoSpaceDN/>
              <w:bidi w:val="0"/>
              <w:adjustRightInd/>
              <w:snapToGrid/>
              <w:spacing w:line="560" w:lineRule="exact"/>
              <w:ind w:left="0" w:leftChars="0" w:right="0" w:rightChars="0"/>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供货期、</w:t>
            </w:r>
            <w:r>
              <w:rPr>
                <w:rFonts w:hint="eastAsia" w:ascii="宋体" w:hAnsi="宋体" w:eastAsia="宋体" w:cs="宋体"/>
                <w:color w:val="auto"/>
                <w:sz w:val="24"/>
                <w:szCs w:val="24"/>
                <w:highlight w:val="none"/>
              </w:rPr>
              <w:t>质保期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投标有效期、</w:t>
            </w:r>
            <w:r>
              <w:rPr>
                <w:rFonts w:hint="eastAsia" w:ascii="宋体" w:hAnsi="宋体" w:eastAsia="宋体" w:cs="宋体"/>
                <w:b w:val="0"/>
                <w:bCs/>
                <w:color w:val="auto"/>
                <w:sz w:val="24"/>
                <w:szCs w:val="24"/>
                <w:highlight w:val="none"/>
                <w:u w:val="none"/>
                <w:lang w:val="en-US" w:eastAsia="zh-CN"/>
              </w:rPr>
              <w:t>质量标准</w:t>
            </w:r>
            <w:r>
              <w:rPr>
                <w:rFonts w:hint="eastAsia" w:ascii="宋体" w:hAnsi="宋体" w:eastAsia="宋体" w:cs="宋体"/>
                <w:color w:val="auto"/>
                <w:sz w:val="24"/>
                <w:szCs w:val="24"/>
                <w:highlight w:val="none"/>
              </w:rPr>
              <w:t>符合</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w:t>
            </w:r>
          </w:p>
        </w:tc>
      </w:tr>
      <w:tr w14:paraId="6DF59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0" w:hRule="exact"/>
          <w:jc w:val="center"/>
        </w:trPr>
        <w:tc>
          <w:tcPr>
            <w:tcW w:w="713" w:type="dxa"/>
            <w:vAlign w:val="center"/>
          </w:tcPr>
          <w:p w14:paraId="7605FC01">
            <w:pPr>
              <w:pStyle w:val="90"/>
              <w:pageBreakBefore w:val="0"/>
              <w:kinsoku/>
              <w:wordWrap/>
              <w:overflowPunct/>
              <w:topLinePunct w:val="0"/>
              <w:bidi w:val="0"/>
              <w:adjustRightInd/>
              <w:snapToGrid/>
              <w:spacing w:line="560" w:lineRule="exact"/>
              <w:ind w:left="0" w:leftChars="0" w:right="0" w:rightChars="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8626" w:type="dxa"/>
            <w:vAlign w:val="center"/>
          </w:tcPr>
          <w:p w14:paraId="35D50F26">
            <w:pPr>
              <w:pStyle w:val="90"/>
              <w:keepNext w:val="0"/>
              <w:keepLines w:val="0"/>
              <w:pageBreakBefore w:val="0"/>
              <w:widowControl/>
              <w:kinsoku/>
              <w:wordWrap/>
              <w:overflowPunct/>
              <w:topLinePunct w:val="0"/>
              <w:autoSpaceDE/>
              <w:autoSpaceDN/>
              <w:bidi w:val="0"/>
              <w:adjustRightInd/>
              <w:snapToGrid/>
              <w:spacing w:line="560" w:lineRule="exact"/>
              <w:ind w:left="0" w:leftChars="0" w:right="0" w:rightChars="0"/>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lang w:val="en-US" w:eastAsia="zh-CN"/>
              </w:rPr>
              <w:t>不存在</w:t>
            </w:r>
            <w:r>
              <w:rPr>
                <w:rFonts w:hint="eastAsia" w:ascii="宋体" w:hAnsi="宋体" w:eastAsia="宋体" w:cs="宋体"/>
                <w:color w:val="auto"/>
                <w:sz w:val="24"/>
                <w:szCs w:val="24"/>
                <w:highlight w:val="none"/>
                <w:lang w:eastAsia="zh-CN"/>
              </w:rPr>
              <w:t>采购人不能接受的附加条件</w:t>
            </w:r>
            <w:r>
              <w:rPr>
                <w:rFonts w:hint="eastAsia" w:ascii="宋体" w:hAnsi="宋体" w:eastAsia="宋体" w:cs="宋体"/>
                <w:color w:val="auto"/>
                <w:sz w:val="24"/>
                <w:szCs w:val="24"/>
                <w:highlight w:val="none"/>
              </w:rPr>
              <w:t>。</w:t>
            </w:r>
          </w:p>
        </w:tc>
      </w:tr>
      <w:tr w14:paraId="6039F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6" w:hRule="exact"/>
          <w:jc w:val="center"/>
        </w:trPr>
        <w:tc>
          <w:tcPr>
            <w:tcW w:w="9339" w:type="dxa"/>
            <w:gridSpan w:val="2"/>
            <w:vAlign w:val="center"/>
          </w:tcPr>
          <w:p w14:paraId="3B995BA2">
            <w:pPr>
              <w:pStyle w:val="90"/>
              <w:pageBreakBefore w:val="0"/>
              <w:kinsoku/>
              <w:wordWrap/>
              <w:overflowPunct/>
              <w:topLinePunct w:val="0"/>
              <w:bidi w:val="0"/>
              <w:adjustRightInd/>
              <w:snapToGrid/>
              <w:spacing w:line="240" w:lineRule="auto"/>
              <w:ind w:left="0" w:leftChars="0" w:right="0" w:rightChars="0"/>
              <w:jc w:val="left"/>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rPr>
              <w:t>：如果</w:t>
            </w:r>
            <w:r>
              <w:rPr>
                <w:rFonts w:hint="eastAsia" w:ascii="宋体" w:hAnsi="宋体" w:eastAsia="宋体" w:cs="宋体"/>
                <w:color w:val="auto"/>
                <w:sz w:val="24"/>
                <w:szCs w:val="24"/>
                <w:highlight w:val="none"/>
                <w:lang w:val="en-US" w:eastAsia="zh-CN"/>
              </w:rPr>
              <w:t>符合性审查</w:t>
            </w:r>
            <w:r>
              <w:rPr>
                <w:rFonts w:hint="eastAsia" w:ascii="宋体" w:hAnsi="宋体" w:eastAsia="宋体" w:cs="宋体"/>
                <w:color w:val="auto"/>
                <w:sz w:val="24"/>
                <w:szCs w:val="24"/>
                <w:highlight w:val="none"/>
              </w:rPr>
              <w:t>中有一项未通过上述审查标准，</w:t>
            </w:r>
            <w:r>
              <w:rPr>
                <w:rFonts w:hint="eastAsia" w:ascii="宋体" w:hAnsi="宋体" w:eastAsia="宋体" w:cs="宋体"/>
                <w:color w:val="auto"/>
                <w:sz w:val="24"/>
                <w:szCs w:val="24"/>
                <w:highlight w:val="none"/>
                <w:lang w:eastAsia="zh-CN"/>
              </w:rPr>
              <w:t>评审委员会</w:t>
            </w:r>
            <w:r>
              <w:rPr>
                <w:rFonts w:hint="eastAsia" w:ascii="宋体" w:hAnsi="宋体" w:eastAsia="宋体" w:cs="宋体"/>
                <w:color w:val="auto"/>
                <w:sz w:val="24"/>
                <w:szCs w:val="24"/>
                <w:highlight w:val="none"/>
              </w:rPr>
              <w:t>将认定整个投标文件不响应招标文件而予以无效处理，并且不允许</w:t>
            </w:r>
            <w:r>
              <w:rPr>
                <w:rFonts w:hint="eastAsia" w:ascii="宋体" w:hAnsi="宋体" w:eastAsia="宋体" w:cs="宋体"/>
                <w:color w:val="auto"/>
                <w:sz w:val="24"/>
                <w:szCs w:val="24"/>
                <w:highlight w:val="none"/>
                <w:lang w:eastAsia="zh-CN"/>
              </w:rPr>
              <w:t>投标供应商</w:t>
            </w:r>
            <w:r>
              <w:rPr>
                <w:rFonts w:hint="eastAsia" w:ascii="宋体" w:hAnsi="宋体" w:eastAsia="宋体" w:cs="宋体"/>
                <w:color w:val="auto"/>
                <w:sz w:val="24"/>
                <w:szCs w:val="24"/>
                <w:highlight w:val="none"/>
              </w:rPr>
              <w:t>通过修改或撤销其不符合要求的差异或保留，使之成为具有响应性的投标</w:t>
            </w:r>
            <w:r>
              <w:rPr>
                <w:rFonts w:hint="eastAsia" w:ascii="宋体" w:hAnsi="宋体" w:eastAsia="宋体" w:cs="宋体"/>
                <w:color w:val="auto"/>
                <w:sz w:val="24"/>
                <w:szCs w:val="24"/>
                <w:highlight w:val="none"/>
                <w:lang w:eastAsia="zh-CN"/>
              </w:rPr>
              <w:t>。</w:t>
            </w:r>
          </w:p>
        </w:tc>
      </w:tr>
    </w:tbl>
    <w:p w14:paraId="1FFA62C0">
      <w:pPr>
        <w:pStyle w:val="11"/>
        <w:pageBreakBefore w:val="0"/>
        <w:tabs>
          <w:tab w:val="left" w:pos="60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3.2.1在投标文件符合性审查过程中，如果出现评标委员会成员意见不一致的情况，按照少数服从多数的原则确定，但不得违背政府采购基本原则和招标文件规定。</w:t>
      </w:r>
    </w:p>
    <w:p w14:paraId="4CFF1FE7">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澄清有关问题。对投标文件中含义不明确、同类问题表述不一致或者有明显文字和计算错误的内容，评标委员会可以书面形式（应当由评标委员会签字）要求投标人作出必要的澄清、说明或者补正。投标人的澄清、说明或者补正应当采用书面形式，由其授权人或者被授权人签字，并不得超出投标文件的范围或者改变投标文件的实质性内容。</w:t>
      </w:r>
      <w:bookmarkStart w:id="170" w:name="_Toc183582287"/>
      <w:bookmarkStart w:id="171" w:name="_Toc217446104"/>
      <w:bookmarkStart w:id="172" w:name="_Toc183682422"/>
    </w:p>
    <w:bookmarkEnd w:id="170"/>
    <w:bookmarkEnd w:id="171"/>
    <w:bookmarkEnd w:id="172"/>
    <w:p w14:paraId="55735DAF">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3.4比较与评价。按招标文件中规定的评标方法和标准，对符合性审查合格的投标文件进行综合比较与评价。</w:t>
      </w:r>
    </w:p>
    <w:p w14:paraId="3ED8F5E4">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3.5推荐中标候选人名单。中标候选人数量应当根据招标文件确定，但必须按顺序排列中标候选人。</w:t>
      </w:r>
    </w:p>
    <w:p w14:paraId="4257ED31">
      <w:pPr>
        <w:pStyle w:val="85"/>
        <w:pageBreakBefore w:val="0"/>
        <w:wordWrap/>
        <w:overflowPunct/>
        <w:topLinePunct w:val="0"/>
        <w:bidi w:val="0"/>
        <w:spacing w:line="560" w:lineRule="exact"/>
        <w:ind w:left="0" w:leftChars="0" w:right="0" w:rightChars="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3.5.1评标委员会根据综合评分情况，按照评标得分由高到低顺序推荐3名中标候选人，并编写评标报告。得分相同的，按投标报价由低到高顺序排列。得分且投标报价相同的</w:t>
      </w:r>
      <w:r>
        <w:rPr>
          <w:rFonts w:hint="eastAsia" w:ascii="宋体" w:hAnsi="宋体" w:eastAsia="宋体" w:cs="宋体"/>
          <w:color w:val="auto"/>
          <w:sz w:val="24"/>
          <w:szCs w:val="24"/>
          <w:highlight w:val="none"/>
          <w:shd w:val="clear" w:color="auto" w:fill="FAFAFA"/>
        </w:rPr>
        <w:t>，按照技术指标优劣顺序推荐</w:t>
      </w:r>
      <w:r>
        <w:rPr>
          <w:rFonts w:hint="eastAsia" w:ascii="宋体" w:hAnsi="宋体" w:eastAsia="宋体" w:cs="宋体"/>
          <w:color w:val="auto"/>
          <w:sz w:val="24"/>
          <w:szCs w:val="24"/>
          <w:highlight w:val="none"/>
        </w:rPr>
        <w:t>。</w:t>
      </w:r>
    </w:p>
    <w:p w14:paraId="1F3BDEC9">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3.6编写评标报告。评标报告是评标委员会根据评标委员成员签字的原始评标记录和评标结果编写的报告，其主要内容包括：</w:t>
      </w:r>
    </w:p>
    <w:p w14:paraId="1E9F35A6">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（1）项目概况、开标日期和地点；</w:t>
      </w:r>
    </w:p>
    <w:p w14:paraId="6E296894">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（2）参与竞争的的投标人名单和评标委员会成员名单；</w:t>
      </w:r>
    </w:p>
    <w:p w14:paraId="11D14F7E">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（3）评审因素和评分标准；</w:t>
      </w:r>
    </w:p>
    <w:p w14:paraId="439756FC">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（4）开标记录和评标情况及说明，包括投标无效投标人名单及原因；</w:t>
      </w:r>
    </w:p>
    <w:p w14:paraId="0AE174E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（5）评标结果和中标候选人排序。</w:t>
      </w:r>
    </w:p>
    <w:p w14:paraId="1DC508C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173" w:name="_Toc217446103"/>
      <w:r>
        <w:rPr>
          <w:rFonts w:hint="eastAsia" w:ascii="宋体" w:hAnsi="宋体" w:eastAsia="宋体" w:cs="宋体"/>
          <w:color w:val="auto"/>
          <w:sz w:val="24"/>
          <w:szCs w:val="24"/>
          <w:highlight w:val="none"/>
        </w:rPr>
        <w:t>4. 评标细则及标准</w:t>
      </w:r>
      <w:bookmarkEnd w:id="173"/>
    </w:p>
    <w:p w14:paraId="2B6C8EE5">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 评标委员会只对通过符合性审查的投标文件，根据招标文件的要求采用相同的评标程序、评分办法及标准进行评价和比较。</w:t>
      </w:r>
    </w:p>
    <w:p w14:paraId="2F91D95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 本次综合评分的因素是：商务、价格、技术服务、业绩、对招标文件的响应程度以及投标文件规范性等。</w:t>
      </w:r>
    </w:p>
    <w:p w14:paraId="22F7A42C">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 除价格因素外，评标委员会成员应依据投标文件规定的评审因素和评分标准进行比较打分。</w:t>
      </w:r>
    </w:p>
    <w:p w14:paraId="112EE5C9">
      <w:pPr>
        <w:pStyle w:val="11"/>
        <w:pageBreakBefore w:val="0"/>
        <w:tabs>
          <w:tab w:val="left" w:pos="60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评标细则及标准的制定以科学合理、降低评标委员会自由裁量权为原则。</w:t>
      </w:r>
    </w:p>
    <w:p w14:paraId="5E5E1208">
      <w:pPr>
        <w:pStyle w:val="11"/>
        <w:pageBreakBefore w:val="0"/>
        <w:tabs>
          <w:tab w:val="left" w:pos="60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评标委员会将按照下述评分标准对通过符合性审查的投标文件进行详细评标，投标人评标得分等于所有评委评分的算术平均值，结果保留两位小数。</w:t>
      </w:r>
    </w:p>
    <w:p w14:paraId="03B6C8D2">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评审因素权重表</w:t>
      </w:r>
    </w:p>
    <w:tbl>
      <w:tblPr>
        <w:tblStyle w:val="31"/>
        <w:tblW w:w="49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0"/>
        <w:gridCol w:w="2275"/>
        <w:gridCol w:w="2583"/>
        <w:gridCol w:w="3109"/>
      </w:tblGrid>
      <w:tr w14:paraId="7F8C3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14:paraId="5CB105AB">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序号</w:t>
            </w:r>
          </w:p>
        </w:tc>
        <w:tc>
          <w:tcPr>
            <w:tcW w:w="1158" w:type="pct"/>
            <w:tcBorders>
              <w:top w:val="single" w:color="auto" w:sz="4" w:space="0"/>
              <w:left w:val="single" w:color="auto" w:sz="4" w:space="0"/>
              <w:bottom w:val="single" w:color="auto" w:sz="4" w:space="0"/>
              <w:right w:val="single" w:color="auto" w:sz="4" w:space="0"/>
            </w:tcBorders>
            <w:vAlign w:val="center"/>
          </w:tcPr>
          <w:p w14:paraId="184AD10D">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1</w:t>
            </w:r>
          </w:p>
        </w:tc>
        <w:tc>
          <w:tcPr>
            <w:tcW w:w="1315" w:type="pct"/>
            <w:tcBorders>
              <w:top w:val="single" w:color="auto" w:sz="4" w:space="0"/>
              <w:left w:val="single" w:color="auto" w:sz="4" w:space="0"/>
              <w:bottom w:val="single" w:color="auto" w:sz="4" w:space="0"/>
              <w:right w:val="single" w:color="auto" w:sz="4" w:space="0"/>
            </w:tcBorders>
            <w:vAlign w:val="center"/>
          </w:tcPr>
          <w:p w14:paraId="7431F646">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2</w:t>
            </w:r>
          </w:p>
        </w:tc>
        <w:tc>
          <w:tcPr>
            <w:tcW w:w="1583" w:type="pct"/>
            <w:tcBorders>
              <w:top w:val="single" w:color="auto" w:sz="4" w:space="0"/>
              <w:left w:val="single" w:color="auto" w:sz="4" w:space="0"/>
              <w:bottom w:val="single" w:color="auto" w:sz="4" w:space="0"/>
              <w:right w:val="single" w:color="auto" w:sz="4" w:space="0"/>
            </w:tcBorders>
            <w:vAlign w:val="center"/>
          </w:tcPr>
          <w:p w14:paraId="14EC6A9E">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3</w:t>
            </w:r>
          </w:p>
        </w:tc>
      </w:tr>
      <w:tr w14:paraId="5EBC3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14:paraId="62D3B7E9">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评审因素</w:t>
            </w:r>
          </w:p>
        </w:tc>
        <w:tc>
          <w:tcPr>
            <w:tcW w:w="1158" w:type="pct"/>
            <w:tcBorders>
              <w:top w:val="single" w:color="auto" w:sz="4" w:space="0"/>
              <w:left w:val="single" w:color="auto" w:sz="4" w:space="0"/>
              <w:bottom w:val="single" w:color="auto" w:sz="4" w:space="0"/>
              <w:right w:val="single" w:color="auto" w:sz="4" w:space="0"/>
            </w:tcBorders>
            <w:vAlign w:val="center"/>
          </w:tcPr>
          <w:p w14:paraId="5787550A">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投标报价</w:t>
            </w:r>
          </w:p>
        </w:tc>
        <w:tc>
          <w:tcPr>
            <w:tcW w:w="1315" w:type="pct"/>
            <w:tcBorders>
              <w:top w:val="single" w:color="auto" w:sz="4" w:space="0"/>
              <w:left w:val="single" w:color="auto" w:sz="4" w:space="0"/>
              <w:bottom w:val="single" w:color="auto" w:sz="4" w:space="0"/>
              <w:right w:val="single" w:color="auto" w:sz="4" w:space="0"/>
            </w:tcBorders>
            <w:vAlign w:val="center"/>
          </w:tcPr>
          <w:p w14:paraId="3B9B1710">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技术、商务部分</w:t>
            </w:r>
          </w:p>
        </w:tc>
        <w:tc>
          <w:tcPr>
            <w:tcW w:w="1583" w:type="pct"/>
            <w:tcBorders>
              <w:top w:val="single" w:color="auto" w:sz="4" w:space="0"/>
              <w:left w:val="single" w:color="auto" w:sz="4" w:space="0"/>
              <w:bottom w:val="single" w:color="auto" w:sz="4" w:space="0"/>
              <w:right w:val="single" w:color="auto" w:sz="4" w:space="0"/>
            </w:tcBorders>
            <w:vAlign w:val="center"/>
          </w:tcPr>
          <w:p w14:paraId="4814C6A9">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合计</w:t>
            </w:r>
          </w:p>
        </w:tc>
      </w:tr>
      <w:tr w14:paraId="095D4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14:paraId="71BC386C">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权重</w:t>
            </w:r>
          </w:p>
        </w:tc>
        <w:tc>
          <w:tcPr>
            <w:tcW w:w="1158" w:type="pct"/>
            <w:tcBorders>
              <w:top w:val="single" w:color="auto" w:sz="4" w:space="0"/>
              <w:left w:val="single" w:color="auto" w:sz="4" w:space="0"/>
              <w:bottom w:val="single" w:color="auto" w:sz="4" w:space="0"/>
              <w:right w:val="single" w:color="auto" w:sz="4" w:space="0"/>
            </w:tcBorders>
            <w:vAlign w:val="center"/>
          </w:tcPr>
          <w:p w14:paraId="79B3FE69">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30%</w:t>
            </w:r>
          </w:p>
        </w:tc>
        <w:tc>
          <w:tcPr>
            <w:tcW w:w="1315" w:type="pct"/>
            <w:tcBorders>
              <w:top w:val="single" w:color="auto" w:sz="4" w:space="0"/>
              <w:left w:val="single" w:color="auto" w:sz="4" w:space="0"/>
              <w:bottom w:val="single" w:color="auto" w:sz="4" w:space="0"/>
              <w:right w:val="single" w:color="auto" w:sz="4" w:space="0"/>
            </w:tcBorders>
            <w:vAlign w:val="center"/>
          </w:tcPr>
          <w:p w14:paraId="174F3620">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lang w:val="en-US" w:eastAsia="zh-CN"/>
              </w:rPr>
              <w:t>70</w:t>
            </w:r>
            <w:r>
              <w:rPr>
                <w:rFonts w:hint="eastAsia" w:ascii="宋体" w:hAnsi="宋体" w:eastAsia="宋体" w:cs="宋体"/>
                <w:color w:val="auto"/>
                <w:spacing w:val="6"/>
                <w:kern w:val="0"/>
                <w:sz w:val="24"/>
                <w:szCs w:val="24"/>
                <w:highlight w:val="none"/>
              </w:rPr>
              <w:t>%</w:t>
            </w:r>
          </w:p>
        </w:tc>
        <w:tc>
          <w:tcPr>
            <w:tcW w:w="1583" w:type="pct"/>
            <w:tcBorders>
              <w:top w:val="single" w:color="auto" w:sz="4" w:space="0"/>
              <w:left w:val="single" w:color="auto" w:sz="4" w:space="0"/>
              <w:bottom w:val="single" w:color="auto" w:sz="4" w:space="0"/>
              <w:right w:val="single" w:color="auto" w:sz="4" w:space="0"/>
            </w:tcBorders>
            <w:vAlign w:val="center"/>
          </w:tcPr>
          <w:p w14:paraId="279D22AE">
            <w:pPr>
              <w:pageBreakBefore w:val="0"/>
              <w:wordWrap/>
              <w:overflowPunct/>
              <w:topLinePunct w:val="0"/>
              <w:autoSpaceDE w:val="0"/>
              <w:autoSpaceDN w:val="0"/>
              <w:bidi w:val="0"/>
              <w:adjustRightInd w:val="0"/>
              <w:spacing w:line="560" w:lineRule="exact"/>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100%</w:t>
            </w:r>
          </w:p>
        </w:tc>
      </w:tr>
    </w:tbl>
    <w:p w14:paraId="483DD382">
      <w:pPr>
        <w:pageBreakBefore w:val="0"/>
        <w:wordWrap/>
        <w:overflowPunct/>
        <w:topLinePunct w:val="0"/>
        <w:bidi w:val="0"/>
        <w:spacing w:line="560" w:lineRule="exact"/>
        <w:ind w:left="0" w:leftChars="0" w:right="0" w:rightChars="0"/>
        <w:jc w:val="center"/>
        <w:outlineLvl w:val="9"/>
        <w:rPr>
          <w:rFonts w:hint="eastAsia" w:ascii="宋体" w:hAnsi="宋体" w:eastAsia="宋体" w:cs="宋体"/>
          <w:color w:val="auto"/>
          <w:spacing w:val="6"/>
          <w:kern w:val="0"/>
          <w:sz w:val="24"/>
          <w:szCs w:val="24"/>
          <w:highlight w:val="none"/>
        </w:rPr>
      </w:pPr>
      <w:r>
        <w:rPr>
          <w:rFonts w:hint="eastAsia" w:ascii="宋体" w:hAnsi="宋体" w:eastAsia="宋体" w:cs="宋体"/>
          <w:b/>
          <w:bCs/>
          <w:color w:val="auto"/>
          <w:sz w:val="24"/>
          <w:szCs w:val="24"/>
          <w:highlight w:val="none"/>
        </w:rPr>
        <w:t>商务、技术部分评审标准（70分）</w:t>
      </w:r>
    </w:p>
    <w:tbl>
      <w:tblPr>
        <w:tblStyle w:val="31"/>
        <w:tblW w:w="494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8"/>
        <w:gridCol w:w="687"/>
        <w:gridCol w:w="1137"/>
        <w:gridCol w:w="1325"/>
        <w:gridCol w:w="6119"/>
      </w:tblGrid>
      <w:tr w14:paraId="39647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588" w:type="dxa"/>
            <w:tcBorders>
              <w:top w:val="single" w:color="auto" w:sz="4" w:space="0"/>
              <w:left w:val="single" w:color="auto" w:sz="4" w:space="0"/>
              <w:right w:val="single" w:color="auto" w:sz="4" w:space="0"/>
            </w:tcBorders>
            <w:vAlign w:val="center"/>
          </w:tcPr>
          <w:p w14:paraId="57872329">
            <w:pPr>
              <w:keepNext w:val="0"/>
              <w:keepLines w:val="0"/>
              <w:pageBreakBefore w:val="0"/>
              <w:widowControl w:val="0"/>
              <w:kinsoku/>
              <w:wordWrap/>
              <w:overflowPunct/>
              <w:topLinePunct w:val="0"/>
              <w:bidi w:val="0"/>
              <w:snapToGrid/>
              <w:spacing w:line="240" w:lineRule="auto"/>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评审</w:t>
            </w:r>
          </w:p>
        </w:tc>
        <w:tc>
          <w:tcPr>
            <w:tcW w:w="687" w:type="dxa"/>
            <w:tcBorders>
              <w:top w:val="single" w:color="auto" w:sz="4" w:space="0"/>
              <w:left w:val="single" w:color="auto" w:sz="4" w:space="0"/>
              <w:right w:val="single" w:color="auto" w:sz="4" w:space="0"/>
            </w:tcBorders>
            <w:vAlign w:val="center"/>
          </w:tcPr>
          <w:p w14:paraId="03E7EB9C">
            <w:pPr>
              <w:keepNext w:val="0"/>
              <w:keepLines w:val="0"/>
              <w:pageBreakBefore w:val="0"/>
              <w:widowControl w:val="0"/>
              <w:kinsoku/>
              <w:wordWrap/>
              <w:overflowPunct/>
              <w:topLinePunct w:val="0"/>
              <w:bidi w:val="0"/>
              <w:snapToGrid/>
              <w:spacing w:line="24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137" w:type="dxa"/>
            <w:tcBorders>
              <w:top w:val="single" w:color="auto" w:sz="4" w:space="0"/>
              <w:left w:val="single" w:color="auto" w:sz="4" w:space="0"/>
              <w:bottom w:val="single" w:color="auto" w:sz="4" w:space="0"/>
              <w:right w:val="single" w:color="auto" w:sz="4" w:space="0"/>
            </w:tcBorders>
            <w:vAlign w:val="center"/>
          </w:tcPr>
          <w:p w14:paraId="75200F77">
            <w:pPr>
              <w:keepNext w:val="0"/>
              <w:keepLines w:val="0"/>
              <w:pageBreakBefore w:val="0"/>
              <w:widowControl w:val="0"/>
              <w:kinsoku/>
              <w:wordWrap/>
              <w:overflowPunct/>
              <w:topLinePunct w:val="0"/>
              <w:bidi w:val="0"/>
              <w:snapToGrid/>
              <w:spacing w:line="24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评审项目</w:t>
            </w:r>
          </w:p>
        </w:tc>
        <w:tc>
          <w:tcPr>
            <w:tcW w:w="1325" w:type="dxa"/>
            <w:tcBorders>
              <w:top w:val="single" w:color="auto" w:sz="4" w:space="0"/>
              <w:left w:val="single" w:color="auto" w:sz="4" w:space="0"/>
              <w:bottom w:val="single" w:color="auto" w:sz="4" w:space="0"/>
              <w:right w:val="single" w:color="auto" w:sz="4" w:space="0"/>
            </w:tcBorders>
            <w:vAlign w:val="center"/>
          </w:tcPr>
          <w:p w14:paraId="3FA9DA3A">
            <w:pPr>
              <w:keepNext w:val="0"/>
              <w:keepLines w:val="0"/>
              <w:pageBreakBefore w:val="0"/>
              <w:widowControl w:val="0"/>
              <w:kinsoku/>
              <w:wordWrap/>
              <w:overflowPunct/>
              <w:topLinePunct w:val="0"/>
              <w:bidi w:val="0"/>
              <w:snapToGrid/>
              <w:spacing w:line="24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分值 </w:t>
            </w:r>
          </w:p>
        </w:tc>
        <w:tc>
          <w:tcPr>
            <w:tcW w:w="6121" w:type="dxa"/>
            <w:tcBorders>
              <w:top w:val="single" w:color="auto" w:sz="4" w:space="0"/>
              <w:left w:val="single" w:color="auto" w:sz="4" w:space="0"/>
              <w:bottom w:val="single" w:color="auto" w:sz="4" w:space="0"/>
              <w:right w:val="single" w:color="auto" w:sz="4" w:space="0"/>
            </w:tcBorders>
            <w:vAlign w:val="center"/>
          </w:tcPr>
          <w:p w14:paraId="49A1FC68">
            <w:pPr>
              <w:keepNext w:val="0"/>
              <w:keepLines w:val="0"/>
              <w:pageBreakBefore w:val="0"/>
              <w:widowControl w:val="0"/>
              <w:kinsoku/>
              <w:wordWrap/>
              <w:overflowPunct/>
              <w:topLinePunct w:val="0"/>
              <w:bidi w:val="0"/>
              <w:snapToGrid/>
              <w:spacing w:line="24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评审标准</w:t>
            </w:r>
          </w:p>
        </w:tc>
      </w:tr>
      <w:tr w14:paraId="325A2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4" w:hRule="atLeast"/>
          <w:jc w:val="center"/>
        </w:trPr>
        <w:tc>
          <w:tcPr>
            <w:tcW w:w="588" w:type="dxa"/>
            <w:tcBorders>
              <w:left w:val="single" w:color="auto" w:sz="4" w:space="0"/>
              <w:right w:val="single" w:color="auto" w:sz="4" w:space="0"/>
            </w:tcBorders>
            <w:vAlign w:val="center"/>
          </w:tcPr>
          <w:p w14:paraId="76C5B6D2">
            <w:pPr>
              <w:keepNext w:val="0"/>
              <w:keepLines w:val="0"/>
              <w:pageBreakBefore w:val="0"/>
              <w:widowControl w:val="0"/>
              <w:kinsoku/>
              <w:wordWrap/>
              <w:overflowPunct/>
              <w:topLinePunct w:val="0"/>
              <w:autoSpaceDE w:val="0"/>
              <w:autoSpaceDN w:val="0"/>
              <w:bidi w:val="0"/>
              <w:adjustRightInd w:val="0"/>
              <w:snapToGrid/>
              <w:spacing w:line="240" w:lineRule="auto"/>
              <w:ind w:left="0" w:leftChars="0" w:right="0" w:rightChars="0"/>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商务部分</w:t>
            </w:r>
          </w:p>
        </w:tc>
        <w:tc>
          <w:tcPr>
            <w:tcW w:w="687" w:type="dxa"/>
            <w:tcBorders>
              <w:left w:val="single" w:color="auto" w:sz="4" w:space="0"/>
              <w:right w:val="single" w:color="auto" w:sz="4" w:space="0"/>
            </w:tcBorders>
            <w:vAlign w:val="center"/>
          </w:tcPr>
          <w:p w14:paraId="4E4C30FB">
            <w:pPr>
              <w:keepNext w:val="0"/>
              <w:keepLines w:val="0"/>
              <w:pageBreakBefore w:val="0"/>
              <w:widowControl w:val="0"/>
              <w:kinsoku/>
              <w:wordWrap/>
              <w:overflowPunct/>
              <w:topLinePunct w:val="0"/>
              <w:autoSpaceDE w:val="0"/>
              <w:autoSpaceDN w:val="0"/>
              <w:bidi w:val="0"/>
              <w:adjustRightInd w:val="0"/>
              <w:snapToGrid/>
              <w:spacing w:line="240" w:lineRule="auto"/>
              <w:ind w:left="0" w:leftChars="0" w:right="0" w:rightChars="0"/>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1</w:t>
            </w:r>
          </w:p>
        </w:tc>
        <w:tc>
          <w:tcPr>
            <w:tcW w:w="1137" w:type="dxa"/>
            <w:tcBorders>
              <w:top w:val="single" w:color="auto" w:sz="4" w:space="0"/>
              <w:left w:val="single" w:color="auto" w:sz="4" w:space="0"/>
              <w:bottom w:val="single" w:color="auto" w:sz="4" w:space="0"/>
              <w:right w:val="single" w:color="auto" w:sz="4" w:space="0"/>
            </w:tcBorders>
            <w:vAlign w:val="center"/>
          </w:tcPr>
          <w:p w14:paraId="45AB3A56">
            <w:pPr>
              <w:pageBreakBefore w:val="0"/>
              <w:wordWrap/>
              <w:overflowPunct/>
              <w:topLinePunct w:val="0"/>
              <w:bidi w:val="0"/>
              <w:spacing w:line="240" w:lineRule="auto"/>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z w:val="24"/>
                <w:szCs w:val="24"/>
                <w:highlight w:val="none"/>
                <w:lang w:val="en-US" w:eastAsia="zh-CN"/>
              </w:rPr>
              <w:t>类似业绩</w:t>
            </w:r>
          </w:p>
        </w:tc>
        <w:tc>
          <w:tcPr>
            <w:tcW w:w="1325" w:type="dxa"/>
            <w:tcBorders>
              <w:top w:val="single" w:color="auto" w:sz="4" w:space="0"/>
              <w:left w:val="single" w:color="auto" w:sz="4" w:space="0"/>
              <w:bottom w:val="single" w:color="auto" w:sz="4" w:space="0"/>
              <w:right w:val="single" w:color="auto" w:sz="4" w:space="0"/>
            </w:tcBorders>
            <w:vAlign w:val="center"/>
          </w:tcPr>
          <w:p w14:paraId="3D1FF461">
            <w:pPr>
              <w:pageBreakBefore w:val="0"/>
              <w:wordWrap/>
              <w:overflowPunct/>
              <w:topLinePunct w:val="0"/>
              <w:bidi w:val="0"/>
              <w:spacing w:line="240" w:lineRule="auto"/>
              <w:ind w:left="0" w:leftChars="0" w:right="0" w:rightChars="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z w:val="24"/>
                <w:szCs w:val="24"/>
                <w:highlight w:val="none"/>
                <w:lang w:val="en-US" w:eastAsia="zh-CN"/>
              </w:rPr>
              <w:t>5分</w:t>
            </w:r>
          </w:p>
        </w:tc>
        <w:tc>
          <w:tcPr>
            <w:tcW w:w="6121" w:type="dxa"/>
            <w:tcBorders>
              <w:top w:val="single" w:color="auto" w:sz="4" w:space="0"/>
              <w:left w:val="single" w:color="auto" w:sz="4" w:space="0"/>
              <w:bottom w:val="single" w:color="auto" w:sz="4" w:space="0"/>
              <w:right w:val="single" w:color="auto" w:sz="4" w:space="0"/>
            </w:tcBorders>
            <w:vAlign w:val="center"/>
          </w:tcPr>
          <w:p w14:paraId="4CC6FF7C">
            <w:pPr>
              <w:pageBreakBefore w:val="0"/>
              <w:wordWrap/>
              <w:overflowPunct/>
              <w:topLinePunct w:val="0"/>
              <w:bidi w:val="0"/>
              <w:spacing w:line="240" w:lineRule="auto"/>
              <w:ind w:left="0" w:leftChars="0"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投标人近三年内（</w:t>
            </w:r>
            <w:r>
              <w:rPr>
                <w:rFonts w:hint="eastAsia" w:ascii="宋体" w:hAnsi="宋体" w:eastAsia="宋体" w:cs="宋体"/>
                <w:b w:val="0"/>
                <w:bCs/>
                <w:color w:val="auto"/>
                <w:sz w:val="24"/>
                <w:szCs w:val="24"/>
                <w:highlight w:val="none"/>
              </w:rPr>
              <w:t>投标文件上传截止时间前</w:t>
            </w:r>
            <w:r>
              <w:rPr>
                <w:rFonts w:hint="eastAsia" w:ascii="宋体" w:hAnsi="宋体" w:eastAsia="宋体" w:cs="宋体"/>
                <w:b w:val="0"/>
                <w:bCs/>
                <w:color w:val="auto"/>
                <w:sz w:val="24"/>
                <w:szCs w:val="24"/>
                <w:highlight w:val="none"/>
                <w:lang w:val="en-US" w:eastAsia="zh-CN"/>
              </w:rPr>
              <w:t>推算三年</w:t>
            </w:r>
            <w:r>
              <w:rPr>
                <w:rFonts w:hint="eastAsia" w:ascii="宋体" w:hAnsi="宋体" w:eastAsia="宋体" w:cs="宋体"/>
                <w:color w:val="auto"/>
                <w:sz w:val="24"/>
                <w:szCs w:val="24"/>
                <w:highlight w:val="none"/>
              </w:rPr>
              <w:t>，以合同签订日期为准）完成类似项目的业绩，每个项目业绩得</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分，最多得5分。 注：①须提供中标（成交）通知书</w:t>
            </w:r>
            <w:r>
              <w:rPr>
                <w:rFonts w:hint="eastAsia" w:ascii="宋体" w:hAnsi="宋体" w:eastAsia="宋体" w:cs="宋体"/>
                <w:color w:val="auto"/>
                <w:sz w:val="24"/>
                <w:szCs w:val="24"/>
                <w:highlight w:val="none"/>
                <w:lang w:val="en-US" w:eastAsia="zh-CN"/>
              </w:rPr>
              <w:t>和</w:t>
            </w:r>
            <w:r>
              <w:rPr>
                <w:rFonts w:hint="eastAsia" w:ascii="宋体" w:hAnsi="宋体" w:eastAsia="宋体" w:cs="宋体"/>
                <w:color w:val="auto"/>
                <w:sz w:val="24"/>
                <w:szCs w:val="24"/>
                <w:highlight w:val="none"/>
              </w:rPr>
              <w:t>合同（至少包括合同首页、标的页、签字盖章页、采购内容页）</w:t>
            </w:r>
            <w:r>
              <w:rPr>
                <w:rFonts w:hint="eastAsia" w:ascii="宋体" w:hAnsi="宋体" w:eastAsia="宋体" w:cs="宋体"/>
                <w:color w:val="auto"/>
                <w:sz w:val="24"/>
                <w:szCs w:val="24"/>
                <w:highlight w:val="none"/>
                <w:lang w:val="en-US" w:eastAsia="zh-CN"/>
              </w:rPr>
              <w:t>复印件加盖公章</w:t>
            </w:r>
            <w:r>
              <w:rPr>
                <w:rFonts w:hint="eastAsia" w:ascii="宋体" w:hAnsi="宋体" w:eastAsia="宋体" w:cs="宋体"/>
                <w:color w:val="auto"/>
                <w:sz w:val="24"/>
                <w:szCs w:val="24"/>
                <w:highlight w:val="none"/>
              </w:rPr>
              <w:t xml:space="preserve">，未按要求提供不得分； </w:t>
            </w:r>
          </w:p>
        </w:tc>
      </w:tr>
      <w:tr w14:paraId="3E2BD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6" w:hRule="atLeast"/>
          <w:jc w:val="center"/>
        </w:trPr>
        <w:tc>
          <w:tcPr>
            <w:tcW w:w="588" w:type="dxa"/>
            <w:vMerge w:val="restart"/>
            <w:tcBorders>
              <w:left w:val="single" w:color="auto" w:sz="4" w:space="0"/>
              <w:right w:val="single" w:color="auto" w:sz="4" w:space="0"/>
            </w:tcBorders>
            <w:vAlign w:val="center"/>
          </w:tcPr>
          <w:p w14:paraId="2F308941">
            <w:pPr>
              <w:keepNext w:val="0"/>
              <w:keepLines w:val="0"/>
              <w:pageBreakBefore w:val="0"/>
              <w:widowControl w:val="0"/>
              <w:kinsoku/>
              <w:wordWrap/>
              <w:overflowPunct/>
              <w:topLinePunct w:val="0"/>
              <w:autoSpaceDE w:val="0"/>
              <w:autoSpaceDN w:val="0"/>
              <w:bidi w:val="0"/>
              <w:adjustRightInd w:val="0"/>
              <w:snapToGrid/>
              <w:spacing w:line="240" w:lineRule="auto"/>
              <w:ind w:left="0" w:leftChars="0" w:right="0" w:rightChars="0"/>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技术部分</w:t>
            </w:r>
          </w:p>
        </w:tc>
        <w:tc>
          <w:tcPr>
            <w:tcW w:w="687" w:type="dxa"/>
            <w:tcBorders>
              <w:left w:val="single" w:color="auto" w:sz="4" w:space="0"/>
              <w:right w:val="single" w:color="auto" w:sz="4" w:space="0"/>
            </w:tcBorders>
            <w:vAlign w:val="center"/>
          </w:tcPr>
          <w:p w14:paraId="64CF919D">
            <w:pPr>
              <w:keepNext w:val="0"/>
              <w:keepLines w:val="0"/>
              <w:pageBreakBefore w:val="0"/>
              <w:widowControl w:val="0"/>
              <w:kinsoku/>
              <w:wordWrap/>
              <w:overflowPunct/>
              <w:topLinePunct w:val="0"/>
              <w:autoSpaceDE w:val="0"/>
              <w:autoSpaceDN w:val="0"/>
              <w:bidi w:val="0"/>
              <w:adjustRightInd w:val="0"/>
              <w:snapToGrid/>
              <w:spacing w:line="240" w:lineRule="auto"/>
              <w:ind w:left="0" w:leftChars="0" w:right="0" w:rightChars="0"/>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2</w:t>
            </w:r>
          </w:p>
        </w:tc>
        <w:tc>
          <w:tcPr>
            <w:tcW w:w="1137" w:type="dxa"/>
            <w:tcBorders>
              <w:top w:val="single" w:color="auto" w:sz="4" w:space="0"/>
              <w:left w:val="single" w:color="auto" w:sz="4" w:space="0"/>
              <w:bottom w:val="single" w:color="auto" w:sz="4" w:space="0"/>
              <w:right w:val="single" w:color="auto" w:sz="4" w:space="0"/>
            </w:tcBorders>
            <w:vAlign w:val="center"/>
          </w:tcPr>
          <w:p w14:paraId="4E67124F">
            <w:pPr>
              <w:pageBreakBefore w:val="0"/>
              <w:wordWrap/>
              <w:overflowPunct/>
              <w:topLinePunct w:val="0"/>
              <w:bidi w:val="0"/>
              <w:spacing w:line="240" w:lineRule="auto"/>
              <w:ind w:left="0" w:leftChars="0" w:right="0" w:rightChars="0"/>
              <w:jc w:val="center"/>
              <w:rPr>
                <w:rFonts w:hint="eastAsia" w:ascii="宋体" w:hAnsi="宋体" w:eastAsia="宋体" w:cs="宋体"/>
                <w:color w:val="auto"/>
                <w:spacing w:val="6"/>
                <w:kern w:val="0"/>
                <w:sz w:val="24"/>
                <w:szCs w:val="24"/>
                <w:highlight w:val="none"/>
              </w:rPr>
            </w:pPr>
            <w:r>
              <w:rPr>
                <w:rFonts w:hint="eastAsia" w:ascii="宋体" w:hAnsi="宋体" w:eastAsia="宋体" w:cs="宋体"/>
                <w:color w:val="auto"/>
                <w:sz w:val="24"/>
                <w:szCs w:val="24"/>
                <w:highlight w:val="none"/>
                <w:lang w:val="en-US" w:eastAsia="zh-CN"/>
              </w:rPr>
              <w:t>质量保障及技术参数的符合程度</w:t>
            </w:r>
          </w:p>
        </w:tc>
        <w:tc>
          <w:tcPr>
            <w:tcW w:w="1325" w:type="dxa"/>
            <w:tcBorders>
              <w:top w:val="single" w:color="auto" w:sz="4" w:space="0"/>
              <w:left w:val="single" w:color="auto" w:sz="4" w:space="0"/>
              <w:bottom w:val="single" w:color="auto" w:sz="4" w:space="0"/>
              <w:right w:val="single" w:color="auto" w:sz="4" w:space="0"/>
            </w:tcBorders>
            <w:vAlign w:val="center"/>
          </w:tcPr>
          <w:p w14:paraId="2B897623">
            <w:pPr>
              <w:pageBreakBefore w:val="0"/>
              <w:wordWrap/>
              <w:overflowPunct/>
              <w:topLinePunct w:val="0"/>
              <w:bidi w:val="0"/>
              <w:spacing w:line="240" w:lineRule="auto"/>
              <w:ind w:left="0" w:leftChars="0" w:right="0" w:rightChars="0"/>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41分</w:t>
            </w:r>
          </w:p>
        </w:tc>
        <w:tc>
          <w:tcPr>
            <w:tcW w:w="6121" w:type="dxa"/>
            <w:tcBorders>
              <w:top w:val="single" w:color="auto" w:sz="4" w:space="0"/>
              <w:left w:val="single" w:color="auto" w:sz="4" w:space="0"/>
              <w:bottom w:val="single" w:color="auto" w:sz="4" w:space="0"/>
              <w:right w:val="single" w:color="auto" w:sz="4" w:space="0"/>
            </w:tcBorders>
            <w:vAlign w:val="center"/>
          </w:tcPr>
          <w:p w14:paraId="1B7DF817">
            <w:pPr>
              <w:pageBreakBefore w:val="0"/>
              <w:wordWrap/>
              <w:overflowPunct/>
              <w:topLinePunct w:val="0"/>
              <w:bidi w:val="0"/>
              <w:spacing w:line="240" w:lineRule="auto"/>
              <w:ind w:left="0" w:leftChars="0" w:right="0" w:right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“第四章项目</w:t>
            </w:r>
            <w:r>
              <w:rPr>
                <w:rFonts w:hint="eastAsia" w:ascii="宋体" w:hAnsi="宋体" w:eastAsia="宋体" w:cs="宋体"/>
                <w:color w:val="auto"/>
                <w:sz w:val="24"/>
                <w:szCs w:val="24"/>
                <w:highlight w:val="none"/>
                <w:lang w:eastAsia="zh-CN"/>
              </w:rPr>
              <w:t>采购需求</w:t>
            </w:r>
            <w:r>
              <w:rPr>
                <w:rFonts w:hint="eastAsia"/>
                <w:color w:val="auto"/>
                <w:sz w:val="24"/>
                <w:szCs w:val="24"/>
                <w:highlight w:val="none"/>
              </w:rPr>
              <w:t>★</w:t>
            </w:r>
            <w:r>
              <w:rPr>
                <w:rFonts w:hint="eastAsia" w:ascii="宋体" w:hAnsi="宋体" w:eastAsia="宋体" w:cs="宋体"/>
                <w:color w:val="auto"/>
                <w:sz w:val="24"/>
                <w:szCs w:val="24"/>
                <w:highlight w:val="none"/>
                <w:lang w:val="en-US" w:eastAsia="zh-CN"/>
              </w:rPr>
              <w:t>号项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项为关键参数项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一项不满足扣3分；</w:t>
            </w:r>
          </w:p>
          <w:p w14:paraId="7DF8FBB5">
            <w:pPr>
              <w:pageBreakBefore w:val="0"/>
              <w:wordWrap/>
              <w:overflowPunct/>
              <w:topLinePunct w:val="0"/>
              <w:bidi w:val="0"/>
              <w:spacing w:line="240" w:lineRule="auto"/>
              <w:ind w:left="0" w:leftChars="0" w:right="0" w:right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非</w:t>
            </w:r>
            <w:r>
              <w:rPr>
                <w:rFonts w:hint="eastAsia"/>
                <w:color w:val="auto"/>
                <w:sz w:val="24"/>
                <w:szCs w:val="24"/>
                <w:highlight w:val="none"/>
              </w:rPr>
              <w:t>★</w:t>
            </w:r>
            <w:r>
              <w:rPr>
                <w:rFonts w:hint="eastAsia" w:ascii="宋体" w:hAnsi="宋体" w:eastAsia="宋体" w:cs="宋体"/>
                <w:color w:val="auto"/>
                <w:sz w:val="24"/>
                <w:szCs w:val="24"/>
                <w:highlight w:val="none"/>
                <w:lang w:val="en-US" w:eastAsia="zh-CN"/>
              </w:rPr>
              <w:t>号项为一般参数项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一项不满足扣1分，扣完为止。</w:t>
            </w:r>
          </w:p>
          <w:p w14:paraId="63443A1F">
            <w:pPr>
              <w:pageBreakBefore w:val="0"/>
              <w:wordWrap/>
              <w:overflowPunct/>
              <w:topLinePunct w:val="0"/>
              <w:bidi w:val="0"/>
              <w:spacing w:line="240" w:lineRule="auto"/>
              <w:ind w:left="0" w:leftChars="0" w:right="0" w:right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每项投标人需提供与产品技术参数相关的证明材料（如产品样式及材质清单、认证证书、产品检测报告、鉴定证书、制造商产品彩页、制造商官网截图、制造商技术白皮书、制造商产品说明书、检测报告中的检测结果数据、产品注册证等彩页或彩色实物照片，提供任一项即可），不提供、不清楚不准确提供不全不得分，并在“技术需求偏离表”中注明“响应情况”和“偏离情况”。</w:t>
            </w:r>
          </w:p>
        </w:tc>
      </w:tr>
      <w:tr w14:paraId="596C7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8" w:hRule="atLeast"/>
          <w:jc w:val="center"/>
        </w:trPr>
        <w:tc>
          <w:tcPr>
            <w:tcW w:w="588" w:type="dxa"/>
            <w:vMerge w:val="continue"/>
            <w:tcBorders>
              <w:left w:val="single" w:color="auto" w:sz="4" w:space="0"/>
              <w:right w:val="single" w:color="auto" w:sz="4" w:space="0"/>
            </w:tcBorders>
            <w:vAlign w:val="center"/>
          </w:tcPr>
          <w:p w14:paraId="314951AF">
            <w:pPr>
              <w:keepNext w:val="0"/>
              <w:keepLines w:val="0"/>
              <w:pageBreakBefore w:val="0"/>
              <w:widowControl w:val="0"/>
              <w:kinsoku/>
              <w:wordWrap/>
              <w:overflowPunct/>
              <w:topLinePunct w:val="0"/>
              <w:autoSpaceDE w:val="0"/>
              <w:autoSpaceDN w:val="0"/>
              <w:bidi w:val="0"/>
              <w:adjustRightInd w:val="0"/>
              <w:snapToGrid/>
              <w:spacing w:line="240" w:lineRule="auto"/>
              <w:ind w:left="0" w:leftChars="0" w:right="0" w:rightChars="0"/>
              <w:jc w:val="center"/>
              <w:textAlignment w:val="auto"/>
              <w:rPr>
                <w:rFonts w:hint="eastAsia" w:ascii="宋体" w:hAnsi="宋体" w:eastAsia="宋体" w:cs="宋体"/>
                <w:color w:val="auto"/>
                <w:spacing w:val="6"/>
                <w:kern w:val="0"/>
                <w:sz w:val="24"/>
                <w:szCs w:val="24"/>
                <w:highlight w:val="none"/>
                <w:lang w:val="en-US" w:eastAsia="zh-CN"/>
              </w:rPr>
            </w:pPr>
          </w:p>
        </w:tc>
        <w:tc>
          <w:tcPr>
            <w:tcW w:w="687" w:type="dxa"/>
            <w:tcBorders>
              <w:left w:val="single" w:color="auto" w:sz="4" w:space="0"/>
              <w:right w:val="single" w:color="auto" w:sz="4" w:space="0"/>
            </w:tcBorders>
            <w:vAlign w:val="center"/>
          </w:tcPr>
          <w:p w14:paraId="066E4257">
            <w:pPr>
              <w:autoSpaceDE w:val="0"/>
              <w:autoSpaceDN w:val="0"/>
              <w:adjustRightInd w:val="0"/>
              <w:spacing w:line="340" w:lineRule="exact"/>
              <w:jc w:val="center"/>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bCs/>
                <w:color w:val="auto"/>
                <w:sz w:val="24"/>
                <w:szCs w:val="24"/>
                <w:highlight w:val="none"/>
                <w:lang w:val="en-US" w:eastAsia="zh-CN"/>
              </w:rPr>
              <w:t>3</w:t>
            </w:r>
          </w:p>
        </w:tc>
        <w:tc>
          <w:tcPr>
            <w:tcW w:w="1137" w:type="dxa"/>
            <w:tcBorders>
              <w:top w:val="single" w:color="auto" w:sz="4" w:space="0"/>
              <w:left w:val="single" w:color="auto" w:sz="4" w:space="0"/>
              <w:bottom w:val="single" w:color="auto" w:sz="4" w:space="0"/>
              <w:right w:val="single" w:color="auto" w:sz="4" w:space="0"/>
            </w:tcBorders>
            <w:vAlign w:val="center"/>
          </w:tcPr>
          <w:p w14:paraId="091D3D6B">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服务方案</w:t>
            </w:r>
          </w:p>
        </w:tc>
        <w:tc>
          <w:tcPr>
            <w:tcW w:w="1325" w:type="dxa"/>
            <w:tcBorders>
              <w:top w:val="single" w:color="auto" w:sz="4" w:space="0"/>
              <w:left w:val="single" w:color="auto" w:sz="4" w:space="0"/>
              <w:bottom w:val="single" w:color="auto" w:sz="4" w:space="0"/>
              <w:right w:val="single" w:color="auto" w:sz="4" w:space="0"/>
            </w:tcBorders>
            <w:vAlign w:val="center"/>
          </w:tcPr>
          <w:p w14:paraId="11B62CD6">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8分</w:t>
            </w:r>
          </w:p>
        </w:tc>
        <w:tc>
          <w:tcPr>
            <w:tcW w:w="6121" w:type="dxa"/>
            <w:tcBorders>
              <w:top w:val="single" w:color="auto" w:sz="4" w:space="0"/>
              <w:left w:val="single" w:color="auto" w:sz="4" w:space="0"/>
              <w:bottom w:val="single" w:color="auto" w:sz="4" w:space="0"/>
              <w:right w:val="single" w:color="auto" w:sz="4" w:space="0"/>
            </w:tcBorders>
            <w:vAlign w:val="center"/>
          </w:tcPr>
          <w:p w14:paraId="1007EEFB">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（1）供货方案（包括但不仅限于：①货物保证</w:t>
            </w:r>
            <w:r>
              <w:rPr>
                <w:rFonts w:hint="eastAsia" w:ascii="宋体" w:hAnsi="宋体" w:eastAsia="宋体" w:cs="宋体"/>
                <w:color w:val="auto"/>
                <w:sz w:val="24"/>
                <w:szCs w:val="24"/>
                <w:highlight w:val="none"/>
                <w:lang w:val="en-US" w:bidi="zh-CN"/>
              </w:rPr>
              <w:t>方案、②管理措施、③重点难点、④安装调试等</w:t>
            </w:r>
            <w:r>
              <w:rPr>
                <w:rFonts w:hint="eastAsia" w:ascii="宋体" w:hAnsi="宋体" w:eastAsia="宋体" w:cs="宋体"/>
                <w:color w:val="auto"/>
                <w:sz w:val="24"/>
                <w:szCs w:val="24"/>
                <w:highlight w:val="none"/>
                <w:lang w:val="en-US" w:eastAsia="zh-CN"/>
              </w:rPr>
              <w:t>）；</w:t>
            </w:r>
          </w:p>
          <w:p w14:paraId="0AD4689E">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z w:val="24"/>
                <w:szCs w:val="24"/>
                <w:highlight w:val="none"/>
                <w:lang w:val="en-US" w:eastAsia="zh-CN"/>
              </w:rPr>
              <w:t>（2）项目管理制度（包括但不仅限于：①</w:t>
            </w:r>
            <w:r>
              <w:rPr>
                <w:rFonts w:hint="eastAsia" w:ascii="宋体" w:hAnsi="宋体" w:eastAsia="宋体" w:cs="宋体"/>
                <w:color w:val="auto"/>
                <w:spacing w:val="6"/>
                <w:kern w:val="0"/>
                <w:sz w:val="24"/>
                <w:szCs w:val="24"/>
                <w:highlight w:val="none"/>
                <w:lang w:val="en-US" w:eastAsia="zh-CN"/>
              </w:rPr>
              <w:t>人员失职惩罚方案、②给采购人造成负面影响经济损失问题处理方案、③项目达成目标、④项目现状分析等</w:t>
            </w:r>
            <w:r>
              <w:rPr>
                <w:rFonts w:hint="eastAsia" w:ascii="宋体" w:hAnsi="宋体" w:eastAsia="宋体" w:cs="宋体"/>
                <w:color w:val="auto"/>
                <w:sz w:val="24"/>
                <w:szCs w:val="24"/>
                <w:highlight w:val="none"/>
                <w:lang w:val="en-US" w:eastAsia="zh-CN"/>
              </w:rPr>
              <w:t>）；</w:t>
            </w:r>
          </w:p>
          <w:p w14:paraId="4618AAD5">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应急</w:t>
            </w:r>
            <w:r>
              <w:rPr>
                <w:rFonts w:hint="eastAsia" w:ascii="宋体" w:hAnsi="宋体" w:eastAsia="宋体" w:cs="宋体"/>
                <w:color w:val="auto"/>
                <w:sz w:val="24"/>
                <w:szCs w:val="24"/>
                <w:highlight w:val="none"/>
              </w:rPr>
              <w:t>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当有紧急情况发生时，可保障采购人设备的使用，有应急保障能力，并提供应急保障方案</w:t>
            </w:r>
            <w:r>
              <w:rPr>
                <w:rFonts w:hint="eastAsia" w:ascii="宋体" w:hAnsi="宋体" w:eastAsia="宋体" w:cs="宋体"/>
                <w:color w:val="auto"/>
                <w:sz w:val="24"/>
                <w:szCs w:val="24"/>
                <w:highlight w:val="none"/>
                <w:lang w:eastAsia="zh-CN"/>
              </w:rPr>
              <w:t>）；</w:t>
            </w:r>
          </w:p>
          <w:p w14:paraId="1AAC8E9A">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（4）培训及技术指导方案（包括但不仅限于：①设备使用培训方案；②培训计划及使用过程技术指导方案；</w:t>
            </w:r>
          </w:p>
          <w:p w14:paraId="1E68C652">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ind w:left="0" w:leftChars="0" w:firstLine="0" w:firstLine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以上</w:t>
            </w:r>
            <w:r>
              <w:rPr>
                <w:rFonts w:hint="eastAsia" w:ascii="宋体" w:hAnsi="宋体" w:eastAsia="宋体" w:cs="宋体"/>
                <w:b w:val="0"/>
                <w:bCs w:val="0"/>
                <w:color w:val="auto"/>
                <w:sz w:val="24"/>
                <w:szCs w:val="24"/>
                <w:highlight w:val="none"/>
              </w:rPr>
              <w:t>方案内容完整齐全，</w:t>
            </w:r>
            <w:r>
              <w:rPr>
                <w:rFonts w:hint="eastAsia" w:ascii="宋体" w:hAnsi="宋体" w:eastAsia="宋体" w:cs="宋体"/>
                <w:b w:val="0"/>
                <w:bCs w:val="0"/>
                <w:color w:val="auto"/>
                <w:sz w:val="24"/>
                <w:szCs w:val="24"/>
                <w:highlight w:val="none"/>
                <w:lang w:val="en-US" w:eastAsia="zh-CN"/>
              </w:rPr>
              <w:t>无</w:t>
            </w:r>
            <w:r>
              <w:rPr>
                <w:rFonts w:hint="eastAsia" w:ascii="宋体" w:hAnsi="宋体" w:eastAsia="宋体" w:cs="宋体"/>
                <w:color w:val="auto"/>
                <w:sz w:val="24"/>
                <w:szCs w:val="24"/>
                <w:highlight w:val="none"/>
                <w:lang w:eastAsia="zh-CN"/>
              </w:rPr>
              <w:t>瑕疵</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符合项目实际，</w:t>
            </w:r>
            <w:r>
              <w:rPr>
                <w:rFonts w:hint="eastAsia" w:ascii="宋体" w:hAnsi="宋体" w:eastAsia="宋体" w:cs="宋体"/>
                <w:b w:val="0"/>
                <w:bCs w:val="0"/>
                <w:color w:val="auto"/>
                <w:sz w:val="24"/>
                <w:szCs w:val="24"/>
                <w:highlight w:val="none"/>
                <w:lang w:val="en-US" w:eastAsia="zh-CN"/>
              </w:rPr>
              <w:t>一项</w:t>
            </w:r>
            <w:r>
              <w:rPr>
                <w:rFonts w:hint="eastAsia" w:ascii="宋体" w:hAnsi="宋体" w:eastAsia="宋体" w:cs="宋体"/>
                <w:b w:val="0"/>
                <w:bCs w:val="0"/>
                <w:color w:val="auto"/>
                <w:sz w:val="24"/>
                <w:szCs w:val="24"/>
                <w:highlight w:val="none"/>
              </w:rPr>
              <w:t>得</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最高得8分。</w:t>
            </w:r>
            <w:r>
              <w:rPr>
                <w:rFonts w:hint="eastAsia" w:ascii="宋体" w:hAnsi="宋体" w:eastAsia="宋体" w:cs="宋体"/>
                <w:b w:val="0"/>
                <w:bCs w:val="0"/>
                <w:color w:val="auto"/>
                <w:sz w:val="24"/>
                <w:szCs w:val="24"/>
                <w:highlight w:val="none"/>
              </w:rPr>
              <w:t>内容存在</w:t>
            </w:r>
            <w:r>
              <w:rPr>
                <w:rFonts w:hint="eastAsia" w:ascii="宋体" w:hAnsi="宋体" w:eastAsia="宋体" w:cs="宋体"/>
                <w:b w:val="0"/>
                <w:bCs w:val="0"/>
                <w:color w:val="auto"/>
                <w:sz w:val="24"/>
                <w:szCs w:val="24"/>
                <w:highlight w:val="none"/>
                <w:lang w:val="en-US" w:eastAsia="zh-CN"/>
              </w:rPr>
              <w:t>缺项、漏项或有</w:t>
            </w:r>
            <w:r>
              <w:rPr>
                <w:rFonts w:hint="eastAsia" w:ascii="宋体" w:hAnsi="宋体" w:eastAsia="宋体" w:cs="宋体"/>
                <w:b w:val="0"/>
                <w:bCs w:val="0"/>
                <w:color w:val="auto"/>
                <w:sz w:val="24"/>
                <w:szCs w:val="24"/>
                <w:highlight w:val="none"/>
              </w:rPr>
              <w:t>缺陷</w:t>
            </w:r>
            <w:r>
              <w:rPr>
                <w:rFonts w:hint="eastAsia" w:ascii="宋体" w:hAnsi="宋体" w:eastAsia="宋体" w:cs="宋体"/>
                <w:b w:val="0"/>
                <w:bCs w:val="0"/>
                <w:color w:val="auto"/>
                <w:sz w:val="24"/>
                <w:szCs w:val="24"/>
                <w:highlight w:val="none"/>
                <w:lang w:val="en-US" w:eastAsia="zh-CN"/>
              </w:rPr>
              <w:t>等瑕疵，一项依次递减1</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val="en-US" w:eastAsia="zh-CN"/>
              </w:rPr>
              <w:t>扣完为止，</w:t>
            </w:r>
            <w:r>
              <w:rPr>
                <w:rFonts w:hint="eastAsia" w:ascii="宋体" w:hAnsi="宋体" w:eastAsia="宋体" w:cs="宋体"/>
                <w:b w:val="0"/>
                <w:bCs w:val="0"/>
                <w:color w:val="auto"/>
                <w:sz w:val="24"/>
                <w:szCs w:val="24"/>
                <w:highlight w:val="none"/>
              </w:rPr>
              <w:t>未提供不得分。</w:t>
            </w:r>
          </w:p>
          <w:p w14:paraId="1E7EE32B">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ind w:left="0" w:leftChars="0" w:firstLine="0" w:firstLineChars="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r>
              <w:rPr>
                <w:rFonts w:hint="eastAsia" w:ascii="宋体" w:hAnsi="宋体" w:eastAsia="宋体" w:cs="宋体"/>
                <w:color w:val="auto"/>
                <w:sz w:val="24"/>
                <w:szCs w:val="24"/>
                <w:highlight w:val="none"/>
                <w:lang w:eastAsia="zh-CN"/>
              </w:rPr>
              <w:t>本项目称“瑕疵”是指内容缺项、不完整或缺少关键点；非专门针对本项目或不适用本项目特征、套用其他项目内容，同一问题前后前述不一致矛盾；存在逻辑漏洞、科学原理或常识错误；不利于本项目目标的实现、现有技术条件下不可能出现的情形等任意一种情形。</w:t>
            </w:r>
          </w:p>
        </w:tc>
      </w:tr>
      <w:tr w14:paraId="172B2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3" w:hRule="atLeast"/>
          <w:jc w:val="center"/>
        </w:trPr>
        <w:tc>
          <w:tcPr>
            <w:tcW w:w="588" w:type="dxa"/>
            <w:vMerge w:val="continue"/>
            <w:tcBorders>
              <w:left w:val="single" w:color="auto" w:sz="4" w:space="0"/>
              <w:right w:val="single" w:color="auto" w:sz="4" w:space="0"/>
            </w:tcBorders>
            <w:vAlign w:val="center"/>
          </w:tcPr>
          <w:p w14:paraId="6572CF5E">
            <w:pPr>
              <w:keepNext w:val="0"/>
              <w:keepLines w:val="0"/>
              <w:pageBreakBefore w:val="0"/>
              <w:widowControl w:val="0"/>
              <w:kinsoku/>
              <w:wordWrap/>
              <w:overflowPunct/>
              <w:topLinePunct w:val="0"/>
              <w:autoSpaceDE w:val="0"/>
              <w:autoSpaceDN w:val="0"/>
              <w:bidi w:val="0"/>
              <w:adjustRightInd w:val="0"/>
              <w:snapToGrid/>
              <w:spacing w:line="240" w:lineRule="auto"/>
              <w:ind w:left="0" w:leftChars="0" w:right="0" w:rightChars="0"/>
              <w:jc w:val="center"/>
              <w:textAlignment w:val="auto"/>
              <w:rPr>
                <w:rFonts w:hint="eastAsia" w:ascii="宋体" w:hAnsi="宋体" w:eastAsia="宋体" w:cs="宋体"/>
                <w:color w:val="auto"/>
                <w:spacing w:val="6"/>
                <w:kern w:val="0"/>
                <w:sz w:val="24"/>
                <w:szCs w:val="24"/>
                <w:highlight w:val="none"/>
                <w:lang w:val="en-US" w:eastAsia="zh-CN"/>
              </w:rPr>
            </w:pPr>
          </w:p>
        </w:tc>
        <w:tc>
          <w:tcPr>
            <w:tcW w:w="687" w:type="dxa"/>
            <w:tcBorders>
              <w:left w:val="single" w:color="auto" w:sz="4" w:space="0"/>
              <w:right w:val="single" w:color="auto" w:sz="4" w:space="0"/>
            </w:tcBorders>
            <w:vAlign w:val="center"/>
          </w:tcPr>
          <w:p w14:paraId="16C5E8D2">
            <w:pPr>
              <w:autoSpaceDE w:val="0"/>
              <w:autoSpaceDN w:val="0"/>
              <w:adjustRightInd w:val="0"/>
              <w:spacing w:line="340" w:lineRule="exact"/>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w:t>
            </w:r>
          </w:p>
        </w:tc>
        <w:tc>
          <w:tcPr>
            <w:tcW w:w="1137" w:type="dxa"/>
            <w:tcBorders>
              <w:top w:val="single" w:color="auto" w:sz="4" w:space="0"/>
              <w:left w:val="single" w:color="auto" w:sz="4" w:space="0"/>
              <w:bottom w:val="single" w:color="auto" w:sz="4" w:space="0"/>
              <w:right w:val="single" w:color="auto" w:sz="4" w:space="0"/>
            </w:tcBorders>
            <w:vAlign w:val="center"/>
          </w:tcPr>
          <w:p w14:paraId="2240774C">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售后方案</w:t>
            </w:r>
          </w:p>
        </w:tc>
        <w:tc>
          <w:tcPr>
            <w:tcW w:w="1325" w:type="dxa"/>
            <w:tcBorders>
              <w:top w:val="single" w:color="auto" w:sz="4" w:space="0"/>
              <w:left w:val="single" w:color="auto" w:sz="4" w:space="0"/>
              <w:bottom w:val="single" w:color="auto" w:sz="4" w:space="0"/>
              <w:right w:val="single" w:color="auto" w:sz="4" w:space="0"/>
            </w:tcBorders>
            <w:vAlign w:val="center"/>
          </w:tcPr>
          <w:p w14:paraId="4C6EA5B7">
            <w:pPr>
              <w:keepNext w:val="0"/>
              <w:keepLines w:val="0"/>
              <w:pageBreakBefore w:val="0"/>
              <w:widowControl w:val="0"/>
              <w:kinsoku/>
              <w:wordWrap/>
              <w:overflowPunct/>
              <w:topLinePunct w:val="0"/>
              <w:autoSpaceDE w:val="0"/>
              <w:autoSpaceDN w:val="0"/>
              <w:bidi w:val="0"/>
              <w:adjustRightInd w:val="0"/>
              <w:snapToGrid/>
              <w:spacing w:line="300" w:lineRule="exact"/>
              <w:jc w:val="center"/>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val="en-US" w:eastAsia="zh-CN"/>
              </w:rPr>
              <w:t>16分</w:t>
            </w:r>
          </w:p>
        </w:tc>
        <w:tc>
          <w:tcPr>
            <w:tcW w:w="6121" w:type="dxa"/>
            <w:tcBorders>
              <w:top w:val="single" w:color="auto" w:sz="4" w:space="0"/>
              <w:left w:val="single" w:color="auto" w:sz="4" w:space="0"/>
              <w:bottom w:val="single" w:color="auto" w:sz="4" w:space="0"/>
              <w:right w:val="single" w:color="auto" w:sz="4" w:space="0"/>
            </w:tcBorders>
            <w:vAlign w:val="center"/>
          </w:tcPr>
          <w:p w14:paraId="3E2C563A">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根据投标人提供的</w:t>
            </w:r>
          </w:p>
          <w:p w14:paraId="447F5EE6">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z w:val="24"/>
                <w:szCs w:val="24"/>
                <w:highlight w:val="none"/>
                <w:lang w:val="en-US" w:eastAsia="zh-CN"/>
              </w:rPr>
              <w:t>（1）售后方案（包括但不仅限于：①</w:t>
            </w:r>
            <w:r>
              <w:rPr>
                <w:rFonts w:hint="eastAsia" w:ascii="宋体" w:hAnsi="宋体" w:eastAsia="宋体" w:cs="宋体"/>
                <w:color w:val="auto"/>
                <w:sz w:val="24"/>
                <w:szCs w:val="24"/>
                <w:highlight w:val="none"/>
              </w:rPr>
              <w:t>售后承诺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rPr>
              <w:t>售后流程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rPr>
              <w:t>定期回访</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w:t>
            </w:r>
          </w:p>
          <w:p w14:paraId="01E9F498">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维护维修方案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包括但不仅限于：①</w:t>
            </w:r>
            <w:r>
              <w:rPr>
                <w:rFonts w:hint="eastAsia" w:ascii="宋体" w:hAnsi="宋体" w:eastAsia="宋体" w:cs="宋体"/>
                <w:color w:val="auto"/>
                <w:sz w:val="24"/>
                <w:szCs w:val="24"/>
                <w:highlight w:val="none"/>
                <w:lang w:eastAsia="zh-CN"/>
              </w:rPr>
              <w:t>设备专业维修人员</w:t>
            </w:r>
            <w:r>
              <w:rPr>
                <w:rFonts w:hint="eastAsia" w:ascii="宋体" w:hAnsi="宋体" w:eastAsia="宋体" w:cs="宋体"/>
                <w:color w:val="auto"/>
                <w:sz w:val="24"/>
                <w:szCs w:val="24"/>
                <w:highlight w:val="none"/>
                <w:lang w:val="en-US" w:eastAsia="zh-CN"/>
              </w:rPr>
              <w:t>清单、②</w:t>
            </w:r>
            <w:r>
              <w:rPr>
                <w:rFonts w:hint="eastAsia" w:ascii="宋体" w:hAnsi="宋体" w:eastAsia="宋体" w:cs="宋体"/>
                <w:color w:val="auto"/>
                <w:sz w:val="24"/>
                <w:szCs w:val="24"/>
                <w:highlight w:val="none"/>
              </w:rPr>
              <w:t>维护维修</w:t>
            </w:r>
            <w:r>
              <w:rPr>
                <w:rFonts w:hint="eastAsia" w:ascii="宋体" w:hAnsi="宋体" w:eastAsia="宋体" w:cs="宋体"/>
                <w:color w:val="auto"/>
                <w:sz w:val="24"/>
                <w:szCs w:val="24"/>
                <w:highlight w:val="none"/>
                <w:lang w:val="en-US" w:eastAsia="zh-CN"/>
              </w:rPr>
              <w:t>范围、③</w:t>
            </w:r>
            <w:r>
              <w:rPr>
                <w:rFonts w:hint="eastAsia" w:ascii="宋体" w:hAnsi="宋体" w:eastAsia="宋体" w:cs="宋体"/>
                <w:color w:val="auto"/>
                <w:sz w:val="24"/>
                <w:szCs w:val="24"/>
                <w:highlight w:val="none"/>
              </w:rPr>
              <w:t>维护维修</w:t>
            </w:r>
            <w:r>
              <w:rPr>
                <w:rFonts w:hint="eastAsia" w:ascii="宋体" w:hAnsi="宋体" w:eastAsia="宋体" w:cs="宋体"/>
                <w:color w:val="auto"/>
                <w:sz w:val="24"/>
                <w:szCs w:val="24"/>
                <w:highlight w:val="none"/>
                <w:lang w:val="en-US" w:eastAsia="zh-CN"/>
              </w:rPr>
              <w:t>具体实施方案等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w:t>
            </w:r>
          </w:p>
          <w:p w14:paraId="2DEFDFBB">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z w:val="24"/>
                <w:szCs w:val="24"/>
                <w:highlight w:val="none"/>
                <w:lang w:val="en-US" w:eastAsia="zh-CN"/>
              </w:rPr>
              <w:t>（3）备品备件（包括但不仅限于：①备品备件清单、②质保期后备品备件价格及质量承诺、③突发状况备品备件供应时间承诺）；</w:t>
            </w:r>
          </w:p>
          <w:p w14:paraId="1ACEA1BE">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jc w:val="left"/>
              <w:textAlignment w:val="auto"/>
              <w:rPr>
                <w:rFonts w:hint="eastAsia" w:ascii="宋体" w:hAnsi="宋体" w:eastAsia="宋体" w:cs="宋体"/>
                <w:color w:val="auto"/>
                <w:spacing w:val="6"/>
                <w:kern w:val="0"/>
                <w:sz w:val="24"/>
                <w:szCs w:val="24"/>
                <w:highlight w:val="none"/>
                <w:lang w:val="en-US" w:eastAsia="zh-CN"/>
              </w:rPr>
            </w:pPr>
            <w:r>
              <w:rPr>
                <w:rFonts w:hint="eastAsia" w:ascii="宋体" w:hAnsi="宋体" w:eastAsia="宋体" w:cs="宋体"/>
                <w:color w:val="auto"/>
                <w:spacing w:val="6"/>
                <w:kern w:val="0"/>
                <w:sz w:val="24"/>
                <w:szCs w:val="24"/>
                <w:highlight w:val="none"/>
                <w:lang w:eastAsia="zh-CN"/>
              </w:rPr>
              <w:t>（</w:t>
            </w:r>
            <w:r>
              <w:rPr>
                <w:rFonts w:hint="eastAsia" w:ascii="宋体" w:hAnsi="宋体" w:eastAsia="宋体" w:cs="宋体"/>
                <w:color w:val="auto"/>
                <w:spacing w:val="6"/>
                <w:kern w:val="0"/>
                <w:sz w:val="24"/>
                <w:szCs w:val="24"/>
                <w:highlight w:val="none"/>
                <w:lang w:val="en-US" w:eastAsia="zh-CN"/>
              </w:rPr>
              <w:t>4</w:t>
            </w:r>
            <w:r>
              <w:rPr>
                <w:rFonts w:hint="eastAsia" w:ascii="宋体" w:hAnsi="宋体" w:eastAsia="宋体" w:cs="宋体"/>
                <w:color w:val="auto"/>
                <w:spacing w:val="6"/>
                <w:kern w:val="0"/>
                <w:sz w:val="24"/>
                <w:szCs w:val="24"/>
                <w:highlight w:val="none"/>
                <w:lang w:eastAsia="zh-CN"/>
              </w:rPr>
              <w:t>）质量保证</w:t>
            </w:r>
            <w:r>
              <w:rPr>
                <w:rFonts w:hint="eastAsia" w:ascii="宋体" w:hAnsi="宋体" w:eastAsia="宋体" w:cs="宋体"/>
                <w:color w:val="auto"/>
                <w:spacing w:val="6"/>
                <w:kern w:val="0"/>
                <w:sz w:val="24"/>
                <w:szCs w:val="24"/>
                <w:highlight w:val="none"/>
                <w:lang w:val="en-US" w:eastAsia="zh-CN"/>
              </w:rPr>
              <w:t>方案</w:t>
            </w:r>
            <w:r>
              <w:rPr>
                <w:rFonts w:hint="eastAsia" w:ascii="宋体" w:hAnsi="宋体" w:eastAsia="宋体" w:cs="宋体"/>
                <w:color w:val="auto"/>
                <w:sz w:val="24"/>
                <w:szCs w:val="24"/>
                <w:highlight w:val="none"/>
                <w:lang w:val="en-US" w:bidi="zh-CN"/>
              </w:rPr>
              <w:t>（包括但不仅限于：①货物</w:t>
            </w:r>
            <w:r>
              <w:rPr>
                <w:rFonts w:hint="eastAsia" w:ascii="宋体" w:hAnsi="宋体" w:eastAsia="宋体" w:cs="宋体"/>
                <w:color w:val="auto"/>
                <w:kern w:val="0"/>
                <w:sz w:val="24"/>
                <w:szCs w:val="24"/>
                <w:highlight w:val="none"/>
                <w:lang w:bidi="zh-CN"/>
              </w:rPr>
              <w:t>质量控制</w:t>
            </w:r>
            <w:r>
              <w:rPr>
                <w:rFonts w:hint="eastAsia" w:ascii="宋体" w:hAnsi="宋体" w:eastAsia="宋体" w:cs="宋体"/>
                <w:color w:val="auto"/>
                <w:kern w:val="0"/>
                <w:sz w:val="24"/>
                <w:szCs w:val="24"/>
                <w:highlight w:val="none"/>
                <w:lang w:val="zh-CN" w:bidi="zh-CN"/>
              </w:rPr>
              <w:t>措施、</w:t>
            </w:r>
            <w:r>
              <w:rPr>
                <w:rFonts w:hint="eastAsia" w:ascii="宋体" w:hAnsi="宋体" w:eastAsia="宋体" w:cs="宋体"/>
                <w:color w:val="auto"/>
                <w:kern w:val="0"/>
                <w:sz w:val="24"/>
                <w:szCs w:val="24"/>
                <w:highlight w:val="none"/>
                <w:lang w:val="en-US" w:bidi="zh-CN"/>
              </w:rPr>
              <w:t>②</w:t>
            </w:r>
            <w:r>
              <w:rPr>
                <w:rFonts w:hint="eastAsia" w:ascii="宋体" w:hAnsi="宋体" w:eastAsia="宋体" w:cs="宋体"/>
                <w:color w:val="auto"/>
                <w:sz w:val="24"/>
                <w:szCs w:val="24"/>
                <w:highlight w:val="none"/>
                <w:lang w:val="en-US" w:bidi="zh-CN"/>
              </w:rPr>
              <w:t>货物质</w:t>
            </w:r>
            <w:r>
              <w:rPr>
                <w:rFonts w:hint="eastAsia" w:ascii="宋体" w:hAnsi="宋体" w:eastAsia="宋体" w:cs="宋体"/>
                <w:color w:val="auto"/>
                <w:kern w:val="0"/>
                <w:sz w:val="24"/>
                <w:szCs w:val="24"/>
                <w:highlight w:val="none"/>
                <w:lang w:val="zh-CN" w:bidi="zh-CN"/>
              </w:rPr>
              <w:t>量事故处理</w:t>
            </w:r>
            <w:r>
              <w:rPr>
                <w:rFonts w:hint="eastAsia" w:ascii="宋体" w:hAnsi="宋体" w:eastAsia="宋体" w:cs="宋体"/>
                <w:color w:val="auto"/>
                <w:kern w:val="0"/>
                <w:sz w:val="24"/>
                <w:szCs w:val="24"/>
                <w:highlight w:val="none"/>
                <w:lang w:val="en-US" w:bidi="zh-CN"/>
              </w:rPr>
              <w:t>方案</w:t>
            </w:r>
            <w:r>
              <w:rPr>
                <w:rFonts w:hint="eastAsia" w:ascii="宋体" w:hAnsi="宋体" w:eastAsia="宋体" w:cs="宋体"/>
                <w:color w:val="auto"/>
                <w:kern w:val="0"/>
                <w:sz w:val="24"/>
                <w:szCs w:val="24"/>
                <w:highlight w:val="none"/>
                <w:lang w:val="zh-CN" w:bidi="zh-CN"/>
              </w:rPr>
              <w:t>、</w:t>
            </w:r>
            <w:r>
              <w:rPr>
                <w:rFonts w:hint="eastAsia" w:ascii="宋体" w:hAnsi="宋体" w:eastAsia="宋体" w:cs="宋体"/>
                <w:color w:val="auto"/>
                <w:kern w:val="0"/>
                <w:sz w:val="24"/>
                <w:szCs w:val="24"/>
                <w:highlight w:val="none"/>
                <w:lang w:val="en-US" w:bidi="zh-CN"/>
              </w:rPr>
              <w:t>③</w:t>
            </w:r>
            <w:r>
              <w:rPr>
                <w:rFonts w:hint="eastAsia" w:ascii="宋体" w:hAnsi="宋体" w:eastAsia="宋体" w:cs="宋体"/>
                <w:color w:val="auto"/>
                <w:kern w:val="0"/>
                <w:sz w:val="24"/>
                <w:szCs w:val="24"/>
                <w:highlight w:val="none"/>
                <w:lang w:val="zh-CN" w:bidi="zh-CN"/>
              </w:rPr>
              <w:t>产品</w:t>
            </w:r>
            <w:r>
              <w:rPr>
                <w:rFonts w:hint="eastAsia" w:ascii="宋体" w:hAnsi="宋体" w:eastAsia="宋体" w:cs="宋体"/>
                <w:color w:val="auto"/>
                <w:kern w:val="0"/>
                <w:sz w:val="24"/>
                <w:szCs w:val="24"/>
                <w:highlight w:val="none"/>
                <w:lang w:val="en-US" w:bidi="zh-CN"/>
              </w:rPr>
              <w:t>检验</w:t>
            </w:r>
            <w:r>
              <w:rPr>
                <w:rFonts w:hint="eastAsia" w:ascii="宋体" w:hAnsi="宋体" w:eastAsia="宋体" w:cs="宋体"/>
                <w:color w:val="auto"/>
                <w:kern w:val="0"/>
                <w:sz w:val="24"/>
                <w:szCs w:val="24"/>
                <w:highlight w:val="none"/>
                <w:lang w:val="zh-CN" w:bidi="zh-CN"/>
              </w:rPr>
              <w:t>不合格应对措施</w:t>
            </w:r>
            <w:r>
              <w:rPr>
                <w:rFonts w:hint="eastAsia" w:ascii="宋体" w:hAnsi="宋体" w:eastAsia="宋体" w:cs="宋体"/>
                <w:color w:val="auto"/>
                <w:kern w:val="0"/>
                <w:sz w:val="24"/>
                <w:szCs w:val="24"/>
                <w:highlight w:val="none"/>
                <w:lang w:val="en-US" w:bidi="zh-CN"/>
              </w:rPr>
              <w:t>等</w:t>
            </w:r>
            <w:r>
              <w:rPr>
                <w:rFonts w:hint="eastAsia" w:ascii="宋体" w:hAnsi="宋体" w:eastAsia="宋体" w:cs="宋体"/>
                <w:color w:val="auto"/>
                <w:sz w:val="24"/>
                <w:szCs w:val="24"/>
                <w:highlight w:val="none"/>
                <w:lang w:val="en-US" w:bidi="zh-CN"/>
              </w:rPr>
              <w:t>）。</w:t>
            </w:r>
          </w:p>
          <w:p w14:paraId="62F8205F">
            <w:pPr>
              <w:keepNext w:val="0"/>
              <w:keepLines w:val="0"/>
              <w:pageBreakBefore w:val="0"/>
              <w:widowControl w:val="0"/>
              <w:numPr>
                <w:ilvl w:val="0"/>
                <w:numId w:val="0"/>
              </w:numPr>
              <w:kinsoku/>
              <w:wordWrap/>
              <w:overflowPunct/>
              <w:topLinePunct w:val="0"/>
              <w:autoSpaceDE w:val="0"/>
              <w:autoSpaceDN w:val="0"/>
              <w:bidi w:val="0"/>
              <w:adjustRightInd w:val="0"/>
              <w:snapToGrid/>
              <w:spacing w:line="300" w:lineRule="exact"/>
              <w:ind w:left="0" w:leftChars="0" w:firstLine="0" w:firstLine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以上</w:t>
            </w:r>
            <w:r>
              <w:rPr>
                <w:rFonts w:hint="eastAsia" w:ascii="宋体" w:hAnsi="宋体" w:eastAsia="宋体" w:cs="宋体"/>
                <w:b w:val="0"/>
                <w:bCs w:val="0"/>
                <w:color w:val="auto"/>
                <w:sz w:val="24"/>
                <w:szCs w:val="24"/>
                <w:highlight w:val="none"/>
              </w:rPr>
              <w:t>方案内容完整齐全，</w:t>
            </w:r>
            <w:r>
              <w:rPr>
                <w:rFonts w:hint="eastAsia" w:ascii="宋体" w:hAnsi="宋体" w:eastAsia="宋体" w:cs="宋体"/>
                <w:b w:val="0"/>
                <w:bCs w:val="0"/>
                <w:color w:val="auto"/>
                <w:sz w:val="24"/>
                <w:szCs w:val="24"/>
                <w:highlight w:val="none"/>
                <w:lang w:val="en-US" w:eastAsia="zh-CN"/>
              </w:rPr>
              <w:t>无</w:t>
            </w:r>
            <w:r>
              <w:rPr>
                <w:rFonts w:hint="eastAsia" w:ascii="宋体" w:hAnsi="宋体" w:eastAsia="宋体" w:cs="宋体"/>
                <w:color w:val="auto"/>
                <w:sz w:val="24"/>
                <w:szCs w:val="24"/>
                <w:highlight w:val="none"/>
                <w:lang w:eastAsia="zh-CN"/>
              </w:rPr>
              <w:t>瑕疵</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符合项目实际，</w:t>
            </w:r>
            <w:r>
              <w:rPr>
                <w:rFonts w:hint="eastAsia" w:ascii="宋体" w:hAnsi="宋体" w:eastAsia="宋体" w:cs="宋体"/>
                <w:b w:val="0"/>
                <w:bCs w:val="0"/>
                <w:color w:val="auto"/>
                <w:sz w:val="24"/>
                <w:szCs w:val="24"/>
                <w:highlight w:val="none"/>
                <w:lang w:val="en-US" w:eastAsia="zh-CN"/>
              </w:rPr>
              <w:t>一项</w:t>
            </w:r>
            <w:r>
              <w:rPr>
                <w:rFonts w:hint="eastAsia" w:ascii="宋体" w:hAnsi="宋体" w:eastAsia="宋体" w:cs="宋体"/>
                <w:b w:val="0"/>
                <w:bCs w:val="0"/>
                <w:color w:val="auto"/>
                <w:sz w:val="24"/>
                <w:szCs w:val="24"/>
                <w:highlight w:val="none"/>
              </w:rPr>
              <w:t>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最高得16分。</w:t>
            </w:r>
            <w:r>
              <w:rPr>
                <w:rFonts w:hint="eastAsia" w:ascii="宋体" w:hAnsi="宋体" w:eastAsia="宋体" w:cs="宋体"/>
                <w:b w:val="0"/>
                <w:bCs w:val="0"/>
                <w:color w:val="auto"/>
                <w:sz w:val="24"/>
                <w:szCs w:val="24"/>
                <w:highlight w:val="none"/>
              </w:rPr>
              <w:t>内容存在</w:t>
            </w:r>
            <w:r>
              <w:rPr>
                <w:rFonts w:hint="eastAsia" w:ascii="宋体" w:hAnsi="宋体" w:eastAsia="宋体" w:cs="宋体"/>
                <w:b w:val="0"/>
                <w:bCs w:val="0"/>
                <w:color w:val="auto"/>
                <w:sz w:val="24"/>
                <w:szCs w:val="24"/>
                <w:highlight w:val="none"/>
                <w:lang w:val="en-US" w:eastAsia="zh-CN"/>
              </w:rPr>
              <w:t>缺项、漏项或有</w:t>
            </w:r>
            <w:r>
              <w:rPr>
                <w:rFonts w:hint="eastAsia" w:ascii="宋体" w:hAnsi="宋体" w:eastAsia="宋体" w:cs="宋体"/>
                <w:b w:val="0"/>
                <w:bCs w:val="0"/>
                <w:color w:val="auto"/>
                <w:sz w:val="24"/>
                <w:szCs w:val="24"/>
                <w:highlight w:val="none"/>
              </w:rPr>
              <w:t>缺陷</w:t>
            </w:r>
            <w:r>
              <w:rPr>
                <w:rFonts w:hint="eastAsia" w:ascii="宋体" w:hAnsi="宋体" w:eastAsia="宋体" w:cs="宋体"/>
                <w:b w:val="0"/>
                <w:bCs w:val="0"/>
                <w:color w:val="auto"/>
                <w:sz w:val="24"/>
                <w:szCs w:val="24"/>
                <w:highlight w:val="none"/>
                <w:lang w:val="en-US" w:eastAsia="zh-CN"/>
              </w:rPr>
              <w:t>等瑕疵，一项依次递减1</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val="en-US" w:eastAsia="zh-CN"/>
              </w:rPr>
              <w:t>扣完为止，</w:t>
            </w:r>
            <w:r>
              <w:rPr>
                <w:rFonts w:hint="eastAsia" w:ascii="宋体" w:hAnsi="宋体" w:eastAsia="宋体" w:cs="宋体"/>
                <w:b w:val="0"/>
                <w:bCs w:val="0"/>
                <w:color w:val="auto"/>
                <w:sz w:val="24"/>
                <w:szCs w:val="24"/>
                <w:highlight w:val="none"/>
              </w:rPr>
              <w:t>未提供不得分。</w:t>
            </w:r>
          </w:p>
          <w:p w14:paraId="29076B51">
            <w:pPr>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lang w:val="en-US" w:eastAsia="zh-CN"/>
              </w:rPr>
              <w:t>备注：</w:t>
            </w:r>
            <w:r>
              <w:rPr>
                <w:rFonts w:hint="eastAsia" w:ascii="宋体" w:hAnsi="宋体" w:eastAsia="宋体" w:cs="宋体"/>
                <w:color w:val="auto"/>
                <w:sz w:val="24"/>
                <w:szCs w:val="24"/>
                <w:highlight w:val="none"/>
                <w:lang w:eastAsia="zh-CN"/>
              </w:rPr>
              <w:t>本项目称“瑕疵”是指内容缺项、不完整或缺少关键点；非专门针对本项目或不适用本项目特征、套用其他项目内容，同一问题前后前述不一致矛盾；存在逻辑漏洞、科学原理或常识错误；不利于本项目目标的实现、现有技术条件下不可能出现的情形等任意一种情形。</w:t>
            </w:r>
          </w:p>
        </w:tc>
      </w:tr>
    </w:tbl>
    <w:p w14:paraId="213A3376">
      <w:pPr>
        <w:pageBreakBefore w:val="0"/>
        <w:wordWrap/>
        <w:overflowPunct/>
        <w:topLinePunct w:val="0"/>
        <w:bidi w:val="0"/>
        <w:spacing w:line="560" w:lineRule="exact"/>
        <w:ind w:left="0" w:leftChars="0" w:right="0" w:right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p>
    <w:p w14:paraId="28CA0E19">
      <w:pPr>
        <w:pageBreakBefore w:val="0"/>
        <w:wordWrap/>
        <w:overflowPunct/>
        <w:topLinePunct w:val="0"/>
        <w:bidi w:val="0"/>
        <w:spacing w:line="56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报价部分评</w:t>
      </w:r>
      <w:r>
        <w:rPr>
          <w:rFonts w:hint="eastAsia" w:ascii="宋体" w:hAnsi="宋体" w:eastAsia="宋体" w:cs="宋体"/>
          <w:b/>
          <w:bCs/>
          <w:color w:val="auto"/>
          <w:sz w:val="24"/>
          <w:szCs w:val="24"/>
          <w:highlight w:val="none"/>
          <w:lang w:val="zh-CN"/>
        </w:rPr>
        <w:t>审</w:t>
      </w:r>
      <w:r>
        <w:rPr>
          <w:rFonts w:hint="eastAsia" w:ascii="宋体" w:hAnsi="宋体" w:eastAsia="宋体" w:cs="宋体"/>
          <w:b/>
          <w:bCs/>
          <w:color w:val="auto"/>
          <w:sz w:val="24"/>
          <w:szCs w:val="24"/>
          <w:highlight w:val="none"/>
        </w:rPr>
        <w:t>标准（30分）</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1582"/>
        <w:gridCol w:w="7222"/>
      </w:tblGrid>
      <w:tr w14:paraId="29C6B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635" w:type="dxa"/>
            <w:vAlign w:val="center"/>
          </w:tcPr>
          <w:p w14:paraId="070807D4">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jc w:val="center"/>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序号</w:t>
            </w:r>
          </w:p>
        </w:tc>
        <w:tc>
          <w:tcPr>
            <w:tcW w:w="1582" w:type="dxa"/>
            <w:vAlign w:val="center"/>
          </w:tcPr>
          <w:p w14:paraId="4D56B92A">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jc w:val="center"/>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评标项目</w:t>
            </w:r>
          </w:p>
        </w:tc>
        <w:tc>
          <w:tcPr>
            <w:tcW w:w="7222" w:type="dxa"/>
            <w:vAlign w:val="center"/>
          </w:tcPr>
          <w:p w14:paraId="12BC55A1">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jc w:val="center"/>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评分标准</w:t>
            </w:r>
          </w:p>
        </w:tc>
      </w:tr>
      <w:tr w14:paraId="4E12F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5" w:hRule="atLeast"/>
          <w:jc w:val="center"/>
        </w:trPr>
        <w:tc>
          <w:tcPr>
            <w:tcW w:w="635" w:type="dxa"/>
            <w:vAlign w:val="center"/>
          </w:tcPr>
          <w:p w14:paraId="15CC440B">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w:t>
            </w:r>
          </w:p>
        </w:tc>
        <w:tc>
          <w:tcPr>
            <w:tcW w:w="1582" w:type="dxa"/>
            <w:vAlign w:val="center"/>
          </w:tcPr>
          <w:p w14:paraId="63272995">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投标报价</w:t>
            </w:r>
          </w:p>
        </w:tc>
        <w:tc>
          <w:tcPr>
            <w:tcW w:w="7222" w:type="dxa"/>
            <w:vAlign w:val="center"/>
          </w:tcPr>
          <w:p w14:paraId="1F3A0E19">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满足</w:t>
            </w:r>
            <w:r>
              <w:rPr>
                <w:rFonts w:hint="eastAsia" w:ascii="宋体" w:hAnsi="宋体" w:eastAsia="宋体" w:cs="宋体"/>
                <w:color w:val="auto"/>
                <w:sz w:val="24"/>
                <w:szCs w:val="24"/>
                <w:highlight w:val="none"/>
              </w:rPr>
              <w:t>招标</w:t>
            </w:r>
            <w:r>
              <w:rPr>
                <w:rFonts w:hint="eastAsia" w:ascii="宋体" w:hAnsi="宋体" w:eastAsia="宋体" w:cs="宋体"/>
                <w:color w:val="auto"/>
                <w:sz w:val="24"/>
                <w:szCs w:val="24"/>
                <w:highlight w:val="none"/>
                <w:lang w:val="zh-CN"/>
              </w:rPr>
              <w:t>文件要求且</w:t>
            </w: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zh-CN"/>
              </w:rPr>
              <w:t>报价最低的</w:t>
            </w: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zh-CN"/>
              </w:rPr>
              <w:t>的价格为</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zh-CN"/>
              </w:rPr>
              <w:t>基准价，其价格分为满分，项目评标过程中，不得去掉</w:t>
            </w: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zh-CN"/>
              </w:rPr>
              <w:t>报价中的最高报价和最低报价。</w:t>
            </w:r>
          </w:p>
          <w:p w14:paraId="7824693E">
            <w:pPr>
              <w:keepNext w:val="0"/>
              <w:keepLines w:val="0"/>
              <w:pageBreakBefore w:val="0"/>
              <w:widowControl w:val="0"/>
              <w:kinsoku/>
              <w:wordWrap/>
              <w:overflowPunct/>
              <w:topLinePunct w:val="0"/>
              <w:autoSpaceDE w:val="0"/>
              <w:autoSpaceDN w:val="0"/>
              <w:bidi w:val="0"/>
              <w:adjustRightInd w:val="0"/>
              <w:snapToGrid/>
              <w:spacing w:line="560" w:lineRule="exact"/>
              <w:ind w:left="0" w:leftChars="0" w:right="0" w:righ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auto"/>
                <w:lang w:val="zh-CN"/>
              </w:rPr>
              <w:t>投标报价得分=（评标基准价/投标报价）×</w:t>
            </w:r>
            <w:r>
              <w:rPr>
                <w:rFonts w:hint="eastAsia" w:ascii="宋体" w:hAnsi="宋体" w:eastAsia="宋体" w:cs="宋体"/>
                <w:color w:val="auto"/>
                <w:sz w:val="24"/>
                <w:szCs w:val="24"/>
                <w:highlight w:val="none"/>
                <w:shd w:val="clear" w:color="auto" w:fill="auto"/>
              </w:rPr>
              <w:t>30</w:t>
            </w:r>
          </w:p>
        </w:tc>
      </w:tr>
      <w:tr w14:paraId="37149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5" w:hRule="atLeast"/>
          <w:jc w:val="center"/>
        </w:trPr>
        <w:tc>
          <w:tcPr>
            <w:tcW w:w="635" w:type="dxa"/>
            <w:vMerge w:val="restart"/>
            <w:vAlign w:val="center"/>
          </w:tcPr>
          <w:p w14:paraId="2637D72B">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政府采购政策</w:t>
            </w:r>
            <w:r>
              <w:rPr>
                <w:rFonts w:hint="eastAsia" w:ascii="宋体" w:hAnsi="宋体" w:eastAsia="宋体" w:cs="宋体"/>
                <w:color w:val="auto"/>
                <w:sz w:val="24"/>
                <w:szCs w:val="24"/>
                <w:highlight w:val="none"/>
                <w:lang w:val="en-US" w:eastAsia="zh-CN"/>
              </w:rPr>
              <w:t>说明</w:t>
            </w:r>
          </w:p>
        </w:tc>
        <w:tc>
          <w:tcPr>
            <w:tcW w:w="1582" w:type="dxa"/>
            <w:vMerge w:val="restart"/>
            <w:vAlign w:val="center"/>
          </w:tcPr>
          <w:p w14:paraId="4F9878E1">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中小企业</w:t>
            </w:r>
          </w:p>
        </w:tc>
        <w:tc>
          <w:tcPr>
            <w:tcW w:w="7222" w:type="dxa"/>
            <w:vAlign w:val="center"/>
          </w:tcPr>
          <w:p w14:paraId="77B9F291">
            <w:pPr>
              <w:keepNext w:val="0"/>
              <w:keepLines w:val="0"/>
              <w:pageBreakBefore w:val="0"/>
              <w:widowControl w:val="0"/>
              <w:kinsoku/>
              <w:wordWrap/>
              <w:overflowPunct/>
              <w:topLinePunct w:val="0"/>
              <w:bidi w:val="0"/>
              <w:snapToGrid/>
              <w:spacing w:line="560" w:lineRule="exact"/>
              <w:ind w:left="0" w:leftChars="0" w:right="0" w:right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根据工信部等部委发布的《关于印发中小企业划型标准规定的通知》（工信部联企业</w:t>
            </w:r>
            <w:r>
              <w:rPr>
                <w:rFonts w:hint="eastAsia" w:ascii="宋体" w:hAnsi="宋体" w:eastAsia="宋体" w:cs="宋体"/>
                <w:bCs/>
                <w:color w:val="auto"/>
                <w:sz w:val="24"/>
                <w:szCs w:val="24"/>
                <w:highlight w:val="none"/>
              </w:rPr>
              <w:t>〔2011〕300</w:t>
            </w:r>
            <w:r>
              <w:rPr>
                <w:rFonts w:hint="eastAsia" w:ascii="宋体" w:hAnsi="宋体" w:eastAsia="宋体" w:cs="宋体"/>
                <w:color w:val="auto"/>
                <w:sz w:val="24"/>
                <w:szCs w:val="24"/>
                <w:highlight w:val="none"/>
              </w:rPr>
              <w:t>号），按照本次</w:t>
            </w:r>
            <w:r>
              <w:rPr>
                <w:rFonts w:hint="eastAsia" w:ascii="宋体" w:hAnsi="宋体" w:eastAsia="宋体" w:cs="宋体"/>
                <w:color w:val="auto"/>
                <w:sz w:val="24"/>
                <w:szCs w:val="24"/>
                <w:highlight w:val="none"/>
                <w:lang w:val="en-US" w:eastAsia="zh-CN"/>
              </w:rPr>
              <w:t>政府采购</w:t>
            </w:r>
            <w:r>
              <w:rPr>
                <w:rFonts w:hint="eastAsia" w:ascii="宋体" w:hAnsi="宋体" w:eastAsia="宋体" w:cs="宋体"/>
                <w:color w:val="auto"/>
                <w:sz w:val="24"/>
                <w:szCs w:val="24"/>
                <w:highlight w:val="none"/>
                <w:lang w:eastAsia="zh-CN"/>
              </w:rPr>
              <w:t>标</w:t>
            </w:r>
            <w:r>
              <w:rPr>
                <w:rFonts w:hint="eastAsia" w:ascii="宋体" w:hAnsi="宋体" w:eastAsia="宋体" w:cs="宋体"/>
                <w:color w:val="auto"/>
                <w:sz w:val="24"/>
                <w:szCs w:val="24"/>
                <w:highlight w:val="none"/>
              </w:rPr>
              <w:t>的所属行业的划型标准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招标文件载明的行业）</w:t>
            </w:r>
            <w:r>
              <w:rPr>
                <w:rFonts w:hint="eastAsia" w:ascii="宋体" w:hAnsi="宋体" w:eastAsia="宋体" w:cs="宋体"/>
                <w:color w:val="auto"/>
                <w:sz w:val="24"/>
                <w:szCs w:val="24"/>
                <w:highlight w:val="none"/>
              </w:rPr>
              <w:t>，符合条件的中小企业须提供</w:t>
            </w:r>
            <w:r>
              <w:rPr>
                <w:rFonts w:hint="eastAsia" w:ascii="宋体" w:hAnsi="宋体" w:eastAsia="宋体" w:cs="宋体"/>
                <w:color w:val="auto"/>
                <w:sz w:val="24"/>
                <w:szCs w:val="24"/>
                <w:highlight w:val="none"/>
                <w:lang w:val="en-US" w:eastAsia="zh-CN"/>
              </w:rPr>
              <w:t>招标文件提供格式的</w:t>
            </w:r>
            <w:r>
              <w:rPr>
                <w:rFonts w:hint="eastAsia" w:ascii="宋体" w:hAnsi="宋体" w:eastAsia="宋体" w:cs="宋体"/>
                <w:color w:val="auto"/>
                <w:sz w:val="24"/>
                <w:szCs w:val="24"/>
                <w:highlight w:val="none"/>
              </w:rPr>
              <w:t>《中小企业声明函》。投标人应当对其出具的《中小企业声明函》真实性负责，投标人出具的《中小企业声明函》内容不实的，属于提供虚假材料谋取中标，依照《中华人民共和国政府采购法》等国家有关规定追究相应责任。</w:t>
            </w:r>
          </w:p>
        </w:tc>
      </w:tr>
      <w:tr w14:paraId="14C7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5" w:hRule="atLeast"/>
          <w:jc w:val="center"/>
        </w:trPr>
        <w:tc>
          <w:tcPr>
            <w:tcW w:w="635" w:type="dxa"/>
            <w:vMerge w:val="continue"/>
            <w:vAlign w:val="center"/>
          </w:tcPr>
          <w:p w14:paraId="28DC4800">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p>
        </w:tc>
        <w:tc>
          <w:tcPr>
            <w:tcW w:w="1582" w:type="dxa"/>
            <w:vMerge w:val="continue"/>
            <w:vAlign w:val="center"/>
          </w:tcPr>
          <w:p w14:paraId="10584F9A">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p>
        </w:tc>
        <w:tc>
          <w:tcPr>
            <w:tcW w:w="7222" w:type="dxa"/>
            <w:vAlign w:val="center"/>
          </w:tcPr>
          <w:p w14:paraId="36EE614E">
            <w:pPr>
              <w:keepNext w:val="0"/>
              <w:keepLines w:val="0"/>
              <w:pageBreakBefore w:val="0"/>
              <w:widowControl w:val="0"/>
              <w:kinsoku/>
              <w:wordWrap/>
              <w:overflowPunct/>
              <w:topLinePunct w:val="0"/>
              <w:bidi w:val="0"/>
              <w:snapToGrid/>
              <w:spacing w:line="56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货物服务采购项目给予小微企业的价格扣除优惠，</w:t>
            </w:r>
            <w:r>
              <w:rPr>
                <w:rFonts w:hint="eastAsia" w:ascii="宋体" w:hAnsi="宋体" w:eastAsia="宋体" w:cs="宋体"/>
                <w:color w:val="auto"/>
                <w:sz w:val="24"/>
                <w:szCs w:val="24"/>
                <w:highlight w:val="none"/>
                <w:lang w:val="en-US" w:eastAsia="zh-CN"/>
              </w:rPr>
              <w:t>根据</w:t>
            </w:r>
            <w:r>
              <w:rPr>
                <w:rFonts w:hint="eastAsia" w:ascii="宋体" w:hAnsi="宋体" w:eastAsia="宋体" w:cs="宋体"/>
                <w:color w:val="auto"/>
                <w:sz w:val="24"/>
                <w:szCs w:val="24"/>
                <w:highlight w:val="none"/>
              </w:rPr>
              <w:t>《关于进一步加大政府采购支持中小企业力度的通知》（财库〔2022〕19号）文件规定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小微企业报价给予10%</w:t>
            </w:r>
            <w:r>
              <w:rPr>
                <w:rFonts w:hint="eastAsia" w:ascii="宋体" w:hAnsi="宋体" w:eastAsia="宋体" w:cs="宋体"/>
                <w:color w:val="auto"/>
                <w:sz w:val="24"/>
                <w:szCs w:val="24"/>
                <w:highlight w:val="none"/>
                <w:lang w:val="en-US" w:eastAsia="zh-CN"/>
              </w:rPr>
              <w:t>的扣除优惠</w:t>
            </w:r>
            <w:r>
              <w:rPr>
                <w:rFonts w:hint="eastAsia" w:ascii="宋体" w:hAnsi="宋体" w:eastAsia="宋体" w:cs="宋体"/>
                <w:color w:val="auto"/>
                <w:sz w:val="24"/>
                <w:szCs w:val="24"/>
                <w:highlight w:val="none"/>
              </w:rPr>
              <w:t>。</w:t>
            </w:r>
          </w:p>
        </w:tc>
      </w:tr>
      <w:tr w14:paraId="14741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5" w:hRule="atLeast"/>
          <w:jc w:val="center"/>
        </w:trPr>
        <w:tc>
          <w:tcPr>
            <w:tcW w:w="635" w:type="dxa"/>
            <w:vMerge w:val="continue"/>
            <w:vAlign w:val="center"/>
          </w:tcPr>
          <w:p w14:paraId="3E8A234E">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p>
        </w:tc>
        <w:tc>
          <w:tcPr>
            <w:tcW w:w="1582" w:type="dxa"/>
            <w:vAlign w:val="center"/>
          </w:tcPr>
          <w:p w14:paraId="032A28FE">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监狱企业</w:t>
            </w:r>
          </w:p>
        </w:tc>
        <w:tc>
          <w:tcPr>
            <w:tcW w:w="7222" w:type="dxa"/>
            <w:vAlign w:val="center"/>
          </w:tcPr>
          <w:p w14:paraId="4AACDA17">
            <w:pPr>
              <w:keepNext w:val="0"/>
              <w:keepLines w:val="0"/>
              <w:pageBreakBefore w:val="0"/>
              <w:widowControl w:val="0"/>
              <w:kinsoku/>
              <w:wordWrap/>
              <w:overflowPunct/>
              <w:topLinePunct w:val="0"/>
              <w:bidi w:val="0"/>
              <w:snapToGrid/>
              <w:spacing w:line="560" w:lineRule="exact"/>
              <w:ind w:left="0" w:leftChars="0" w:right="0" w:righ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根据财库〔2014〕68号《财政部司法部关于政府采购支持监狱企业发展有关问题的通知》，能够</w:t>
            </w:r>
            <w:r>
              <w:rPr>
                <w:rFonts w:hint="eastAsia" w:ascii="宋体" w:hAnsi="宋体" w:eastAsia="宋体" w:cs="宋体"/>
                <w:color w:val="auto"/>
                <w:sz w:val="24"/>
                <w:szCs w:val="24"/>
                <w:highlight w:val="none"/>
              </w:rPr>
              <w:t>提供由省级以上监狱管理局、戒毒管理局（含新疆生产建设兵团）出具的“属于监狱企业的证明文件”的监狱企业，</w:t>
            </w:r>
            <w:r>
              <w:rPr>
                <w:rFonts w:hint="eastAsia" w:ascii="宋体" w:hAnsi="宋体" w:eastAsia="宋体" w:cs="宋体"/>
                <w:bCs/>
                <w:color w:val="auto"/>
                <w:sz w:val="24"/>
                <w:szCs w:val="24"/>
                <w:highlight w:val="none"/>
              </w:rPr>
              <w:t>视同</w:t>
            </w:r>
            <w:r>
              <w:rPr>
                <w:rFonts w:hint="eastAsia" w:ascii="宋体" w:hAnsi="宋体" w:eastAsia="宋体" w:cs="宋体"/>
                <w:color w:val="auto"/>
                <w:sz w:val="24"/>
                <w:szCs w:val="24"/>
                <w:highlight w:val="none"/>
              </w:rPr>
              <w:t>中小企业</w:t>
            </w:r>
            <w:r>
              <w:rPr>
                <w:rFonts w:hint="eastAsia" w:ascii="宋体" w:hAnsi="宋体" w:eastAsia="宋体" w:cs="宋体"/>
                <w:color w:val="auto"/>
                <w:sz w:val="24"/>
                <w:szCs w:val="24"/>
                <w:highlight w:val="none"/>
                <w:lang w:eastAsia="zh-CN"/>
              </w:rPr>
              <w:t>。</w:t>
            </w:r>
          </w:p>
        </w:tc>
      </w:tr>
      <w:tr w14:paraId="0C88B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635" w:type="dxa"/>
            <w:vMerge w:val="continue"/>
            <w:vAlign w:val="center"/>
          </w:tcPr>
          <w:p w14:paraId="3A200AE8">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p>
        </w:tc>
        <w:tc>
          <w:tcPr>
            <w:tcW w:w="1582" w:type="dxa"/>
            <w:vAlign w:val="center"/>
          </w:tcPr>
          <w:p w14:paraId="785BB405">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福利企业</w:t>
            </w:r>
          </w:p>
        </w:tc>
        <w:tc>
          <w:tcPr>
            <w:tcW w:w="7222" w:type="dxa"/>
            <w:vAlign w:val="center"/>
          </w:tcPr>
          <w:p w14:paraId="59C99E8B">
            <w:pPr>
              <w:keepNext w:val="0"/>
              <w:keepLines w:val="0"/>
              <w:pageBreakBefore w:val="0"/>
              <w:widowControl w:val="0"/>
              <w:kinsoku/>
              <w:wordWrap/>
              <w:overflowPunct/>
              <w:topLinePunct w:val="0"/>
              <w:bidi w:val="0"/>
              <w:snapToGrid/>
              <w:spacing w:line="56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根据财库〔2017〕141号《财政部民政部中国残疾人联合会关于促进残疾人就业政府采购政策的通知》，符合享受政府采购支持政策的残疾人福利性单位条件且提供</w:t>
            </w:r>
            <w:r>
              <w:rPr>
                <w:rFonts w:hint="eastAsia" w:ascii="宋体" w:hAnsi="宋体" w:eastAsia="宋体" w:cs="宋体"/>
                <w:color w:val="auto"/>
                <w:sz w:val="24"/>
                <w:szCs w:val="24"/>
                <w:highlight w:val="none"/>
              </w:rPr>
              <w:t>自拟格式的</w:t>
            </w:r>
            <w:r>
              <w:rPr>
                <w:rFonts w:hint="eastAsia" w:ascii="宋体" w:hAnsi="宋体" w:eastAsia="宋体" w:cs="宋体"/>
                <w:bCs/>
                <w:color w:val="auto"/>
                <w:sz w:val="24"/>
                <w:szCs w:val="24"/>
                <w:highlight w:val="none"/>
              </w:rPr>
              <w:t>《残疾人福利性单位声明函》的残疾人福利性单位，视同</w:t>
            </w:r>
            <w:r>
              <w:rPr>
                <w:rFonts w:hint="eastAsia" w:ascii="宋体" w:hAnsi="宋体" w:eastAsia="宋体" w:cs="宋体"/>
                <w:color w:val="auto"/>
                <w:sz w:val="24"/>
                <w:szCs w:val="24"/>
                <w:highlight w:val="none"/>
              </w:rPr>
              <w:t>中小企业</w:t>
            </w:r>
            <w:r>
              <w:rPr>
                <w:rFonts w:hint="eastAsia" w:ascii="宋体" w:hAnsi="宋体" w:eastAsia="宋体" w:cs="宋体"/>
                <w:bCs/>
                <w:color w:val="auto"/>
                <w:sz w:val="24"/>
                <w:szCs w:val="24"/>
                <w:highlight w:val="none"/>
              </w:rPr>
              <w:t>。</w:t>
            </w:r>
          </w:p>
        </w:tc>
      </w:tr>
      <w:tr w14:paraId="77F69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8" w:hRule="atLeast"/>
          <w:jc w:val="center"/>
        </w:trPr>
        <w:tc>
          <w:tcPr>
            <w:tcW w:w="635" w:type="dxa"/>
            <w:vMerge w:val="continue"/>
            <w:vAlign w:val="center"/>
          </w:tcPr>
          <w:p w14:paraId="1D8C331E">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rPr>
            </w:pPr>
          </w:p>
        </w:tc>
        <w:tc>
          <w:tcPr>
            <w:tcW w:w="1582" w:type="dxa"/>
            <w:vAlign w:val="center"/>
          </w:tcPr>
          <w:p w14:paraId="1D2359C3">
            <w:pPr>
              <w:keepNext w:val="0"/>
              <w:keepLines w:val="0"/>
              <w:pageBreakBefore w:val="0"/>
              <w:widowControl w:val="0"/>
              <w:kinsoku/>
              <w:wordWrap/>
              <w:overflowPunct/>
              <w:topLinePunct w:val="0"/>
              <w:bidi w:val="0"/>
              <w:snapToGrid/>
              <w:spacing w:line="560" w:lineRule="exact"/>
              <w:ind w:left="0" w:leftChars="0" w:right="0"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特别说明</w:t>
            </w:r>
          </w:p>
        </w:tc>
        <w:tc>
          <w:tcPr>
            <w:tcW w:w="7222" w:type="dxa"/>
            <w:vAlign w:val="center"/>
          </w:tcPr>
          <w:p w14:paraId="12045E8C">
            <w:pPr>
              <w:keepNext w:val="0"/>
              <w:keepLines w:val="0"/>
              <w:pageBreakBefore w:val="0"/>
              <w:widowControl w:val="0"/>
              <w:numPr>
                <w:ilvl w:val="0"/>
                <w:numId w:val="0"/>
              </w:numPr>
              <w:kinsoku/>
              <w:wordWrap/>
              <w:overflowPunct/>
              <w:topLinePunct w:val="0"/>
              <w:bidi w:val="0"/>
              <w:snapToGrid/>
              <w:spacing w:line="560" w:lineRule="exact"/>
              <w:ind w:left="0" w:leftChars="0" w:right="0" w:righ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kern w:val="2"/>
                <w:sz w:val="24"/>
                <w:szCs w:val="24"/>
                <w:highlight w:val="none"/>
                <w:lang w:val="en-US" w:eastAsia="zh-CN" w:bidi="ar-SA"/>
              </w:rPr>
              <w:t>（1）</w:t>
            </w:r>
            <w:r>
              <w:rPr>
                <w:rFonts w:hint="eastAsia" w:ascii="宋体" w:hAnsi="宋体" w:eastAsia="宋体" w:cs="宋体"/>
                <w:bCs/>
                <w:color w:val="auto"/>
                <w:sz w:val="24"/>
                <w:szCs w:val="24"/>
                <w:highlight w:val="none"/>
              </w:rPr>
              <w:t>按照《政府采购促进中小企业发展管理办法》（财库〔2020〕46号，以下称《办法》）规定，在货物采购项目中，货物由中小企业制造（货物由中小企业生产且使用该中小企业商号或者注册商标）的，可享受中小企业扶持政策。如果一个采购项目或采购包含有多个采购标的的，则每个采购标的均应由中小企业制造。采购项目或者采购包中，大型企业提供的所有采购标的均为小微企业制造的，可享受价格评审优惠政策。</w:t>
            </w:r>
          </w:p>
          <w:p w14:paraId="7D1FE1A9">
            <w:pPr>
              <w:keepNext w:val="0"/>
              <w:keepLines w:val="0"/>
              <w:pageBreakBefore w:val="0"/>
              <w:widowControl w:val="0"/>
              <w:numPr>
                <w:ilvl w:val="0"/>
                <w:numId w:val="0"/>
              </w:numPr>
              <w:kinsoku/>
              <w:wordWrap/>
              <w:overflowPunct/>
              <w:topLinePunct w:val="0"/>
              <w:bidi w:val="0"/>
              <w:snapToGrid/>
              <w:spacing w:line="560" w:lineRule="exact"/>
              <w:ind w:left="0" w:leftChars="0" w:right="0" w:rightChars="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kern w:val="2"/>
                <w:sz w:val="24"/>
                <w:szCs w:val="24"/>
                <w:highlight w:val="none"/>
                <w:lang w:val="en-US" w:eastAsia="zh-CN" w:bidi="ar-SA"/>
              </w:rPr>
              <w:t>（2）</w:t>
            </w:r>
            <w:r>
              <w:rPr>
                <w:rFonts w:hint="eastAsia" w:ascii="宋体" w:hAnsi="宋体" w:eastAsia="宋体" w:cs="宋体"/>
                <w:bCs/>
                <w:color w:val="auto"/>
                <w:sz w:val="24"/>
                <w:szCs w:val="24"/>
                <w:highlight w:val="none"/>
                <w:lang w:eastAsia="zh-CN"/>
              </w:rPr>
              <w:t>在货物采购项目中，供应商提供的货物既有中型企业制造，也有小微企业制造的，不享受</w:t>
            </w:r>
            <w:r>
              <w:rPr>
                <w:rFonts w:hint="eastAsia" w:ascii="宋体" w:hAnsi="宋体" w:eastAsia="宋体" w:cs="宋体"/>
                <w:bCs/>
                <w:color w:val="auto"/>
                <w:sz w:val="24"/>
                <w:szCs w:val="24"/>
                <w:highlight w:val="none"/>
              </w:rPr>
              <w:t>《政府采购促进中小企业发展管理办法》（财库〔2020〕46号</w:t>
            </w:r>
            <w:r>
              <w:rPr>
                <w:rFonts w:hint="eastAsia" w:ascii="宋体" w:hAnsi="宋体" w:eastAsia="宋体" w:cs="宋体"/>
                <w:bCs/>
                <w:color w:val="auto"/>
                <w:sz w:val="24"/>
                <w:szCs w:val="24"/>
                <w:highlight w:val="none"/>
                <w:lang w:eastAsia="zh-CN"/>
              </w:rPr>
              <w:t>）规定的小微企业扶持政策。</w:t>
            </w:r>
          </w:p>
        </w:tc>
      </w:tr>
    </w:tbl>
    <w:p w14:paraId="3CE95590">
      <w:pPr>
        <w:pStyle w:val="11"/>
        <w:pageBreakBefore w:val="0"/>
        <w:tabs>
          <w:tab w:val="left" w:pos="600"/>
        </w:tabs>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4.5.1投标人总分=报价部分得分+技术、商务部分得分，结果保留两位小数。</w:t>
      </w:r>
    </w:p>
    <w:p w14:paraId="32FCE33D">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174" w:name="_Toc217446060"/>
      <w:r>
        <w:rPr>
          <w:rFonts w:hint="eastAsia" w:ascii="宋体" w:hAnsi="宋体" w:eastAsia="宋体" w:cs="宋体"/>
          <w:color w:val="auto"/>
          <w:sz w:val="24"/>
          <w:szCs w:val="24"/>
          <w:highlight w:val="none"/>
        </w:rPr>
        <w:t>5. 终止招标</w:t>
      </w:r>
    </w:p>
    <w:p w14:paraId="39AC58DA">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采购人、采购代理机构在发布招标公告、资格预审公告或者发出投标邀请书后，除因重大变故采购任务取消情况外，不得擅自终止招标活动。</w:t>
      </w:r>
    </w:p>
    <w:p w14:paraId="50EFD514">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终止招标的，采购人或者采购代理机构应当及时在原公告发布媒体上发布终止公告，以书面形式通知已经获取招标文件、资格预审文件或者被邀请的潜在投标人，并将项目实施情况和采购任务取消原因报告本级财政部门。已经收取招标文件费用或者投标保证金的，采购人或者采购代理机构应当在终止采购活动后5个工作日内，退还所收取的招标文件费用和所收取的投标保证金及其在银行产生的孳息。</w:t>
      </w:r>
    </w:p>
    <w:p w14:paraId="4335590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 定标</w:t>
      </w:r>
      <w:bookmarkEnd w:id="174"/>
      <w:bookmarkStart w:id="175" w:name="_Toc217446061"/>
    </w:p>
    <w:p w14:paraId="4122BAF8">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 定标原则</w:t>
      </w:r>
      <w:bookmarkEnd w:id="175"/>
      <w:r>
        <w:rPr>
          <w:rFonts w:hint="eastAsia" w:ascii="宋体" w:hAnsi="宋体" w:eastAsia="宋体" w:cs="宋体"/>
          <w:color w:val="auto"/>
          <w:sz w:val="24"/>
          <w:szCs w:val="24"/>
          <w:highlight w:val="none"/>
        </w:rPr>
        <w:t>：本项目根据评标委员会推荐的中标候选人名单，按顺序确定中标人。</w:t>
      </w:r>
    </w:p>
    <w:p w14:paraId="23DDB489">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176" w:name="_Toc217446062"/>
      <w:r>
        <w:rPr>
          <w:rFonts w:hint="eastAsia" w:ascii="宋体" w:hAnsi="宋体" w:eastAsia="宋体" w:cs="宋体"/>
          <w:color w:val="auto"/>
          <w:sz w:val="24"/>
          <w:szCs w:val="24"/>
          <w:highlight w:val="none"/>
        </w:rPr>
        <w:t>6.2. 定标程序</w:t>
      </w:r>
      <w:bookmarkEnd w:id="176"/>
    </w:p>
    <w:p w14:paraId="0D194A38">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6.2.1 评标委员会将评标情况写出书面报告，推荐中标候选人，并按照综合得分高低标明排列顺序。本项目采用综合评分法，评标结果按评标后得分由高到低顺序排列。得分相同的，按投标报价由低到高顺序排列。得分且投标报价相同的按照技术指标优劣顺序推荐。</w:t>
      </w:r>
    </w:p>
    <w:p w14:paraId="1ADC08B5">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6.2.2 采购代理机构在评标结束后两个工作日内将评标报告送至采购人。</w:t>
      </w:r>
    </w:p>
    <w:p w14:paraId="2422AE86">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6.2.3 采购人应当自收到评标报告之日起5个工作日内在评标报告推荐的中标候选人中按顺序确定中标人。</w:t>
      </w:r>
    </w:p>
    <w:p w14:paraId="5A376FD1">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6.2.4 根据采购人确定的中标人，采购人在招标公告发布的媒体上发布中标公告，同时向中标人发出中标通知书。</w:t>
      </w:r>
    </w:p>
    <w:p w14:paraId="2EFA0E98">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6.2.5 采购人不退回投标文件和其他投标资料。</w:t>
      </w:r>
    </w:p>
    <w:bookmarkEnd w:id="169"/>
    <w:p w14:paraId="12DA2F05">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bookmarkStart w:id="177" w:name="_Toc183682432"/>
      <w:bookmarkStart w:id="178" w:name="_Toc208849022"/>
      <w:bookmarkStart w:id="179" w:name="_Toc183582297"/>
      <w:bookmarkStart w:id="180" w:name="_Toc217446105"/>
      <w:r>
        <w:rPr>
          <w:rFonts w:hint="eastAsia" w:ascii="宋体" w:hAnsi="宋体" w:eastAsia="宋体" w:cs="宋体"/>
          <w:color w:val="auto"/>
          <w:sz w:val="24"/>
          <w:szCs w:val="24"/>
          <w:highlight w:val="none"/>
        </w:rPr>
        <w:t xml:space="preserve">7. </w:t>
      </w:r>
      <w:bookmarkEnd w:id="177"/>
      <w:bookmarkEnd w:id="178"/>
      <w:bookmarkEnd w:id="179"/>
      <w:bookmarkEnd w:id="180"/>
      <w:r>
        <w:rPr>
          <w:rFonts w:hint="eastAsia" w:ascii="宋体" w:hAnsi="宋体" w:eastAsia="宋体" w:cs="宋体"/>
          <w:color w:val="auto"/>
          <w:sz w:val="24"/>
          <w:szCs w:val="24"/>
          <w:highlight w:val="none"/>
        </w:rPr>
        <w:t>评标专家在政府采购活动中承担以下义务：</w:t>
      </w:r>
    </w:p>
    <w:p w14:paraId="7E012E2C">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 遵纪守法，客观、公正、廉洁地履行职责。</w:t>
      </w:r>
    </w:p>
    <w:p w14:paraId="7FA7B5C0">
      <w:pPr>
        <w:pageBreakBefore w:val="0"/>
        <w:wordWrap/>
        <w:overflowPunct/>
        <w:topLinePunct w:val="0"/>
        <w:bidi w:val="0"/>
        <w:spacing w:line="560" w:lineRule="exact"/>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 按照政府采购相关法律法规和招标文件的规定对投标人的资格条件和投标人提供的商务、价格、技术服务、业绩、对招标文件的响应程度以及投标文件规范性等方面进行评价，提供科学合理、公平公正的评标意见，参与起草评标报告，并予签字确认。</w:t>
      </w:r>
    </w:p>
    <w:p w14:paraId="3E7B2CFA">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 保守秘密。不得透露招标项目情况，不得泄漏投标人的投标文件及知悉的商业秘密，不得向投标人透露评标情况。</w:t>
      </w:r>
    </w:p>
    <w:p w14:paraId="3BA42676">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 发现投标人在政府采购活动中有不正当竞争或恶意串通等违规行为，及时向政府采购评标工作的组织者或财政部门报告并加以制止。</w:t>
      </w:r>
    </w:p>
    <w:p w14:paraId="5D89E774">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发现采购人、采购代理机构及其工作人员在招标活动中有干预评标、发表倾向性和歧视性言论、受贿或者接受投标人的其他好处及其他违法违规行为，及时向财政部门报告。</w:t>
      </w:r>
    </w:p>
    <w:p w14:paraId="343D8E22">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7.5 配合采购人或者采购代理机构答复投标人质疑，配合投诉处理工作等事宜。</w:t>
      </w:r>
    </w:p>
    <w:p w14:paraId="26CF0130">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7.6 法律、法规和规章规定的其他义务。</w:t>
      </w:r>
    </w:p>
    <w:p w14:paraId="5B0DEDF5">
      <w:pPr>
        <w:pageBreakBefore w:val="0"/>
        <w:widowControl/>
        <w:wordWrap/>
        <w:overflowPunct/>
        <w:topLinePunct w:val="0"/>
        <w:autoSpaceDE w:val="0"/>
        <w:autoSpaceDN w:val="0"/>
        <w:bidi w:val="0"/>
        <w:spacing w:line="560" w:lineRule="exact"/>
        <w:ind w:left="0" w:leftChars="0" w:right="0" w:rightChars="0" w:firstLine="482" w:firstLineChars="200"/>
        <w:textAlignment w:val="bottom"/>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w:t>
      </w: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评标专家在招标活动中应当遵守以下工作纪律：</w:t>
      </w:r>
    </w:p>
    <w:p w14:paraId="681560E6">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 应邀按时参加评标活动。遇特殊情况不能出席或途中遇阻不能按时参加评标的，应及时告知财政部门或者采购人或者采购代理机构，不得私自转托他人。</w:t>
      </w:r>
    </w:p>
    <w:p w14:paraId="42963F78">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 不得参加与自己有利害关系的招标项目的评标活动。对与自己有利害关系的评标项目，如受到邀请，应主动提出回避。财政部门、采购人或采购代理机构也可要求该评标专家回避。</w:t>
      </w:r>
    </w:p>
    <w:p w14:paraId="0E144B01">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有利害关系主要是指三年内曾在参加该招标项目投标人中任职(包括一般工作</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或担任顾问，配偶或直系亲属在参加该招标项目的投标人中任职或担任顾问，与参加该招标项目投标人发生过法律纠纷，以及其他可能影响公正评标的情况。</w:t>
      </w:r>
    </w:p>
    <w:p w14:paraId="48FCF390">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 评标过程中关闭通讯设备，不得与外界联系。</w:t>
      </w:r>
    </w:p>
    <w:p w14:paraId="326B7958">
      <w:pPr>
        <w:pageBreakBefore w:val="0"/>
        <w:widowControl/>
        <w:wordWrap/>
        <w:overflowPunct/>
        <w:topLinePunct w:val="0"/>
        <w:autoSpaceDE w:val="0"/>
        <w:autoSpaceDN w:val="0"/>
        <w:bidi w:val="0"/>
        <w:spacing w:line="560" w:lineRule="exact"/>
        <w:ind w:left="0" w:leftChars="0" w:right="0" w:rightChars="0"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8.4 评标过程中，不得发表影响评标公正的倾向性、歧视性言论；不得以任何明示或暗示的方式要求参加该招标项目的投标人以澄清、说明或补正为借口，表达与其原投标文件原意不同的新意见；不得以招标文件没有规定的方法和标准作为评标的依据；不得违反规定的评标格式评分和撰写评标意见；不得拒绝对自己的评标意见签字确认。</w:t>
      </w:r>
    </w:p>
    <w:p w14:paraId="5D5A5FD8">
      <w:pPr>
        <w:pStyle w:val="2"/>
        <w:keepNext/>
        <w:keepLines/>
        <w:pageBreakBefore w:val="0"/>
        <w:widowControl w:val="0"/>
        <w:kinsoku/>
        <w:wordWrap/>
        <w:overflowPunct/>
        <w:topLinePunct w:val="0"/>
        <w:autoSpaceDE/>
        <w:autoSpaceDN/>
        <w:bidi w:val="0"/>
        <w:adjustRightInd/>
        <w:snapToGrid/>
        <w:spacing w:before="0" w:after="0" w:line="56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br w:type="page"/>
      </w:r>
      <w:bookmarkStart w:id="181" w:name="_Toc6803"/>
      <w:r>
        <w:rPr>
          <w:rFonts w:hint="eastAsia" w:ascii="宋体" w:hAnsi="宋体" w:eastAsia="宋体" w:cs="宋体"/>
          <w:b/>
          <w:bCs/>
          <w:color w:val="auto"/>
          <w:sz w:val="32"/>
          <w:szCs w:val="32"/>
          <w:highlight w:val="none"/>
        </w:rPr>
        <w:t>第六章  拟签订的合同文本</w:t>
      </w:r>
      <w:bookmarkEnd w:id="181"/>
    </w:p>
    <w:p w14:paraId="6F52FDE4">
      <w:pPr>
        <w:jc w:val="center"/>
        <w:rPr>
          <w:rFonts w:hint="eastAsia" w:ascii="宋体" w:hAnsi="宋体" w:eastAsia="宋体" w:cs="宋体"/>
          <w:bCs/>
          <w:color w:val="auto"/>
          <w:sz w:val="24"/>
          <w:szCs w:val="24"/>
          <w:highlight w:val="none"/>
        </w:rPr>
      </w:pPr>
      <w:r>
        <w:rPr>
          <w:rStyle w:val="34"/>
          <w:rFonts w:hint="eastAsia" w:ascii="宋体" w:hAnsi="宋体" w:eastAsia="宋体" w:cs="宋体"/>
          <w:color w:val="auto"/>
          <w:sz w:val="24"/>
          <w:szCs w:val="24"/>
          <w:highlight w:val="none"/>
        </w:rPr>
        <w:t>　</w:t>
      </w:r>
      <w:r>
        <w:rPr>
          <w:rStyle w:val="34"/>
          <w:rFonts w:hint="eastAsia" w:ascii="宋体" w:hAnsi="宋体" w:eastAsia="宋体" w:cs="宋体"/>
          <w:b/>
          <w:bCs/>
          <w:color w:val="auto"/>
          <w:sz w:val="24"/>
          <w:szCs w:val="24"/>
          <w:highlight w:val="none"/>
        </w:rPr>
        <w:t>　</w:t>
      </w:r>
      <w:r>
        <w:rPr>
          <w:rFonts w:hint="eastAsia" w:ascii="宋体" w:hAnsi="宋体" w:eastAsia="宋体" w:cs="宋体"/>
          <w:b/>
          <w:bCs w:val="0"/>
          <w:color w:val="auto"/>
          <w:sz w:val="24"/>
          <w:szCs w:val="24"/>
          <w:highlight w:val="none"/>
        </w:rPr>
        <w:t>（具体以实际签订合同为</w:t>
      </w:r>
      <w:r>
        <w:rPr>
          <w:rFonts w:hint="eastAsia" w:ascii="宋体" w:hAnsi="宋体" w:eastAsia="宋体" w:cs="宋体"/>
          <w:b/>
          <w:bCs w:val="0"/>
          <w:color w:val="auto"/>
          <w:sz w:val="24"/>
          <w:szCs w:val="24"/>
          <w:highlight w:val="none"/>
          <w:lang w:eastAsia="zh-CN"/>
        </w:rPr>
        <w:t>准</w:t>
      </w:r>
      <w:r>
        <w:rPr>
          <w:rFonts w:hint="eastAsia" w:ascii="宋体" w:hAnsi="宋体" w:eastAsia="宋体" w:cs="宋体"/>
          <w:b/>
          <w:bCs w:val="0"/>
          <w:color w:val="auto"/>
          <w:sz w:val="24"/>
          <w:szCs w:val="24"/>
          <w:highlight w:val="none"/>
        </w:rPr>
        <w:t>）</w:t>
      </w:r>
    </w:p>
    <w:p w14:paraId="3A94DBE1">
      <w:pPr>
        <w:spacing w:before="139" w:line="226" w:lineRule="auto"/>
        <w:rPr>
          <w:rFonts w:hint="eastAsia" w:ascii="宋体" w:hAnsi="宋体" w:eastAsia="宋体" w:cs="宋体"/>
          <w:b/>
          <w:bCs/>
          <w:color w:val="auto"/>
          <w:spacing w:val="4"/>
          <w:sz w:val="24"/>
          <w:szCs w:val="24"/>
          <w:highlight w:val="none"/>
        </w:rPr>
      </w:pPr>
    </w:p>
    <w:p w14:paraId="0B38697E">
      <w:pPr>
        <w:spacing w:line="560" w:lineRule="exact"/>
        <w:ind w:firstLine="601"/>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新疆医科大学附属肿瘤医院</w:t>
      </w:r>
    </w:p>
    <w:p w14:paraId="378D223C">
      <w:pPr>
        <w:spacing w:line="560" w:lineRule="exact"/>
        <w:ind w:firstLine="601"/>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采购合同书</w:t>
      </w:r>
    </w:p>
    <w:p w14:paraId="46A61AF3">
      <w:pPr>
        <w:spacing w:line="560" w:lineRule="exact"/>
        <w:ind w:firstLine="601"/>
        <w:jc w:val="center"/>
        <w:rPr>
          <w:rFonts w:hint="eastAsia" w:ascii="宋体" w:hAnsi="宋体" w:eastAsia="宋体" w:cs="宋体"/>
          <w:b/>
          <w:color w:val="auto"/>
          <w:sz w:val="24"/>
          <w:szCs w:val="24"/>
          <w:highlight w:val="none"/>
        </w:rPr>
      </w:pPr>
    </w:p>
    <w:p w14:paraId="53635DD2">
      <w:pPr>
        <w:spacing w:line="560" w:lineRule="exact"/>
        <w:rPr>
          <w:rFonts w:hint="eastAsia" w:ascii="宋体" w:hAnsi="宋体" w:eastAsia="宋体" w:cs="宋体"/>
          <w:b/>
          <w:color w:val="auto"/>
          <w:sz w:val="24"/>
          <w:szCs w:val="24"/>
          <w:highlight w:val="none"/>
        </w:rPr>
      </w:pPr>
    </w:p>
    <w:p w14:paraId="10F803CD">
      <w:pPr>
        <w:spacing w:line="560" w:lineRule="exact"/>
        <w:jc w:val="left"/>
        <w:rPr>
          <w:rFonts w:hint="eastAsia" w:ascii="宋体" w:hAnsi="宋体" w:eastAsia="宋体" w:cs="宋体"/>
          <w:b/>
          <w:color w:val="auto"/>
          <w:sz w:val="24"/>
          <w:szCs w:val="24"/>
          <w:highlight w:val="none"/>
        </w:rPr>
      </w:pPr>
    </w:p>
    <w:p w14:paraId="72F7FC5B">
      <w:pPr>
        <w:pStyle w:val="6"/>
        <w:rPr>
          <w:rFonts w:hint="eastAsia" w:ascii="宋体" w:hAnsi="宋体" w:eastAsia="宋体" w:cs="宋体"/>
          <w:b/>
          <w:color w:val="auto"/>
          <w:sz w:val="24"/>
          <w:szCs w:val="24"/>
          <w:highlight w:val="none"/>
        </w:rPr>
      </w:pPr>
    </w:p>
    <w:p w14:paraId="18C0BEA2">
      <w:pPr>
        <w:spacing w:line="560" w:lineRule="exact"/>
        <w:jc w:val="left"/>
        <w:rPr>
          <w:rFonts w:hint="eastAsia" w:ascii="宋体" w:hAnsi="宋体" w:eastAsia="宋体" w:cs="宋体"/>
          <w:b/>
          <w:color w:val="auto"/>
          <w:sz w:val="24"/>
          <w:szCs w:val="24"/>
          <w:highlight w:val="none"/>
        </w:rPr>
      </w:pPr>
    </w:p>
    <w:p w14:paraId="72943B22">
      <w:pPr>
        <w:spacing w:line="560" w:lineRule="exact"/>
        <w:ind w:firstLine="1084" w:firstLineChars="45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买  方：新疆医科大学附属肿瘤医院</w:t>
      </w:r>
    </w:p>
    <w:p w14:paraId="2333EB66">
      <w:pPr>
        <w:spacing w:line="560" w:lineRule="exact"/>
        <w:jc w:val="left"/>
        <w:rPr>
          <w:rFonts w:hint="eastAsia" w:ascii="宋体" w:hAnsi="宋体" w:eastAsia="宋体" w:cs="宋体"/>
          <w:b/>
          <w:color w:val="auto"/>
          <w:sz w:val="24"/>
          <w:szCs w:val="24"/>
          <w:highlight w:val="none"/>
        </w:rPr>
      </w:pPr>
    </w:p>
    <w:p w14:paraId="7DE7C8A7">
      <w:pPr>
        <w:spacing w:line="560" w:lineRule="exact"/>
        <w:ind w:firstLine="1084" w:firstLineChars="450"/>
        <w:jc w:val="left"/>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卖  方：</w:t>
      </w:r>
    </w:p>
    <w:p w14:paraId="3A99EEBC">
      <w:pPr>
        <w:spacing w:line="560" w:lineRule="exact"/>
        <w:ind w:firstLine="1084" w:firstLineChars="450"/>
        <w:jc w:val="left"/>
        <w:rPr>
          <w:rFonts w:hint="eastAsia" w:ascii="宋体" w:hAnsi="宋体" w:eastAsia="宋体" w:cs="宋体"/>
          <w:b/>
          <w:color w:val="auto"/>
          <w:sz w:val="24"/>
          <w:szCs w:val="24"/>
          <w:highlight w:val="none"/>
          <w:lang w:eastAsia="zh-CN"/>
        </w:rPr>
      </w:pPr>
    </w:p>
    <w:p w14:paraId="7CEB52F2">
      <w:pPr>
        <w:spacing w:line="560" w:lineRule="exact"/>
        <w:ind w:firstLine="1084" w:firstLineChars="45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签约地点：</w:t>
      </w:r>
    </w:p>
    <w:p w14:paraId="3DA3C7FE">
      <w:pPr>
        <w:spacing w:line="560" w:lineRule="exact"/>
        <w:jc w:val="left"/>
        <w:rPr>
          <w:rFonts w:hint="eastAsia" w:ascii="宋体" w:hAnsi="宋体" w:eastAsia="宋体" w:cs="宋体"/>
          <w:b/>
          <w:color w:val="auto"/>
          <w:sz w:val="24"/>
          <w:szCs w:val="24"/>
          <w:highlight w:val="none"/>
        </w:rPr>
      </w:pPr>
    </w:p>
    <w:p w14:paraId="7A4E1915">
      <w:pPr>
        <w:spacing w:line="560" w:lineRule="exact"/>
        <w:ind w:firstLine="1084" w:firstLineChars="450"/>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合同编号：</w:t>
      </w:r>
    </w:p>
    <w:p w14:paraId="50D67648">
      <w:pPr>
        <w:spacing w:line="5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rPr>
        <w:t>甲方（买方）：新疆医科大学附属肿瘤医院</w:t>
      </w:r>
    </w:p>
    <w:p w14:paraId="1447856C">
      <w:pPr>
        <w:spacing w:line="52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地址：新疆乌鲁木齐市新市区苏州东街789号</w:t>
      </w:r>
    </w:p>
    <w:p w14:paraId="4AD076E0">
      <w:pPr>
        <w:spacing w:line="52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电话：0991-7819055</w:t>
      </w:r>
    </w:p>
    <w:p w14:paraId="5E4C46DE">
      <w:pPr>
        <w:spacing w:line="520" w:lineRule="exact"/>
        <w:rPr>
          <w:rFonts w:hint="eastAsia" w:ascii="宋体" w:hAnsi="宋体" w:eastAsia="宋体" w:cs="宋体"/>
          <w:b/>
          <w:color w:val="auto"/>
          <w:sz w:val="24"/>
          <w:szCs w:val="24"/>
          <w:highlight w:val="none"/>
        </w:rPr>
      </w:pPr>
    </w:p>
    <w:p w14:paraId="2C976EA1">
      <w:pPr>
        <w:spacing w:line="520" w:lineRule="exac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乙方（卖方）：</w:t>
      </w:r>
    </w:p>
    <w:p w14:paraId="1B1373E0">
      <w:pPr>
        <w:spacing w:line="52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地址：</w:t>
      </w:r>
    </w:p>
    <w:p w14:paraId="298BAD33">
      <w:pPr>
        <w:spacing w:line="520" w:lineRule="exac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电话：</w:t>
      </w:r>
    </w:p>
    <w:p w14:paraId="1576CC56">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u w:val="single"/>
        </w:rPr>
        <w:t>新疆医科大学附属肿瘤医院</w:t>
      </w:r>
      <w:r>
        <w:rPr>
          <w:rFonts w:hint="eastAsia" w:ascii="宋体" w:hAnsi="宋体" w:eastAsia="宋体" w:cs="宋体"/>
          <w:bCs/>
          <w:color w:val="auto"/>
          <w:sz w:val="24"/>
          <w:szCs w:val="24"/>
          <w:highlight w:val="none"/>
        </w:rPr>
        <w:t>（以下简称甲方）</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以下简称乙方）就采购、安装事宜，根据《中华人民共和国政府采购法》、《中华人民共和国民法典》等规定，本着平等、自愿、互利、互惠的原则，经各方协商一致，订立本合同。</w:t>
      </w:r>
    </w:p>
    <w:p w14:paraId="3F37145B">
      <w:pPr>
        <w:spacing w:line="520" w:lineRule="exact"/>
        <w:ind w:firstLine="480" w:firstLineChars="200"/>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第一部分 通用条款</w:t>
      </w:r>
    </w:p>
    <w:p w14:paraId="4E43D9C5">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在此供应的货物，乙方同意做如下保证:</w:t>
      </w:r>
    </w:p>
    <w:p w14:paraId="34DC0ACC">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一、乙方供应的全部货物，</w:t>
      </w:r>
      <w:r>
        <w:rPr>
          <w:rFonts w:hint="eastAsia" w:ascii="宋体" w:hAnsi="宋体" w:eastAsia="宋体" w:cs="宋体"/>
          <w:b/>
          <w:bCs/>
          <w:color w:val="auto"/>
          <w:sz w:val="24"/>
          <w:szCs w:val="24"/>
          <w:highlight w:val="none"/>
        </w:rPr>
        <w:t>必须在不涉及任何担保、留置权、专利权使用费的情况下，交付与本合同规定完全相同的货物</w:t>
      </w:r>
      <w:r>
        <w:rPr>
          <w:rFonts w:hint="eastAsia" w:ascii="宋体" w:hAnsi="宋体" w:eastAsia="宋体" w:cs="宋体"/>
          <w:bCs/>
          <w:color w:val="auto"/>
          <w:sz w:val="24"/>
          <w:szCs w:val="24"/>
          <w:highlight w:val="none"/>
        </w:rPr>
        <w:t>。</w:t>
      </w:r>
    </w:p>
    <w:p w14:paraId="0EC2EE59">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二、不能将甲方全部或部分付款看作是对有缺陷的工艺或不合格货物的认可。</w:t>
      </w:r>
    </w:p>
    <w:p w14:paraId="0E09697B">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三、所供货物均须符合相应图纸和技术规范中的相关规定，并且不涉及到任何侵权行为或任何索赔。</w:t>
      </w:r>
    </w:p>
    <w:p w14:paraId="28F73305">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甲方收到本合同项下的货物，并不表示甲方自动放弃因延期交货、货物不合格或货物与本合同不相符造成的损失而提出索赔的权利。若货物名称、型号、规格、数量、质量等不符合本合同约定，甲方可在收货后随时向乙方提出异议，乙方应免费更换直至货物完全符合本合同约定，且乙方需承担逾期交货的责任。</w:t>
      </w:r>
    </w:p>
    <w:p w14:paraId="27A74882">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甲方未提出异议的，乙方仍应于货物</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内承担保固责任。甲方对货物的验收手续仅仅证明乙方交货的行为，并不能免除乙方应当承担的货物质量责任。</w:t>
      </w:r>
    </w:p>
    <w:p w14:paraId="1A28FD00">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因乙方货物质量瑕疵原因导致甲方对其他第三方承担的违约金、损失赔偿等任何赔偿责任，甲方均有权将该赔偿责任转移给乙方，乙方对此无异议。 </w:t>
      </w:r>
    </w:p>
    <w:p w14:paraId="5C581C2B">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五、甲方有要求乙方延迟一段合理时间再行交货的权利。</w:t>
      </w:r>
    </w:p>
    <w:p w14:paraId="0122C450">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六、除非甲方要求，乙方必须在本合同规定时间内进行交</w:t>
      </w:r>
      <w:r>
        <w:rPr>
          <w:rFonts w:hint="eastAsia" w:ascii="宋体" w:hAnsi="宋体" w:eastAsia="宋体" w:cs="宋体"/>
          <w:bCs/>
          <w:strike w:val="0"/>
          <w:dstrike w:val="0"/>
          <w:color w:val="auto"/>
          <w:sz w:val="24"/>
          <w:szCs w:val="24"/>
          <w:highlight w:val="none"/>
        </w:rPr>
        <w:t>货。乙方同意偿付甲方可能</w:t>
      </w:r>
      <w:r>
        <w:rPr>
          <w:rFonts w:hint="eastAsia" w:ascii="宋体" w:hAnsi="宋体" w:eastAsia="宋体" w:cs="宋体"/>
          <w:bCs/>
          <w:color w:val="auto"/>
          <w:sz w:val="24"/>
          <w:szCs w:val="24"/>
          <w:highlight w:val="none"/>
        </w:rPr>
        <w:t>因无法按照本合同约定时间进行交货而引起的所有额外的违约金、赔偿金以及其他费用。</w:t>
      </w:r>
    </w:p>
    <w:p w14:paraId="1E6D3FE6">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七、在项目终止或甲方订立本合同所依据的本项目合同终止时，甲方经书面通知可解除本合同，此种情况不作违约处理。</w:t>
      </w:r>
    </w:p>
    <w:p w14:paraId="6A9D0AEB">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八、所有交付到甲方现场的货物必须附有验收单。签字的验收单必须附在所有发票上作为本合同付款的前提条件。</w:t>
      </w:r>
    </w:p>
    <w:p w14:paraId="56E16790">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九、所有交货费用均由乙方承担，乙方保证使甲方免于承担全部运费、快递费、保险费、装卸费、其他杂费以及由此带来的任何索赔，本合同专用条款有特别约定的，从特别约定。</w:t>
      </w:r>
    </w:p>
    <w:p w14:paraId="3A2D5C86">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十、乙方分批供应货物的，甲方有权对任何一批货物的数量进行抽查核实，如果实际数量与乙方所提供的数量有短缺的，则乙方此前所供货物的全部数量均应按本批货物短缺比例作相应减少计算。</w:t>
      </w:r>
    </w:p>
    <w:p w14:paraId="54055AFF">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十一、因乙方所交货物的权利瑕疵、品质瑕疵等导致甲方遭受任何损失的，乙方保证承担全部赔偿责任。在因上述瑕疵导致甲方陷入索赔纠纷或诉讼中的，在该索赔纠纷或诉讼未得到解决之前，供甲方的结算可按甲方的意见作延迟处理，直至上述索赔得到解决或乙方提供令甲方满意的赔偿为止。 </w:t>
      </w:r>
    </w:p>
    <w:p w14:paraId="4BC7D713">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十二、因乙方全部或部分违约导致双方发生的诉讼/仲裁或甲方与第三方发生的诉讼/仲裁，乙方同意承担甲方因此而支出的全部诉讼费、律师费、调查费、交通费及其他合理费用。</w:t>
      </w:r>
    </w:p>
    <w:p w14:paraId="408CED84">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十三、未经甲方-书面同意，乙方不得将本合同的工作内容全部或部分转让给任何第三人。</w:t>
      </w:r>
    </w:p>
    <w:p w14:paraId="22ABDA11">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十四、乙方声明、陈述和保证其是合法设立并有效存续的独立法人，其授权代表已获得法人授权可代表其签署合同。</w:t>
      </w:r>
    </w:p>
    <w:p w14:paraId="0B3532C1">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十五、甲方作为提供本合同的一方，已经郑重提醒乙方注意本合同的所有条款，并且甲方已经按照乙方的要求，对每一条款均予以了说明。本合同通用条款与专用条款约定不一致的，应以专用条款约定为准。</w:t>
      </w:r>
    </w:p>
    <w:p w14:paraId="6E0A9E69">
      <w:pPr>
        <w:spacing w:line="520" w:lineRule="exact"/>
        <w:ind w:firstLine="482" w:firstLineChars="20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第二部分 专用条款</w:t>
      </w:r>
    </w:p>
    <w:p w14:paraId="4473DD49">
      <w:pPr>
        <w:spacing w:line="520" w:lineRule="exact"/>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一、合同标的</w:t>
      </w:r>
    </w:p>
    <w:p w14:paraId="658A5472">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1、货物</w:t>
      </w:r>
    </w:p>
    <w:p w14:paraId="4CFBFB5C">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乙方提供的货物为全新产品，并符合合同附件的技术规格所述的标准及相关的国家标准和行业标准，这些标准必须是合同签订时有关机构发布的最新的有效版本。除非技术规格中另有规定，计量单位均采用中华人民共和国法定计量单位。</w:t>
      </w:r>
    </w:p>
    <w:p w14:paraId="13386AFE">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注:乙方应保证，甲方在中华人民共和国使用该货物或货物的任何一部分时，免受第三方提出的侵犯其专利权、商标权、工业设计权或其他知识产权的起诉。</w:t>
      </w:r>
    </w:p>
    <w:p w14:paraId="64BD917F">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2、数量及价格：详细技术要求见本合同尾部附件</w:t>
      </w:r>
    </w:p>
    <w:tbl>
      <w:tblPr>
        <w:tblStyle w:val="31"/>
        <w:tblW w:w="903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34"/>
        <w:gridCol w:w="1227"/>
        <w:gridCol w:w="1299"/>
        <w:gridCol w:w="1184"/>
        <w:gridCol w:w="1108"/>
        <w:gridCol w:w="894"/>
        <w:gridCol w:w="1156"/>
        <w:gridCol w:w="1156"/>
        <w:gridCol w:w="577"/>
      </w:tblGrid>
      <w:tr w14:paraId="68784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258" w:hRule="atLeast"/>
          <w:jc w:val="center"/>
        </w:trPr>
        <w:tc>
          <w:tcPr>
            <w:tcW w:w="434" w:type="dxa"/>
            <w:tcBorders>
              <w:top w:val="single" w:color="auto" w:sz="4" w:space="0"/>
              <w:left w:val="single" w:color="auto" w:sz="4" w:space="0"/>
              <w:bottom w:val="single" w:color="auto" w:sz="4" w:space="0"/>
              <w:right w:val="single" w:color="auto" w:sz="4" w:space="0"/>
            </w:tcBorders>
            <w:noWrap w:val="0"/>
            <w:vAlign w:val="center"/>
          </w:tcPr>
          <w:p w14:paraId="2BB2F31B">
            <w:pPr>
              <w:autoSpaceDE w:val="0"/>
              <w:autoSpaceDN w:val="0"/>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227" w:type="dxa"/>
            <w:tcBorders>
              <w:top w:val="single" w:color="auto" w:sz="4" w:space="0"/>
              <w:left w:val="single" w:color="auto" w:sz="4" w:space="0"/>
              <w:bottom w:val="single" w:color="auto" w:sz="4" w:space="0"/>
              <w:right w:val="single" w:color="auto" w:sz="4" w:space="0"/>
            </w:tcBorders>
            <w:noWrap w:val="0"/>
            <w:vAlign w:val="center"/>
          </w:tcPr>
          <w:p w14:paraId="3E84D16D">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物品名称</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A53C257">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生产厂家或</w:t>
            </w:r>
          </w:p>
          <w:p w14:paraId="522A9A44">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品牌</w:t>
            </w:r>
          </w:p>
        </w:tc>
        <w:tc>
          <w:tcPr>
            <w:tcW w:w="1184" w:type="dxa"/>
            <w:tcBorders>
              <w:top w:val="single" w:color="auto" w:sz="4" w:space="0"/>
              <w:left w:val="single" w:color="auto" w:sz="4" w:space="0"/>
              <w:bottom w:val="single" w:color="auto" w:sz="4" w:space="0"/>
              <w:right w:val="single" w:color="auto" w:sz="4" w:space="0"/>
            </w:tcBorders>
            <w:noWrap w:val="0"/>
            <w:vAlign w:val="center"/>
          </w:tcPr>
          <w:p w14:paraId="6E26C621">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规格</w:t>
            </w:r>
          </w:p>
          <w:p w14:paraId="173C42CD">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型号</w:t>
            </w:r>
          </w:p>
        </w:tc>
        <w:tc>
          <w:tcPr>
            <w:tcW w:w="1108" w:type="dxa"/>
            <w:tcBorders>
              <w:top w:val="single" w:color="auto" w:sz="4" w:space="0"/>
              <w:left w:val="single" w:color="auto" w:sz="4" w:space="0"/>
              <w:bottom w:val="single" w:color="auto" w:sz="4" w:space="0"/>
              <w:right w:val="single" w:color="auto" w:sz="4" w:space="0"/>
            </w:tcBorders>
            <w:noWrap w:val="0"/>
            <w:vAlign w:val="center"/>
          </w:tcPr>
          <w:p w14:paraId="1B6A293C">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技术</w:t>
            </w:r>
          </w:p>
          <w:p w14:paraId="29E593AB">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参数</w:t>
            </w:r>
          </w:p>
        </w:tc>
        <w:tc>
          <w:tcPr>
            <w:tcW w:w="894" w:type="dxa"/>
            <w:tcBorders>
              <w:top w:val="single" w:color="auto" w:sz="4" w:space="0"/>
              <w:left w:val="single" w:color="auto" w:sz="4" w:space="0"/>
              <w:bottom w:val="single" w:color="auto" w:sz="4" w:space="0"/>
              <w:right w:val="single" w:color="auto" w:sz="4" w:space="0"/>
            </w:tcBorders>
            <w:noWrap w:val="0"/>
            <w:vAlign w:val="center"/>
          </w:tcPr>
          <w:p w14:paraId="356012F5">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数量</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31A2688E">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含税单价</w:t>
            </w:r>
          </w:p>
          <w:p w14:paraId="0DF8CAD9">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(元)</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371574E9">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合计金额</w:t>
            </w:r>
          </w:p>
          <w:p w14:paraId="2C35A8DB">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（元）</w:t>
            </w:r>
          </w:p>
        </w:tc>
        <w:tc>
          <w:tcPr>
            <w:tcW w:w="577" w:type="dxa"/>
            <w:tcBorders>
              <w:top w:val="single" w:color="auto" w:sz="4" w:space="0"/>
              <w:left w:val="single" w:color="auto" w:sz="4" w:space="0"/>
              <w:bottom w:val="single" w:color="auto" w:sz="4" w:space="0"/>
              <w:right w:val="single" w:color="auto" w:sz="4" w:space="0"/>
            </w:tcBorders>
            <w:noWrap w:val="0"/>
            <w:vAlign w:val="center"/>
          </w:tcPr>
          <w:p w14:paraId="0A05DA48">
            <w:pPr>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w:t>
            </w:r>
          </w:p>
        </w:tc>
      </w:tr>
      <w:tr w14:paraId="743F22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2" w:hRule="atLeast"/>
          <w:jc w:val="center"/>
        </w:trPr>
        <w:tc>
          <w:tcPr>
            <w:tcW w:w="434" w:type="dxa"/>
            <w:tcBorders>
              <w:top w:val="single" w:color="auto" w:sz="4" w:space="0"/>
              <w:left w:val="single" w:color="auto" w:sz="4" w:space="0"/>
              <w:bottom w:val="single" w:color="auto" w:sz="4" w:space="0"/>
              <w:right w:val="single" w:color="auto" w:sz="4" w:space="0"/>
            </w:tcBorders>
            <w:noWrap w:val="0"/>
            <w:vAlign w:val="center"/>
          </w:tcPr>
          <w:p w14:paraId="23360EDA">
            <w:pPr>
              <w:autoSpaceDE w:val="0"/>
              <w:autoSpaceDN w:val="0"/>
              <w:spacing w:line="52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p>
        </w:tc>
        <w:tc>
          <w:tcPr>
            <w:tcW w:w="1227" w:type="dxa"/>
            <w:tcBorders>
              <w:top w:val="single" w:color="auto" w:sz="4" w:space="0"/>
              <w:left w:val="single" w:color="auto" w:sz="4" w:space="0"/>
              <w:bottom w:val="single" w:color="auto" w:sz="4" w:space="0"/>
              <w:right w:val="single" w:color="auto" w:sz="4" w:space="0"/>
            </w:tcBorders>
            <w:noWrap w:val="0"/>
            <w:vAlign w:val="center"/>
          </w:tcPr>
          <w:p w14:paraId="0E728092">
            <w:pPr>
              <w:spacing w:line="520" w:lineRule="exact"/>
              <w:jc w:val="center"/>
              <w:rPr>
                <w:rFonts w:hint="eastAsia" w:ascii="宋体" w:hAnsi="宋体" w:eastAsia="宋体" w:cs="宋体"/>
                <w:b/>
                <w:color w:val="auto"/>
                <w:sz w:val="24"/>
                <w:szCs w:val="24"/>
                <w:highlight w:val="non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3E97AB58">
            <w:pPr>
              <w:spacing w:line="520" w:lineRule="exact"/>
              <w:jc w:val="center"/>
              <w:rPr>
                <w:rFonts w:hint="eastAsia" w:ascii="宋体" w:hAnsi="宋体" w:eastAsia="宋体" w:cs="宋体"/>
                <w:b/>
                <w:color w:val="auto"/>
                <w:sz w:val="24"/>
                <w:szCs w:val="24"/>
                <w:highlight w:val="none"/>
                <w:lang w:val="en-US"/>
              </w:rPr>
            </w:pPr>
          </w:p>
        </w:tc>
        <w:tc>
          <w:tcPr>
            <w:tcW w:w="1184" w:type="dxa"/>
            <w:tcBorders>
              <w:top w:val="single" w:color="auto" w:sz="4" w:space="0"/>
              <w:left w:val="single" w:color="auto" w:sz="4" w:space="0"/>
              <w:bottom w:val="single" w:color="auto" w:sz="4" w:space="0"/>
              <w:right w:val="single" w:color="auto" w:sz="4" w:space="0"/>
            </w:tcBorders>
            <w:noWrap w:val="0"/>
            <w:vAlign w:val="center"/>
          </w:tcPr>
          <w:p w14:paraId="1726F43D">
            <w:pPr>
              <w:spacing w:line="520" w:lineRule="exact"/>
              <w:ind w:firstLine="482" w:firstLineChars="200"/>
              <w:jc w:val="both"/>
              <w:rPr>
                <w:rFonts w:hint="eastAsia" w:ascii="宋体" w:hAnsi="宋体" w:eastAsia="宋体" w:cs="宋体"/>
                <w:b/>
                <w:color w:val="auto"/>
                <w:sz w:val="24"/>
                <w:szCs w:val="24"/>
                <w:highlight w:val="none"/>
                <w:lang w:val="en-US" w:eastAsia="zh-CN"/>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7F362315">
            <w:pPr>
              <w:spacing w:line="520" w:lineRule="exact"/>
              <w:jc w:val="center"/>
              <w:rPr>
                <w:rFonts w:hint="eastAsia" w:ascii="宋体" w:hAnsi="宋体" w:eastAsia="宋体" w:cs="宋体"/>
                <w:b/>
                <w:color w:val="auto"/>
                <w:sz w:val="24"/>
                <w:szCs w:val="24"/>
                <w:highlight w:val="none"/>
              </w:rPr>
            </w:pPr>
          </w:p>
        </w:tc>
        <w:tc>
          <w:tcPr>
            <w:tcW w:w="894" w:type="dxa"/>
            <w:tcBorders>
              <w:top w:val="single" w:color="auto" w:sz="4" w:space="0"/>
              <w:left w:val="single" w:color="auto" w:sz="4" w:space="0"/>
              <w:bottom w:val="single" w:color="auto" w:sz="4" w:space="0"/>
              <w:right w:val="single" w:color="auto" w:sz="4" w:space="0"/>
            </w:tcBorders>
            <w:noWrap w:val="0"/>
            <w:vAlign w:val="center"/>
          </w:tcPr>
          <w:p w14:paraId="2E05FD54">
            <w:pPr>
              <w:spacing w:line="520" w:lineRule="exact"/>
              <w:jc w:val="center"/>
              <w:rPr>
                <w:rFonts w:hint="eastAsia" w:ascii="宋体" w:hAnsi="宋体" w:eastAsia="宋体" w:cs="宋体"/>
                <w:b/>
                <w:color w:val="auto"/>
                <w:sz w:val="24"/>
                <w:szCs w:val="24"/>
                <w:highlight w:val="none"/>
              </w:rPr>
            </w:pPr>
          </w:p>
        </w:tc>
        <w:tc>
          <w:tcPr>
            <w:tcW w:w="1156" w:type="dxa"/>
            <w:tcBorders>
              <w:top w:val="single" w:color="auto" w:sz="4" w:space="0"/>
              <w:left w:val="single" w:color="auto" w:sz="4" w:space="0"/>
              <w:bottom w:val="single" w:color="auto" w:sz="4" w:space="0"/>
              <w:right w:val="single" w:color="auto" w:sz="4" w:space="0"/>
            </w:tcBorders>
            <w:noWrap w:val="0"/>
            <w:vAlign w:val="center"/>
          </w:tcPr>
          <w:p w14:paraId="13F926DC">
            <w:pPr>
              <w:spacing w:line="520" w:lineRule="exact"/>
              <w:jc w:val="center"/>
              <w:rPr>
                <w:rFonts w:hint="eastAsia" w:ascii="宋体" w:hAnsi="宋体" w:eastAsia="宋体" w:cs="宋体"/>
                <w:b/>
                <w:color w:val="auto"/>
                <w:sz w:val="24"/>
                <w:szCs w:val="24"/>
                <w:highlight w:val="none"/>
                <w:lang w:val="en-US" w:eastAsia="zh-CN"/>
              </w:rPr>
            </w:pPr>
          </w:p>
        </w:tc>
        <w:tc>
          <w:tcPr>
            <w:tcW w:w="1156" w:type="dxa"/>
            <w:tcBorders>
              <w:top w:val="single" w:color="auto" w:sz="4" w:space="0"/>
              <w:left w:val="single" w:color="auto" w:sz="4" w:space="0"/>
              <w:bottom w:val="single" w:color="auto" w:sz="4" w:space="0"/>
              <w:right w:val="single" w:color="auto" w:sz="4" w:space="0"/>
            </w:tcBorders>
            <w:noWrap w:val="0"/>
            <w:vAlign w:val="center"/>
          </w:tcPr>
          <w:p w14:paraId="396E0A1A">
            <w:pPr>
              <w:spacing w:line="520" w:lineRule="exact"/>
              <w:jc w:val="center"/>
              <w:rPr>
                <w:rFonts w:hint="eastAsia" w:ascii="宋体" w:hAnsi="宋体" w:eastAsia="宋体" w:cs="宋体"/>
                <w:b/>
                <w:color w:val="auto"/>
                <w:sz w:val="24"/>
                <w:szCs w:val="24"/>
                <w:highlight w:val="none"/>
                <w:lang w:val="en-US" w:eastAsia="zh-CN"/>
              </w:rPr>
            </w:pPr>
          </w:p>
        </w:tc>
        <w:tc>
          <w:tcPr>
            <w:tcW w:w="577" w:type="dxa"/>
            <w:tcBorders>
              <w:top w:val="single" w:color="auto" w:sz="4" w:space="0"/>
              <w:left w:val="single" w:color="auto" w:sz="4" w:space="0"/>
              <w:bottom w:val="single" w:color="auto" w:sz="4" w:space="0"/>
              <w:right w:val="single" w:color="auto" w:sz="4" w:space="0"/>
            </w:tcBorders>
            <w:noWrap w:val="0"/>
            <w:vAlign w:val="center"/>
          </w:tcPr>
          <w:p w14:paraId="32BF6F56">
            <w:pPr>
              <w:spacing w:line="520" w:lineRule="exact"/>
              <w:jc w:val="center"/>
              <w:rPr>
                <w:rFonts w:hint="eastAsia" w:ascii="宋体" w:hAnsi="宋体" w:eastAsia="宋体" w:cs="宋体"/>
                <w:b/>
                <w:color w:val="auto"/>
                <w:sz w:val="24"/>
                <w:szCs w:val="24"/>
                <w:highlight w:val="none"/>
              </w:rPr>
            </w:pPr>
          </w:p>
        </w:tc>
      </w:tr>
    </w:tbl>
    <w:p w14:paraId="2BF7EC3C">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3、本合同为固定总价，合同总价为人民币大写：</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元整（小写：</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元），包含增值税。合同价格已包括货物供给、货物包装、运输费、安装费、调试、装卸费和保险等的全部费用及相关税费。乙方应保证甲方除支付合同约定货款之外无需再行支付其他任何费用和款项。</w:t>
      </w:r>
    </w:p>
    <w:p w14:paraId="62669217">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4、价格清单表是基于乙方在完全理解本项目材料所需为前提，同时甲方对清单中的名称、规格、材质及数量等没有校对的义务，乙方在合同有效期内不得对清单的综合费用提出任何费用的增加。</w:t>
      </w:r>
    </w:p>
    <w:p w14:paraId="210F3580">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二、质量保证</w:t>
      </w:r>
    </w:p>
    <w:p w14:paraId="70C2C823">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产品质量标准（含环保标准）：执行最新国家及行业标准、国家和地方行政主管部门的有关规定。没有国家和行业标准以及国家和地方行政主管部门的有关规定，按照甲方验收标准或者符合合同目的的特定标准履行。</w:t>
      </w:r>
    </w:p>
    <w:p w14:paraId="2EC1B44C">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保证本合同货物是全新的、未使用过的，并符合国家技术规格和国家质量标准的出厂原装合格产品，产品型号、数量、规格及技术、质量标准、售后服务必须满足甲方和自治区政府采购合同定点采购要求。</w:t>
      </w:r>
    </w:p>
    <w:p w14:paraId="271C1EFF">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3、乙方的安装调试人员有义务对甲方的设备维修人员及使用人员进行免费培训，确保维修人员能对设备进行日常维护和一般性故障的查找及故障的排除，确保使用人员能够熟练掌握设备的各项功能和操作。                                                         </w:t>
      </w:r>
    </w:p>
    <w:p w14:paraId="277E0B0E">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保证所提供的本合同标的物必须符合本合同约定的“质量标准”，达到产品各项性能指标和参数，并保证其销售的产品不存在有造成甲方或任何第三人人身财产损害的现实或潜在的危险以及不存在任何权利上的瑕疵；若因此造成任何损失，由乙方承担全部赔偿责任；另外，乙方应保证产品完整无损，是全新的、未使用过的，是原装原厂的，是用先进工艺和优质材料制造而成的，并完全符合合同规定的质量、规格和性能要求。若标的物质量存在瑕疵，乙方应承担甲方相关损失及相应违约责任。</w:t>
      </w:r>
    </w:p>
    <w:p w14:paraId="4C1E0B1D">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三、质量保证期                                         </w:t>
      </w:r>
    </w:p>
    <w:p w14:paraId="0570B8C9">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1、合同内货物</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为</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年</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自甲方书面验收合格后起计算。具体</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以相关产品生产厂家提供的</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为准。生产厂家提供的</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少于</w:t>
      </w:r>
      <w:r>
        <w:rPr>
          <w:rFonts w:hint="eastAsia" w:ascii="宋体" w:hAnsi="宋体" w:eastAsia="宋体" w:cs="宋体"/>
          <w:bCs/>
          <w:color w:val="auto"/>
          <w:sz w:val="24"/>
          <w:szCs w:val="24"/>
          <w:highlight w:val="none"/>
          <w:u w:val="single"/>
        </w:rPr>
        <w:t>（</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年）</w:t>
      </w:r>
      <w:r>
        <w:rPr>
          <w:rFonts w:hint="eastAsia" w:ascii="宋体" w:hAnsi="宋体" w:eastAsia="宋体" w:cs="宋体"/>
          <w:bCs/>
          <w:color w:val="auto"/>
          <w:sz w:val="24"/>
          <w:szCs w:val="24"/>
          <w:highlight w:val="none"/>
        </w:rPr>
        <w:t>的，以</w:t>
      </w:r>
      <w:r>
        <w:rPr>
          <w:rFonts w:hint="eastAsia" w:ascii="宋体" w:hAnsi="宋体" w:eastAsia="宋体" w:cs="宋体"/>
          <w:b/>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为准；生产厂家提供的</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长于</w:t>
      </w:r>
      <w:r>
        <w:rPr>
          <w:rFonts w:hint="eastAsia" w:ascii="宋体" w:hAnsi="宋体" w:eastAsia="宋体" w:cs="宋体"/>
          <w:b/>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的，以生产厂家提供的</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为准。在质量保证期内，因产品质量出现问题，乙方负责免费维修或更换新机，并承担与维修和更换相关的运费、安装、调试、保险等一切费用。超过</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后只收取更换部件成本费用，不收取服务费。</w:t>
      </w:r>
    </w:p>
    <w:p w14:paraId="3A383ABA">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内，如产品发生质量问题，乙方应及时内到场进行维修。乙方接到甲方通知后未依照约定时间到场的，甲方有权另行聘请专业人员进行维修，产生的合理费用在</w:t>
      </w:r>
      <w:r>
        <w:rPr>
          <w:rFonts w:hint="eastAsia" w:ascii="宋体" w:hAnsi="宋体" w:eastAsia="宋体" w:cs="宋体"/>
          <w:bCs/>
          <w:color w:val="auto"/>
          <w:sz w:val="24"/>
          <w:szCs w:val="24"/>
          <w:highlight w:val="none"/>
          <w:lang w:val="en-US" w:eastAsia="zh-CN"/>
        </w:rPr>
        <w:t>合同尾款</w:t>
      </w:r>
      <w:r>
        <w:rPr>
          <w:rFonts w:hint="eastAsia" w:ascii="宋体" w:hAnsi="宋体" w:eastAsia="宋体" w:cs="宋体"/>
          <w:bCs/>
          <w:color w:val="auto"/>
          <w:sz w:val="24"/>
          <w:szCs w:val="24"/>
          <w:highlight w:val="none"/>
        </w:rPr>
        <w:t>中予以扣除，不足部分，乙方应予以补足。</w:t>
      </w:r>
    </w:p>
    <w:p w14:paraId="0A8A4FE6">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四、交货时间、地点</w:t>
      </w:r>
    </w:p>
    <w:p w14:paraId="7C56E78C">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1、乙方于合同签订后</w:t>
      </w:r>
      <w:r>
        <w:rPr>
          <w:rFonts w:hint="eastAsia" w:ascii="宋体" w:hAnsi="宋体" w:eastAsia="宋体" w:cs="宋体"/>
          <w:bCs/>
          <w:color w:val="auto"/>
          <w:sz w:val="24"/>
          <w:szCs w:val="24"/>
          <w:highlight w:val="none"/>
          <w:u w:val="single"/>
        </w:rPr>
        <w:t>（</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天内）</w:t>
      </w:r>
      <w:r>
        <w:rPr>
          <w:rFonts w:hint="eastAsia" w:ascii="宋体" w:hAnsi="宋体" w:eastAsia="宋体" w:cs="宋体"/>
          <w:bCs/>
          <w:color w:val="auto"/>
          <w:sz w:val="24"/>
          <w:szCs w:val="24"/>
          <w:highlight w:val="none"/>
        </w:rPr>
        <w:t>，将货物送达至以下指定地点：</w:t>
      </w:r>
      <w:r>
        <w:rPr>
          <w:rFonts w:hint="eastAsia" w:ascii="宋体" w:hAnsi="宋体" w:eastAsia="宋体" w:cs="宋体"/>
          <w:bCs/>
          <w:color w:val="auto"/>
          <w:sz w:val="24"/>
          <w:szCs w:val="24"/>
          <w:highlight w:val="none"/>
          <w:u w:val="single"/>
        </w:rPr>
        <w:t>新疆医科大学附属肿瘤医院</w:t>
      </w:r>
      <w:r>
        <w:rPr>
          <w:rFonts w:hint="eastAsia" w:ascii="宋体" w:hAnsi="宋体" w:eastAsia="宋体" w:cs="宋体"/>
          <w:bCs/>
          <w:color w:val="auto"/>
          <w:sz w:val="24"/>
          <w:szCs w:val="24"/>
          <w:highlight w:val="none"/>
        </w:rPr>
        <w:t>，并确保在甲方要求的时间内完成安装和调试工作，配合甲方做好验收工作。</w:t>
      </w:r>
    </w:p>
    <w:p w14:paraId="02DEAC3B">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其它备注说明：如因甲方原因造成无法安装或延期安装，交货期限可后延，乙方同意顺延交货日期。</w:t>
      </w:r>
    </w:p>
    <w:p w14:paraId="51326334">
      <w:pPr>
        <w:spacing w:line="520" w:lineRule="exact"/>
        <w:ind w:firstLine="480" w:firstLineChars="200"/>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2、到货地点和接货单位（或接货人</w:t>
      </w:r>
      <w:r>
        <w:rPr>
          <w:rFonts w:hint="eastAsia" w:ascii="宋体" w:hAnsi="宋体" w:eastAsia="宋体" w:cs="宋体"/>
          <w:bCs/>
          <w:color w:val="auto"/>
          <w:sz w:val="24"/>
          <w:szCs w:val="24"/>
          <w:highlight w:val="none"/>
          <w:u w:val="single"/>
        </w:rPr>
        <w:t>）新疆医科大学附属肿瘤医院</w:t>
      </w:r>
      <w:r>
        <w:rPr>
          <w:rFonts w:hint="eastAsia" w:ascii="宋体" w:hAnsi="宋体" w:eastAsia="宋体" w:cs="宋体"/>
          <w:bCs/>
          <w:color w:val="auto"/>
          <w:sz w:val="24"/>
          <w:szCs w:val="24"/>
          <w:highlight w:val="none"/>
        </w:rPr>
        <w:t>。甲方指定的联系人为：姓名：</w:t>
      </w:r>
      <w:r>
        <w:rPr>
          <w:rFonts w:hint="eastAsia" w:ascii="宋体" w:hAnsi="宋体" w:eastAsia="宋体" w:cs="宋体"/>
          <w:bCs/>
          <w:color w:val="auto"/>
          <w:sz w:val="24"/>
          <w:szCs w:val="24"/>
          <w:highlight w:val="none"/>
          <w:lang w:val="en-US" w:eastAsia="zh-CN"/>
        </w:rPr>
        <w:t>沈敏</w:t>
      </w:r>
      <w:r>
        <w:rPr>
          <w:rFonts w:hint="eastAsia" w:ascii="宋体" w:hAnsi="宋体" w:eastAsia="宋体" w:cs="宋体"/>
          <w:bCs/>
          <w:color w:val="auto"/>
          <w:sz w:val="24"/>
          <w:szCs w:val="24"/>
          <w:highlight w:val="none"/>
        </w:rPr>
        <w:t>，电话号码：</w:t>
      </w:r>
      <w:r>
        <w:rPr>
          <w:rFonts w:hint="eastAsia" w:ascii="宋体" w:hAnsi="宋体" w:eastAsia="宋体" w:cs="宋体"/>
          <w:bCs/>
          <w:color w:val="auto"/>
          <w:sz w:val="24"/>
          <w:szCs w:val="24"/>
          <w:highlight w:val="none"/>
          <w:lang w:val="en-US" w:eastAsia="zh-CN"/>
        </w:rPr>
        <w:t>13579964872</w:t>
      </w:r>
      <w:r>
        <w:rPr>
          <w:rFonts w:hint="eastAsia" w:ascii="宋体" w:hAnsi="宋体" w:eastAsia="宋体" w:cs="宋体"/>
          <w:bCs/>
          <w:color w:val="auto"/>
          <w:sz w:val="24"/>
          <w:szCs w:val="24"/>
          <w:highlight w:val="none"/>
        </w:rPr>
        <w:t>；双方明确，除该指定联系人外，其他任何人员（包括甲方的其他任何工作人员）签署的接货单，甲方均不予认可。若由于物流原因须直接发货至医院的，物流公司联系人为乙方，甲方不与物流直接对接并收货。</w:t>
      </w:r>
    </w:p>
    <w:p w14:paraId="6D7D771F">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3、在交付时，乙方必须向甲方提供质量合格证书、技术资料（操作、维修、保养）、保修凭证等一切相关资料及配件，否则，甲方有权不予付款且不承担违约责任。</w:t>
      </w:r>
    </w:p>
    <w:p w14:paraId="63957EC3">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货物交付完成且经甲方书面验收合格前，本合同项下商品的损毁灭失风险由乙方承担，货物交付完成且经甲方书面验收合格后，商品的所有权及损毁灭失风险转移至甲方。（若需安装、调试）由乙方负责安装调试，安装调试完毕且经甲方外观及设备整体质量验收完成之日起算的30天后无质量问题的且经过甲方书面验收合格后视为交货合格。</w:t>
      </w:r>
    </w:p>
    <w:p w14:paraId="4E83DB1A">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五、产品包装及运输    </w:t>
      </w:r>
    </w:p>
    <w:p w14:paraId="46A1924C">
      <w:pPr>
        <w:tabs>
          <w:tab w:val="left" w:pos="1560"/>
        </w:tabs>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１、包装必须与运输方式相适应，包装方式的确定和包装费用均由乙方负责;由于不适当的包装而造成的货物有任何的损坏由乙方负责。</w:t>
      </w:r>
    </w:p>
    <w:p w14:paraId="0306B471">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２、提供的全部货物必须采用相应的标准的保护措施进行包装。包装应适于远距离运输，并有良好的防潮、防震、防锈和防野蛮装卸等保护措施，以确保货物安全运抵现场。乙方应承担因其包装或防护措施不妥而引起货物锈蚀、损坏和丢失的任何损失的责任或费用。</w:t>
      </w:r>
    </w:p>
    <w:p w14:paraId="0F2037A7">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3、包装费、运输费、装卸费和保险费均已包含在合同单价内。</w:t>
      </w:r>
    </w:p>
    <w:p w14:paraId="1779966F">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4、运输途中的货物安全问题均由乙方负责。</w:t>
      </w:r>
    </w:p>
    <w:p w14:paraId="65896099">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六、验收</w:t>
      </w:r>
    </w:p>
    <w:p w14:paraId="0034A2B2">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在交货前，乙方应确保制造商对货物的有关内在和外观质量、规格、性能、数量和重量进行准确的和全面的检验，并出具货物符合合同规定的证书。该证书将作为申请付款单据的必要条件。但不应视为是对质量、规格、性能、数量的最终定论。质量证书应附有写明制造商检验的细节和结果的说明。</w:t>
      </w:r>
    </w:p>
    <w:p w14:paraId="45426C59">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数量:乙方交货时，甲乙双方应各指定一名工作人员对货物数量进行统计，交货完成后，就甲方验收合格的货物数量，由双方各自指定的工作人员在交货清单上签字确认，交货清单一式两份，作为今后双方结算的依据。</w:t>
      </w:r>
    </w:p>
    <w:p w14:paraId="11CC5245">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果在合同规定的质量保证期内，发现货物的质量或规格与合同规定不符，或货物有缺陷，包括内在隐蔽瑕疵或使用不合适的原材料或不科学的设计等，甲方有权根据质量保证条款向乙方主张质保责任，并在乙方构成违约或侵权时主张索赔。</w:t>
      </w:r>
    </w:p>
    <w:p w14:paraId="0914A63D">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自产品交货后当日，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还应承担相应违约责任并承担相应赔偿。</w:t>
      </w:r>
    </w:p>
    <w:p w14:paraId="63CAADAA">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5、乙方交货并保证货物出厂无瑕疵，经甲方书面验收合格后进入保修期。</w:t>
      </w:r>
    </w:p>
    <w:p w14:paraId="338E92C0">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七、售后服务</w:t>
      </w:r>
    </w:p>
    <w:p w14:paraId="69139AF6">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1、上述产品的免费保修期为交货并经甲方书面验收合格后</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
          <w:color w:val="auto"/>
          <w:sz w:val="24"/>
          <w:szCs w:val="24"/>
          <w:highlight w:val="none"/>
          <w:u w:val="single"/>
        </w:rPr>
        <w:t>年</w:t>
      </w:r>
      <w:r>
        <w:rPr>
          <w:rFonts w:hint="eastAsia" w:ascii="宋体" w:hAnsi="宋体" w:eastAsia="宋体" w:cs="宋体"/>
          <w:bCs/>
          <w:color w:val="auto"/>
          <w:sz w:val="24"/>
          <w:szCs w:val="24"/>
          <w:highlight w:val="none"/>
          <w:u w:val="single"/>
        </w:rPr>
        <w:t>（与招标现场或招标文件约定一致）</w:t>
      </w:r>
      <w:r>
        <w:rPr>
          <w:rFonts w:hint="eastAsia" w:ascii="宋体" w:hAnsi="宋体" w:eastAsia="宋体" w:cs="宋体"/>
          <w:bCs/>
          <w:color w:val="auto"/>
          <w:sz w:val="24"/>
          <w:szCs w:val="24"/>
          <w:highlight w:val="none"/>
        </w:rPr>
        <w:t>；免费更换时间为交货并经甲方书面验收合格后30天；</w:t>
      </w:r>
    </w:p>
    <w:p w14:paraId="2907AEB2">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2、乙方应提供国内（包括新疆地区）维修站（地址）：</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，售后服务联系人：</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 xml:space="preserve"> ，联系电话：</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rPr>
        <w:t>。提供正规的备品备件价格表。保修期后的维修费用，先维修后付款；零备件的购买，先交货后付款；提供保修期后无偿技术支持。</w:t>
      </w:r>
    </w:p>
    <w:p w14:paraId="4E673948">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内发生一切故障,乙方售后服务人员应于接到甲方电话通知后4小时内免费进行维修处理；</w:t>
      </w:r>
      <w:r>
        <w:rPr>
          <w:rFonts w:hint="eastAsia" w:ascii="宋体" w:hAnsi="宋体" w:eastAsia="宋体" w:cs="宋体"/>
          <w:bCs/>
          <w:color w:val="auto"/>
          <w:sz w:val="24"/>
          <w:szCs w:val="24"/>
          <w:highlight w:val="none"/>
          <w:lang w:eastAsia="zh-CN"/>
        </w:rPr>
        <w:t>质保期</w:t>
      </w:r>
      <w:r>
        <w:rPr>
          <w:rFonts w:hint="eastAsia" w:ascii="宋体" w:hAnsi="宋体" w:eastAsia="宋体" w:cs="宋体"/>
          <w:bCs/>
          <w:color w:val="auto"/>
          <w:sz w:val="24"/>
          <w:szCs w:val="24"/>
          <w:highlight w:val="none"/>
        </w:rPr>
        <w:t>外如设备发生故障,乙方售后服务人员应于8小时内进行维修,经检修需要进行备件更换的,提供优惠的配件供应。提供保修期后无偿技术支持。</w:t>
      </w:r>
    </w:p>
    <w:p w14:paraId="44D1AB9B">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八、货款的支付</w:t>
      </w:r>
    </w:p>
    <w:p w14:paraId="2F58CA02">
      <w:pPr>
        <w:spacing w:line="52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1、合同签订后</w:t>
      </w:r>
      <w:r>
        <w:rPr>
          <w:rFonts w:hint="eastAsia" w:ascii="宋体" w:hAnsi="宋体" w:eastAsia="宋体" w:cs="宋体"/>
          <w:bCs/>
          <w:color w:val="auto"/>
          <w:sz w:val="24"/>
          <w:szCs w:val="24"/>
          <w:highlight w:val="none"/>
        </w:rPr>
        <w:t>，乙方将所供货物运至甲方指定地点即货到，安装测试完毕</w:t>
      </w:r>
      <w:r>
        <w:rPr>
          <w:rFonts w:hint="eastAsia" w:ascii="宋体" w:hAnsi="宋体" w:eastAsia="宋体" w:cs="宋体"/>
          <w:color w:val="auto"/>
          <w:sz w:val="24"/>
          <w:szCs w:val="24"/>
          <w:highlight w:val="none"/>
        </w:rPr>
        <w:t>经甲方书面验收合格后运行壹个月，</w:t>
      </w:r>
      <w:r>
        <w:rPr>
          <w:rFonts w:hint="eastAsia" w:ascii="宋体" w:hAnsi="宋体" w:eastAsia="宋体" w:cs="宋体"/>
          <w:bCs/>
          <w:color w:val="auto"/>
          <w:sz w:val="24"/>
          <w:szCs w:val="24"/>
          <w:highlight w:val="none"/>
        </w:rPr>
        <w:t>无任何质量问题，甲方向乙方无息支</w:t>
      </w:r>
      <w:r>
        <w:rPr>
          <w:rFonts w:hint="eastAsia" w:ascii="宋体" w:hAnsi="宋体" w:eastAsia="宋体" w:cs="宋体"/>
          <w:color w:val="auto"/>
          <w:sz w:val="24"/>
          <w:szCs w:val="24"/>
          <w:highlight w:val="none"/>
        </w:rPr>
        <w:t>付总货款的90%，为（大写：</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，小写：</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w:t>
      </w:r>
      <w:r>
        <w:rPr>
          <w:rFonts w:hint="eastAsia" w:ascii="宋体" w:hAnsi="宋体" w:eastAsia="宋体" w:cs="宋体"/>
          <w:color w:val="auto"/>
          <w:sz w:val="24"/>
          <w:szCs w:val="24"/>
          <w:highlight w:val="none"/>
          <w:lang w:eastAsia="zh-CN"/>
        </w:rPr>
        <w:t>。</w:t>
      </w:r>
    </w:p>
    <w:p w14:paraId="10B08FB4">
      <w:pPr>
        <w:spacing w:line="5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bCs/>
          <w:color w:val="auto"/>
          <w:sz w:val="24"/>
          <w:szCs w:val="24"/>
          <w:highlight w:val="none"/>
          <w:lang w:val="en-US" w:eastAsia="zh-CN"/>
        </w:rPr>
        <w:t>合同尾款</w:t>
      </w:r>
      <w:r>
        <w:rPr>
          <w:rFonts w:hint="eastAsia" w:ascii="宋体" w:hAnsi="宋体" w:eastAsia="宋体" w:cs="宋体"/>
          <w:color w:val="auto"/>
          <w:sz w:val="24"/>
          <w:szCs w:val="24"/>
          <w:highlight w:val="none"/>
        </w:rPr>
        <w:t>为</w:t>
      </w:r>
      <w:r>
        <w:rPr>
          <w:rFonts w:hint="eastAsia" w:ascii="宋体" w:hAnsi="宋体" w:eastAsia="宋体" w:cs="宋体"/>
          <w:bCs/>
          <w:color w:val="auto"/>
          <w:sz w:val="24"/>
          <w:szCs w:val="24"/>
          <w:highlight w:val="none"/>
        </w:rPr>
        <w:t>合同总额的</w:t>
      </w:r>
      <w:r>
        <w:rPr>
          <w:rFonts w:hint="eastAsia" w:ascii="宋体" w:hAnsi="宋体" w:eastAsia="宋体" w:cs="宋体"/>
          <w:color w:val="auto"/>
          <w:sz w:val="24"/>
          <w:szCs w:val="24"/>
          <w:highlight w:val="none"/>
        </w:rPr>
        <w:t>10%，即（大写：</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元整</w:t>
      </w:r>
      <w:r>
        <w:rPr>
          <w:rFonts w:hint="eastAsia" w:ascii="宋体" w:hAnsi="宋体" w:eastAsia="宋体" w:cs="宋体"/>
          <w:color w:val="auto"/>
          <w:sz w:val="24"/>
          <w:szCs w:val="24"/>
          <w:highlight w:val="none"/>
        </w:rPr>
        <w:t>，小写：</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元</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质保期</w:t>
      </w:r>
      <w:r>
        <w:rPr>
          <w:rFonts w:hint="eastAsia" w:ascii="宋体" w:hAnsi="宋体" w:eastAsia="宋体" w:cs="宋体"/>
          <w:color w:val="auto"/>
          <w:sz w:val="24"/>
          <w:szCs w:val="24"/>
          <w:highlight w:val="none"/>
        </w:rPr>
        <w:t>满后经甲方再次书面验收合格之日起，</w:t>
      </w:r>
      <w:r>
        <w:rPr>
          <w:rFonts w:hint="eastAsia" w:ascii="宋体" w:hAnsi="宋体" w:eastAsia="宋体" w:cs="宋体"/>
          <w:bCs/>
          <w:color w:val="auto"/>
          <w:sz w:val="24"/>
          <w:szCs w:val="24"/>
          <w:highlight w:val="none"/>
        </w:rPr>
        <w:t>无任何质量问题，甲方向乙方</w:t>
      </w:r>
      <w:r>
        <w:rPr>
          <w:rFonts w:hint="eastAsia" w:ascii="宋体" w:hAnsi="宋体" w:eastAsia="宋体" w:cs="宋体"/>
          <w:color w:val="auto"/>
          <w:sz w:val="24"/>
          <w:szCs w:val="24"/>
          <w:highlight w:val="none"/>
        </w:rPr>
        <w:t>无息支付；</w:t>
      </w:r>
    </w:p>
    <w:p w14:paraId="6290CFAD">
      <w:pPr>
        <w:spacing w:line="520" w:lineRule="exact"/>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3、甲方支付上述任何一笔款项前，乙方应提供符合甲方财务做账要求的正规</w:t>
      </w:r>
      <w:r>
        <w:rPr>
          <w:rFonts w:hint="eastAsia" w:ascii="宋体" w:hAnsi="宋体" w:eastAsia="宋体" w:cs="宋体"/>
          <w:bCs/>
          <w:color w:val="auto"/>
          <w:sz w:val="24"/>
          <w:szCs w:val="24"/>
          <w:highlight w:val="none"/>
        </w:rPr>
        <w:t>全额</w:t>
      </w:r>
      <w:r>
        <w:rPr>
          <w:rFonts w:hint="eastAsia" w:ascii="宋体" w:hAnsi="宋体" w:eastAsia="宋体" w:cs="宋体"/>
          <w:color w:val="auto"/>
          <w:sz w:val="24"/>
          <w:szCs w:val="24"/>
          <w:highlight w:val="none"/>
        </w:rPr>
        <w:t>增值税发票，否则，甲方有权拒付款项且不承担违约责任。</w:t>
      </w:r>
    </w:p>
    <w:p w14:paraId="37B999EE">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4、甲方将上述款项支付至乙方指定的如下银行账户：</w:t>
      </w:r>
    </w:p>
    <w:p w14:paraId="18E7C851">
      <w:pPr>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开户行：</w:t>
      </w:r>
      <w:r>
        <w:rPr>
          <w:rFonts w:hint="eastAsia" w:ascii="宋体" w:hAnsi="宋体" w:eastAsia="宋体" w:cs="宋体"/>
          <w:bCs/>
          <w:color w:val="auto"/>
          <w:sz w:val="24"/>
          <w:szCs w:val="24"/>
          <w:highlight w:val="none"/>
          <w:lang w:val="en-US" w:eastAsia="zh-CN"/>
        </w:rPr>
        <w:t xml:space="preserve"> </w:t>
      </w:r>
    </w:p>
    <w:p w14:paraId="3FC2D744">
      <w:pPr>
        <w:spacing w:line="52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账户名称：</w:t>
      </w:r>
    </w:p>
    <w:p w14:paraId="3199413B">
      <w:pPr>
        <w:spacing w:line="520" w:lineRule="exact"/>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银行账号：</w:t>
      </w:r>
      <w:r>
        <w:rPr>
          <w:rFonts w:hint="eastAsia" w:ascii="宋体" w:hAnsi="宋体" w:eastAsia="宋体" w:cs="宋体"/>
          <w:color w:val="auto"/>
          <w:sz w:val="24"/>
          <w:szCs w:val="24"/>
          <w:highlight w:val="none"/>
          <w:lang w:val="en-US" w:eastAsia="zh-CN"/>
        </w:rPr>
        <w:t xml:space="preserve"> </w:t>
      </w:r>
    </w:p>
    <w:p w14:paraId="2FA7F0F0">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甲方向以上账户付款，即为完成本合同项下对乙方相应的付款义务。乙方对上述账户信息的准确性和可用性承担全部责任。</w:t>
      </w:r>
    </w:p>
    <w:p w14:paraId="1B318E5B">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九、违约责任</w:t>
      </w:r>
    </w:p>
    <w:p w14:paraId="3E2D8F9D">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应严格按照合同约定的时间交货，在应急情况下（自然灾害等不可抗力因素情况除外）乙方应甲方需求须在1小时内将所需货物送到甲方指定地点，如乙方延迟交货，甲方有权追究延迟交货的违约责任。乙方如逾期交货，乙方每天向甲方支付违约金1000元,并承担</w:t>
      </w:r>
      <w:r>
        <w:rPr>
          <w:rFonts w:hint="eastAsia" w:ascii="宋体" w:hAnsi="宋体" w:eastAsia="宋体" w:cs="宋体"/>
          <w:bCs/>
          <w:strike w:val="0"/>
          <w:dstrike w:val="0"/>
          <w:color w:val="auto"/>
          <w:sz w:val="24"/>
          <w:szCs w:val="24"/>
          <w:highlight w:val="none"/>
          <w:lang w:val="en-US" w:eastAsia="zh-CN"/>
        </w:rPr>
        <w:t>甲方</w:t>
      </w:r>
      <w:r>
        <w:rPr>
          <w:rFonts w:hint="eastAsia" w:ascii="宋体" w:hAnsi="宋体" w:eastAsia="宋体" w:cs="宋体"/>
          <w:bCs/>
          <w:color w:val="auto"/>
          <w:sz w:val="24"/>
          <w:szCs w:val="24"/>
          <w:highlight w:val="none"/>
        </w:rPr>
        <w:t>因此所受的直接经济损失（按医院相同或类似设备上月日均全部收费为标准计算直接损失，收费标准按照新疆维吾尔自治区发改委相关物价标准执行）；乙方逾期供货超出交付期十天(含十天)以上的，甲方有权解除合同并追究乙方的违约责任，甲方解除合同的，乙方应支付合同总价款20%的违约金；乙方支付上述违约金不足以赔偿甲方损失的，甲方有权另行向乙方索赔（包括但不限于第三方索赔、律师费、诉讼费、鉴定费、公证费、差旅费等甲方采取诉讼途径发生的一切费用）。</w:t>
      </w:r>
    </w:p>
    <w:p w14:paraId="5FE5F024">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w:t>
      </w:r>
    </w:p>
    <w:p w14:paraId="7683F7A0">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3、乙方所交产品品种、型号、规格、质量、性能不符合合同规定的，由乙方负责包换或包修，并承担修理、调换或退货而支付的实际费用。乙方不能修理或者不能调换的，按合同总额的百分之二十承担违约金。</w:t>
      </w:r>
    </w:p>
    <w:p w14:paraId="22B16788">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在协议供货有效期内违反本有关质量保证及售后服务的，甲方有权要求乙方支付合同总价款20%的违约金，乙方支付上述违约金不足以赔偿甲方损失的，甲方有权另行向乙方索赔（包括但不限于第三方索赔、律师费、诉讼费、鉴定费、公证费、差旅费等甲方采取诉讼途径发生的一切费用）。乙方向甲方承诺，如发生乙方向甲方指定人员或与该业务有关的任何工作人员行贿、送礼等行为，或与甲方相关工作人员串通，做出损害甲方利益的任何行为，每次按合同总金额的30%的数额向甲方承担违约金。</w:t>
      </w:r>
    </w:p>
    <w:p w14:paraId="22BA11CF">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设备使用期间，如存在开机率，则保修期内开机率不得低于98%（按工作日261天计算），累计故障不超过6天，每超过一天，按甲方该设备上月日均全部收费为标准计算直接损失，收费标准按照新疆维吾尔自治区发改委相关物价标准执行。</w:t>
      </w:r>
    </w:p>
    <w:p w14:paraId="1021A31D">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6、如设备质量存在问题，给甲方造成损失，由乙方承担全部责任并赔偿甲方所有损失。如因乙方提供的设备发生医疗器械不良事件，乙方应承担全部责任和所有费用。</w:t>
      </w:r>
    </w:p>
    <w:p w14:paraId="48F857FC">
      <w:pPr>
        <w:spacing w:line="520" w:lineRule="exact"/>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7、本合同签订后，乙方应如实履行本合同项下的权利义务，不得擅自要求解除或终止合同；如违反上述约定，向甲方承担合同总金额20%的违约金，上述违约金不足以弥补甲方损失的，以实际损失为准。</w:t>
      </w:r>
    </w:p>
    <w:p w14:paraId="7CCE41ED">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十、不可抗力         </w:t>
      </w:r>
    </w:p>
    <w:p w14:paraId="59857696">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14:paraId="53A414D2">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不可抗力”是指甲乙双方不能合理控制、不可预见或即使预见亦无法避免的事件，该事件妨碍、影响或延误任何一方根据合同履行其全部或部分义务。该事件包括但不限于政府行为、电信行业行为、自然灾害、战争或任何其它类似事件；</w:t>
      </w:r>
    </w:p>
    <w:p w14:paraId="0E9A0682">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十一、争议解决</w:t>
      </w:r>
    </w:p>
    <w:p w14:paraId="1EC9F677">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本合同如发生纠纷，当事人双方应当及时协商解决，协商不成时，可向甲方所在地人民法院起诉。</w:t>
      </w:r>
    </w:p>
    <w:p w14:paraId="289C655E">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十二、合同的文本及生效</w:t>
      </w:r>
    </w:p>
    <w:p w14:paraId="3BD3BDAF">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1、本合同一式伍份，甲方执肆份，乙方执壹份，均具有同等法律效力。</w:t>
      </w:r>
    </w:p>
    <w:p w14:paraId="359566DE">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2、本合同经双方法定代表人签字或双方委托代理人签字及单位盖章成立生效。</w:t>
      </w:r>
    </w:p>
    <w:p w14:paraId="4186F99B">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3、合同内容如遇国家法律、法规及政策另有规定的，从其规定。</w:t>
      </w:r>
    </w:p>
    <w:p w14:paraId="2082C30B">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十三、其他约定事项</w:t>
      </w:r>
    </w:p>
    <w:p w14:paraId="6D755D01">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1、和本合同相关的双方往来函件(包括传真件、电子邮件)与原件具有同等的法律效力，修改无效。</w:t>
      </w:r>
    </w:p>
    <w:p w14:paraId="0F63BB9A">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2、乙方签定的供货补充合同和供货承诺书是本合同不可分割的组成部分，其他未尽事宜，协商解决。</w:t>
      </w:r>
    </w:p>
    <w:p w14:paraId="4FA6A47F">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14:paraId="4A3EDF25">
      <w:pPr>
        <w:spacing w:line="52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4、本合同尾部的双方联系方式及地址为双方有效的送达地址，如有一方地址发生变更，应在变更后当日向对方书面通知，如因变更方未及时通知，相对方按合同尾部地址送达的，视为送达成功。</w:t>
      </w:r>
    </w:p>
    <w:p w14:paraId="5E05404B">
      <w:pPr>
        <w:spacing w:line="52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（以下无正文，为本合同签署页及附件）</w:t>
      </w:r>
    </w:p>
    <w:p w14:paraId="2F638DAE">
      <w:pPr>
        <w:spacing w:line="520" w:lineRule="exact"/>
        <w:ind w:firstLine="482" w:firstLineChars="200"/>
        <w:rPr>
          <w:rFonts w:hint="eastAsia" w:ascii="宋体" w:hAnsi="宋体" w:eastAsia="宋体" w:cs="宋体"/>
          <w:b/>
          <w:color w:val="auto"/>
          <w:sz w:val="24"/>
          <w:szCs w:val="24"/>
          <w:highlight w:val="none"/>
        </w:rPr>
      </w:pPr>
    </w:p>
    <w:p w14:paraId="5697C647">
      <w:pPr>
        <w:spacing w:line="520" w:lineRule="exact"/>
        <w:rPr>
          <w:rFonts w:hint="eastAsia" w:ascii="宋体" w:hAnsi="宋体" w:eastAsia="宋体" w:cs="宋体"/>
          <w:b/>
          <w:color w:val="auto"/>
          <w:sz w:val="24"/>
          <w:szCs w:val="24"/>
          <w:highlight w:val="none"/>
          <w:lang w:val="en-US"/>
        </w:rPr>
      </w:pPr>
      <w:r>
        <w:rPr>
          <w:rFonts w:hint="eastAsia" w:ascii="宋体" w:hAnsi="宋体" w:eastAsia="宋体" w:cs="宋体"/>
          <w:b/>
          <w:color w:val="auto"/>
          <w:sz w:val="24"/>
          <w:szCs w:val="24"/>
          <w:highlight w:val="none"/>
        </w:rPr>
        <w:t>甲方（盖章）：</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乙方（盖章）：</w:t>
      </w:r>
      <w:r>
        <w:rPr>
          <w:rFonts w:hint="eastAsia" w:ascii="宋体" w:hAnsi="宋体" w:eastAsia="宋体" w:cs="宋体"/>
          <w:b/>
          <w:color w:val="auto"/>
          <w:sz w:val="24"/>
          <w:szCs w:val="24"/>
          <w:highlight w:val="none"/>
          <w:lang w:val="en-US" w:eastAsia="zh-CN"/>
        </w:rPr>
        <w:t xml:space="preserve">  </w:t>
      </w:r>
    </w:p>
    <w:p w14:paraId="6D35C229">
      <w:pPr>
        <w:tabs>
          <w:tab w:val="center" w:pos="4873"/>
        </w:tabs>
        <w:spacing w:line="520" w:lineRule="exact"/>
        <w:ind w:left="9638" w:hanging="9638" w:hangingChars="4000"/>
        <w:rPr>
          <w:rFonts w:hint="eastAsia" w:ascii="宋体" w:hAnsi="宋体" w:eastAsia="宋体" w:cs="宋体"/>
          <w:b/>
          <w:color w:val="auto"/>
          <w:sz w:val="24"/>
          <w:szCs w:val="24"/>
          <w:highlight w:val="none"/>
        </w:rPr>
      </w:pPr>
    </w:p>
    <w:p w14:paraId="71236347">
      <w:pPr>
        <w:tabs>
          <w:tab w:val="center" w:pos="4873"/>
        </w:tabs>
        <w:spacing w:line="520" w:lineRule="exact"/>
        <w:ind w:left="9638" w:hanging="9638" w:hangingChars="40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法定代表人（签字）：</w:t>
      </w:r>
      <w:r>
        <w:rPr>
          <w:rFonts w:hint="eastAsia" w:ascii="宋体" w:hAnsi="宋体" w:eastAsia="宋体" w:cs="宋体"/>
          <w:b/>
          <w:color w:val="auto"/>
          <w:sz w:val="24"/>
          <w:szCs w:val="24"/>
          <w:highlight w:val="none"/>
        </w:rPr>
        <w:tab/>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法定代表人：（签字）</w:t>
      </w:r>
    </w:p>
    <w:p w14:paraId="29C5C75C">
      <w:pPr>
        <w:spacing w:line="520" w:lineRule="exact"/>
        <w:rPr>
          <w:rFonts w:hint="eastAsia" w:ascii="宋体" w:hAnsi="宋体" w:eastAsia="宋体" w:cs="宋体"/>
          <w:b/>
          <w:color w:val="auto"/>
          <w:sz w:val="24"/>
          <w:szCs w:val="24"/>
          <w:highlight w:val="none"/>
        </w:rPr>
      </w:pPr>
    </w:p>
    <w:p w14:paraId="02652584">
      <w:pPr>
        <w:spacing w:line="52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授权代理人（签字）：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委托代表人：（签字）</w:t>
      </w:r>
    </w:p>
    <w:p w14:paraId="3AF5B0EE">
      <w:pPr>
        <w:spacing w:line="520" w:lineRule="exact"/>
        <w:ind w:left="5180" w:hanging="5180" w:hangingChars="2150"/>
        <w:rPr>
          <w:rFonts w:hint="eastAsia" w:ascii="宋体" w:hAnsi="宋体" w:eastAsia="宋体" w:cs="宋体"/>
          <w:b/>
          <w:color w:val="auto"/>
          <w:sz w:val="24"/>
          <w:szCs w:val="24"/>
          <w:highlight w:val="none"/>
        </w:rPr>
      </w:pPr>
    </w:p>
    <w:p w14:paraId="70F5AAFB">
      <w:pPr>
        <w:spacing w:line="520" w:lineRule="exact"/>
        <w:ind w:left="5180" w:hanging="5180" w:hangingChars="215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地址：</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地址：</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w:t>
      </w:r>
    </w:p>
    <w:p w14:paraId="65104630">
      <w:pPr>
        <w:spacing w:line="520" w:lineRule="exac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电话：</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电话：</w:t>
      </w:r>
      <w:r>
        <w:rPr>
          <w:rFonts w:hint="eastAsia" w:ascii="宋体" w:hAnsi="宋体" w:eastAsia="宋体" w:cs="宋体"/>
          <w:b/>
          <w:color w:val="auto"/>
          <w:sz w:val="24"/>
          <w:szCs w:val="24"/>
          <w:highlight w:val="none"/>
          <w:lang w:val="en-US" w:eastAsia="zh-CN"/>
        </w:rPr>
        <w:t xml:space="preserve"> </w:t>
      </w:r>
    </w:p>
    <w:p w14:paraId="293AD4E4">
      <w:pPr>
        <w:spacing w:line="52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日期：    年  月  日                    </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 xml:space="preserve">日期：     年  月  日  </w:t>
      </w:r>
    </w:p>
    <w:p w14:paraId="6D4B7F4B">
      <w:pPr>
        <w:pageBreakBefore w:val="0"/>
        <w:kinsoku w:val="0"/>
        <w:wordWrap/>
        <w:overflowPunct/>
        <w:topLinePunct w:val="0"/>
        <w:autoSpaceDE w:val="0"/>
        <w:autoSpaceDN w:val="0"/>
        <w:bidi w:val="0"/>
        <w:adjustRightInd w:val="0"/>
        <w:snapToGrid w:val="0"/>
        <w:spacing w:before="0" w:after="0" w:line="560" w:lineRule="exact"/>
        <w:ind w:left="0" w:leftChars="0" w:right="0" w:rightChars="0"/>
        <w:jc w:val="left"/>
        <w:textAlignment w:val="baseline"/>
        <w:rPr>
          <w:rFonts w:hint="eastAsia" w:ascii="宋体" w:hAnsi="宋体" w:eastAsia="宋体" w:cs="宋体"/>
          <w:snapToGrid w:val="0"/>
          <w:color w:val="auto"/>
          <w:kern w:val="0"/>
          <w:sz w:val="24"/>
          <w:szCs w:val="24"/>
          <w:highlight w:val="none"/>
          <w:lang w:val="en-US" w:eastAsia="en-US" w:bidi="ar-SA"/>
        </w:rPr>
      </w:pPr>
    </w:p>
    <w:p w14:paraId="4067DD49">
      <w:pPr>
        <w:rPr>
          <w:rFonts w:hint="eastAsia" w:ascii="宋体" w:hAnsi="宋体" w:eastAsia="宋体" w:cs="宋体"/>
          <w:snapToGrid w:val="0"/>
          <w:color w:val="auto"/>
          <w:spacing w:val="-9"/>
          <w:kern w:val="0"/>
          <w:sz w:val="24"/>
          <w:szCs w:val="24"/>
          <w:highlight w:val="none"/>
          <w:lang w:val="en-US" w:eastAsia="zh-CN"/>
        </w:rPr>
      </w:pPr>
    </w:p>
    <w:sectPr>
      <w:headerReference r:id="rId5" w:type="default"/>
      <w:footerReference r:id="rId6" w:type="default"/>
      <w:pgSz w:w="11906" w:h="16838"/>
      <w:pgMar w:top="1440" w:right="1080" w:bottom="1440" w:left="108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0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Adobe 仿宋 Std R">
    <w:altName w:val="仿宋"/>
    <w:panose1 w:val="02020400000000000000"/>
    <w:charset w:val="86"/>
    <w:family w:val="auto"/>
    <w:pitch w:val="default"/>
    <w:sig w:usb0="00000000" w:usb1="00000000" w:usb2="00000016" w:usb3="00000000" w:csb0="00060007"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76B3C">
    <w:pPr>
      <w:pStyle w:val="15"/>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DC697E8">
                          <w:pPr>
                            <w:pStyle w:val="15"/>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87xCntIBAACfAwAADgAAAAAAAAABACAAAAAfAQAA&#10;ZHJzL2Uyb0RvYy54bWxQSwUGAAAAAAYABgBZAQAAYwUAAAAA&#10;">
              <v:fill on="f" focussize="0,0"/>
              <v:stroke on="f"/>
              <v:imagedata o:title=""/>
              <o:lock v:ext="edit" aspectratio="f"/>
              <v:textbox inset="0mm,0mm,0mm,0mm" style="mso-fit-shape-to-text:t;">
                <w:txbxContent>
                  <w:p w14:paraId="6DC697E8">
                    <w:pPr>
                      <w:pStyle w:val="15"/>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7C8D5">
    <w:pPr>
      <w:pStyle w:val="15"/>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1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5D792FA">
                          <w:pPr>
                            <w:pStyle w:val="15"/>
                          </w:pPr>
                          <w:r>
                            <w:fldChar w:fldCharType="begin"/>
                          </w:r>
                          <w:r>
                            <w:instrText xml:space="preserve"> PAGE  \* MERGEFORMAT </w:instrText>
                          </w:r>
                          <w:r>
                            <w:fldChar w:fldCharType="separate"/>
                          </w:r>
                          <w:r>
                            <w:t>99</w:t>
                          </w:r>
                          <w:r>
                            <w:fldChar w:fldCharType="end"/>
                          </w:r>
                        </w:p>
                      </w:txbxContent>
                    </wps:txbx>
                    <wps:bodyPr vert="horz" wrap="none" lIns="0" tIns="0" rIns="0" bIns="0" anchor="t" upright="0">
                      <a:spAutoFit/>
                    </wps:bodyPr>
                  </wps:wsp>
                </a:graphicData>
              </a:graphic>
            </wp:anchor>
          </w:drawing>
        </mc:Choice>
        <mc:Fallback>
          <w:pict>
            <v:rect id="文本框 1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JAgzDLTAQAAnwMAAA4AAAAAAAAAAQAgAAAAHwEA&#10;AGRycy9lMm9Eb2MueG1sUEsFBgAAAAAGAAYAWQEAAGQFAAAAAA==&#10;">
              <v:fill on="f" focussize="0,0"/>
              <v:stroke on="f"/>
              <v:imagedata o:title=""/>
              <o:lock v:ext="edit" aspectratio="f"/>
              <v:textbox inset="0mm,0mm,0mm,0mm" style="mso-fit-shape-to-text:t;">
                <w:txbxContent>
                  <w:p w14:paraId="05D792FA">
                    <w:pPr>
                      <w:pStyle w:val="15"/>
                    </w:pPr>
                    <w:r>
                      <w:fldChar w:fldCharType="begin"/>
                    </w:r>
                    <w:r>
                      <w:instrText xml:space="preserve"> PAGE  \* MERGEFORMAT </w:instrText>
                    </w:r>
                    <w:r>
                      <w:fldChar w:fldCharType="separate"/>
                    </w:r>
                    <w:r>
                      <w:t>99</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CCE46">
    <w:pPr>
      <w:pStyle w:val="17"/>
    </w:pPr>
    <w:r>
      <w:rPr>
        <w:rStyle w:val="43"/>
        <w:rFonts w:hint="eastAsia"/>
        <w:sz w:val="24"/>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91AAF7">
    <w:pPr>
      <w:pStyle w:val="17"/>
      <w:pBdr>
        <w:bottom w:val="none" w:color="auto" w:sz="0" w:space="1"/>
      </w:pBdr>
      <w:jc w:val="both"/>
    </w:pPr>
    <w:r>
      <w:rPr>
        <w:rStyle w:val="43"/>
        <w:rFonts w:hint="eastAsia"/>
        <w:sz w:val="24"/>
        <w:szCs w:val="24"/>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7"/>
      <w:numFmt w:val="chineseCounting"/>
      <w:suff w:val="nothing"/>
      <w:lvlText w:val="%1、"/>
      <w:lvlJc w:val="left"/>
      <w:rPr>
        <w:rFonts w:hint="eastAsia"/>
      </w:rPr>
    </w:lvl>
  </w:abstractNum>
  <w:abstractNum w:abstractNumId="1">
    <w:nsid w:val="00000003"/>
    <w:multiLevelType w:val="multilevel"/>
    <w:tmpl w:val="00000003"/>
    <w:lvl w:ilvl="0" w:tentative="0">
      <w:start w:val="1"/>
      <w:numFmt w:val="decimal"/>
      <w:suff w:val="nothing"/>
      <w:lvlText w:val="（%1）"/>
      <w:lvlJc w:val="left"/>
    </w:lvl>
    <w:lvl w:ilvl="1" w:tentative="0">
      <w:start w:val="1"/>
      <w:numFmt w:val="decimal"/>
      <w:suff w:val="nothing"/>
      <w:lvlText w:val="%1.%2"/>
      <w:lvlJc w:val="left"/>
      <w:pPr>
        <w:ind w:left="875" w:hanging="449"/>
      </w:pPr>
      <w:rPr>
        <w:rFonts w:hint="eastAsia"/>
      </w:rPr>
    </w:lvl>
    <w:lvl w:ilvl="2" w:tentative="0">
      <w:start w:val="1"/>
      <w:numFmt w:val="decimal"/>
      <w:suff w:val="nothing"/>
      <w:lvlText w:val="%1.%2.%3."/>
      <w:lvlJc w:val="left"/>
      <w:pPr>
        <w:ind w:left="1561" w:hanging="709"/>
      </w:pPr>
      <w:rPr>
        <w:rFonts w:hint="eastAsia"/>
      </w:rPr>
    </w:lvl>
    <w:lvl w:ilvl="3" w:tentative="0">
      <w:start w:val="1"/>
      <w:numFmt w:val="decimal"/>
      <w:lvlText w:val="%1.%2.%3.%4."/>
      <w:lvlJc w:val="left"/>
      <w:pPr>
        <w:ind w:left="851" w:hanging="851"/>
      </w:pPr>
      <w:rPr>
        <w:rFonts w:hint="eastAsia"/>
      </w:rPr>
    </w:lvl>
    <w:lvl w:ilvl="4" w:tentative="0">
      <w:start w:val="1"/>
      <w:numFmt w:val="decimal"/>
      <w:lvlText w:val="%1.%2.%3.%4.%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
    <w:nsid w:val="00000004"/>
    <w:multiLevelType w:val="multilevel"/>
    <w:tmpl w:val="00000004"/>
    <w:lvl w:ilvl="0" w:tentative="0">
      <w:start w:val="1"/>
      <w:numFmt w:val="decimal"/>
      <w:suff w:val="nothing"/>
      <w:lvlText w:val="%1、"/>
      <w:lvlJc w:val="left"/>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06"/>
    <w:multiLevelType w:val="multilevel"/>
    <w:tmpl w:val="00000006"/>
    <w:lvl w:ilvl="0" w:tentative="0">
      <w:start w:val="1"/>
      <w:numFmt w:val="decimal"/>
      <w:lvlText w:val="第%1章"/>
      <w:lvlJc w:val="left"/>
      <w:pPr>
        <w:ind w:left="432" w:hanging="432"/>
      </w:pPr>
      <w:rPr>
        <w:rFonts w:hint="eastAsia" w:ascii="宋体" w:hAnsi="宋体" w:eastAsia="宋体" w:cs="宋体"/>
      </w:rPr>
    </w:lvl>
    <w:lvl w:ilvl="1" w:tentative="0">
      <w:start w:val="1"/>
      <w:numFmt w:val="decimalFullWidth"/>
      <w:lvlText w:val="%1.%2"/>
      <w:lvlJc w:val="left"/>
      <w:pPr>
        <w:ind w:left="575" w:hanging="575"/>
      </w:pPr>
      <w:rPr>
        <w:rFonts w:hint="eastAsia" w:ascii="宋体" w:hAnsi="宋体" w:eastAsia="宋体" w:cs="宋体"/>
      </w:rPr>
    </w:lvl>
    <w:lvl w:ilvl="2" w:tentative="0">
      <w:start w:val="1"/>
      <w:numFmt w:val="decimal"/>
      <w:lvlText w:val="%1.%2.%3 "/>
      <w:lvlJc w:val="left"/>
      <w:pPr>
        <w:ind w:left="720" w:hanging="720"/>
      </w:pPr>
      <w:rPr>
        <w:rFonts w:hint="eastAsia" w:ascii="宋体" w:hAnsi="宋体" w:eastAsia="宋体" w:cs="宋体"/>
      </w:rPr>
    </w:lvl>
    <w:lvl w:ilvl="3" w:tentative="0">
      <w:start w:val="1"/>
      <w:numFmt w:val="decimal"/>
      <w:pStyle w:val="5"/>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4">
    <w:nsid w:val="0000000A"/>
    <w:multiLevelType w:val="multilevel"/>
    <w:tmpl w:val="0000000A"/>
    <w:lvl w:ilvl="0" w:tentative="0">
      <w:start w:val="1"/>
      <w:numFmt w:val="decimal"/>
      <w:suff w:val="nothing"/>
      <w:lvlText w:val="%1、"/>
      <w:lvlJc w:val="left"/>
    </w:lvl>
    <w:lvl w:ilvl="1" w:tentative="0">
      <w:start w:val="1"/>
      <w:numFmt w:val="decimalFullWidth"/>
      <w:lvlText w:val="%1.%2"/>
      <w:lvlJc w:val="left"/>
      <w:pPr>
        <w:ind w:left="575" w:hanging="575"/>
      </w:pPr>
      <w:rPr>
        <w:rFonts w:hint="eastAsia" w:ascii="宋体" w:hAnsi="宋体" w:eastAsia="宋体" w:cs="宋体"/>
      </w:rPr>
    </w:lvl>
    <w:lvl w:ilvl="2" w:tentative="0">
      <w:start w:val="1"/>
      <w:numFmt w:val="decimal"/>
      <w:lvlText w:val="%1.%2.%3 "/>
      <w:lvlJc w:val="left"/>
      <w:pPr>
        <w:ind w:left="720" w:hanging="720"/>
      </w:pPr>
      <w:rPr>
        <w:rFonts w:hint="eastAsia" w:ascii="宋体" w:hAnsi="宋体" w:eastAsia="宋体" w:cs="宋体"/>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5">
    <w:nsid w:val="0000000C"/>
    <w:multiLevelType w:val="multilevel"/>
    <w:tmpl w:val="0000000C"/>
    <w:lvl w:ilvl="0" w:tentative="0">
      <w:start w:val="1"/>
      <w:numFmt w:val="chineseCountingThousand"/>
      <w:suff w:val="space"/>
      <w:lvlText w:val="%1、"/>
      <w:lvlJc w:val="left"/>
      <w:pPr>
        <w:ind w:left="0" w:firstLine="0"/>
      </w:pPr>
      <w:rPr>
        <w:rFonts w:hint="eastAsia"/>
      </w:rPr>
    </w:lvl>
    <w:lvl w:ilvl="1" w:tentative="0">
      <w:start w:val="1"/>
      <w:numFmt w:val="decimal"/>
      <w:isLgl/>
      <w:suff w:val="space"/>
      <w:lvlText w:val="%1.%2"/>
      <w:lvlJc w:val="left"/>
      <w:pPr>
        <w:ind w:left="704" w:firstLine="0"/>
      </w:pPr>
      <w:rPr>
        <w:rFonts w:hint="eastAsia"/>
        <w:spacing w:val="0"/>
        <w:w w:val="100"/>
        <w:kern w:val="21"/>
        <w:position w:val="0"/>
      </w:rPr>
    </w:lvl>
    <w:lvl w:ilvl="2" w:tentative="0">
      <w:start w:val="1"/>
      <w:numFmt w:val="decimal"/>
      <w:pStyle w:val="4"/>
      <w:isLgl/>
      <w:suff w:val="space"/>
      <w:lvlText w:val="%1.%2.%3"/>
      <w:lvlJc w:val="left"/>
      <w:pPr>
        <w:ind w:left="2410" w:firstLine="0"/>
      </w:pPr>
      <w:rPr>
        <w:rFonts w:hint="eastAsia"/>
        <w:color w:val="auto"/>
      </w:rPr>
    </w:lvl>
    <w:lvl w:ilvl="3" w:tentative="0">
      <w:start w:val="1"/>
      <w:numFmt w:val="decimal"/>
      <w:lvlText w:val="%1.%2.%3.%4"/>
      <w:lvlJc w:val="left"/>
      <w:pPr>
        <w:ind w:left="852" w:firstLine="0"/>
      </w:pPr>
      <w:rPr>
        <w:rFonts w:hint="eastAsia"/>
      </w:rPr>
    </w:lvl>
    <w:lvl w:ilvl="4" w:tentative="0">
      <w:start w:val="1"/>
      <w:numFmt w:val="decimal"/>
      <w:lvlText w:val="%1.%2.%3.%4.%5"/>
      <w:lvlJc w:val="left"/>
      <w:pPr>
        <w:ind w:left="1136" w:firstLine="0"/>
      </w:pPr>
      <w:rPr>
        <w:rFonts w:hint="eastAsia"/>
      </w:rPr>
    </w:lvl>
    <w:lvl w:ilvl="5" w:tentative="0">
      <w:start w:val="1"/>
      <w:numFmt w:val="decimal"/>
      <w:lvlText w:val="%1.%2.%3.%4.%5.%6"/>
      <w:lvlJc w:val="left"/>
      <w:pPr>
        <w:ind w:left="1420" w:firstLine="0"/>
      </w:pPr>
      <w:rPr>
        <w:rFonts w:hint="eastAsia"/>
      </w:rPr>
    </w:lvl>
    <w:lvl w:ilvl="6" w:tentative="0">
      <w:start w:val="1"/>
      <w:numFmt w:val="decimal"/>
      <w:lvlText w:val="%1.%2.%3.%4.%5.%6.%7"/>
      <w:lvlJc w:val="left"/>
      <w:pPr>
        <w:ind w:left="1704" w:firstLine="0"/>
      </w:pPr>
      <w:rPr>
        <w:rFonts w:hint="eastAsia"/>
      </w:rPr>
    </w:lvl>
    <w:lvl w:ilvl="7" w:tentative="0">
      <w:start w:val="1"/>
      <w:numFmt w:val="decimal"/>
      <w:lvlText w:val="%1.%2.%3.%4.%5.%6.%7.%8"/>
      <w:lvlJc w:val="left"/>
      <w:pPr>
        <w:ind w:left="1988" w:firstLine="0"/>
      </w:pPr>
      <w:rPr>
        <w:rFonts w:hint="eastAsia"/>
      </w:rPr>
    </w:lvl>
    <w:lvl w:ilvl="8" w:tentative="0">
      <w:start w:val="1"/>
      <w:numFmt w:val="decimal"/>
      <w:lvlText w:val="%1.%2.%3.%4.%5.%6.%7.%8.%9"/>
      <w:lvlJc w:val="left"/>
      <w:pPr>
        <w:ind w:left="2272" w:firstLine="0"/>
      </w:pPr>
      <w:rPr>
        <w:rFonts w:hint="eastAsia"/>
      </w:rPr>
    </w:lvl>
  </w:abstractNum>
  <w:abstractNum w:abstractNumId="6">
    <w:nsid w:val="0000000F"/>
    <w:multiLevelType w:val="singleLevel"/>
    <w:tmpl w:val="0000000F"/>
    <w:lvl w:ilvl="0" w:tentative="0">
      <w:start w:val="1"/>
      <w:numFmt w:val="decimal"/>
      <w:lvlText w:val="(%1)"/>
      <w:lvlJc w:val="left"/>
      <w:pPr>
        <w:ind w:left="425" w:hanging="425"/>
      </w:pPr>
      <w:rPr>
        <w:rFonts w:hint="default"/>
      </w:rPr>
    </w:lvl>
  </w:abstractNum>
  <w:abstractNum w:abstractNumId="7">
    <w:nsid w:val="00000010"/>
    <w:multiLevelType w:val="multilevel"/>
    <w:tmpl w:val="00000010"/>
    <w:lvl w:ilvl="0" w:tentative="0">
      <w:start w:val="1"/>
      <w:numFmt w:val="decimal"/>
      <w:lvlText w:val="%1、"/>
      <w:lvlJc w:val="left"/>
      <w:pPr>
        <w:tabs>
          <w:tab w:val="left" w:pos="740"/>
        </w:tabs>
        <w:ind w:left="1081" w:hanging="1081"/>
      </w:pPr>
      <w:rPr>
        <w:rFonts w:hint="default"/>
      </w:rPr>
    </w:lvl>
    <w:lvl w:ilvl="1" w:tentative="0">
      <w:start w:val="1"/>
      <w:numFmt w:val="decimal"/>
      <w:pStyle w:val="101"/>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12"/>
    <w:multiLevelType w:val="singleLevel"/>
    <w:tmpl w:val="00000012"/>
    <w:lvl w:ilvl="0" w:tentative="0">
      <w:start w:val="1"/>
      <w:numFmt w:val="decimal"/>
      <w:suff w:val="nothing"/>
      <w:lvlText w:val="%1、"/>
      <w:lvlJc w:val="left"/>
    </w:lvl>
  </w:abstractNum>
  <w:abstractNum w:abstractNumId="9">
    <w:nsid w:val="00000015"/>
    <w:multiLevelType w:val="singleLevel"/>
    <w:tmpl w:val="00000015"/>
    <w:lvl w:ilvl="0" w:tentative="0">
      <w:start w:val="18"/>
      <w:numFmt w:val="decimal"/>
      <w:lvlText w:val="%1."/>
      <w:lvlJc w:val="left"/>
    </w:lvl>
  </w:abstractNum>
  <w:abstractNum w:abstractNumId="10">
    <w:nsid w:val="00EDFD5D"/>
    <w:multiLevelType w:val="singleLevel"/>
    <w:tmpl w:val="00EDFD5D"/>
    <w:lvl w:ilvl="0" w:tentative="0">
      <w:start w:val="1"/>
      <w:numFmt w:val="decimal"/>
      <w:suff w:val="space"/>
      <w:lvlText w:val="%1."/>
      <w:lvlJc w:val="left"/>
    </w:lvl>
  </w:abstractNum>
  <w:abstractNum w:abstractNumId="11">
    <w:nsid w:val="07B7E0D8"/>
    <w:multiLevelType w:val="singleLevel"/>
    <w:tmpl w:val="07B7E0D8"/>
    <w:lvl w:ilvl="0" w:tentative="0">
      <w:start w:val="1"/>
      <w:numFmt w:val="decimal"/>
      <w:suff w:val="space"/>
      <w:lvlText w:val="%1."/>
      <w:lvlJc w:val="left"/>
    </w:lvl>
  </w:abstractNum>
  <w:abstractNum w:abstractNumId="12">
    <w:nsid w:val="2C3EF7A0"/>
    <w:multiLevelType w:val="singleLevel"/>
    <w:tmpl w:val="2C3EF7A0"/>
    <w:lvl w:ilvl="0" w:tentative="0">
      <w:start w:val="4"/>
      <w:numFmt w:val="chineseCounting"/>
      <w:suff w:val="space"/>
      <w:lvlText w:val="第%1章"/>
      <w:lvlJc w:val="left"/>
      <w:rPr>
        <w:rFonts w:hint="eastAsia"/>
      </w:rPr>
    </w:lvl>
  </w:abstractNum>
  <w:abstractNum w:abstractNumId="13">
    <w:nsid w:val="47731367"/>
    <w:multiLevelType w:val="singleLevel"/>
    <w:tmpl w:val="47731367"/>
    <w:lvl w:ilvl="0" w:tentative="0">
      <w:start w:val="1"/>
      <w:numFmt w:val="decimal"/>
      <w:suff w:val="space"/>
      <w:lvlText w:val="%1."/>
      <w:lvlJc w:val="left"/>
    </w:lvl>
  </w:abstractNum>
  <w:abstractNum w:abstractNumId="14">
    <w:nsid w:val="672340CF"/>
    <w:multiLevelType w:val="singleLevel"/>
    <w:tmpl w:val="672340CF"/>
    <w:lvl w:ilvl="0" w:tentative="0">
      <w:start w:val="1"/>
      <w:numFmt w:val="decimal"/>
      <w:suff w:val="space"/>
      <w:lvlText w:val="%1."/>
      <w:lvlJc w:val="left"/>
    </w:lvl>
  </w:abstractNum>
  <w:abstractNum w:abstractNumId="15">
    <w:nsid w:val="7032E08A"/>
    <w:multiLevelType w:val="singleLevel"/>
    <w:tmpl w:val="7032E08A"/>
    <w:lvl w:ilvl="0" w:tentative="0">
      <w:start w:val="1"/>
      <w:numFmt w:val="decimal"/>
      <w:suff w:val="space"/>
      <w:lvlText w:val="%1."/>
      <w:lvlJc w:val="left"/>
    </w:lvl>
  </w:abstractNum>
  <w:num w:numId="1">
    <w:abstractNumId w:val="5"/>
  </w:num>
  <w:num w:numId="2">
    <w:abstractNumId w:val="3"/>
  </w:num>
  <w:num w:numId="3">
    <w:abstractNumId w:val="7"/>
  </w:num>
  <w:num w:numId="4">
    <w:abstractNumId w:val="6"/>
  </w:num>
  <w:num w:numId="5">
    <w:abstractNumId w:val="1"/>
  </w:num>
  <w:num w:numId="6">
    <w:abstractNumId w:val="9"/>
  </w:num>
  <w:num w:numId="7">
    <w:abstractNumId w:val="8"/>
  </w:num>
  <w:num w:numId="8">
    <w:abstractNumId w:val="0"/>
  </w:num>
  <w:num w:numId="9">
    <w:abstractNumId w:val="2"/>
  </w:num>
  <w:num w:numId="10">
    <w:abstractNumId w:val="4"/>
  </w:num>
  <w:num w:numId="11">
    <w:abstractNumId w:val="12"/>
  </w:num>
  <w:num w:numId="12">
    <w:abstractNumId w:val="13"/>
  </w:num>
  <w:num w:numId="13">
    <w:abstractNumId w:val="11"/>
  </w:num>
  <w:num w:numId="14">
    <w:abstractNumId w:val="10"/>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BreakWrappedTables/>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1YWZlZTMxNGRhMzA3N2JkNjZhNTk4MzI1Nzk4ZDIifQ=="/>
    <w:docVar w:name="KSO_WPS_MARK_KEY" w:val="7f4dda96-5094-424a-97c2-1daf99f5beb2"/>
  </w:docVars>
  <w:rsids>
    <w:rsidRoot w:val="00000000"/>
    <w:rsid w:val="0005057E"/>
    <w:rsid w:val="000833F9"/>
    <w:rsid w:val="01065BD1"/>
    <w:rsid w:val="0171757A"/>
    <w:rsid w:val="01D66B01"/>
    <w:rsid w:val="02313A30"/>
    <w:rsid w:val="03196F07"/>
    <w:rsid w:val="0338372C"/>
    <w:rsid w:val="03A41333"/>
    <w:rsid w:val="04133416"/>
    <w:rsid w:val="047A1C27"/>
    <w:rsid w:val="04BA7D51"/>
    <w:rsid w:val="06A53AB0"/>
    <w:rsid w:val="07145B0E"/>
    <w:rsid w:val="07411D23"/>
    <w:rsid w:val="07E32B39"/>
    <w:rsid w:val="07F73167"/>
    <w:rsid w:val="08294B5B"/>
    <w:rsid w:val="08A00D3E"/>
    <w:rsid w:val="08B03E69"/>
    <w:rsid w:val="091927F9"/>
    <w:rsid w:val="092B59D0"/>
    <w:rsid w:val="092E279E"/>
    <w:rsid w:val="095E209F"/>
    <w:rsid w:val="097A32EB"/>
    <w:rsid w:val="0A9D24B7"/>
    <w:rsid w:val="0BF751B0"/>
    <w:rsid w:val="0C0B3E50"/>
    <w:rsid w:val="0C752210"/>
    <w:rsid w:val="0D9E0D32"/>
    <w:rsid w:val="0D9E641E"/>
    <w:rsid w:val="0DB618D1"/>
    <w:rsid w:val="0DFF319D"/>
    <w:rsid w:val="0ED71555"/>
    <w:rsid w:val="0F1420E1"/>
    <w:rsid w:val="0F5C32C3"/>
    <w:rsid w:val="0F6B03A9"/>
    <w:rsid w:val="0FB75ADD"/>
    <w:rsid w:val="0FC15B45"/>
    <w:rsid w:val="0FC44115"/>
    <w:rsid w:val="10A848AE"/>
    <w:rsid w:val="123208A2"/>
    <w:rsid w:val="126B242E"/>
    <w:rsid w:val="13A10592"/>
    <w:rsid w:val="156F7F75"/>
    <w:rsid w:val="157079BA"/>
    <w:rsid w:val="16A7470C"/>
    <w:rsid w:val="17100C34"/>
    <w:rsid w:val="17153370"/>
    <w:rsid w:val="17AC1CA0"/>
    <w:rsid w:val="17D94124"/>
    <w:rsid w:val="181C089E"/>
    <w:rsid w:val="18A6763E"/>
    <w:rsid w:val="18CB43A7"/>
    <w:rsid w:val="18FC2A59"/>
    <w:rsid w:val="190D7E26"/>
    <w:rsid w:val="19412BFE"/>
    <w:rsid w:val="19513CCA"/>
    <w:rsid w:val="19FD18AF"/>
    <w:rsid w:val="1A3022CF"/>
    <w:rsid w:val="1AAD4BCB"/>
    <w:rsid w:val="1AEE033B"/>
    <w:rsid w:val="1BC31CAE"/>
    <w:rsid w:val="1CB10E7F"/>
    <w:rsid w:val="1D1D23DC"/>
    <w:rsid w:val="1EE461C3"/>
    <w:rsid w:val="1FD0232F"/>
    <w:rsid w:val="20677C6C"/>
    <w:rsid w:val="20874C13"/>
    <w:rsid w:val="21F96814"/>
    <w:rsid w:val="2266474F"/>
    <w:rsid w:val="22A93E72"/>
    <w:rsid w:val="22FC7E91"/>
    <w:rsid w:val="23411E36"/>
    <w:rsid w:val="23FA17BD"/>
    <w:rsid w:val="24F21544"/>
    <w:rsid w:val="26430DD2"/>
    <w:rsid w:val="26514E7D"/>
    <w:rsid w:val="265F4BE0"/>
    <w:rsid w:val="26D675CB"/>
    <w:rsid w:val="26F742AF"/>
    <w:rsid w:val="27663BDC"/>
    <w:rsid w:val="28752EF6"/>
    <w:rsid w:val="2882122F"/>
    <w:rsid w:val="2B4875EE"/>
    <w:rsid w:val="2C1E33D9"/>
    <w:rsid w:val="2C3E3247"/>
    <w:rsid w:val="2CCE0B84"/>
    <w:rsid w:val="2DC20777"/>
    <w:rsid w:val="2E8D7D76"/>
    <w:rsid w:val="2FDA5B01"/>
    <w:rsid w:val="30121A9A"/>
    <w:rsid w:val="301D09D9"/>
    <w:rsid w:val="30AE084E"/>
    <w:rsid w:val="30DF3FFF"/>
    <w:rsid w:val="319F6100"/>
    <w:rsid w:val="32186458"/>
    <w:rsid w:val="332202AE"/>
    <w:rsid w:val="3339387A"/>
    <w:rsid w:val="3496630F"/>
    <w:rsid w:val="349D3815"/>
    <w:rsid w:val="35095565"/>
    <w:rsid w:val="355D555F"/>
    <w:rsid w:val="357908AF"/>
    <w:rsid w:val="35B80BE7"/>
    <w:rsid w:val="35CA19F8"/>
    <w:rsid w:val="35CC6809"/>
    <w:rsid w:val="36A87E6A"/>
    <w:rsid w:val="36BF7BB4"/>
    <w:rsid w:val="37BA58BB"/>
    <w:rsid w:val="3832528F"/>
    <w:rsid w:val="386F6996"/>
    <w:rsid w:val="388C425A"/>
    <w:rsid w:val="38A07506"/>
    <w:rsid w:val="38CA2129"/>
    <w:rsid w:val="396D5AC3"/>
    <w:rsid w:val="39C550E6"/>
    <w:rsid w:val="3A91201A"/>
    <w:rsid w:val="3BA503F2"/>
    <w:rsid w:val="3BCB62E9"/>
    <w:rsid w:val="3CBF4BC3"/>
    <w:rsid w:val="3CC72F54"/>
    <w:rsid w:val="3CE81A7C"/>
    <w:rsid w:val="3D445B93"/>
    <w:rsid w:val="3D961290"/>
    <w:rsid w:val="3D9D4A23"/>
    <w:rsid w:val="3FA77753"/>
    <w:rsid w:val="3FC671F3"/>
    <w:rsid w:val="401F0014"/>
    <w:rsid w:val="41B076E0"/>
    <w:rsid w:val="41DE52B0"/>
    <w:rsid w:val="420D0EED"/>
    <w:rsid w:val="42280F66"/>
    <w:rsid w:val="42F53ACA"/>
    <w:rsid w:val="431E0717"/>
    <w:rsid w:val="43672C44"/>
    <w:rsid w:val="438660D8"/>
    <w:rsid w:val="44305883"/>
    <w:rsid w:val="4508359E"/>
    <w:rsid w:val="45322F35"/>
    <w:rsid w:val="45940A84"/>
    <w:rsid w:val="45DE2A82"/>
    <w:rsid w:val="45FA10AE"/>
    <w:rsid w:val="471E1E95"/>
    <w:rsid w:val="47794E4B"/>
    <w:rsid w:val="47C4377F"/>
    <w:rsid w:val="47CF301F"/>
    <w:rsid w:val="47F2216A"/>
    <w:rsid w:val="493B436E"/>
    <w:rsid w:val="49A55450"/>
    <w:rsid w:val="4A3F7AC2"/>
    <w:rsid w:val="4A9326C8"/>
    <w:rsid w:val="4B312C5F"/>
    <w:rsid w:val="4C2018C1"/>
    <w:rsid w:val="4C9E7102"/>
    <w:rsid w:val="4CDC2B70"/>
    <w:rsid w:val="4CF22F6C"/>
    <w:rsid w:val="4D5D2E7B"/>
    <w:rsid w:val="4D9D06DE"/>
    <w:rsid w:val="4E6C5709"/>
    <w:rsid w:val="4E957A66"/>
    <w:rsid w:val="4ED36436"/>
    <w:rsid w:val="4F6F4400"/>
    <w:rsid w:val="4FC450D1"/>
    <w:rsid w:val="4FEF7931"/>
    <w:rsid w:val="504804B7"/>
    <w:rsid w:val="50B22EF2"/>
    <w:rsid w:val="51110FA5"/>
    <w:rsid w:val="513533EB"/>
    <w:rsid w:val="51A77DFB"/>
    <w:rsid w:val="52B254B0"/>
    <w:rsid w:val="52CE189B"/>
    <w:rsid w:val="53091436"/>
    <w:rsid w:val="53093F86"/>
    <w:rsid w:val="5457656B"/>
    <w:rsid w:val="551F0267"/>
    <w:rsid w:val="55335A9C"/>
    <w:rsid w:val="55675003"/>
    <w:rsid w:val="55E737FF"/>
    <w:rsid w:val="55FB6939"/>
    <w:rsid w:val="566C263F"/>
    <w:rsid w:val="56D06BB2"/>
    <w:rsid w:val="56FB7F75"/>
    <w:rsid w:val="575D490D"/>
    <w:rsid w:val="585F1E3B"/>
    <w:rsid w:val="59B853BE"/>
    <w:rsid w:val="5B1803F9"/>
    <w:rsid w:val="5B615ECA"/>
    <w:rsid w:val="5BAD110F"/>
    <w:rsid w:val="5BC24244"/>
    <w:rsid w:val="5CC95F93"/>
    <w:rsid w:val="5CD53362"/>
    <w:rsid w:val="5E2A3ED5"/>
    <w:rsid w:val="5E4951BD"/>
    <w:rsid w:val="5E9B1E6D"/>
    <w:rsid w:val="5EC7698C"/>
    <w:rsid w:val="5F0F1ED5"/>
    <w:rsid w:val="5F9230A8"/>
    <w:rsid w:val="60043270"/>
    <w:rsid w:val="60762418"/>
    <w:rsid w:val="613D43B1"/>
    <w:rsid w:val="634D3C76"/>
    <w:rsid w:val="63AD6150"/>
    <w:rsid w:val="63E64090"/>
    <w:rsid w:val="63F06D02"/>
    <w:rsid w:val="64777EE0"/>
    <w:rsid w:val="650008EE"/>
    <w:rsid w:val="650D74DA"/>
    <w:rsid w:val="6523433B"/>
    <w:rsid w:val="653D252F"/>
    <w:rsid w:val="656528E3"/>
    <w:rsid w:val="657F1D6E"/>
    <w:rsid w:val="65C27DEC"/>
    <w:rsid w:val="663552DB"/>
    <w:rsid w:val="66751F24"/>
    <w:rsid w:val="66BE49B2"/>
    <w:rsid w:val="692C4A1B"/>
    <w:rsid w:val="693E784B"/>
    <w:rsid w:val="6A131496"/>
    <w:rsid w:val="6ACF65B7"/>
    <w:rsid w:val="6B083D29"/>
    <w:rsid w:val="6B344DF0"/>
    <w:rsid w:val="6C6F39F5"/>
    <w:rsid w:val="6D2F00AE"/>
    <w:rsid w:val="6D4D4500"/>
    <w:rsid w:val="6D8C67E8"/>
    <w:rsid w:val="6DC347C2"/>
    <w:rsid w:val="6DE207AB"/>
    <w:rsid w:val="6E93082B"/>
    <w:rsid w:val="6F432FB1"/>
    <w:rsid w:val="705A24C7"/>
    <w:rsid w:val="70D311C0"/>
    <w:rsid w:val="71083F82"/>
    <w:rsid w:val="71992506"/>
    <w:rsid w:val="71C07E31"/>
    <w:rsid w:val="720A13D4"/>
    <w:rsid w:val="72892FBD"/>
    <w:rsid w:val="72A33206"/>
    <w:rsid w:val="73016E15"/>
    <w:rsid w:val="734A7C48"/>
    <w:rsid w:val="741E320F"/>
    <w:rsid w:val="74242CF8"/>
    <w:rsid w:val="74845699"/>
    <w:rsid w:val="75774810"/>
    <w:rsid w:val="76042581"/>
    <w:rsid w:val="7711659E"/>
    <w:rsid w:val="776963DA"/>
    <w:rsid w:val="77C93EF8"/>
    <w:rsid w:val="784F3EEE"/>
    <w:rsid w:val="78D443E2"/>
    <w:rsid w:val="79B46312"/>
    <w:rsid w:val="7AB139FE"/>
    <w:rsid w:val="7C3945CD"/>
    <w:rsid w:val="7C732BC9"/>
    <w:rsid w:val="7E3F256B"/>
    <w:rsid w:val="7EE94821"/>
    <w:rsid w:val="7EF66C5B"/>
    <w:rsid w:val="7F406FE6"/>
    <w:rsid w:val="7F8B38CC"/>
    <w:rsid w:val="7FC63AB1"/>
    <w:rsid w:val="7FCD6BA3"/>
    <w:rsid w:val="7FDA7E7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41"/>
    <w:qFormat/>
    <w:uiPriority w:val="0"/>
    <w:pPr>
      <w:keepNext/>
      <w:keepLines/>
      <w:spacing w:before="340" w:after="330" w:line="578" w:lineRule="auto"/>
    </w:pPr>
    <w:rPr>
      <w:rFonts w:ascii="Calibri" w:hAnsi="Calibri"/>
      <w:kern w:val="44"/>
      <w:sz w:val="44"/>
      <w:szCs w:val="44"/>
    </w:rPr>
  </w:style>
  <w:style w:type="paragraph" w:styleId="3">
    <w:name w:val="heading 2"/>
    <w:basedOn w:val="1"/>
    <w:next w:val="1"/>
    <w:autoRedefine/>
    <w:qFormat/>
    <w:uiPriority w:val="0"/>
    <w:pPr>
      <w:keepLines/>
      <w:spacing w:before="260" w:after="260" w:line="416" w:lineRule="auto"/>
      <w:outlineLvl w:val="1"/>
    </w:pPr>
    <w:rPr>
      <w:rFonts w:ascii="Arial" w:hAnsi="Arial" w:eastAsia="黑体"/>
      <w:bCs/>
      <w:szCs w:val="32"/>
    </w:rPr>
  </w:style>
  <w:style w:type="paragraph" w:styleId="4">
    <w:name w:val="heading 3"/>
    <w:basedOn w:val="1"/>
    <w:next w:val="1"/>
    <w:qFormat/>
    <w:uiPriority w:val="0"/>
    <w:pPr>
      <w:numPr>
        <w:ilvl w:val="2"/>
        <w:numId w:val="1"/>
      </w:numPr>
      <w:snapToGrid w:val="0"/>
      <w:ind w:left="567"/>
      <w:outlineLvl w:val="2"/>
    </w:pPr>
    <w:rPr>
      <w:rFonts w:ascii="微软雅黑" w:hAnsi="微软雅黑" w:eastAsia="微软雅黑" w:cs="Times New Roman"/>
      <w:bCs/>
      <w:kern w:val="2"/>
      <w:sz w:val="21"/>
      <w:szCs w:val="32"/>
      <w:lang w:val="en-US" w:eastAsia="zh-CN" w:bidi="ar-SA"/>
    </w:rPr>
  </w:style>
  <w:style w:type="paragraph" w:styleId="5">
    <w:name w:val="heading 4"/>
    <w:basedOn w:val="1"/>
    <w:next w:val="1"/>
    <w:qFormat/>
    <w:uiPriority w:val="0"/>
    <w:pPr>
      <w:keepNext/>
      <w:keepLines/>
      <w:numPr>
        <w:ilvl w:val="3"/>
        <w:numId w:val="2"/>
      </w:numPr>
      <w:spacing w:before="280" w:after="290" w:line="372" w:lineRule="auto"/>
      <w:outlineLvl w:val="3"/>
    </w:pPr>
    <w:rPr>
      <w:rFonts w:ascii="Arial" w:hAnsi="Arial" w:eastAsia="黑体"/>
      <w:b/>
      <w:sz w:val="28"/>
    </w:rPr>
  </w:style>
  <w:style w:type="character" w:default="1" w:styleId="33">
    <w:name w:val="Default Paragraph Font"/>
    <w:qFormat/>
    <w:uiPriority w:val="1"/>
  </w:style>
  <w:style w:type="table" w:default="1" w:styleId="31">
    <w:name w:val="Normal Table"/>
    <w:autoRedefine/>
    <w:qFormat/>
    <w:uiPriority w:val="99"/>
    <w:tblPr>
      <w:tblCellMar>
        <w:top w:w="0" w:type="dxa"/>
        <w:left w:w="108" w:type="dxa"/>
        <w:bottom w:w="0" w:type="dxa"/>
        <w:right w:w="108" w:type="dxa"/>
      </w:tblCellMar>
    </w:tblPr>
  </w:style>
  <w:style w:type="paragraph" w:styleId="6">
    <w:name w:val="Normal Indent"/>
    <w:basedOn w:val="1"/>
    <w:next w:val="1"/>
    <w:autoRedefine/>
    <w:qFormat/>
    <w:uiPriority w:val="0"/>
    <w:pPr>
      <w:ind w:firstLine="420" w:firstLineChars="200"/>
    </w:pPr>
  </w:style>
  <w:style w:type="paragraph" w:styleId="7">
    <w:name w:val="caption"/>
    <w:basedOn w:val="1"/>
    <w:next w:val="1"/>
    <w:autoRedefine/>
    <w:qFormat/>
    <w:uiPriority w:val="0"/>
    <w:rPr>
      <w:rFonts w:ascii="Arial" w:hAnsi="Arial" w:eastAsia="黑体" w:cs="Arial"/>
      <w:sz w:val="20"/>
      <w:szCs w:val="20"/>
    </w:rPr>
  </w:style>
  <w:style w:type="paragraph" w:styleId="8">
    <w:name w:val="toa heading"/>
    <w:basedOn w:val="1"/>
    <w:next w:val="1"/>
    <w:autoRedefine/>
    <w:qFormat/>
    <w:uiPriority w:val="0"/>
    <w:pPr>
      <w:spacing w:before="120"/>
    </w:pPr>
    <w:rPr>
      <w:rFonts w:ascii="Cambria" w:hAnsi="Cambria"/>
      <w:sz w:val="24"/>
    </w:rPr>
  </w:style>
  <w:style w:type="paragraph" w:styleId="9">
    <w:name w:val="annotation text"/>
    <w:basedOn w:val="1"/>
    <w:link w:val="96"/>
    <w:autoRedefine/>
    <w:qFormat/>
    <w:uiPriority w:val="0"/>
    <w:pPr>
      <w:jc w:val="left"/>
    </w:pPr>
  </w:style>
  <w:style w:type="paragraph" w:styleId="10">
    <w:name w:val="Body Text"/>
    <w:basedOn w:val="1"/>
    <w:next w:val="1"/>
    <w:autoRedefine/>
    <w:qFormat/>
    <w:uiPriority w:val="0"/>
    <w:pPr>
      <w:spacing w:after="120"/>
    </w:pPr>
  </w:style>
  <w:style w:type="paragraph" w:styleId="11">
    <w:name w:val="Body Text Indent"/>
    <w:basedOn w:val="1"/>
    <w:autoRedefine/>
    <w:qFormat/>
    <w:uiPriority w:val="0"/>
    <w:pPr>
      <w:ind w:firstLine="630"/>
    </w:pPr>
    <w:rPr>
      <w:sz w:val="32"/>
      <w:szCs w:val="20"/>
    </w:rPr>
  </w:style>
  <w:style w:type="paragraph" w:styleId="12">
    <w:name w:val="Plain Text"/>
    <w:basedOn w:val="1"/>
    <w:autoRedefine/>
    <w:qFormat/>
    <w:uiPriority w:val="0"/>
    <w:rPr>
      <w:rFonts w:ascii="宋体" w:hAnsi="Courier New"/>
      <w:szCs w:val="20"/>
    </w:rPr>
  </w:style>
  <w:style w:type="paragraph" w:styleId="13">
    <w:name w:val="Body Text Indent 2"/>
    <w:basedOn w:val="1"/>
    <w:autoRedefine/>
    <w:qFormat/>
    <w:uiPriority w:val="0"/>
    <w:pPr>
      <w:spacing w:after="120" w:line="480" w:lineRule="auto"/>
      <w:ind w:left="420" w:leftChars="200"/>
    </w:pPr>
  </w:style>
  <w:style w:type="paragraph" w:styleId="14">
    <w:name w:val="Balloon Text"/>
    <w:basedOn w:val="1"/>
    <w:link w:val="95"/>
    <w:autoRedefine/>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rPr>
  </w:style>
  <w:style w:type="paragraph" w:styleId="16">
    <w:name w:val="envelope return"/>
    <w:basedOn w:val="1"/>
    <w:qFormat/>
    <w:uiPriority w:val="99"/>
    <w:pPr>
      <w:snapToGrid w:val="0"/>
    </w:pPr>
    <w:rPr>
      <w:rFonts w:ascii="Arial" w:hAnsi="Arial" w:cs="Arial"/>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autoRedefine/>
    <w:qFormat/>
    <w:uiPriority w:val="0"/>
    <w:pPr>
      <w:spacing w:line="480" w:lineRule="auto"/>
    </w:pPr>
    <w:rPr>
      <w:rFonts w:ascii="Times New Roman" w:hAnsi="Times New Roman"/>
      <w:sz w:val="30"/>
    </w:rPr>
  </w:style>
  <w:style w:type="paragraph" w:styleId="19">
    <w:name w:val="toc 4"/>
    <w:basedOn w:val="1"/>
    <w:next w:val="1"/>
    <w:autoRedefine/>
    <w:qFormat/>
    <w:uiPriority w:val="0"/>
    <w:pPr>
      <w:wordWrap w:val="0"/>
      <w:ind w:left="850"/>
      <w:jc w:val="both"/>
    </w:pPr>
    <w:rPr>
      <w:rFonts w:ascii="Times New Roman" w:hAnsi="Times New Roman" w:eastAsia="宋体" w:cs="Times New Roman"/>
      <w:sz w:val="21"/>
      <w:lang w:val="en-US" w:eastAsia="zh-CN" w:bidi="ar-SA"/>
    </w:rPr>
  </w:style>
  <w:style w:type="paragraph" w:styleId="20">
    <w:name w:val="index heading"/>
    <w:basedOn w:val="1"/>
    <w:next w:val="2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1">
    <w:name w:val="index 1"/>
    <w:basedOn w:val="1"/>
    <w:next w:val="1"/>
    <w:autoRedefine/>
    <w:qFormat/>
    <w:uiPriority w:val="0"/>
  </w:style>
  <w:style w:type="paragraph" w:styleId="22">
    <w:name w:val="footnote text"/>
    <w:basedOn w:val="1"/>
    <w:autoRedefine/>
    <w:semiHidden/>
    <w:qFormat/>
    <w:uiPriority w:val="0"/>
    <w:pPr>
      <w:adjustRightInd w:val="0"/>
      <w:snapToGrid w:val="0"/>
      <w:jc w:val="left"/>
      <w:textAlignment w:val="baseline"/>
    </w:pPr>
    <w:rPr>
      <w:rFonts w:ascii="Times New Roman" w:hAnsi="Times New Roman"/>
      <w:sz w:val="18"/>
      <w:szCs w:val="20"/>
    </w:rPr>
  </w:style>
  <w:style w:type="paragraph" w:styleId="23">
    <w:name w:val="toc 6"/>
    <w:next w:val="1"/>
    <w:autoRedefine/>
    <w:qFormat/>
    <w:uiPriority w:val="39"/>
    <w:pPr>
      <w:widowControl w:val="0"/>
      <w:spacing w:line="240" w:lineRule="auto"/>
      <w:ind w:left="2100" w:leftChars="1000"/>
      <w:jc w:val="both"/>
    </w:pPr>
    <w:rPr>
      <w:rFonts w:ascii="Calibri" w:hAnsi="Calibri" w:eastAsia="宋体" w:cs="Times New Roman"/>
      <w:kern w:val="2"/>
      <w:sz w:val="21"/>
      <w:szCs w:val="22"/>
      <w:lang w:val="en-US" w:eastAsia="zh-CN" w:bidi="ar-SA"/>
    </w:rPr>
  </w:style>
  <w:style w:type="paragraph" w:styleId="24">
    <w:name w:val="List 5"/>
    <w:basedOn w:val="1"/>
    <w:autoRedefine/>
    <w:qFormat/>
    <w:uiPriority w:val="0"/>
    <w:pPr>
      <w:ind w:left="2100" w:hanging="420"/>
    </w:pPr>
    <w:rPr>
      <w:rFonts w:eastAsia="楷体_GB2312"/>
      <w:sz w:val="32"/>
      <w:szCs w:val="20"/>
    </w:rPr>
  </w:style>
  <w:style w:type="paragraph" w:styleId="25">
    <w:name w:val="index 7"/>
    <w:basedOn w:val="1"/>
    <w:next w:val="1"/>
    <w:autoRedefine/>
    <w:qFormat/>
    <w:uiPriority w:val="0"/>
    <w:pPr>
      <w:autoSpaceDE/>
      <w:autoSpaceDN/>
      <w:adjustRightInd/>
      <w:ind w:left="1200" w:leftChars="1200"/>
    </w:pPr>
    <w:rPr>
      <w:color w:val="auto"/>
      <w:kern w:val="2"/>
      <w:szCs w:val="24"/>
    </w:rPr>
  </w:style>
  <w:style w:type="paragraph" w:styleId="26">
    <w:name w:val="Normal (Web)"/>
    <w:basedOn w:val="1"/>
    <w:next w:val="1"/>
    <w:autoRedefine/>
    <w:qFormat/>
    <w:uiPriority w:val="0"/>
    <w:pPr>
      <w:widowControl/>
      <w:spacing w:before="100" w:beforeAutospacing="1" w:after="100" w:afterAutospacing="1"/>
      <w:jc w:val="left"/>
    </w:pPr>
    <w:rPr>
      <w:rFonts w:ascii="宋体" w:hAnsi="宋体"/>
      <w:kern w:val="0"/>
      <w:sz w:val="18"/>
      <w:szCs w:val="18"/>
    </w:rPr>
  </w:style>
  <w:style w:type="paragraph" w:styleId="27">
    <w:name w:val="Title"/>
    <w:basedOn w:val="1"/>
    <w:next w:val="1"/>
    <w:autoRedefine/>
    <w:qFormat/>
    <w:uiPriority w:val="10"/>
    <w:pPr>
      <w:spacing w:before="240" w:after="60"/>
      <w:jc w:val="center"/>
      <w:outlineLvl w:val="0"/>
    </w:pPr>
    <w:rPr>
      <w:rFonts w:ascii="Cambria" w:hAnsi="Cambria"/>
      <w:b/>
      <w:bCs/>
      <w:sz w:val="32"/>
      <w:szCs w:val="32"/>
    </w:rPr>
  </w:style>
  <w:style w:type="paragraph" w:styleId="28">
    <w:name w:val="annotation subject"/>
    <w:basedOn w:val="9"/>
    <w:next w:val="9"/>
    <w:link w:val="97"/>
    <w:autoRedefine/>
    <w:qFormat/>
    <w:uiPriority w:val="0"/>
    <w:rPr>
      <w:b/>
      <w:bCs/>
    </w:rPr>
  </w:style>
  <w:style w:type="paragraph" w:styleId="29">
    <w:name w:val="Body Text First Indent"/>
    <w:basedOn w:val="10"/>
    <w:autoRedefine/>
    <w:qFormat/>
    <w:uiPriority w:val="0"/>
    <w:pPr>
      <w:ind w:firstLine="420" w:firstLineChars="100"/>
    </w:pPr>
  </w:style>
  <w:style w:type="paragraph" w:styleId="30">
    <w:name w:val="Body Text First Indent 2"/>
    <w:basedOn w:val="11"/>
    <w:next w:val="1"/>
    <w:autoRedefine/>
    <w:qFormat/>
    <w:uiPriority w:val="0"/>
    <w:pPr>
      <w:ind w:firstLine="420"/>
    </w:pPr>
  </w:style>
  <w:style w:type="table" w:styleId="32">
    <w:name w:val="Table Grid"/>
    <w:basedOn w:val="3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4">
    <w:name w:val="Strong"/>
    <w:basedOn w:val="33"/>
    <w:qFormat/>
    <w:uiPriority w:val="22"/>
    <w:rPr>
      <w:b/>
      <w:bCs/>
    </w:rPr>
  </w:style>
  <w:style w:type="character" w:styleId="35">
    <w:name w:val="Hyperlink"/>
    <w:basedOn w:val="33"/>
    <w:qFormat/>
    <w:uiPriority w:val="0"/>
    <w:rPr>
      <w:rFonts w:ascii="Times New Roman" w:hAnsi="Times New Roman" w:eastAsia="微软雅黑" w:cs="Times New Roman"/>
      <w:color w:val="0000FF"/>
      <w:u w:val="single"/>
    </w:rPr>
  </w:style>
  <w:style w:type="character" w:styleId="36">
    <w:name w:val="annotation reference"/>
    <w:basedOn w:val="33"/>
    <w:autoRedefine/>
    <w:qFormat/>
    <w:uiPriority w:val="0"/>
    <w:rPr>
      <w:sz w:val="21"/>
      <w:szCs w:val="21"/>
    </w:rPr>
  </w:style>
  <w:style w:type="paragraph" w:customStyle="1" w:styleId="3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8">
    <w:name w:val="Default"/>
    <w:basedOn w:val="27"/>
    <w:next w:val="39"/>
    <w:qFormat/>
    <w:uiPriority w:val="99"/>
    <w:pPr>
      <w:widowControl w:val="0"/>
      <w:autoSpaceDE w:val="0"/>
      <w:autoSpaceDN w:val="0"/>
      <w:adjustRightInd w:val="0"/>
    </w:pPr>
    <w:rPr>
      <w:rFonts w:ascii="宋体" w:hAnsi="Times New Roman" w:cs="宋体"/>
      <w:color w:val="000000"/>
      <w:sz w:val="24"/>
      <w:szCs w:val="24"/>
      <w:lang w:val="en-US" w:eastAsia="zh-CN" w:bidi="ar-SA"/>
    </w:rPr>
  </w:style>
  <w:style w:type="paragraph" w:customStyle="1" w:styleId="39">
    <w:name w:val="大标题"/>
    <w:basedOn w:val="1"/>
    <w:next w:val="30"/>
    <w:qFormat/>
    <w:uiPriority w:val="0"/>
    <w:pPr>
      <w:jc w:val="center"/>
    </w:pPr>
    <w:rPr>
      <w:rFonts w:ascii="Arial" w:hAnsi="Arial" w:eastAsia="宋体" w:cs="Times New Roman"/>
      <w:b/>
      <w:sz w:val="28"/>
      <w:szCs w:val="24"/>
    </w:rPr>
  </w:style>
  <w:style w:type="paragraph" w:customStyle="1" w:styleId="40">
    <w:name w:val="无间隔1"/>
    <w:next w:val="1"/>
    <w:qFormat/>
    <w:uiPriority w:val="1"/>
    <w:pPr>
      <w:widowControl w:val="0"/>
    </w:pPr>
    <w:rPr>
      <w:rFonts w:ascii="Calibri" w:hAnsi="Calibri" w:eastAsia="仿宋_GB2312" w:cs="Times New Roman"/>
      <w:kern w:val="2"/>
      <w:sz w:val="28"/>
      <w:szCs w:val="21"/>
      <w:lang w:val="en-US" w:eastAsia="zh-CN" w:bidi="ar-SA"/>
    </w:rPr>
  </w:style>
  <w:style w:type="character" w:customStyle="1" w:styleId="41">
    <w:name w:val="标题 1 Char"/>
    <w:link w:val="2"/>
    <w:autoRedefine/>
    <w:qFormat/>
    <w:uiPriority w:val="0"/>
    <w:rPr>
      <w:rFonts w:ascii="Calibri" w:hAnsi="Calibri" w:eastAsia="宋体" w:cs="Times New Roman"/>
      <w:kern w:val="44"/>
      <w:sz w:val="44"/>
      <w:szCs w:val="44"/>
    </w:rPr>
  </w:style>
  <w:style w:type="paragraph" w:customStyle="1" w:styleId="42">
    <w:name w:val="3）三级标题 与下段同页"/>
    <w:basedOn w:val="1"/>
    <w:autoRedefine/>
    <w:qFormat/>
    <w:uiPriority w:val="0"/>
    <w:pPr>
      <w:keepNext/>
      <w:spacing w:beforeLines="50" w:afterLines="50"/>
      <w:jc w:val="center"/>
      <w:outlineLvl w:val="2"/>
    </w:pPr>
    <w:rPr>
      <w:rFonts w:ascii="仿宋_GB2312" w:eastAsia="仿宋_GB2312"/>
      <w:b/>
      <w:sz w:val="32"/>
    </w:rPr>
  </w:style>
  <w:style w:type="character" w:customStyle="1" w:styleId="43">
    <w:name w:val="NormalCharacter"/>
    <w:link w:val="44"/>
    <w:qFormat/>
    <w:uiPriority w:val="0"/>
    <w:rPr>
      <w:rFonts w:ascii="Calibri" w:hAnsi="Calibri" w:eastAsia="宋体" w:cs="Times New Roman"/>
      <w:kern w:val="2"/>
      <w:sz w:val="21"/>
      <w:szCs w:val="24"/>
      <w:lang w:val="en-US" w:eastAsia="zh-CN" w:bidi="ar-SA"/>
    </w:rPr>
  </w:style>
  <w:style w:type="paragraph" w:customStyle="1" w:styleId="44">
    <w:name w:val="UserStyle_20"/>
    <w:basedOn w:val="1"/>
    <w:link w:val="43"/>
    <w:qFormat/>
    <w:uiPriority w:val="0"/>
    <w:pPr>
      <w:spacing w:after="160" w:line="240" w:lineRule="exact"/>
      <w:jc w:val="left"/>
    </w:pPr>
    <w:rPr>
      <w:rFonts w:ascii="Verdana" w:hAnsi="Verdana" w:eastAsia="仿宋_GB2312"/>
      <w:kern w:val="0"/>
      <w:sz w:val="24"/>
      <w:szCs w:val="20"/>
      <w:lang w:eastAsia="en-US"/>
    </w:rPr>
  </w:style>
  <w:style w:type="character" w:customStyle="1" w:styleId="45">
    <w:name w:val="UserStyle_3"/>
    <w:qFormat/>
    <w:uiPriority w:val="0"/>
    <w:rPr>
      <w:rFonts w:ascii="宋体" w:hAnsi="宋体" w:eastAsia="宋体"/>
      <w:b/>
      <w:sz w:val="32"/>
      <w:szCs w:val="32"/>
    </w:rPr>
  </w:style>
  <w:style w:type="paragraph" w:customStyle="1" w:styleId="46">
    <w:name w:val="正文_2_0"/>
    <w:basedOn w:val="47"/>
    <w:next w:val="72"/>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
    <w:name w:val="正文_2_1"/>
    <w:basedOn w:val="48"/>
    <w:next w:val="69"/>
    <w:qFormat/>
    <w:uiPriority w:val="0"/>
    <w:rPr>
      <w:szCs w:val="24"/>
    </w:rPr>
  </w:style>
  <w:style w:type="paragraph" w:customStyle="1" w:styleId="48">
    <w:name w:val="正文_3_0"/>
    <w:basedOn w:val="49"/>
    <w:next w:val="52"/>
    <w:autoRedefine/>
    <w:qFormat/>
    <w:uiPriority w:val="0"/>
  </w:style>
  <w:style w:type="paragraph" w:customStyle="1" w:styleId="49">
    <w:name w:val="Normal_0_0"/>
    <w:next w:val="5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0">
    <w:name w:val="Body Text_0"/>
    <w:basedOn w:val="51"/>
    <w:qFormat/>
    <w:uiPriority w:val="0"/>
    <w:pPr>
      <w:spacing w:after="120"/>
    </w:pPr>
  </w:style>
  <w:style w:type="paragraph" w:customStyle="1" w:styleId="51">
    <w:name w:val="Normal_1"/>
    <w:next w:val="5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2">
    <w:name w:val="正文缩进_0_0_1"/>
    <w:basedOn w:val="53"/>
    <w:qFormat/>
    <w:uiPriority w:val="0"/>
    <w:pPr>
      <w:ind w:firstLine="420" w:firstLineChars="200"/>
    </w:pPr>
  </w:style>
  <w:style w:type="paragraph" w:customStyle="1" w:styleId="53">
    <w:name w:val="正文_0_1_1"/>
    <w:basedOn w:val="54"/>
    <w:next w:val="66"/>
    <w:autoRedefine/>
    <w:qFormat/>
    <w:uiPriority w:val="0"/>
    <w:rPr>
      <w:rFonts w:eastAsia="Calibri"/>
    </w:rPr>
  </w:style>
  <w:style w:type="paragraph" w:customStyle="1" w:styleId="54">
    <w:name w:val="正文_3_1"/>
    <w:basedOn w:val="55"/>
    <w:next w:val="58"/>
    <w:qFormat/>
    <w:uiPriority w:val="0"/>
    <w:rPr>
      <w:rFonts w:ascii="Calibri" w:hAnsi="Calibri"/>
      <w:sz w:val="21"/>
      <w:szCs w:val="22"/>
    </w:rPr>
  </w:style>
  <w:style w:type="paragraph" w:customStyle="1" w:styleId="55">
    <w:name w:val="Normal_0_1"/>
    <w:basedOn w:val="56"/>
    <w:qFormat/>
    <w:uiPriority w:val="0"/>
    <w:rPr>
      <w:rFonts w:ascii="黑体" w:hAnsi="黑体" w:eastAsia="黑体"/>
      <w:b/>
      <w:sz w:val="32"/>
      <w:szCs w:val="24"/>
    </w:rPr>
  </w:style>
  <w:style w:type="paragraph" w:customStyle="1" w:styleId="56">
    <w:name w:val="Normal_2"/>
    <w:next w:val="5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7">
    <w:name w:val="Body Text_1"/>
    <w:basedOn w:val="56"/>
    <w:qFormat/>
    <w:uiPriority w:val="0"/>
    <w:pPr>
      <w:spacing w:after="120"/>
    </w:pPr>
  </w:style>
  <w:style w:type="paragraph" w:customStyle="1" w:styleId="58">
    <w:name w:val="正文缩进_0_0_0"/>
    <w:basedOn w:val="59"/>
    <w:qFormat/>
    <w:uiPriority w:val="0"/>
    <w:pPr>
      <w:ind w:firstLine="420" w:firstLineChars="200"/>
    </w:pPr>
  </w:style>
  <w:style w:type="paragraph" w:customStyle="1" w:styleId="59">
    <w:name w:val="正文_0_1_0"/>
    <w:basedOn w:val="60"/>
    <w:next w:val="61"/>
    <w:autoRedefine/>
    <w:qFormat/>
    <w:uiPriority w:val="0"/>
    <w:rPr>
      <w:rFonts w:eastAsia="Calibri"/>
    </w:rPr>
  </w:style>
  <w:style w:type="paragraph" w:customStyle="1" w:styleId="60">
    <w:name w:val="正文_1_1"/>
    <w:next w:val="6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脚注文本_0"/>
    <w:basedOn w:val="62"/>
    <w:next w:val="64"/>
    <w:qFormat/>
    <w:uiPriority w:val="99"/>
    <w:pPr>
      <w:snapToGrid w:val="0"/>
      <w:jc w:val="left"/>
    </w:pPr>
    <w:rPr>
      <w:rFonts w:ascii="Calibri" w:hAnsi="Calibri" w:eastAsia="Calibri"/>
      <w:sz w:val="18"/>
    </w:rPr>
  </w:style>
  <w:style w:type="paragraph" w:customStyle="1" w:styleId="62">
    <w:name w:val="正文_0_2"/>
    <w:next w:val="6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页脚_0_0"/>
    <w:basedOn w:val="62"/>
    <w:autoRedefine/>
    <w:qFormat/>
    <w:uiPriority w:val="99"/>
    <w:pPr>
      <w:tabs>
        <w:tab w:val="center" w:pos="4153"/>
        <w:tab w:val="right" w:pos="8306"/>
      </w:tabs>
      <w:snapToGrid w:val="0"/>
      <w:jc w:val="left"/>
    </w:pPr>
    <w:rPr>
      <w:sz w:val="18"/>
      <w:szCs w:val="18"/>
    </w:rPr>
  </w:style>
  <w:style w:type="paragraph" w:customStyle="1" w:styleId="64">
    <w:name w:val="正文_2"/>
    <w:next w:val="6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正文文本_0"/>
    <w:basedOn w:val="46"/>
    <w:qFormat/>
    <w:uiPriority w:val="0"/>
  </w:style>
  <w:style w:type="paragraph" w:customStyle="1" w:styleId="66">
    <w:name w:val="脚注文本1"/>
    <w:basedOn w:val="67"/>
    <w:next w:val="68"/>
    <w:qFormat/>
    <w:uiPriority w:val="0"/>
    <w:pPr>
      <w:snapToGrid w:val="0"/>
      <w:jc w:val="left"/>
    </w:pPr>
    <w:rPr>
      <w:kern w:val="0"/>
      <w:sz w:val="18"/>
      <w:szCs w:val="18"/>
    </w:rPr>
  </w:style>
  <w:style w:type="paragraph" w:customStyle="1" w:styleId="67">
    <w:name w:val="正文_1_0"/>
    <w:next w:val="66"/>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68">
    <w:name w:val="索引 51"/>
    <w:basedOn w:val="67"/>
    <w:next w:val="67"/>
    <w:qFormat/>
    <w:uiPriority w:val="99"/>
    <w:pPr>
      <w:ind w:left="1680"/>
    </w:pPr>
  </w:style>
  <w:style w:type="paragraph" w:customStyle="1" w:styleId="69">
    <w:name w:val="No Spacing_0"/>
    <w:basedOn w:val="70"/>
    <w:qFormat/>
    <w:uiPriority w:val="1"/>
  </w:style>
  <w:style w:type="paragraph" w:customStyle="1" w:styleId="70">
    <w:name w:val="正文_5"/>
    <w:basedOn w:val="64"/>
    <w:next w:val="71"/>
    <w:qFormat/>
    <w:uiPriority w:val="0"/>
    <w:rPr>
      <w:rFonts w:ascii="Calibri" w:hAnsi="Calibri"/>
      <w:szCs w:val="22"/>
    </w:rPr>
  </w:style>
  <w:style w:type="paragraph" w:customStyle="1" w:styleId="71">
    <w:name w:val="段_0"/>
    <w:next w:val="70"/>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72">
    <w:name w:val="正文1_0"/>
    <w:basedOn w:val="73"/>
    <w:qFormat/>
    <w:uiPriority w:val="0"/>
    <w:pPr>
      <w:widowControl/>
      <w:spacing w:before="120" w:after="120"/>
      <w:ind w:firstLine="200" w:firstLineChars="200"/>
      <w:jc w:val="left"/>
    </w:pPr>
    <w:rPr>
      <w:rFonts w:ascii="Times New Roman" w:hAnsi="Times New Roman" w:eastAsia="Adobe 仿宋 Std R"/>
    </w:rPr>
  </w:style>
  <w:style w:type="paragraph" w:customStyle="1" w:styleId="73">
    <w:name w:val="正文_3"/>
    <w:basedOn w:val="74"/>
    <w:next w:val="76"/>
    <w:qFormat/>
    <w:uiPriority w:val="0"/>
  </w:style>
  <w:style w:type="paragraph" w:customStyle="1" w:styleId="74">
    <w:name w:val="Normal_0"/>
    <w:basedOn w:val="75"/>
    <w:next w:val="30"/>
    <w:autoRedefine/>
    <w:qFormat/>
    <w:uiPriority w:val="0"/>
    <w:rPr>
      <w:rFonts w:ascii="Calibri" w:hAnsi="Calibri"/>
      <w:sz w:val="21"/>
    </w:rPr>
  </w:style>
  <w:style w:type="paragraph" w:customStyle="1" w:styleId="75">
    <w:name w:val="正文1"/>
    <w:next w:val="30"/>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76">
    <w:name w:val="正文缩进_0_0"/>
    <w:basedOn w:val="77"/>
    <w:qFormat/>
    <w:uiPriority w:val="0"/>
    <w:pPr>
      <w:ind w:firstLine="420" w:firstLineChars="200"/>
    </w:pPr>
  </w:style>
  <w:style w:type="paragraph" w:customStyle="1" w:styleId="77">
    <w:name w:val="正文_2_0_0"/>
    <w:basedOn w:val="78"/>
    <w:next w:val="82"/>
    <w:autoRedefine/>
    <w:qFormat/>
    <w:uiPriority w:val="0"/>
    <w:rPr>
      <w:rFonts w:cs="Calibri"/>
      <w:szCs w:val="21"/>
    </w:rPr>
  </w:style>
  <w:style w:type="paragraph" w:customStyle="1" w:styleId="78">
    <w:name w:val="正文_3_0_0"/>
    <w:basedOn w:val="79"/>
    <w:next w:val="80"/>
    <w:qFormat/>
    <w:uiPriority w:val="0"/>
    <w:rPr>
      <w:rFonts w:ascii="Calibri" w:hAnsi="Calibri"/>
    </w:rPr>
  </w:style>
  <w:style w:type="paragraph" w:customStyle="1" w:styleId="79">
    <w:name w:val="Normal_0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0">
    <w:name w:val="正文文本_1_0_0"/>
    <w:basedOn w:val="81"/>
    <w:qFormat/>
    <w:uiPriority w:val="0"/>
    <w:pPr>
      <w:spacing w:after="120"/>
    </w:pPr>
  </w:style>
  <w:style w:type="paragraph" w:customStyle="1" w:styleId="81">
    <w:name w:val="正文_2_0_0_0_0"/>
    <w:next w:val="8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2">
    <w:name w:val="正文首行缩进 2_4"/>
    <w:basedOn w:val="83"/>
    <w:qFormat/>
    <w:uiPriority w:val="99"/>
    <w:pPr>
      <w:ind w:firstLine="420" w:firstLineChars="200"/>
    </w:pPr>
  </w:style>
  <w:style w:type="paragraph" w:customStyle="1" w:styleId="83">
    <w:name w:val="正文文本缩进_5"/>
    <w:basedOn w:val="84"/>
    <w:qFormat/>
    <w:uiPriority w:val="0"/>
    <w:pPr>
      <w:spacing w:line="500" w:lineRule="exact"/>
      <w:ind w:left="1588" w:leftChars="832" w:firstLine="433" w:firstLineChars="196"/>
    </w:pPr>
    <w:rPr>
      <w:kern w:val="0"/>
      <w:sz w:val="24"/>
    </w:rPr>
  </w:style>
  <w:style w:type="paragraph" w:customStyle="1" w:styleId="84">
    <w:name w:val="正文_2_0_0_0"/>
    <w:next w:val="8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5">
    <w:name w:val="4正文"/>
    <w:basedOn w:val="1"/>
    <w:autoRedefine/>
    <w:qFormat/>
    <w:uiPriority w:val="0"/>
    <w:pPr>
      <w:snapToGrid w:val="0"/>
      <w:spacing w:line="360" w:lineRule="auto"/>
      <w:ind w:firstLine="480" w:firstLineChars="200"/>
    </w:pPr>
    <w:rPr>
      <w:rFonts w:eastAsia="仿宋"/>
      <w:sz w:val="24"/>
    </w:rPr>
  </w:style>
  <w:style w:type="paragraph" w:customStyle="1" w:styleId="86">
    <w:name w:val="首行缩进:  0.85 厘米"/>
    <w:basedOn w:val="1"/>
    <w:qFormat/>
    <w:uiPriority w:val="0"/>
    <w:pPr>
      <w:widowControl/>
      <w:spacing w:after="100" w:line="360" w:lineRule="auto"/>
      <w:ind w:firstLine="482"/>
      <w:jc w:val="left"/>
    </w:pPr>
    <w:rPr>
      <w:kern w:val="0"/>
      <w:sz w:val="24"/>
      <w:lang w:eastAsia="en-US"/>
    </w:rPr>
  </w:style>
  <w:style w:type="paragraph" w:customStyle="1" w:styleId="87">
    <w:name w:val="Table Paragraph"/>
    <w:basedOn w:val="1"/>
    <w:qFormat/>
    <w:uiPriority w:val="1"/>
    <w:rPr>
      <w:sz w:val="24"/>
    </w:rPr>
  </w:style>
  <w:style w:type="paragraph" w:customStyle="1" w:styleId="88">
    <w:name w:val="列出段落1"/>
    <w:basedOn w:val="1"/>
    <w:qFormat/>
    <w:uiPriority w:val="0"/>
    <w:pPr>
      <w:spacing w:line="360" w:lineRule="auto"/>
      <w:ind w:firstLine="420" w:firstLineChars="200"/>
    </w:pPr>
    <w:rPr>
      <w:rFonts w:ascii="等线" w:hAnsi="等线"/>
      <w:szCs w:val="22"/>
    </w:rPr>
  </w:style>
  <w:style w:type="paragraph" w:customStyle="1" w:styleId="89">
    <w:name w:val="样式 正文缩进 + 首行缩进:  2 字符"/>
    <w:basedOn w:val="6"/>
    <w:autoRedefine/>
    <w:qFormat/>
    <w:uiPriority w:val="0"/>
    <w:pPr>
      <w:spacing w:line="360" w:lineRule="auto"/>
      <w:ind w:firstLine="200"/>
    </w:pPr>
    <w:rPr>
      <w:rFonts w:cs="宋体"/>
      <w:sz w:val="24"/>
      <w:szCs w:val="20"/>
    </w:rPr>
  </w:style>
  <w:style w:type="paragraph" w:customStyle="1" w:styleId="90">
    <w:name w:val="WPS Plain"/>
    <w:basedOn w:val="1"/>
    <w:qFormat/>
    <w:uiPriority w:val="0"/>
    <w:pPr>
      <w:widowControl/>
      <w:jc w:val="left"/>
    </w:pPr>
    <w:rPr>
      <w:rFonts w:ascii="Times New Roman"/>
      <w:sz w:val="24"/>
    </w:rPr>
  </w:style>
  <w:style w:type="paragraph" w:customStyle="1" w:styleId="91">
    <w:name w:val="普通(网站)1"/>
    <w:basedOn w:val="1"/>
    <w:qFormat/>
    <w:uiPriority w:val="0"/>
    <w:pPr>
      <w:jc w:val="left"/>
    </w:pPr>
    <w:rPr>
      <w:kern w:val="0"/>
      <w:sz w:val="24"/>
    </w:rPr>
  </w:style>
  <w:style w:type="paragraph" w:customStyle="1" w:styleId="92">
    <w:name w:val="Body text|1"/>
    <w:basedOn w:val="1"/>
    <w:qFormat/>
    <w:uiPriority w:val="0"/>
    <w:pPr>
      <w:spacing w:line="290" w:lineRule="auto"/>
      <w:ind w:firstLine="400"/>
    </w:pPr>
    <w:rPr>
      <w:rFonts w:ascii="宋体" w:hAnsi="宋体" w:cs="宋体"/>
      <w:sz w:val="22"/>
      <w:szCs w:val="22"/>
      <w:lang w:val="zh-CN" w:bidi="zh-CN"/>
    </w:rPr>
  </w:style>
  <w:style w:type="paragraph" w:customStyle="1" w:styleId="93">
    <w:name w:val="纯文本1"/>
    <w:basedOn w:val="1"/>
    <w:qFormat/>
    <w:uiPriority w:val="0"/>
    <w:rPr>
      <w:rFonts w:ascii="宋体" w:hAnsi="Courier New"/>
      <w:szCs w:val="22"/>
    </w:rPr>
  </w:style>
  <w:style w:type="paragraph" w:customStyle="1" w:styleId="94">
    <w:name w:val="List Paragraph_bec9d0d3-48c0-408b-9551-1be35552bd90"/>
    <w:basedOn w:val="1"/>
    <w:autoRedefine/>
    <w:qFormat/>
    <w:uiPriority w:val="99"/>
    <w:pPr>
      <w:ind w:firstLine="420" w:firstLineChars="200"/>
    </w:pPr>
  </w:style>
  <w:style w:type="character" w:customStyle="1" w:styleId="95">
    <w:name w:val="批注框文本 Char"/>
    <w:basedOn w:val="33"/>
    <w:link w:val="14"/>
    <w:autoRedefine/>
    <w:qFormat/>
    <w:uiPriority w:val="0"/>
    <w:rPr>
      <w:rFonts w:ascii="Calibri" w:hAnsi="Calibri"/>
      <w:kern w:val="2"/>
      <w:sz w:val="18"/>
      <w:szCs w:val="18"/>
    </w:rPr>
  </w:style>
  <w:style w:type="character" w:customStyle="1" w:styleId="96">
    <w:name w:val="批注文字 Char"/>
    <w:basedOn w:val="33"/>
    <w:link w:val="9"/>
    <w:autoRedefine/>
    <w:qFormat/>
    <w:uiPriority w:val="0"/>
    <w:rPr>
      <w:rFonts w:ascii="Calibri" w:hAnsi="Calibri"/>
      <w:kern w:val="2"/>
      <w:sz w:val="21"/>
      <w:szCs w:val="24"/>
    </w:rPr>
  </w:style>
  <w:style w:type="character" w:customStyle="1" w:styleId="97">
    <w:name w:val="批注主题 Char"/>
    <w:basedOn w:val="96"/>
    <w:link w:val="28"/>
    <w:qFormat/>
    <w:uiPriority w:val="0"/>
    <w:rPr>
      <w:rFonts w:ascii="Calibri" w:hAnsi="Calibri"/>
      <w:b/>
      <w:bCs/>
      <w:kern w:val="2"/>
      <w:sz w:val="21"/>
      <w:szCs w:val="24"/>
    </w:rPr>
  </w:style>
  <w:style w:type="paragraph" w:customStyle="1" w:styleId="98">
    <w:name w:val="普通(网站)2"/>
    <w:basedOn w:val="1"/>
    <w:autoRedefine/>
    <w:qFormat/>
    <w:uiPriority w:val="0"/>
    <w:pPr>
      <w:jc w:val="left"/>
    </w:pPr>
    <w:rPr>
      <w:rFonts w:ascii="Times New Roman" w:hAnsi="Times New Roman"/>
      <w:kern w:val="0"/>
      <w:sz w:val="24"/>
    </w:rPr>
  </w:style>
  <w:style w:type="paragraph" w:customStyle="1" w:styleId="99">
    <w:name w:val="普通(网站)3"/>
    <w:basedOn w:val="1"/>
    <w:qFormat/>
    <w:uiPriority w:val="0"/>
    <w:pPr>
      <w:jc w:val="left"/>
    </w:pPr>
    <w:rPr>
      <w:kern w:val="0"/>
      <w:sz w:val="24"/>
    </w:rPr>
  </w:style>
  <w:style w:type="paragraph" w:customStyle="1" w:styleId="100">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01">
    <w:name w:val="题注5"/>
    <w:basedOn w:val="1"/>
    <w:next w:val="7"/>
    <w:qFormat/>
    <w:uiPriority w:val="0"/>
    <w:pPr>
      <w:numPr>
        <w:ilvl w:val="1"/>
        <w:numId w:val="3"/>
      </w:numPr>
      <w:tabs>
        <w:tab w:val="left" w:pos="0"/>
        <w:tab w:val="left" w:pos="720"/>
      </w:tabs>
      <w:spacing w:line="360" w:lineRule="auto"/>
      <w:ind w:left="720" w:hanging="720"/>
    </w:pPr>
    <w:rPr>
      <w:b/>
      <w:color w:val="000000"/>
      <w:sz w:val="28"/>
      <w:szCs w:val="28"/>
    </w:rPr>
  </w:style>
  <w:style w:type="character" w:customStyle="1" w:styleId="102">
    <w:name w:val="ft7"/>
    <w:basedOn w:val="33"/>
    <w:autoRedefine/>
    <w:qFormat/>
    <w:uiPriority w:val="0"/>
  </w:style>
  <w:style w:type="character" w:customStyle="1" w:styleId="103">
    <w:name w:val="ft35"/>
    <w:basedOn w:val="33"/>
    <w:qFormat/>
    <w:uiPriority w:val="0"/>
  </w:style>
  <w:style w:type="paragraph" w:customStyle="1" w:styleId="104">
    <w:name w:val="Default Text"/>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105">
    <w:name w:val="HTML 预先格式化"/>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paragraph" w:customStyle="1" w:styleId="106">
    <w:name w:val="p0"/>
    <w:basedOn w:val="1"/>
    <w:qFormat/>
    <w:uiPriority w:val="0"/>
    <w:pPr>
      <w:widowControl/>
    </w:pPr>
    <w:rPr>
      <w:rFonts w:ascii="Times New Roman" w:hAnsi="Times New Roman" w:eastAsia="宋体" w:cs="Times New Roman"/>
      <w:kern w:val="0"/>
      <w:szCs w:val="21"/>
    </w:rPr>
  </w:style>
  <w:style w:type="paragraph" w:customStyle="1" w:styleId="107">
    <w:name w:val="样式2"/>
    <w:basedOn w:val="1"/>
    <w:qFormat/>
    <w:uiPriority w:val="0"/>
    <w:pPr>
      <w:spacing w:before="120" w:after="120"/>
    </w:pPr>
  </w:style>
  <w:style w:type="paragraph" w:customStyle="1" w:styleId="108">
    <w:name w:val="样式 微软雅黑 小四 行距: 固定值 22 磅 首行缩进:  2 字符"/>
    <w:basedOn w:val="1"/>
    <w:autoRedefine/>
    <w:qFormat/>
    <w:uiPriority w:val="0"/>
    <w:pPr>
      <w:spacing w:line="440" w:lineRule="exact"/>
      <w:jc w:val="both"/>
    </w:pPr>
    <w:rPr>
      <w:rFonts w:eastAsia="微软雅黑"/>
      <w:sz w:val="24"/>
      <w:szCs w:val="20"/>
    </w:rPr>
  </w:style>
  <w:style w:type="paragraph" w:customStyle="1" w:styleId="109">
    <w:name w:val="正文_1"/>
    <w:qFormat/>
    <w:uiPriority w:val="0"/>
    <w:pPr>
      <w:widowControl w:val="0"/>
      <w:jc w:val="both"/>
    </w:pPr>
    <w:rPr>
      <w:rFonts w:ascii="Calibri" w:hAnsi="Calibri" w:eastAsia="宋体" w:cs="Times New Roman"/>
      <w:kern w:val="2"/>
      <w:sz w:val="21"/>
      <w:szCs w:val="24"/>
      <w:lang w:val="en-US" w:eastAsia="zh-CN" w:bidi="ar-SA"/>
    </w:rPr>
  </w:style>
  <w:style w:type="paragraph" w:customStyle="1" w:styleId="110">
    <w:name w:val="Normal (Web)_da840081-6722-4a06-8bb9-a1081cc0db29"/>
    <w:basedOn w:val="1"/>
    <w:autoRedefine/>
    <w:qFormat/>
    <w:uiPriority w:val="0"/>
    <w:pPr>
      <w:spacing w:before="0" w:beforeAutospacing="0" w:after="0" w:afterAutospacing="0"/>
      <w:ind w:left="0" w:right="0"/>
      <w:jc w:val="left"/>
    </w:pPr>
    <w:rPr>
      <w:kern w:val="0"/>
      <w:sz w:val="24"/>
      <w:lang w:val="en-US" w:eastAsia="zh-CN"/>
    </w:rPr>
  </w:style>
  <w:style w:type="table" w:customStyle="1" w:styleId="111">
    <w:name w:val="Table Normal"/>
    <w:qFormat/>
    <w:uiPriority w:val="0"/>
    <w:tblPr>
      <w:tblCellMar>
        <w:top w:w="0" w:type="dxa"/>
        <w:left w:w="0" w:type="dxa"/>
        <w:bottom w:w="0" w:type="dxa"/>
        <w:right w:w="0" w:type="dxa"/>
      </w:tblCellMar>
    </w:tblPr>
  </w:style>
  <w:style w:type="paragraph" w:customStyle="1" w:styleId="112">
    <w:name w:val="Table Text"/>
    <w:basedOn w:val="1"/>
    <w:qFormat/>
    <w:uiPriority w:val="0"/>
    <w:rPr>
      <w:rFonts w:ascii="Arial" w:hAnsi="Arial" w:eastAsia="Arial" w:cs="Arial"/>
      <w:sz w:val="24"/>
      <w:szCs w:val="24"/>
      <w:lang w:val="en-US" w:eastAsia="en-US" w:bidi="ar-SA"/>
    </w:rPr>
  </w:style>
  <w:style w:type="paragraph" w:customStyle="1" w:styleId="113">
    <w:name w:val="表格"/>
    <w:basedOn w:val="1"/>
    <w:autoRedefine/>
    <w:qFormat/>
    <w:uiPriority w:val="0"/>
    <w:pPr>
      <w:spacing w:line="400" w:lineRule="exact"/>
    </w:pPr>
    <w:rPr>
      <w:rFonts w:ascii="Times New Roman" w:hAnsi="Times New Roman" w:eastAsia="宋体" w:cs="Times New Roman"/>
      <w:sz w:val="24"/>
    </w:rPr>
  </w:style>
  <w:style w:type="character" w:customStyle="1" w:styleId="114">
    <w:name w:val="font31"/>
    <w:basedOn w:val="33"/>
    <w:qFormat/>
    <w:uiPriority w:val="0"/>
    <w:rPr>
      <w:rFonts w:hint="eastAsia" w:ascii="宋体" w:hAnsi="宋体" w:eastAsia="宋体" w:cs="宋体"/>
      <w:color w:val="000000"/>
      <w:sz w:val="24"/>
      <w:szCs w:val="24"/>
      <w:u w:val="none"/>
    </w:rPr>
  </w:style>
  <w:style w:type="character" w:customStyle="1" w:styleId="115">
    <w:name w:val="font41"/>
    <w:basedOn w:val="33"/>
    <w:autoRedefine/>
    <w:qFormat/>
    <w:uiPriority w:val="0"/>
    <w:rPr>
      <w:rFonts w:hint="eastAsia" w:ascii="宋体" w:hAnsi="宋体" w:eastAsia="宋体" w:cs="宋体"/>
      <w:color w:val="000000"/>
      <w:sz w:val="24"/>
      <w:szCs w:val="24"/>
      <w:u w:val="none"/>
    </w:rPr>
  </w:style>
  <w:style w:type="character" w:customStyle="1" w:styleId="116">
    <w:name w:val="font61"/>
    <w:basedOn w:val="33"/>
    <w:qFormat/>
    <w:uiPriority w:val="0"/>
    <w:rPr>
      <w:rFonts w:hint="eastAsia" w:ascii="宋体" w:hAnsi="宋体" w:eastAsia="宋体" w:cs="宋体"/>
      <w:color w:val="000000"/>
      <w:sz w:val="24"/>
      <w:szCs w:val="24"/>
      <w:u w:val="none"/>
    </w:rPr>
  </w:style>
  <w:style w:type="paragraph" w:customStyle="1" w:styleId="117">
    <w:name w:val="Other|1"/>
    <w:basedOn w:val="1"/>
    <w:qFormat/>
    <w:uiPriority w:val="0"/>
    <w:pPr>
      <w:jc w:val="center"/>
    </w:pPr>
    <w:rPr>
      <w:rFonts w:ascii="宋体" w:hAnsi="宋体" w:eastAsia="宋体" w:cs="宋体"/>
      <w:sz w:val="16"/>
      <w:szCs w:val="16"/>
      <w:lang w:val="zh-TW" w:eastAsia="zh-TW" w:bidi="zh-TW"/>
    </w:rPr>
  </w:style>
  <w:style w:type="paragraph" w:customStyle="1" w:styleId="118">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19">
    <w:name w:val="List Paragraph"/>
    <w:basedOn w:val="1"/>
    <w:qFormat/>
    <w:uiPriority w:val="34"/>
    <w:pPr>
      <w:ind w:firstLine="420" w:firstLineChars="200"/>
    </w:pPr>
  </w:style>
  <w:style w:type="paragraph" w:customStyle="1" w:styleId="120">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121">
    <w:name w:val="_Style 2"/>
    <w:qFormat/>
    <w:uiPriority w:val="1"/>
    <w:pPr>
      <w:adjustRightInd w:val="0"/>
      <w:snapToGrid w:val="0"/>
    </w:pPr>
    <w:rPr>
      <w:rFonts w:ascii="Tahoma" w:hAnsi="Tahoma" w:eastAsia="宋体" w:cs="Times New Roman"/>
      <w:sz w:val="22"/>
      <w:szCs w:val="22"/>
      <w:lang w:val="en-US" w:eastAsia="zh-CN" w:bidi="ar-SA"/>
    </w:rPr>
  </w:style>
  <w:style w:type="paragraph" w:customStyle="1" w:styleId="122">
    <w:name w:val="Heading #1|1"/>
    <w:basedOn w:val="1"/>
    <w:autoRedefine/>
    <w:qFormat/>
    <w:uiPriority w:val="0"/>
    <w:pPr>
      <w:spacing w:after="280"/>
      <w:jc w:val="center"/>
      <w:outlineLvl w:val="0"/>
    </w:pPr>
    <w:rPr>
      <w:rFonts w:ascii="宋体" w:hAnsi="宋体" w:eastAsia="宋体" w:cs="宋体"/>
      <w:sz w:val="30"/>
      <w:szCs w:val="30"/>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73</Pages>
  <Words>16465</Words>
  <Characters>17436</Characters>
  <Paragraphs>2044</Paragraphs>
  <TotalTime>7</TotalTime>
  <ScaleCrop>false</ScaleCrop>
  <LinksUpToDate>false</LinksUpToDate>
  <CharactersWithSpaces>19393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2023-02-26T09:34:00Z</dcterms:created>
  <dc:creator>lenovo</dc:creator>
  <cp:lastModifiedBy>Admin</cp:lastModifiedBy>
  <cp:lastPrinted>2025-03-18T13:12:00Z</cp:lastPrinted>
  <dcterms:modified xsi:type="dcterms:W3CDTF">2025-04-03T02:27:33Z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3FE902F17B5F49CCAADA04551AC9421F_13</vt:lpwstr>
  </property>
  <property fmtid="{D5CDD505-2E9C-101B-9397-08002B2CF9AE}" pid="4" name="KSOTemplateDocerSaveRecord">
    <vt:lpwstr>eyJoZGlkIjoiMDg3ZjgxM2NkNDc4ZDNmMTE0NThhY2RjZTc2ZDViZDkifQ==</vt:lpwstr>
  </property>
</Properties>
</file>