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360" w:lineRule="auto"/>
        <w:jc w:val="center"/>
        <w:textAlignment w:val="baseline"/>
        <w:rPr>
          <w:rFonts w:ascii="宋体" w:hAnsi="宋体"/>
          <w:b/>
          <w:sz w:val="24"/>
        </w:rPr>
      </w:pPr>
    </w:p>
    <w:p>
      <w:pPr>
        <w:adjustRightInd w:val="0"/>
        <w:spacing w:line="360" w:lineRule="auto"/>
        <w:jc w:val="center"/>
        <w:textAlignment w:val="baseline"/>
        <w:rPr>
          <w:rFonts w:ascii="宋体" w:hAnsi="宋体"/>
          <w:b/>
          <w:sz w:val="24"/>
        </w:rPr>
      </w:pPr>
    </w:p>
    <w:p>
      <w:pPr>
        <w:adjustRightInd w:val="0"/>
        <w:spacing w:line="360" w:lineRule="auto"/>
        <w:jc w:val="center"/>
        <w:textAlignment w:val="baseline"/>
        <w:rPr>
          <w:rFonts w:ascii="宋体" w:hAnsi="宋体"/>
          <w:b/>
          <w:sz w:val="24"/>
        </w:rPr>
      </w:pPr>
    </w:p>
    <w:p>
      <w:pPr>
        <w:adjustRightInd w:val="0"/>
        <w:spacing w:line="360" w:lineRule="auto"/>
        <w:jc w:val="center"/>
        <w:textAlignment w:val="baseline"/>
        <w:rPr>
          <w:rFonts w:ascii="宋体" w:hAnsi="宋体"/>
          <w:b/>
          <w:sz w:val="24"/>
        </w:rPr>
      </w:pPr>
    </w:p>
    <w:p>
      <w:pPr>
        <w:adjustRightInd w:val="0"/>
        <w:spacing w:line="360" w:lineRule="auto"/>
        <w:jc w:val="center"/>
        <w:textAlignment w:val="baseline"/>
        <w:rPr>
          <w:rFonts w:ascii="宋体" w:hAnsi="宋体"/>
          <w:b/>
          <w:sz w:val="24"/>
        </w:rPr>
      </w:pPr>
    </w:p>
    <w:p>
      <w:pPr>
        <w:adjustRightInd w:val="0"/>
        <w:spacing w:line="360" w:lineRule="auto"/>
        <w:jc w:val="center"/>
        <w:textAlignment w:val="baseline"/>
        <w:rPr>
          <w:rFonts w:ascii="宋体" w:hAnsi="宋体"/>
          <w:sz w:val="24"/>
        </w:rPr>
      </w:pPr>
    </w:p>
    <w:p>
      <w:pPr>
        <w:adjustRightInd w:val="0"/>
        <w:spacing w:line="360" w:lineRule="auto"/>
        <w:jc w:val="center"/>
        <w:textAlignment w:val="baseline"/>
        <w:rPr>
          <w:rFonts w:ascii="宋体" w:hAnsi="宋体"/>
          <w:sz w:val="24"/>
        </w:rPr>
      </w:pPr>
    </w:p>
    <w:p>
      <w:pPr>
        <w:pStyle w:val="32"/>
        <w:spacing w:before="0" w:after="0" w:line="360" w:lineRule="auto"/>
        <w:rPr>
          <w:rFonts w:ascii="宋体" w:hAnsi="宋体"/>
          <w:sz w:val="96"/>
          <w:szCs w:val="96"/>
        </w:rPr>
      </w:pPr>
      <w:bookmarkStart w:id="0" w:name="_Toc449568588"/>
      <w:r>
        <w:rPr>
          <w:rFonts w:hint="eastAsia" w:ascii="宋体" w:hAnsi="宋体"/>
          <w:sz w:val="96"/>
          <w:szCs w:val="96"/>
        </w:rPr>
        <w:t>竞争性磋商文件</w:t>
      </w:r>
      <w:bookmarkEnd w:id="0"/>
    </w:p>
    <w:p>
      <w:pPr>
        <w:pStyle w:val="32"/>
        <w:spacing w:line="360" w:lineRule="auto"/>
        <w:rPr>
          <w:rFonts w:ascii="宋体" w:hAnsi="宋体"/>
          <w:sz w:val="24"/>
          <w:szCs w:val="24"/>
        </w:rPr>
      </w:pPr>
    </w:p>
    <w:p>
      <w:pPr>
        <w:adjustRightInd w:val="0"/>
        <w:spacing w:line="360" w:lineRule="auto"/>
        <w:jc w:val="center"/>
        <w:textAlignment w:val="baseline"/>
        <w:rPr>
          <w:rFonts w:ascii="宋体" w:hAnsi="宋体"/>
          <w:sz w:val="24"/>
        </w:rPr>
      </w:pPr>
    </w:p>
    <w:p>
      <w:pPr>
        <w:adjustRightInd w:val="0"/>
        <w:spacing w:line="360" w:lineRule="auto"/>
        <w:jc w:val="center"/>
        <w:textAlignment w:val="baseline"/>
        <w:rPr>
          <w:rFonts w:ascii="宋体" w:hAnsi="宋体"/>
          <w:sz w:val="24"/>
        </w:rPr>
      </w:pPr>
    </w:p>
    <w:p>
      <w:pPr>
        <w:adjustRightInd w:val="0"/>
        <w:spacing w:line="360" w:lineRule="auto"/>
        <w:jc w:val="center"/>
        <w:textAlignment w:val="baseline"/>
        <w:rPr>
          <w:rFonts w:ascii="宋体" w:hAnsi="宋体"/>
          <w:sz w:val="24"/>
        </w:rPr>
      </w:pPr>
    </w:p>
    <w:p>
      <w:pPr>
        <w:adjustRightInd w:val="0"/>
        <w:spacing w:line="360" w:lineRule="auto"/>
        <w:jc w:val="center"/>
        <w:textAlignment w:val="baseline"/>
        <w:rPr>
          <w:rFonts w:ascii="宋体" w:hAnsi="宋体"/>
          <w:sz w:val="24"/>
        </w:rPr>
      </w:pPr>
    </w:p>
    <w:p>
      <w:pPr>
        <w:adjustRightInd w:val="0"/>
        <w:spacing w:line="360" w:lineRule="auto"/>
        <w:jc w:val="center"/>
        <w:textAlignment w:val="baseline"/>
        <w:rPr>
          <w:rFonts w:ascii="宋体" w:hAnsi="宋体"/>
          <w:sz w:val="24"/>
        </w:rPr>
      </w:pPr>
    </w:p>
    <w:p>
      <w:pPr>
        <w:adjustRightInd w:val="0"/>
        <w:spacing w:line="360" w:lineRule="auto"/>
        <w:jc w:val="center"/>
        <w:textAlignment w:val="baseline"/>
        <w:rPr>
          <w:rFonts w:ascii="宋体" w:hAnsi="宋体"/>
          <w:sz w:val="24"/>
        </w:rPr>
      </w:pPr>
    </w:p>
    <w:p>
      <w:pPr>
        <w:spacing w:line="360" w:lineRule="auto"/>
        <w:ind w:left="3355" w:leftChars="528" w:hanging="2246" w:hangingChars="699"/>
        <w:rPr>
          <w:rFonts w:hint="eastAsia" w:ascii="宋体" w:hAnsi="宋体" w:eastAsia="宋体" w:cs="Arial"/>
          <w:b/>
          <w:kern w:val="0"/>
          <w:sz w:val="32"/>
          <w:szCs w:val="32"/>
          <w:lang w:eastAsia="zh-CN"/>
        </w:rPr>
      </w:pPr>
      <w:r>
        <w:rPr>
          <w:rFonts w:hint="eastAsia" w:ascii="宋体" w:hAnsi="宋体" w:cs="Arial"/>
          <w:b/>
          <w:kern w:val="0"/>
          <w:sz w:val="32"/>
          <w:szCs w:val="32"/>
        </w:rPr>
        <w:t>采购项目名称：</w:t>
      </w:r>
      <w:bookmarkStart w:id="1" w:name="OLE_LINK6"/>
      <w:r>
        <w:rPr>
          <w:rFonts w:hint="eastAsia" w:ascii="宋体" w:hAnsi="宋体" w:cs="Arial"/>
          <w:b/>
          <w:kern w:val="0"/>
          <w:sz w:val="32"/>
          <w:szCs w:val="32"/>
          <w:lang w:eastAsia="zh-CN"/>
        </w:rPr>
        <w:t>青海省中医院干眼检测仪等设备采购项目</w:t>
      </w:r>
      <w:bookmarkEnd w:id="1"/>
    </w:p>
    <w:p>
      <w:pPr>
        <w:adjustRightInd w:val="0"/>
        <w:snapToGrid w:val="0"/>
        <w:spacing w:line="360" w:lineRule="auto"/>
        <w:ind w:left="2678" w:leftChars="498" w:hanging="1632" w:hangingChars="508"/>
        <w:textAlignment w:val="baseline"/>
        <w:rPr>
          <w:rFonts w:hint="eastAsia" w:ascii="宋体" w:hAnsi="宋体" w:eastAsia="宋体" w:cs="Arial"/>
          <w:b/>
          <w:kern w:val="0"/>
          <w:sz w:val="32"/>
          <w:szCs w:val="32"/>
          <w:lang w:eastAsia="zh-CN"/>
        </w:rPr>
      </w:pPr>
      <w:r>
        <w:rPr>
          <w:rFonts w:hint="eastAsia" w:ascii="宋体" w:hAnsi="宋体" w:cs="Arial"/>
          <w:b/>
          <w:kern w:val="0"/>
          <w:sz w:val="32"/>
          <w:szCs w:val="32"/>
        </w:rPr>
        <w:t>采购项目编号：</w:t>
      </w:r>
      <w:r>
        <w:rPr>
          <w:rFonts w:hint="eastAsia" w:ascii="宋体" w:hAnsi="宋体" w:cs="Arial"/>
          <w:b/>
          <w:kern w:val="0"/>
          <w:sz w:val="32"/>
          <w:szCs w:val="32"/>
          <w:lang w:eastAsia="zh-CN"/>
        </w:rPr>
        <w:t>青海国焱竞磋（货物）2025-084号</w:t>
      </w:r>
    </w:p>
    <w:p>
      <w:pPr>
        <w:adjustRightInd w:val="0"/>
        <w:snapToGrid w:val="0"/>
        <w:spacing w:line="360" w:lineRule="auto"/>
        <w:ind w:left="2678" w:leftChars="498" w:hanging="1632" w:hangingChars="508"/>
        <w:textAlignment w:val="baseline"/>
        <w:rPr>
          <w:rFonts w:hint="eastAsia" w:ascii="宋体" w:hAnsi="宋体" w:eastAsia="宋体" w:cs="Arial"/>
          <w:b/>
          <w:kern w:val="0"/>
          <w:sz w:val="32"/>
          <w:szCs w:val="32"/>
          <w:lang w:eastAsia="zh-CN"/>
        </w:rPr>
      </w:pPr>
      <w:r>
        <w:rPr>
          <w:rFonts w:hint="eastAsia" w:ascii="宋体" w:hAnsi="宋体" w:cs="Arial"/>
          <w:b/>
          <w:kern w:val="0"/>
          <w:sz w:val="32"/>
          <w:szCs w:val="32"/>
        </w:rPr>
        <w:t>采  购 单 位</w:t>
      </w:r>
      <w:r>
        <w:rPr>
          <w:rFonts w:hint="eastAsia" w:ascii="宋体" w:hAnsi="宋体"/>
          <w:sz w:val="32"/>
          <w:szCs w:val="32"/>
        </w:rPr>
        <w:t>：</w:t>
      </w:r>
      <w:r>
        <w:rPr>
          <w:rFonts w:hint="eastAsia" w:ascii="宋体" w:hAnsi="宋体" w:cs="Arial"/>
          <w:b/>
          <w:kern w:val="0"/>
          <w:sz w:val="32"/>
          <w:szCs w:val="32"/>
          <w:lang w:eastAsia="zh-CN"/>
        </w:rPr>
        <w:t>青海省中医院</w:t>
      </w:r>
    </w:p>
    <w:p>
      <w:pPr>
        <w:adjustRightInd w:val="0"/>
        <w:snapToGrid w:val="0"/>
        <w:spacing w:line="360" w:lineRule="auto"/>
        <w:ind w:left="2678" w:leftChars="498" w:hanging="1632" w:hangingChars="508"/>
        <w:textAlignment w:val="baseline"/>
        <w:rPr>
          <w:rFonts w:ascii="宋体" w:hAnsi="宋体"/>
          <w:b/>
          <w:bCs/>
          <w:sz w:val="32"/>
          <w:szCs w:val="32"/>
        </w:rPr>
      </w:pPr>
      <w:r>
        <w:rPr>
          <w:rFonts w:ascii="宋体" w:hAnsi="宋体"/>
          <w:b/>
          <w:bCs/>
          <w:sz w:val="32"/>
          <w:szCs w:val="32"/>
        </w:rPr>
        <w:t>采购代理机构</w:t>
      </w:r>
      <w:r>
        <w:rPr>
          <w:rFonts w:hint="eastAsia" w:ascii="宋体" w:hAnsi="宋体"/>
          <w:b/>
          <w:bCs/>
          <w:sz w:val="32"/>
          <w:szCs w:val="32"/>
        </w:rPr>
        <w:t>：</w:t>
      </w:r>
      <w:r>
        <w:rPr>
          <w:rFonts w:ascii="宋体" w:hAnsi="宋体"/>
          <w:b/>
          <w:bCs/>
          <w:sz w:val="32"/>
          <w:szCs w:val="32"/>
        </w:rPr>
        <w:t>青海国焱工程项目管理有限公司</w:t>
      </w:r>
    </w:p>
    <w:p>
      <w:pPr>
        <w:adjustRightInd w:val="0"/>
        <w:snapToGrid w:val="0"/>
        <w:spacing w:line="360" w:lineRule="auto"/>
        <w:ind w:left="2681" w:leftChars="194" w:hanging="2274" w:hangingChars="708"/>
        <w:textAlignment w:val="baseline"/>
        <w:rPr>
          <w:rFonts w:ascii="宋体" w:hAnsi="宋体"/>
          <w:b/>
          <w:bCs/>
          <w:color w:val="auto"/>
          <w:sz w:val="32"/>
          <w:szCs w:val="32"/>
        </w:rPr>
      </w:pPr>
    </w:p>
    <w:p>
      <w:pPr>
        <w:adjustRightInd w:val="0"/>
        <w:spacing w:line="360" w:lineRule="auto"/>
        <w:jc w:val="center"/>
        <w:textAlignment w:val="baseline"/>
        <w:rPr>
          <w:rFonts w:ascii="宋体" w:hAnsi="宋体"/>
          <w:b/>
          <w:bCs/>
          <w:color w:val="auto"/>
          <w:sz w:val="32"/>
          <w:szCs w:val="32"/>
        </w:rPr>
      </w:pPr>
      <w:r>
        <w:rPr>
          <w:rFonts w:hint="eastAsia" w:ascii="宋体" w:hAnsi="宋体"/>
          <w:b/>
          <w:bCs/>
          <w:color w:val="auto"/>
          <w:sz w:val="32"/>
          <w:szCs w:val="32"/>
        </w:rPr>
        <w:t>202</w:t>
      </w:r>
      <w:r>
        <w:rPr>
          <w:rFonts w:hint="eastAsia" w:ascii="宋体" w:hAnsi="宋体"/>
          <w:b/>
          <w:bCs/>
          <w:color w:val="auto"/>
          <w:sz w:val="32"/>
          <w:szCs w:val="32"/>
          <w:lang w:val="en-US" w:eastAsia="zh-CN"/>
        </w:rPr>
        <w:t>5</w:t>
      </w:r>
      <w:r>
        <w:rPr>
          <w:rFonts w:hint="eastAsia" w:ascii="宋体" w:hAnsi="宋体"/>
          <w:b/>
          <w:bCs/>
          <w:color w:val="auto"/>
          <w:sz w:val="32"/>
          <w:szCs w:val="32"/>
        </w:rPr>
        <w:t>年</w:t>
      </w:r>
      <w:r>
        <w:rPr>
          <w:rFonts w:hint="eastAsia" w:ascii="宋体" w:hAnsi="宋体"/>
          <w:b/>
          <w:bCs/>
          <w:color w:val="auto"/>
          <w:sz w:val="32"/>
          <w:szCs w:val="32"/>
          <w:lang w:val="en-US" w:eastAsia="zh-CN"/>
        </w:rPr>
        <w:t>04</w:t>
      </w:r>
      <w:r>
        <w:rPr>
          <w:rFonts w:hint="eastAsia" w:ascii="宋体" w:hAnsi="宋体"/>
          <w:b/>
          <w:bCs/>
          <w:color w:val="auto"/>
          <w:sz w:val="32"/>
          <w:szCs w:val="32"/>
        </w:rPr>
        <w:t>月</w:t>
      </w:r>
    </w:p>
    <w:p>
      <w:pPr>
        <w:spacing w:line="360" w:lineRule="auto"/>
        <w:jc w:val="center"/>
        <w:rPr>
          <w:rFonts w:ascii="宋体" w:hAnsi="宋体"/>
          <w:sz w:val="24"/>
        </w:rPr>
      </w:pPr>
      <w:r>
        <w:rPr>
          <w:rFonts w:ascii="宋体" w:hAnsi="宋体"/>
          <w:sz w:val="24"/>
        </w:rPr>
        <w:br w:type="page"/>
      </w:r>
      <w:r>
        <w:rPr>
          <w:rFonts w:ascii="宋体" w:hAnsi="宋体"/>
          <w:b/>
          <w:sz w:val="24"/>
        </w:rPr>
        <w:t>目录</w:t>
      </w:r>
    </w:p>
    <w:p>
      <w:pPr>
        <w:pStyle w:val="25"/>
        <w:tabs>
          <w:tab w:val="right" w:leader="dot" w:pos="9752"/>
          <w:tab w:val="clear" w:pos="8296"/>
        </w:tabs>
      </w:pPr>
      <w:r>
        <w:rPr>
          <w:rFonts w:ascii="宋体" w:hAnsi="宋体"/>
          <w:sz w:val="24"/>
        </w:rPr>
        <w:fldChar w:fldCharType="begin"/>
      </w:r>
      <w:r>
        <w:rPr>
          <w:rFonts w:ascii="宋体" w:hAnsi="宋体"/>
          <w:sz w:val="24"/>
        </w:rPr>
        <w:instrText xml:space="preserve"> TOC \h \z \t "标题 1,1,标题 2,1,标题 3,1,标题 4,1,标题 5,1,标题 6,1,标题 7,1,副标题,1" </w:instrText>
      </w:r>
      <w:r>
        <w:rPr>
          <w:rFonts w:ascii="宋体" w:hAnsi="宋体"/>
          <w:sz w:val="24"/>
        </w:rPr>
        <w:fldChar w:fldCharType="separate"/>
      </w:r>
      <w:r>
        <w:rPr>
          <w:rFonts w:ascii="宋体" w:hAnsi="宋体"/>
        </w:rPr>
        <w:fldChar w:fldCharType="begin"/>
      </w:r>
      <w:r>
        <w:rPr>
          <w:rFonts w:ascii="宋体" w:hAnsi="宋体"/>
        </w:rPr>
        <w:instrText xml:space="preserve"> HYPERLINK \l _Toc9406 </w:instrText>
      </w:r>
      <w:r>
        <w:rPr>
          <w:rFonts w:ascii="宋体" w:hAnsi="宋体"/>
        </w:rPr>
        <w:fldChar w:fldCharType="separate"/>
      </w:r>
      <w:r>
        <w:rPr>
          <w:rFonts w:hint="eastAsia" w:ascii="宋体" w:hAnsi="宋体"/>
          <w:szCs w:val="48"/>
        </w:rPr>
        <w:t>第一部分   磋商邀请</w:t>
      </w:r>
      <w:r>
        <w:tab/>
      </w:r>
      <w:r>
        <w:fldChar w:fldCharType="begin"/>
      </w:r>
      <w:r>
        <w:instrText xml:space="preserve"> PAGEREF _Toc9406 \h </w:instrText>
      </w:r>
      <w:r>
        <w:fldChar w:fldCharType="separate"/>
      </w:r>
      <w:r>
        <w:t>3</w:t>
      </w:r>
      <w:r>
        <w:fldChar w:fldCharType="end"/>
      </w:r>
      <w:r>
        <w:rPr>
          <w:rFonts w:ascii="宋体" w:hAnsi="宋体"/>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_Toc18599 </w:instrText>
      </w:r>
      <w:r>
        <w:rPr>
          <w:rFonts w:ascii="宋体" w:hAnsi="宋体"/>
          <w:bCs/>
        </w:rPr>
        <w:fldChar w:fldCharType="separate"/>
      </w:r>
      <w:r>
        <w:rPr>
          <w:rFonts w:hint="eastAsia"/>
          <w:szCs w:val="48"/>
        </w:rPr>
        <w:t>第二部分  磋商供应商须知前附表</w:t>
      </w:r>
      <w:r>
        <w:tab/>
      </w:r>
      <w:r>
        <w:fldChar w:fldCharType="begin"/>
      </w:r>
      <w:r>
        <w:instrText xml:space="preserve"> PAGEREF _Toc18599 \h </w:instrText>
      </w:r>
      <w:r>
        <w:fldChar w:fldCharType="separate"/>
      </w:r>
      <w:r>
        <w:t>6</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_Toc30303 </w:instrText>
      </w:r>
      <w:r>
        <w:rPr>
          <w:rFonts w:ascii="宋体" w:hAnsi="宋体"/>
          <w:bCs/>
        </w:rPr>
        <w:fldChar w:fldCharType="separate"/>
      </w:r>
      <w:r>
        <w:rPr>
          <w:rFonts w:hint="eastAsia" w:ascii="宋体" w:hAnsi="宋体"/>
          <w:szCs w:val="48"/>
        </w:rPr>
        <w:t>第三部分  磋商供应商须知</w:t>
      </w:r>
      <w:r>
        <w:tab/>
      </w:r>
      <w:r>
        <w:fldChar w:fldCharType="begin"/>
      </w:r>
      <w:r>
        <w:instrText xml:space="preserve"> PAGEREF _Toc30303 \h </w:instrText>
      </w:r>
      <w:r>
        <w:fldChar w:fldCharType="separate"/>
      </w:r>
      <w:r>
        <w:t>10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_Toc29521 </w:instrText>
      </w:r>
      <w:r>
        <w:rPr>
          <w:rFonts w:ascii="宋体" w:hAnsi="宋体"/>
          <w:bCs/>
        </w:rPr>
        <w:fldChar w:fldCharType="separate"/>
      </w:r>
      <w:r>
        <w:rPr>
          <w:rFonts w:hint="eastAsia" w:hAnsi="宋体"/>
          <w:spacing w:val="-20"/>
          <w:szCs w:val="24"/>
          <w:lang w:val="en-US"/>
        </w:rPr>
        <w:t xml:space="preserve">一、 </w:t>
      </w:r>
      <w:r>
        <w:rPr>
          <w:rFonts w:hint="eastAsia" w:hAnsi="宋体"/>
          <w:szCs w:val="24"/>
        </w:rPr>
        <w:t>说明</w:t>
      </w:r>
      <w:r>
        <w:tab/>
      </w:r>
      <w:r>
        <w:fldChar w:fldCharType="begin"/>
      </w:r>
      <w:r>
        <w:instrText xml:space="preserve"> PAGEREF _Toc29521 \h </w:instrText>
      </w:r>
      <w:r>
        <w:fldChar w:fldCharType="separate"/>
      </w:r>
      <w:r>
        <w:t>10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_Toc13019 </w:instrText>
      </w:r>
      <w:r>
        <w:rPr>
          <w:rFonts w:ascii="宋体" w:hAnsi="宋体"/>
          <w:bCs/>
        </w:rPr>
        <w:fldChar w:fldCharType="separate"/>
      </w:r>
      <w:r>
        <w:rPr>
          <w:rFonts w:hint="default" w:ascii="宋体" w:hAnsi="宋体"/>
          <w:szCs w:val="24"/>
        </w:rPr>
        <w:t xml:space="preserve">1、 </w:t>
      </w:r>
      <w:r>
        <w:rPr>
          <w:rFonts w:ascii="宋体" w:hAnsi="宋体"/>
          <w:szCs w:val="24"/>
        </w:rPr>
        <w:t>磋商内容及要求</w:t>
      </w:r>
      <w:r>
        <w:tab/>
      </w:r>
      <w:r>
        <w:fldChar w:fldCharType="begin"/>
      </w:r>
      <w:r>
        <w:instrText xml:space="preserve"> PAGEREF _Toc13019 \h </w:instrText>
      </w:r>
      <w:r>
        <w:fldChar w:fldCharType="separate"/>
      </w:r>
      <w:r>
        <w:t>10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_Toc14091 </w:instrText>
      </w:r>
      <w:r>
        <w:rPr>
          <w:rFonts w:ascii="宋体" w:hAnsi="宋体"/>
          <w:bCs/>
        </w:rPr>
        <w:fldChar w:fldCharType="separate"/>
      </w:r>
      <w:r>
        <w:rPr>
          <w:rFonts w:hint="default" w:ascii="宋体" w:hAnsi="宋体"/>
          <w:szCs w:val="24"/>
        </w:rPr>
        <w:t xml:space="preserve">2、 </w:t>
      </w:r>
      <w:r>
        <w:rPr>
          <w:rFonts w:hint="eastAsia" w:ascii="宋体" w:hAnsi="宋体"/>
          <w:szCs w:val="24"/>
        </w:rPr>
        <w:t>采购方式、合格的磋商供应商</w:t>
      </w:r>
      <w:r>
        <w:tab/>
      </w:r>
      <w:r>
        <w:fldChar w:fldCharType="begin"/>
      </w:r>
      <w:r>
        <w:instrText xml:space="preserve"> PAGEREF _Toc14091 \h </w:instrText>
      </w:r>
      <w:r>
        <w:fldChar w:fldCharType="separate"/>
      </w:r>
      <w:r>
        <w:t>10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_Toc28737 </w:instrText>
      </w:r>
      <w:r>
        <w:rPr>
          <w:rFonts w:ascii="宋体" w:hAnsi="宋体"/>
          <w:bCs/>
        </w:rPr>
        <w:fldChar w:fldCharType="separate"/>
      </w:r>
      <w:r>
        <w:rPr>
          <w:rFonts w:hint="default" w:ascii="宋体" w:hAnsi="宋体"/>
          <w:szCs w:val="24"/>
        </w:rPr>
        <w:t xml:space="preserve">3、 </w:t>
      </w:r>
      <w:r>
        <w:rPr>
          <w:rFonts w:hint="eastAsia" w:ascii="宋体" w:hAnsi="宋体"/>
          <w:szCs w:val="24"/>
        </w:rPr>
        <w:t>磋商费用</w:t>
      </w:r>
      <w:r>
        <w:tab/>
      </w:r>
      <w:r>
        <w:fldChar w:fldCharType="begin"/>
      </w:r>
      <w:r>
        <w:instrText xml:space="preserve"> PAGEREF _Toc28737 \h </w:instrText>
      </w:r>
      <w:r>
        <w:fldChar w:fldCharType="separate"/>
      </w:r>
      <w:r>
        <w:t>10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_Toc2235 </w:instrText>
      </w:r>
      <w:r>
        <w:rPr>
          <w:rFonts w:ascii="宋体" w:hAnsi="宋体"/>
          <w:bCs/>
        </w:rPr>
        <w:fldChar w:fldCharType="separate"/>
      </w:r>
      <w:r>
        <w:rPr>
          <w:rFonts w:hint="eastAsia" w:hAnsi="宋体"/>
          <w:spacing w:val="-20"/>
          <w:szCs w:val="24"/>
          <w:lang w:val="en-US"/>
        </w:rPr>
        <w:t xml:space="preserve">二、 </w:t>
      </w:r>
      <w:r>
        <w:rPr>
          <w:rFonts w:hint="eastAsia" w:hAnsi="宋体"/>
          <w:szCs w:val="24"/>
        </w:rPr>
        <w:t>磋商文件说明</w:t>
      </w:r>
      <w:r>
        <w:tab/>
      </w:r>
      <w:r>
        <w:fldChar w:fldCharType="begin"/>
      </w:r>
      <w:r>
        <w:instrText xml:space="preserve"> PAGEREF _Toc2235 \h </w:instrText>
      </w:r>
      <w:r>
        <w:fldChar w:fldCharType="separate"/>
      </w:r>
      <w:r>
        <w:t>10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_Toc29353 </w:instrText>
      </w:r>
      <w:r>
        <w:rPr>
          <w:rFonts w:ascii="宋体" w:hAnsi="宋体"/>
          <w:bCs/>
        </w:rPr>
        <w:fldChar w:fldCharType="separate"/>
      </w:r>
      <w:r>
        <w:rPr>
          <w:rFonts w:hint="default" w:ascii="宋体" w:hAnsi="宋体"/>
          <w:szCs w:val="24"/>
        </w:rPr>
        <w:t xml:space="preserve">4、 </w:t>
      </w:r>
      <w:r>
        <w:rPr>
          <w:rFonts w:hint="eastAsia" w:ascii="宋体" w:hAnsi="宋体"/>
          <w:szCs w:val="24"/>
        </w:rPr>
        <w:t>磋商文件的构成</w:t>
      </w:r>
      <w:r>
        <w:tab/>
      </w:r>
      <w:r>
        <w:fldChar w:fldCharType="begin"/>
      </w:r>
      <w:r>
        <w:instrText xml:space="preserve"> PAGEREF _Toc29353 \h </w:instrText>
      </w:r>
      <w:r>
        <w:fldChar w:fldCharType="separate"/>
      </w:r>
      <w:r>
        <w:t>11</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_Toc23484 </w:instrText>
      </w:r>
      <w:r>
        <w:rPr>
          <w:rFonts w:ascii="宋体" w:hAnsi="宋体"/>
          <w:bCs/>
        </w:rPr>
        <w:fldChar w:fldCharType="separate"/>
      </w:r>
      <w:r>
        <w:rPr>
          <w:rFonts w:hint="default" w:ascii="宋体" w:hAnsi="宋体"/>
          <w:szCs w:val="24"/>
        </w:rPr>
        <w:t xml:space="preserve">5、 </w:t>
      </w:r>
      <w:r>
        <w:rPr>
          <w:rFonts w:hint="eastAsia" w:ascii="宋体" w:hAnsi="宋体"/>
          <w:szCs w:val="24"/>
        </w:rPr>
        <w:t>磋商文件、磋商活动和成交结果的质疑</w:t>
      </w:r>
      <w:r>
        <w:tab/>
      </w:r>
      <w:r>
        <w:fldChar w:fldCharType="begin"/>
      </w:r>
      <w:r>
        <w:instrText xml:space="preserve"> PAGEREF _Toc23484 \h </w:instrText>
      </w:r>
      <w:r>
        <w:fldChar w:fldCharType="separate"/>
      </w:r>
      <w:r>
        <w:t>11</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_Toc10522 </w:instrText>
      </w:r>
      <w:r>
        <w:rPr>
          <w:rFonts w:ascii="宋体" w:hAnsi="宋体"/>
          <w:bCs/>
        </w:rPr>
        <w:fldChar w:fldCharType="separate"/>
      </w:r>
      <w:r>
        <w:rPr>
          <w:rFonts w:hint="default" w:ascii="宋体" w:hAnsi="宋体"/>
          <w:szCs w:val="24"/>
        </w:rPr>
        <w:t xml:space="preserve">6、 </w:t>
      </w:r>
      <w:r>
        <w:rPr>
          <w:rFonts w:hint="eastAsia" w:ascii="宋体" w:hAnsi="宋体"/>
          <w:szCs w:val="24"/>
        </w:rPr>
        <w:t>磋商文件的修改</w:t>
      </w:r>
      <w:r>
        <w:tab/>
      </w:r>
      <w:r>
        <w:fldChar w:fldCharType="begin"/>
      </w:r>
      <w:r>
        <w:instrText xml:space="preserve"> PAGEREF _Toc10522 \h </w:instrText>
      </w:r>
      <w:r>
        <w:fldChar w:fldCharType="separate"/>
      </w:r>
      <w:r>
        <w:t>12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_Toc28586 </w:instrText>
      </w:r>
      <w:r>
        <w:rPr>
          <w:rFonts w:ascii="宋体" w:hAnsi="宋体"/>
          <w:bCs/>
        </w:rPr>
        <w:fldChar w:fldCharType="separate"/>
      </w:r>
      <w:r>
        <w:rPr>
          <w:rFonts w:hint="eastAsia" w:hAnsi="宋体"/>
          <w:spacing w:val="-20"/>
          <w:szCs w:val="24"/>
          <w:lang w:val="en-US"/>
        </w:rPr>
        <w:t xml:space="preserve">三、 </w:t>
      </w:r>
      <w:r>
        <w:rPr>
          <w:rFonts w:hint="eastAsia" w:hAnsi="宋体"/>
          <w:szCs w:val="24"/>
        </w:rPr>
        <w:t>磋商响应文件的编写</w:t>
      </w:r>
      <w:r>
        <w:tab/>
      </w:r>
      <w:r>
        <w:fldChar w:fldCharType="begin"/>
      </w:r>
      <w:r>
        <w:instrText xml:space="preserve"> PAGEREF _Toc28586 \h </w:instrText>
      </w:r>
      <w:r>
        <w:fldChar w:fldCharType="separate"/>
      </w:r>
      <w:r>
        <w:t>12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_Toc30380 </w:instrText>
      </w:r>
      <w:r>
        <w:rPr>
          <w:rFonts w:ascii="宋体" w:hAnsi="宋体"/>
          <w:bCs/>
        </w:rPr>
        <w:fldChar w:fldCharType="separate"/>
      </w:r>
      <w:r>
        <w:rPr>
          <w:rFonts w:hint="default" w:ascii="宋体" w:hAnsi="宋体"/>
          <w:szCs w:val="24"/>
        </w:rPr>
        <w:t xml:space="preserve">7、 </w:t>
      </w:r>
      <w:r>
        <w:rPr>
          <w:rFonts w:hint="eastAsia" w:ascii="宋体" w:hAnsi="宋体"/>
          <w:szCs w:val="24"/>
        </w:rPr>
        <w:t>磋商响应文件的语言及度量衡单位</w:t>
      </w:r>
      <w:r>
        <w:tab/>
      </w:r>
      <w:r>
        <w:fldChar w:fldCharType="begin"/>
      </w:r>
      <w:r>
        <w:instrText xml:space="preserve"> PAGEREF _Toc30380 \h </w:instrText>
      </w:r>
      <w:r>
        <w:fldChar w:fldCharType="separate"/>
      </w:r>
      <w:r>
        <w:t>12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_Toc23936 </w:instrText>
      </w:r>
      <w:r>
        <w:rPr>
          <w:rFonts w:ascii="宋体" w:hAnsi="宋体"/>
          <w:bCs/>
        </w:rPr>
        <w:fldChar w:fldCharType="separate"/>
      </w:r>
      <w:r>
        <w:rPr>
          <w:rFonts w:hint="default" w:ascii="宋体" w:hAnsi="宋体"/>
          <w:szCs w:val="24"/>
        </w:rPr>
        <w:t xml:space="preserve">8、 </w:t>
      </w:r>
      <w:r>
        <w:rPr>
          <w:rFonts w:hint="eastAsia" w:ascii="宋体" w:hAnsi="宋体"/>
          <w:szCs w:val="24"/>
        </w:rPr>
        <w:t>磋商报价及币种</w:t>
      </w:r>
      <w:r>
        <w:tab/>
      </w:r>
      <w:r>
        <w:fldChar w:fldCharType="begin"/>
      </w:r>
      <w:r>
        <w:instrText xml:space="preserve"> PAGEREF _Toc23936 \h </w:instrText>
      </w:r>
      <w:r>
        <w:fldChar w:fldCharType="separate"/>
      </w:r>
      <w:r>
        <w:t>12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_Toc20904 </w:instrText>
      </w:r>
      <w:r>
        <w:rPr>
          <w:rFonts w:ascii="宋体" w:hAnsi="宋体"/>
          <w:bCs/>
        </w:rPr>
        <w:fldChar w:fldCharType="separate"/>
      </w:r>
      <w:r>
        <w:rPr>
          <w:rFonts w:hint="default" w:ascii="宋体" w:hAnsi="宋体"/>
          <w:szCs w:val="24"/>
        </w:rPr>
        <w:t xml:space="preserve">9、 </w:t>
      </w:r>
      <w:r>
        <w:rPr>
          <w:rFonts w:hint="eastAsia" w:ascii="宋体" w:hAnsi="宋体"/>
          <w:szCs w:val="24"/>
        </w:rPr>
        <w:t>磋商保证金</w:t>
      </w:r>
      <w:r>
        <w:tab/>
      </w:r>
      <w:r>
        <w:fldChar w:fldCharType="begin"/>
      </w:r>
      <w:r>
        <w:instrText xml:space="preserve"> PAGEREF _Toc20904 \h </w:instrText>
      </w:r>
      <w:r>
        <w:fldChar w:fldCharType="separate"/>
      </w:r>
      <w:r>
        <w:t>12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_Toc26293 </w:instrText>
      </w:r>
      <w:r>
        <w:rPr>
          <w:rFonts w:ascii="宋体" w:hAnsi="宋体"/>
          <w:bCs/>
        </w:rPr>
        <w:fldChar w:fldCharType="separate"/>
      </w:r>
      <w:r>
        <w:rPr>
          <w:rFonts w:hint="default" w:ascii="宋体" w:hAnsi="宋体"/>
          <w:szCs w:val="24"/>
        </w:rPr>
        <w:t xml:space="preserve">10、 </w:t>
      </w:r>
      <w:r>
        <w:rPr>
          <w:rFonts w:ascii="宋体" w:hAnsi="宋体"/>
          <w:szCs w:val="24"/>
        </w:rPr>
        <w:t>磋商有效期</w:t>
      </w:r>
      <w:r>
        <w:tab/>
      </w:r>
      <w:r>
        <w:fldChar w:fldCharType="begin"/>
      </w:r>
      <w:r>
        <w:instrText xml:space="preserve"> PAGEREF _Toc26293 \h </w:instrText>
      </w:r>
      <w:r>
        <w:fldChar w:fldCharType="separate"/>
      </w:r>
      <w:r>
        <w:t>13</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_Toc20657 </w:instrText>
      </w:r>
      <w:r>
        <w:rPr>
          <w:rFonts w:ascii="宋体" w:hAnsi="宋体"/>
          <w:bCs/>
        </w:rPr>
        <w:fldChar w:fldCharType="separate"/>
      </w:r>
      <w:r>
        <w:rPr>
          <w:rFonts w:hint="default" w:ascii="宋体" w:hAnsi="宋体"/>
          <w:szCs w:val="24"/>
        </w:rPr>
        <w:t xml:space="preserve">11、 </w:t>
      </w:r>
      <w:r>
        <w:rPr>
          <w:rFonts w:hint="eastAsia" w:ascii="宋体" w:hAnsi="宋体"/>
          <w:szCs w:val="24"/>
        </w:rPr>
        <w:t>磋商响应文件的构成</w:t>
      </w:r>
      <w:r>
        <w:tab/>
      </w:r>
      <w:r>
        <w:fldChar w:fldCharType="begin"/>
      </w:r>
      <w:r>
        <w:instrText xml:space="preserve"> PAGEREF _Toc20657 \h </w:instrText>
      </w:r>
      <w:r>
        <w:fldChar w:fldCharType="separate"/>
      </w:r>
      <w:r>
        <w:t>14</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_Toc24127 </w:instrText>
      </w:r>
      <w:r>
        <w:rPr>
          <w:rFonts w:ascii="宋体" w:hAnsi="宋体"/>
          <w:bCs/>
        </w:rPr>
        <w:fldChar w:fldCharType="separate"/>
      </w:r>
      <w:r>
        <w:rPr>
          <w:rFonts w:hint="default" w:ascii="宋体" w:hAnsi="宋体"/>
          <w:szCs w:val="24"/>
        </w:rPr>
        <w:t xml:space="preserve">12、 </w:t>
      </w:r>
      <w:r>
        <w:rPr>
          <w:rFonts w:hint="eastAsia" w:ascii="宋体" w:hAnsi="宋体"/>
          <w:szCs w:val="24"/>
        </w:rPr>
        <w:t>磋商响应文件的编制要求</w:t>
      </w:r>
      <w:r>
        <w:tab/>
      </w:r>
      <w:r>
        <w:fldChar w:fldCharType="begin"/>
      </w:r>
      <w:r>
        <w:instrText xml:space="preserve"> PAGEREF _Toc24127 \h </w:instrText>
      </w:r>
      <w:r>
        <w:fldChar w:fldCharType="separate"/>
      </w:r>
      <w:r>
        <w:t>14</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_Toc15940 </w:instrText>
      </w:r>
      <w:r>
        <w:rPr>
          <w:rFonts w:ascii="宋体" w:hAnsi="宋体"/>
          <w:bCs/>
        </w:rPr>
        <w:fldChar w:fldCharType="separate"/>
      </w:r>
      <w:r>
        <w:rPr>
          <w:rFonts w:hint="eastAsia" w:hAnsi="宋体"/>
          <w:spacing w:val="-20"/>
          <w:szCs w:val="24"/>
          <w:lang w:val="en-US"/>
        </w:rPr>
        <w:t xml:space="preserve">四、 </w:t>
      </w:r>
      <w:r>
        <w:rPr>
          <w:rFonts w:hint="eastAsia" w:hAnsi="宋体"/>
          <w:szCs w:val="24"/>
        </w:rPr>
        <w:t>磋商响应文件的递交</w:t>
      </w:r>
      <w:r>
        <w:tab/>
      </w:r>
      <w:r>
        <w:fldChar w:fldCharType="begin"/>
      </w:r>
      <w:r>
        <w:instrText xml:space="preserve"> PAGEREF _Toc15940 \h </w:instrText>
      </w:r>
      <w:r>
        <w:fldChar w:fldCharType="separate"/>
      </w:r>
      <w:r>
        <w:t>14</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_Toc669 </w:instrText>
      </w:r>
      <w:r>
        <w:rPr>
          <w:rFonts w:ascii="宋体" w:hAnsi="宋体"/>
          <w:bCs/>
        </w:rPr>
        <w:fldChar w:fldCharType="separate"/>
      </w:r>
      <w:r>
        <w:rPr>
          <w:rFonts w:hint="eastAsia" w:hAnsi="宋体"/>
          <w:spacing w:val="-20"/>
          <w:szCs w:val="24"/>
          <w:lang w:val="en-US"/>
        </w:rPr>
        <w:t xml:space="preserve">五、 </w:t>
      </w:r>
      <w:r>
        <w:rPr>
          <w:rFonts w:hint="eastAsia" w:hAnsi="宋体"/>
          <w:szCs w:val="24"/>
        </w:rPr>
        <w:t>磋商过程</w:t>
      </w:r>
      <w:r>
        <w:tab/>
      </w:r>
      <w:r>
        <w:fldChar w:fldCharType="begin"/>
      </w:r>
      <w:r>
        <w:instrText xml:space="preserve"> PAGEREF _Toc669 \h </w:instrText>
      </w:r>
      <w:r>
        <w:fldChar w:fldCharType="separate"/>
      </w:r>
      <w:r>
        <w:t>15</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_Toc19717 </w:instrText>
      </w:r>
      <w:r>
        <w:rPr>
          <w:rFonts w:ascii="宋体" w:hAnsi="宋体"/>
          <w:bCs/>
        </w:rPr>
        <w:fldChar w:fldCharType="separate"/>
      </w:r>
      <w:r>
        <w:rPr>
          <w:rFonts w:hint="eastAsia" w:hAnsi="宋体"/>
          <w:spacing w:val="-20"/>
          <w:szCs w:val="24"/>
          <w:lang w:val="en-US"/>
        </w:rPr>
        <w:t xml:space="preserve">六、 </w:t>
      </w:r>
      <w:r>
        <w:rPr>
          <w:rFonts w:hint="eastAsia" w:hAnsi="宋体"/>
          <w:szCs w:val="24"/>
        </w:rPr>
        <w:t>资格审查</w:t>
      </w:r>
      <w:r>
        <w:tab/>
      </w:r>
      <w:r>
        <w:fldChar w:fldCharType="begin"/>
      </w:r>
      <w:r>
        <w:instrText xml:space="preserve"> PAGEREF _Toc19717 \h </w:instrText>
      </w:r>
      <w:r>
        <w:fldChar w:fldCharType="separate"/>
      </w:r>
      <w:r>
        <w:t>15</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_Toc6499 </w:instrText>
      </w:r>
      <w:r>
        <w:rPr>
          <w:rFonts w:ascii="宋体" w:hAnsi="宋体"/>
          <w:bCs/>
        </w:rPr>
        <w:fldChar w:fldCharType="separate"/>
      </w:r>
      <w:r>
        <w:rPr>
          <w:rFonts w:hint="eastAsia" w:hAnsi="宋体"/>
          <w:spacing w:val="-20"/>
          <w:szCs w:val="24"/>
          <w:lang w:val="en-US"/>
        </w:rPr>
        <w:t xml:space="preserve">七、 </w:t>
      </w:r>
      <w:r>
        <w:rPr>
          <w:rFonts w:hint="eastAsia" w:hAnsi="宋体"/>
          <w:szCs w:val="24"/>
        </w:rPr>
        <w:t>评审程序及方法</w:t>
      </w:r>
      <w:r>
        <w:tab/>
      </w:r>
      <w:r>
        <w:fldChar w:fldCharType="begin"/>
      </w:r>
      <w:r>
        <w:instrText xml:space="preserve"> PAGEREF _Toc6499 \h </w:instrText>
      </w:r>
      <w:r>
        <w:fldChar w:fldCharType="separate"/>
      </w:r>
      <w:r>
        <w:t>15</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_Toc7097 </w:instrText>
      </w:r>
      <w:r>
        <w:rPr>
          <w:rFonts w:ascii="宋体" w:hAnsi="宋体"/>
          <w:bCs/>
        </w:rPr>
        <w:fldChar w:fldCharType="separate"/>
      </w:r>
      <w:r>
        <w:rPr>
          <w:rFonts w:hint="default" w:ascii="宋体" w:hAnsi="宋体"/>
          <w:szCs w:val="24"/>
        </w:rPr>
        <w:t xml:space="preserve">13、 </w:t>
      </w:r>
      <w:r>
        <w:rPr>
          <w:rFonts w:hint="eastAsia" w:ascii="宋体" w:hAnsi="宋体"/>
          <w:szCs w:val="24"/>
        </w:rPr>
        <w:t>评标委员会</w:t>
      </w:r>
      <w:r>
        <w:tab/>
      </w:r>
      <w:r>
        <w:fldChar w:fldCharType="begin"/>
      </w:r>
      <w:r>
        <w:instrText xml:space="preserve"> PAGEREF _Toc7097 \h </w:instrText>
      </w:r>
      <w:r>
        <w:fldChar w:fldCharType="separate"/>
      </w:r>
      <w:r>
        <w:t>15</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_Toc24531 </w:instrText>
      </w:r>
      <w:r>
        <w:rPr>
          <w:rFonts w:ascii="宋体" w:hAnsi="宋体"/>
          <w:bCs/>
        </w:rPr>
        <w:fldChar w:fldCharType="separate"/>
      </w:r>
      <w:r>
        <w:rPr>
          <w:rFonts w:hint="default" w:ascii="宋体" w:hAnsi="宋体"/>
          <w:szCs w:val="24"/>
        </w:rPr>
        <w:t xml:space="preserve">14、 </w:t>
      </w:r>
      <w:r>
        <w:rPr>
          <w:rFonts w:hint="eastAsia" w:ascii="宋体" w:hAnsi="宋体"/>
          <w:szCs w:val="24"/>
        </w:rPr>
        <w:t>磋商程序</w:t>
      </w:r>
      <w:r>
        <w:tab/>
      </w:r>
      <w:r>
        <w:fldChar w:fldCharType="begin"/>
      </w:r>
      <w:r>
        <w:instrText xml:space="preserve"> PAGEREF _Toc24531 \h </w:instrText>
      </w:r>
      <w:r>
        <w:fldChar w:fldCharType="separate"/>
      </w:r>
      <w:r>
        <w:t>17</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_Toc28132 </w:instrText>
      </w:r>
      <w:r>
        <w:rPr>
          <w:rFonts w:ascii="宋体" w:hAnsi="宋体"/>
          <w:bCs/>
        </w:rPr>
        <w:fldChar w:fldCharType="separate"/>
      </w:r>
      <w:r>
        <w:rPr>
          <w:rFonts w:hint="default" w:ascii="宋体" w:hAnsi="宋体"/>
          <w:szCs w:val="24"/>
        </w:rPr>
        <w:t xml:space="preserve">15、 </w:t>
      </w:r>
      <w:r>
        <w:rPr>
          <w:rFonts w:hint="eastAsia" w:ascii="宋体" w:hAnsi="宋体"/>
          <w:szCs w:val="24"/>
        </w:rPr>
        <w:t>评审办法</w:t>
      </w:r>
      <w:r>
        <w:tab/>
      </w:r>
      <w:r>
        <w:fldChar w:fldCharType="begin"/>
      </w:r>
      <w:r>
        <w:instrText xml:space="preserve"> PAGEREF _Toc28132 \h </w:instrText>
      </w:r>
      <w:r>
        <w:fldChar w:fldCharType="separate"/>
      </w:r>
      <w:r>
        <w:t>18</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_Toc16772 </w:instrText>
      </w:r>
      <w:r>
        <w:rPr>
          <w:rFonts w:ascii="宋体" w:hAnsi="宋体"/>
          <w:bCs/>
        </w:rPr>
        <w:fldChar w:fldCharType="separate"/>
      </w:r>
      <w:r>
        <w:rPr>
          <w:rFonts w:hint="eastAsia" w:hAnsi="宋体"/>
          <w:spacing w:val="-20"/>
          <w:szCs w:val="24"/>
          <w:lang w:val="en-US"/>
        </w:rPr>
        <w:t xml:space="preserve">八、 </w:t>
      </w:r>
      <w:r>
        <w:rPr>
          <w:rFonts w:hint="eastAsia" w:hAnsi="宋体"/>
          <w:szCs w:val="24"/>
        </w:rPr>
        <w:t>定标</w:t>
      </w:r>
      <w:r>
        <w:tab/>
      </w:r>
      <w:r>
        <w:fldChar w:fldCharType="begin"/>
      </w:r>
      <w:r>
        <w:instrText xml:space="preserve"> PAGEREF _Toc16772 \h </w:instrText>
      </w:r>
      <w:r>
        <w:fldChar w:fldCharType="separate"/>
      </w:r>
      <w:r>
        <w:t>20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_Toc26198 </w:instrText>
      </w:r>
      <w:r>
        <w:rPr>
          <w:rFonts w:ascii="宋体" w:hAnsi="宋体"/>
          <w:bCs/>
        </w:rPr>
        <w:fldChar w:fldCharType="separate"/>
      </w:r>
      <w:r>
        <w:rPr>
          <w:rFonts w:hint="default" w:ascii="宋体" w:hAnsi="宋体"/>
          <w:szCs w:val="24"/>
        </w:rPr>
        <w:t xml:space="preserve">16、 </w:t>
      </w:r>
      <w:r>
        <w:rPr>
          <w:rFonts w:hint="eastAsia" w:ascii="宋体" w:hAnsi="宋体"/>
          <w:szCs w:val="24"/>
        </w:rPr>
        <w:t>推荐并确定成交磋商供应商</w:t>
      </w:r>
      <w:r>
        <w:tab/>
      </w:r>
      <w:r>
        <w:fldChar w:fldCharType="begin"/>
      </w:r>
      <w:r>
        <w:instrText xml:space="preserve"> PAGEREF _Toc26198 \h </w:instrText>
      </w:r>
      <w:r>
        <w:fldChar w:fldCharType="separate"/>
      </w:r>
      <w:r>
        <w:t>20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_Toc3386 </w:instrText>
      </w:r>
      <w:r>
        <w:rPr>
          <w:rFonts w:ascii="宋体" w:hAnsi="宋体"/>
          <w:bCs/>
        </w:rPr>
        <w:fldChar w:fldCharType="separate"/>
      </w:r>
      <w:r>
        <w:rPr>
          <w:rFonts w:hint="default" w:ascii="宋体" w:hAnsi="宋体"/>
          <w:szCs w:val="24"/>
        </w:rPr>
        <w:t xml:space="preserve">17、 </w:t>
      </w:r>
      <w:r>
        <w:rPr>
          <w:rFonts w:hint="eastAsia" w:ascii="宋体" w:hAnsi="宋体"/>
          <w:szCs w:val="24"/>
        </w:rPr>
        <w:t>成交通知</w:t>
      </w:r>
      <w:r>
        <w:tab/>
      </w:r>
      <w:r>
        <w:fldChar w:fldCharType="begin"/>
      </w:r>
      <w:r>
        <w:instrText xml:space="preserve"> PAGEREF _Toc3386 \h </w:instrText>
      </w:r>
      <w:r>
        <w:fldChar w:fldCharType="separate"/>
      </w:r>
      <w:r>
        <w:t>21</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_Toc15156 </w:instrText>
      </w:r>
      <w:r>
        <w:rPr>
          <w:rFonts w:ascii="宋体" w:hAnsi="宋体"/>
          <w:bCs/>
        </w:rPr>
        <w:fldChar w:fldCharType="separate"/>
      </w:r>
      <w:r>
        <w:rPr>
          <w:rFonts w:hint="eastAsia" w:hAnsi="宋体"/>
          <w:spacing w:val="-20"/>
          <w:szCs w:val="24"/>
          <w:lang w:val="en-US"/>
        </w:rPr>
        <w:t xml:space="preserve">九、 </w:t>
      </w:r>
      <w:r>
        <w:rPr>
          <w:rFonts w:hint="eastAsia" w:hAnsi="宋体"/>
          <w:szCs w:val="24"/>
        </w:rPr>
        <w:t>授予合同</w:t>
      </w:r>
      <w:r>
        <w:tab/>
      </w:r>
      <w:r>
        <w:fldChar w:fldCharType="begin"/>
      </w:r>
      <w:r>
        <w:instrText xml:space="preserve"> PAGEREF _Toc15156 \h </w:instrText>
      </w:r>
      <w:r>
        <w:fldChar w:fldCharType="separate"/>
      </w:r>
      <w:r>
        <w:t>22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_Toc24901 </w:instrText>
      </w:r>
      <w:r>
        <w:rPr>
          <w:rFonts w:ascii="宋体" w:hAnsi="宋体"/>
          <w:bCs/>
        </w:rPr>
        <w:fldChar w:fldCharType="separate"/>
      </w:r>
      <w:r>
        <w:rPr>
          <w:rFonts w:hint="default" w:ascii="宋体" w:hAnsi="宋体"/>
          <w:szCs w:val="24"/>
        </w:rPr>
        <w:t xml:space="preserve">18、 </w:t>
      </w:r>
      <w:r>
        <w:rPr>
          <w:rFonts w:hint="eastAsia" w:ascii="宋体" w:hAnsi="宋体"/>
          <w:szCs w:val="24"/>
        </w:rPr>
        <w:t>签订合同</w:t>
      </w:r>
      <w:r>
        <w:tab/>
      </w:r>
      <w:r>
        <w:fldChar w:fldCharType="begin"/>
      </w:r>
      <w:r>
        <w:instrText xml:space="preserve"> PAGEREF _Toc24901 \h </w:instrText>
      </w:r>
      <w:r>
        <w:fldChar w:fldCharType="separate"/>
      </w:r>
      <w:r>
        <w:t>22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_Toc22338 </w:instrText>
      </w:r>
      <w:r>
        <w:rPr>
          <w:rFonts w:ascii="宋体" w:hAnsi="宋体"/>
          <w:bCs/>
        </w:rPr>
        <w:fldChar w:fldCharType="separate"/>
      </w:r>
      <w:r>
        <w:rPr>
          <w:rFonts w:hint="eastAsia" w:hAnsi="宋体"/>
          <w:spacing w:val="-20"/>
          <w:szCs w:val="24"/>
          <w:lang w:val="en-US"/>
        </w:rPr>
        <w:t xml:space="preserve">十、 </w:t>
      </w:r>
      <w:r>
        <w:rPr>
          <w:rFonts w:hint="eastAsia" w:hAnsi="宋体"/>
          <w:szCs w:val="24"/>
        </w:rPr>
        <w:t>废标条款</w:t>
      </w:r>
      <w:r>
        <w:tab/>
      </w:r>
      <w:r>
        <w:fldChar w:fldCharType="begin"/>
      </w:r>
      <w:r>
        <w:instrText xml:space="preserve"> PAGEREF _Toc22338 \h </w:instrText>
      </w:r>
      <w:r>
        <w:fldChar w:fldCharType="separate"/>
      </w:r>
      <w:r>
        <w:t>22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_Toc5165 </w:instrText>
      </w:r>
      <w:r>
        <w:rPr>
          <w:rFonts w:ascii="宋体" w:hAnsi="宋体"/>
          <w:bCs/>
        </w:rPr>
        <w:fldChar w:fldCharType="separate"/>
      </w:r>
      <w:r>
        <w:rPr>
          <w:rFonts w:hint="default" w:ascii="宋体" w:hAnsi="宋体"/>
          <w:szCs w:val="24"/>
        </w:rPr>
        <w:t xml:space="preserve">19、 </w:t>
      </w:r>
      <w:r>
        <w:rPr>
          <w:rFonts w:hint="eastAsia" w:ascii="宋体" w:hAnsi="宋体"/>
          <w:szCs w:val="24"/>
        </w:rPr>
        <w:t>废标情形</w:t>
      </w:r>
      <w:r>
        <w:tab/>
      </w:r>
      <w:r>
        <w:fldChar w:fldCharType="begin"/>
      </w:r>
      <w:r>
        <w:instrText xml:space="preserve"> PAGEREF _Toc5165 \h </w:instrText>
      </w:r>
      <w:r>
        <w:fldChar w:fldCharType="separate"/>
      </w:r>
      <w:r>
        <w:t>22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_Toc14964 </w:instrText>
      </w:r>
      <w:r>
        <w:rPr>
          <w:rFonts w:ascii="宋体" w:hAnsi="宋体"/>
          <w:bCs/>
        </w:rPr>
        <w:fldChar w:fldCharType="separate"/>
      </w:r>
      <w:r>
        <w:rPr>
          <w:rFonts w:hint="eastAsia" w:hAnsi="宋体"/>
          <w:spacing w:val="-20"/>
          <w:szCs w:val="24"/>
          <w:lang w:val="en-US"/>
        </w:rPr>
        <w:t xml:space="preserve">十一、 </w:t>
      </w:r>
      <w:r>
        <w:rPr>
          <w:rFonts w:hint="eastAsia" w:hAnsi="宋体"/>
          <w:szCs w:val="24"/>
        </w:rPr>
        <w:t>其他</w:t>
      </w:r>
      <w:r>
        <w:tab/>
      </w:r>
      <w:r>
        <w:fldChar w:fldCharType="begin"/>
      </w:r>
      <w:r>
        <w:instrText xml:space="preserve"> PAGEREF _Toc14964 \h </w:instrText>
      </w:r>
      <w:r>
        <w:fldChar w:fldCharType="separate"/>
      </w:r>
      <w:r>
        <w:t>23</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_Toc17273 </w:instrText>
      </w:r>
      <w:r>
        <w:rPr>
          <w:rFonts w:ascii="宋体" w:hAnsi="宋体"/>
          <w:bCs/>
        </w:rPr>
        <w:fldChar w:fldCharType="separate"/>
      </w:r>
      <w:r>
        <w:rPr>
          <w:rFonts w:hint="default" w:ascii="宋体" w:hAnsi="宋体"/>
          <w:szCs w:val="24"/>
        </w:rPr>
        <w:t xml:space="preserve">20、 </w:t>
      </w:r>
      <w:r>
        <w:rPr>
          <w:rFonts w:hint="eastAsia" w:ascii="宋体" w:hAnsi="宋体"/>
          <w:szCs w:val="24"/>
        </w:rPr>
        <w:t>串标情形</w:t>
      </w:r>
      <w:r>
        <w:tab/>
      </w:r>
      <w:r>
        <w:fldChar w:fldCharType="begin"/>
      </w:r>
      <w:r>
        <w:instrText xml:space="preserve"> PAGEREF _Toc17273 \h </w:instrText>
      </w:r>
      <w:r>
        <w:fldChar w:fldCharType="separate"/>
      </w:r>
      <w:r>
        <w:t>23</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_Toc15376 </w:instrText>
      </w:r>
      <w:r>
        <w:rPr>
          <w:rFonts w:ascii="宋体" w:hAnsi="宋体"/>
          <w:bCs/>
        </w:rPr>
        <w:fldChar w:fldCharType="separate"/>
      </w:r>
      <w:r>
        <w:rPr>
          <w:rFonts w:hint="eastAsia" w:ascii="宋体" w:hAnsi="宋体"/>
          <w:szCs w:val="48"/>
        </w:rPr>
        <w:t>第四部分青海省政府采购合同文本样式</w:t>
      </w:r>
      <w:r>
        <w:tab/>
      </w:r>
      <w:r>
        <w:fldChar w:fldCharType="begin"/>
      </w:r>
      <w:r>
        <w:instrText xml:space="preserve"> PAGEREF _Toc15376 \h </w:instrText>
      </w:r>
      <w:r>
        <w:fldChar w:fldCharType="separate"/>
      </w:r>
      <w:r>
        <w:t>24</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_Toc16836 </w:instrText>
      </w:r>
      <w:r>
        <w:rPr>
          <w:rFonts w:ascii="宋体" w:hAnsi="宋体"/>
          <w:bCs/>
        </w:rPr>
        <w:fldChar w:fldCharType="separate"/>
      </w:r>
      <w:r>
        <w:rPr>
          <w:rFonts w:hint="eastAsia" w:ascii="宋体" w:hAnsi="宋体"/>
          <w:szCs w:val="48"/>
        </w:rPr>
        <w:t>第五部分  磋商响应文件格式</w:t>
      </w:r>
      <w:r>
        <w:tab/>
      </w:r>
      <w:r>
        <w:fldChar w:fldCharType="begin"/>
      </w:r>
      <w:r>
        <w:instrText xml:space="preserve"> PAGEREF _Toc16836 \h </w:instrText>
      </w:r>
      <w:r>
        <w:fldChar w:fldCharType="separate"/>
      </w:r>
      <w:r>
        <w:t>37</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_Toc8943 </w:instrText>
      </w:r>
      <w:r>
        <w:rPr>
          <w:rFonts w:ascii="宋体" w:hAnsi="宋体"/>
          <w:bCs/>
        </w:rPr>
        <w:fldChar w:fldCharType="separate"/>
      </w:r>
      <w:r>
        <w:rPr>
          <w:rFonts w:hint="eastAsia" w:hAnsi="宋体"/>
          <w:szCs w:val="24"/>
          <w:lang w:val="zh-CN"/>
        </w:rPr>
        <w:t>磋商响应文件封面</w:t>
      </w:r>
      <w:r>
        <w:tab/>
      </w:r>
      <w:r>
        <w:fldChar w:fldCharType="begin"/>
      </w:r>
      <w:r>
        <w:instrText xml:space="preserve"> PAGEREF _Toc8943 \h </w:instrText>
      </w:r>
      <w:r>
        <w:fldChar w:fldCharType="separate"/>
      </w:r>
      <w:r>
        <w:t>38</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_Toc9867 </w:instrText>
      </w:r>
      <w:r>
        <w:rPr>
          <w:rFonts w:ascii="宋体" w:hAnsi="宋体"/>
          <w:bCs/>
        </w:rPr>
        <w:fldChar w:fldCharType="separate"/>
      </w:r>
      <w:r>
        <w:rPr>
          <w:rFonts w:hint="eastAsia" w:hAnsi="宋体"/>
          <w:szCs w:val="24"/>
          <w:lang w:val="zh-CN"/>
        </w:rPr>
        <w:t>磋商响应文件目录</w:t>
      </w:r>
      <w:r>
        <w:tab/>
      </w:r>
      <w:r>
        <w:fldChar w:fldCharType="begin"/>
      </w:r>
      <w:r>
        <w:instrText xml:space="preserve"> PAGEREF _Toc9867 \h </w:instrText>
      </w:r>
      <w:r>
        <w:fldChar w:fldCharType="separate"/>
      </w:r>
      <w:r>
        <w:t>39</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_Toc27795 </w:instrText>
      </w:r>
      <w:r>
        <w:rPr>
          <w:rFonts w:ascii="宋体" w:hAnsi="宋体"/>
          <w:bCs/>
        </w:rPr>
        <w:fldChar w:fldCharType="separate"/>
      </w:r>
      <w:r>
        <w:rPr>
          <w:rFonts w:hint="eastAsia" w:hAnsi="宋体"/>
          <w:szCs w:val="24"/>
          <w:lang w:val="zh-CN"/>
        </w:rPr>
        <w:t>格式1、磋商函</w:t>
      </w:r>
      <w:r>
        <w:tab/>
      </w:r>
      <w:r>
        <w:fldChar w:fldCharType="begin"/>
      </w:r>
      <w:r>
        <w:instrText xml:space="preserve"> PAGEREF _Toc27795 \h </w:instrText>
      </w:r>
      <w:r>
        <w:fldChar w:fldCharType="separate"/>
      </w:r>
      <w:r>
        <w:t>40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_Toc5459 </w:instrText>
      </w:r>
      <w:r>
        <w:rPr>
          <w:rFonts w:ascii="宋体" w:hAnsi="宋体"/>
          <w:bCs/>
        </w:rPr>
        <w:fldChar w:fldCharType="separate"/>
      </w:r>
      <w:r>
        <w:rPr>
          <w:rFonts w:hint="eastAsia" w:hAnsi="宋体"/>
          <w:szCs w:val="24"/>
          <w:lang w:val="zh-CN"/>
        </w:rPr>
        <w:t>格式2、法定代表人证明书</w:t>
      </w:r>
      <w:r>
        <w:tab/>
      </w:r>
      <w:r>
        <w:fldChar w:fldCharType="begin"/>
      </w:r>
      <w:r>
        <w:instrText xml:space="preserve"> PAGEREF _Toc5459 \h </w:instrText>
      </w:r>
      <w:r>
        <w:fldChar w:fldCharType="separate"/>
      </w:r>
      <w:r>
        <w:t>41</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_Toc8757 </w:instrText>
      </w:r>
      <w:r>
        <w:rPr>
          <w:rFonts w:ascii="宋体" w:hAnsi="宋体"/>
          <w:bCs/>
        </w:rPr>
        <w:fldChar w:fldCharType="separate"/>
      </w:r>
      <w:r>
        <w:rPr>
          <w:rFonts w:hint="eastAsia" w:hAnsi="宋体"/>
          <w:szCs w:val="24"/>
          <w:lang w:val="zh-CN"/>
        </w:rPr>
        <w:t>格式3、法定代表人授权书</w:t>
      </w:r>
      <w:r>
        <w:tab/>
      </w:r>
      <w:r>
        <w:fldChar w:fldCharType="begin"/>
      </w:r>
      <w:r>
        <w:instrText xml:space="preserve"> PAGEREF _Toc8757 \h </w:instrText>
      </w:r>
      <w:r>
        <w:fldChar w:fldCharType="separate"/>
      </w:r>
      <w:r>
        <w:t>42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_Toc16156 </w:instrText>
      </w:r>
      <w:r>
        <w:rPr>
          <w:rFonts w:ascii="宋体" w:hAnsi="宋体"/>
          <w:bCs/>
        </w:rPr>
        <w:fldChar w:fldCharType="separate"/>
      </w:r>
      <w:r>
        <w:rPr>
          <w:rFonts w:hint="eastAsia" w:hAnsi="宋体"/>
          <w:szCs w:val="24"/>
          <w:lang w:val="zh-CN"/>
        </w:rPr>
        <w:t>格式4、磋商供应商承诺书</w:t>
      </w:r>
      <w:r>
        <w:tab/>
      </w:r>
      <w:r>
        <w:fldChar w:fldCharType="begin"/>
      </w:r>
      <w:r>
        <w:instrText xml:space="preserve"> PAGEREF _Toc16156 \h </w:instrText>
      </w:r>
      <w:r>
        <w:fldChar w:fldCharType="separate"/>
      </w:r>
      <w:r>
        <w:t>43</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_Toc21236 </w:instrText>
      </w:r>
      <w:r>
        <w:rPr>
          <w:rFonts w:ascii="宋体" w:hAnsi="宋体"/>
          <w:bCs/>
        </w:rPr>
        <w:fldChar w:fldCharType="separate"/>
      </w:r>
      <w:r>
        <w:rPr>
          <w:rFonts w:hint="eastAsia" w:hAnsi="宋体"/>
          <w:szCs w:val="24"/>
          <w:lang w:val="zh-CN"/>
        </w:rPr>
        <w:t>格式5、供应商诚信承诺书</w:t>
      </w:r>
      <w:r>
        <w:tab/>
      </w:r>
      <w:r>
        <w:fldChar w:fldCharType="begin"/>
      </w:r>
      <w:r>
        <w:instrText xml:space="preserve"> PAGEREF _Toc21236 \h </w:instrText>
      </w:r>
      <w:r>
        <w:fldChar w:fldCharType="separate"/>
      </w:r>
      <w:r>
        <w:t>44</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_Toc30772 </w:instrText>
      </w:r>
      <w:r>
        <w:rPr>
          <w:rFonts w:ascii="宋体" w:hAnsi="宋体"/>
          <w:bCs/>
        </w:rPr>
        <w:fldChar w:fldCharType="separate"/>
      </w:r>
      <w:r>
        <w:rPr>
          <w:rFonts w:hint="eastAsia" w:hAnsi="宋体"/>
          <w:szCs w:val="24"/>
          <w:lang w:val="zh-CN"/>
        </w:rPr>
        <w:t>格式6、资格证明材料</w:t>
      </w:r>
      <w:r>
        <w:tab/>
      </w:r>
      <w:r>
        <w:fldChar w:fldCharType="begin"/>
      </w:r>
      <w:r>
        <w:instrText xml:space="preserve"> PAGEREF _Toc30772 \h </w:instrText>
      </w:r>
      <w:r>
        <w:fldChar w:fldCharType="separate"/>
      </w:r>
      <w:r>
        <w:t>45</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_Toc17611 </w:instrText>
      </w:r>
      <w:r>
        <w:rPr>
          <w:rFonts w:ascii="宋体" w:hAnsi="宋体"/>
          <w:bCs/>
        </w:rPr>
        <w:fldChar w:fldCharType="separate"/>
      </w:r>
      <w:r>
        <w:rPr>
          <w:rFonts w:hint="eastAsia" w:hAnsi="宋体"/>
          <w:szCs w:val="24"/>
          <w:lang w:val="zh-CN"/>
        </w:rPr>
        <w:t>格式7、财务状况、缴纳税收和社会保障资金证明</w:t>
      </w:r>
      <w:r>
        <w:tab/>
      </w:r>
      <w:r>
        <w:fldChar w:fldCharType="begin"/>
      </w:r>
      <w:r>
        <w:instrText xml:space="preserve"> PAGEREF _Toc17611 \h </w:instrText>
      </w:r>
      <w:r>
        <w:fldChar w:fldCharType="separate"/>
      </w:r>
      <w:r>
        <w:t>46</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_Toc19949 </w:instrText>
      </w:r>
      <w:r>
        <w:rPr>
          <w:rFonts w:ascii="宋体" w:hAnsi="宋体"/>
          <w:bCs/>
        </w:rPr>
        <w:fldChar w:fldCharType="separate"/>
      </w:r>
      <w:r>
        <w:rPr>
          <w:rFonts w:hint="eastAsia" w:hAnsi="宋体"/>
          <w:szCs w:val="24"/>
          <w:lang w:val="zh-CN"/>
        </w:rPr>
        <w:t>格式8、具备履行合同所必须的设备和专业技术能力证明</w:t>
      </w:r>
      <w:r>
        <w:tab/>
      </w:r>
      <w:r>
        <w:fldChar w:fldCharType="begin"/>
      </w:r>
      <w:r>
        <w:instrText xml:space="preserve"> PAGEREF _Toc19949 \h </w:instrText>
      </w:r>
      <w:r>
        <w:fldChar w:fldCharType="separate"/>
      </w:r>
      <w:r>
        <w:t>47</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_Toc14849 </w:instrText>
      </w:r>
      <w:r>
        <w:rPr>
          <w:rFonts w:ascii="宋体" w:hAnsi="宋体"/>
          <w:bCs/>
        </w:rPr>
        <w:fldChar w:fldCharType="separate"/>
      </w:r>
      <w:r>
        <w:rPr>
          <w:rFonts w:hint="eastAsia" w:hAnsi="宋体"/>
          <w:szCs w:val="24"/>
          <w:lang w:val="zh-CN"/>
        </w:rPr>
        <w:t>格式9、磋商保证金证明</w:t>
      </w:r>
      <w:r>
        <w:tab/>
      </w:r>
      <w:r>
        <w:fldChar w:fldCharType="begin"/>
      </w:r>
      <w:r>
        <w:instrText xml:space="preserve"> PAGEREF _Toc14849 \h </w:instrText>
      </w:r>
      <w:r>
        <w:fldChar w:fldCharType="separate"/>
      </w:r>
      <w:r>
        <w:t>48</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_Toc8903 </w:instrText>
      </w:r>
      <w:r>
        <w:rPr>
          <w:rFonts w:ascii="宋体" w:hAnsi="宋体"/>
          <w:bCs/>
        </w:rPr>
        <w:fldChar w:fldCharType="separate"/>
      </w:r>
      <w:r>
        <w:rPr>
          <w:rFonts w:hint="eastAsia" w:hAnsi="宋体"/>
          <w:szCs w:val="24"/>
          <w:lang w:val="zh-CN"/>
        </w:rPr>
        <w:t>格式10、无重大违法记录声明</w:t>
      </w:r>
      <w:r>
        <w:tab/>
      </w:r>
      <w:r>
        <w:fldChar w:fldCharType="begin"/>
      </w:r>
      <w:r>
        <w:instrText xml:space="preserve"> PAGEREF _Toc8903 \h </w:instrText>
      </w:r>
      <w:r>
        <w:fldChar w:fldCharType="separate"/>
      </w:r>
      <w:r>
        <w:t>49</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_Toc22306 </w:instrText>
      </w:r>
      <w:r>
        <w:rPr>
          <w:rFonts w:ascii="宋体" w:hAnsi="宋体"/>
          <w:bCs/>
        </w:rPr>
        <w:fldChar w:fldCharType="separate"/>
      </w:r>
      <w:r>
        <w:rPr>
          <w:rFonts w:hint="eastAsia" w:hAnsi="宋体"/>
          <w:szCs w:val="24"/>
          <w:lang w:val="zh-CN"/>
        </w:rPr>
        <w:t>格式11、</w:t>
      </w:r>
      <w:r>
        <w:rPr>
          <w:rFonts w:hint="eastAsia" w:hAnsi="宋体"/>
          <w:szCs w:val="24"/>
        </w:rPr>
        <w:t>竞争性磋商首次报价表</w:t>
      </w:r>
      <w:r>
        <w:tab/>
      </w:r>
      <w:r>
        <w:fldChar w:fldCharType="begin"/>
      </w:r>
      <w:r>
        <w:instrText xml:space="preserve"> PAGEREF _Toc22306 \h </w:instrText>
      </w:r>
      <w:r>
        <w:fldChar w:fldCharType="separate"/>
      </w:r>
      <w:r>
        <w:t>50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_Toc19712 </w:instrText>
      </w:r>
      <w:r>
        <w:rPr>
          <w:rFonts w:ascii="宋体" w:hAnsi="宋体"/>
          <w:bCs/>
        </w:rPr>
        <w:fldChar w:fldCharType="separate"/>
      </w:r>
      <w:r>
        <w:rPr>
          <w:rFonts w:hint="eastAsia" w:hAnsi="宋体"/>
          <w:szCs w:val="24"/>
          <w:lang w:val="zh-CN"/>
        </w:rPr>
        <w:t>格式12、分项报价表</w:t>
      </w:r>
      <w:r>
        <w:tab/>
      </w:r>
      <w:r>
        <w:fldChar w:fldCharType="begin"/>
      </w:r>
      <w:r>
        <w:instrText xml:space="preserve"> PAGEREF _Toc19712 \h </w:instrText>
      </w:r>
      <w:r>
        <w:fldChar w:fldCharType="separate"/>
      </w:r>
      <w:r>
        <w:t>51</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_Toc21960 </w:instrText>
      </w:r>
      <w:r>
        <w:rPr>
          <w:rFonts w:ascii="宋体" w:hAnsi="宋体"/>
          <w:bCs/>
        </w:rPr>
        <w:fldChar w:fldCharType="separate"/>
      </w:r>
      <w:r>
        <w:rPr>
          <w:rFonts w:hint="eastAsia" w:hAnsi="宋体"/>
          <w:szCs w:val="24"/>
          <w:lang w:val="zh-CN"/>
        </w:rPr>
        <w:t>格式13、技术规格响应表</w:t>
      </w:r>
      <w:r>
        <w:tab/>
      </w:r>
      <w:r>
        <w:fldChar w:fldCharType="begin"/>
      </w:r>
      <w:r>
        <w:instrText xml:space="preserve"> PAGEREF _Toc21960 \h </w:instrText>
      </w:r>
      <w:r>
        <w:fldChar w:fldCharType="separate"/>
      </w:r>
      <w:r>
        <w:t>52</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_Toc21174 </w:instrText>
      </w:r>
      <w:r>
        <w:rPr>
          <w:rFonts w:ascii="宋体" w:hAnsi="宋体"/>
          <w:bCs/>
        </w:rPr>
        <w:fldChar w:fldCharType="separate"/>
      </w:r>
      <w:r>
        <w:rPr>
          <w:rFonts w:hint="eastAsia" w:hAnsi="宋体"/>
          <w:szCs w:val="24"/>
          <w:lang w:val="zh-CN"/>
        </w:rPr>
        <w:t>格式14、磋商产品相关资料</w:t>
      </w:r>
      <w:r>
        <w:tab/>
      </w:r>
      <w:r>
        <w:fldChar w:fldCharType="begin"/>
      </w:r>
      <w:r>
        <w:instrText xml:space="preserve"> PAGEREF _Toc21174 \h </w:instrText>
      </w:r>
      <w:r>
        <w:fldChar w:fldCharType="separate"/>
      </w:r>
      <w:r>
        <w:t>53</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_Toc21190 </w:instrText>
      </w:r>
      <w:r>
        <w:rPr>
          <w:rFonts w:ascii="宋体" w:hAnsi="宋体"/>
          <w:bCs/>
        </w:rPr>
        <w:fldChar w:fldCharType="separate"/>
      </w:r>
      <w:r>
        <w:rPr>
          <w:rFonts w:hint="eastAsia" w:hAnsi="宋体"/>
          <w:szCs w:val="24"/>
          <w:lang w:val="zh-CN"/>
        </w:rPr>
        <w:t>格式15、磋商供应商的类似业绩证明材料</w:t>
      </w:r>
      <w:r>
        <w:tab/>
      </w:r>
      <w:r>
        <w:fldChar w:fldCharType="begin"/>
      </w:r>
      <w:r>
        <w:instrText xml:space="preserve"> PAGEREF _Toc21190 \h </w:instrText>
      </w:r>
      <w:r>
        <w:fldChar w:fldCharType="separate"/>
      </w:r>
      <w:r>
        <w:t>54</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_Toc30714 </w:instrText>
      </w:r>
      <w:r>
        <w:rPr>
          <w:rFonts w:ascii="宋体" w:hAnsi="宋体"/>
          <w:bCs/>
        </w:rPr>
        <w:fldChar w:fldCharType="separate"/>
      </w:r>
      <w:r>
        <w:rPr>
          <w:rFonts w:hint="eastAsia" w:hAnsi="宋体"/>
          <w:szCs w:val="24"/>
          <w:lang w:val="zh-CN"/>
        </w:rPr>
        <w:t>格式16、享受政府采购政策优惠的证明资料</w:t>
      </w:r>
      <w:r>
        <w:tab/>
      </w:r>
      <w:r>
        <w:fldChar w:fldCharType="begin"/>
      </w:r>
      <w:r>
        <w:instrText xml:space="preserve"> PAGEREF _Toc30714 \h </w:instrText>
      </w:r>
      <w:r>
        <w:fldChar w:fldCharType="separate"/>
      </w:r>
      <w:r>
        <w:t>55</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_Toc14949 </w:instrText>
      </w:r>
      <w:r>
        <w:rPr>
          <w:rFonts w:ascii="宋体" w:hAnsi="宋体"/>
          <w:bCs/>
        </w:rPr>
        <w:fldChar w:fldCharType="separate"/>
      </w:r>
      <w:r>
        <w:rPr>
          <w:rFonts w:hint="eastAsia" w:hAnsi="宋体"/>
          <w:szCs w:val="24"/>
          <w:lang w:val="zh-CN"/>
        </w:rPr>
        <w:t>格式17、磋商供应商认为在其他方面有必要说明的事项</w:t>
      </w:r>
      <w:r>
        <w:tab/>
      </w:r>
      <w:r>
        <w:fldChar w:fldCharType="begin"/>
      </w:r>
      <w:r>
        <w:instrText xml:space="preserve"> PAGEREF _Toc14949 \h </w:instrText>
      </w:r>
      <w:r>
        <w:fldChar w:fldCharType="separate"/>
      </w:r>
      <w:r>
        <w:t>59</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_Toc13950 </w:instrText>
      </w:r>
      <w:r>
        <w:rPr>
          <w:rFonts w:ascii="宋体" w:hAnsi="宋体"/>
          <w:bCs/>
        </w:rPr>
        <w:fldChar w:fldCharType="separate"/>
      </w:r>
      <w:r>
        <w:rPr>
          <w:rFonts w:hAnsi="宋体"/>
          <w:szCs w:val="24"/>
          <w:lang w:val="zh-CN"/>
        </w:rPr>
        <w:t>格式</w:t>
      </w:r>
      <w:r>
        <w:rPr>
          <w:rFonts w:hint="eastAsia" w:hAnsi="宋体"/>
          <w:szCs w:val="24"/>
          <w:lang w:val="zh-CN"/>
        </w:rPr>
        <w:t>18、磋商最终报价表</w:t>
      </w:r>
      <w:r>
        <w:rPr>
          <w:rFonts w:hint="eastAsia" w:hAnsi="宋体"/>
          <w:szCs w:val="24"/>
          <w:lang w:val="en-US" w:eastAsia="zh-CN"/>
        </w:rPr>
        <w:t>及最终分项报价表</w:t>
      </w:r>
      <w:r>
        <w:rPr>
          <w:rFonts w:hint="eastAsia" w:hAnsi="宋体"/>
          <w:szCs w:val="24"/>
        </w:rPr>
        <w:t>（单独提交）</w:t>
      </w:r>
      <w:r>
        <w:tab/>
      </w:r>
      <w:r>
        <w:fldChar w:fldCharType="begin"/>
      </w:r>
      <w:r>
        <w:instrText xml:space="preserve"> PAGEREF _Toc13950 \h </w:instrText>
      </w:r>
      <w:r>
        <w:fldChar w:fldCharType="separate"/>
      </w:r>
      <w:r>
        <w:t>60</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_Toc11224 </w:instrText>
      </w:r>
      <w:r>
        <w:rPr>
          <w:rFonts w:ascii="宋体" w:hAnsi="宋体"/>
          <w:bCs/>
        </w:rPr>
        <w:fldChar w:fldCharType="separate"/>
      </w:r>
      <w:r>
        <w:rPr>
          <w:rFonts w:hint="eastAsia" w:ascii="宋体" w:hAnsi="宋体"/>
          <w:szCs w:val="48"/>
        </w:rPr>
        <w:t>第六部分  采购项目要求及技术参数</w:t>
      </w:r>
      <w:r>
        <w:tab/>
      </w:r>
      <w:r>
        <w:fldChar w:fldCharType="begin"/>
      </w:r>
      <w:r>
        <w:instrText xml:space="preserve"> PAGEREF _Toc11224 \h </w:instrText>
      </w:r>
      <w:r>
        <w:fldChar w:fldCharType="separate"/>
      </w:r>
      <w:r>
        <w:t>61</w:t>
      </w:r>
      <w:r>
        <w:fldChar w:fldCharType="end"/>
      </w:r>
      <w:r>
        <w:rPr>
          <w:rFonts w:ascii="宋体" w:hAnsi="宋体"/>
          <w:bCs/>
        </w:rPr>
        <w:fldChar w:fldCharType="end"/>
      </w:r>
    </w:p>
    <w:p>
      <w:pPr>
        <w:pStyle w:val="25"/>
        <w:tabs>
          <w:tab w:val="right" w:leader="dot" w:pos="9752"/>
          <w:tab w:val="clear" w:pos="8296"/>
        </w:tabs>
      </w:pPr>
      <w:r>
        <w:rPr>
          <w:rFonts w:ascii="宋体" w:hAnsi="宋体"/>
          <w:bCs/>
        </w:rPr>
        <w:fldChar w:fldCharType="begin"/>
      </w:r>
      <w:r>
        <w:rPr>
          <w:rFonts w:ascii="宋体" w:hAnsi="宋体"/>
          <w:bCs/>
        </w:rPr>
        <w:instrText xml:space="preserve"> HYPERLINK \l _Toc13260 </w:instrText>
      </w:r>
      <w:r>
        <w:rPr>
          <w:rFonts w:ascii="宋体" w:hAnsi="宋体"/>
          <w:bCs/>
        </w:rPr>
        <w:fldChar w:fldCharType="separate"/>
      </w:r>
      <w:r>
        <w:rPr>
          <w:rFonts w:hint="eastAsia" w:hAnsi="宋体"/>
          <w:bCs/>
          <w:kern w:val="0"/>
          <w:szCs w:val="24"/>
        </w:rPr>
        <w:t>一、磋商要求</w:t>
      </w:r>
      <w:r>
        <w:tab/>
      </w:r>
      <w:r>
        <w:fldChar w:fldCharType="begin"/>
      </w:r>
      <w:r>
        <w:instrText xml:space="preserve"> PAGEREF _Toc13260 \h </w:instrText>
      </w:r>
      <w:r>
        <w:fldChar w:fldCharType="separate"/>
      </w:r>
      <w:r>
        <w:t>61</w:t>
      </w:r>
      <w:r>
        <w:fldChar w:fldCharType="end"/>
      </w:r>
      <w:r>
        <w:rPr>
          <w:rFonts w:ascii="宋体" w:hAnsi="宋体"/>
          <w:bCs/>
        </w:rPr>
        <w:fldChar w:fldCharType="end"/>
      </w:r>
    </w:p>
    <w:p>
      <w:pPr>
        <w:pStyle w:val="25"/>
        <w:spacing w:line="360" w:lineRule="auto"/>
        <w:jc w:val="center"/>
        <w:rPr>
          <w:rFonts w:ascii="宋体" w:hAnsi="宋体"/>
          <w:bCs/>
          <w:sz w:val="24"/>
        </w:rPr>
      </w:pPr>
      <w:r>
        <w:rPr>
          <w:rFonts w:ascii="宋体" w:hAnsi="宋体"/>
          <w:bCs/>
        </w:rPr>
        <w:fldChar w:fldCharType="end"/>
      </w:r>
    </w:p>
    <w:p>
      <w:pPr>
        <w:pStyle w:val="26"/>
        <w:spacing w:before="0" w:after="0" w:line="360" w:lineRule="auto"/>
        <w:rPr>
          <w:rFonts w:ascii="宋体" w:hAnsi="宋体"/>
          <w:sz w:val="48"/>
          <w:szCs w:val="48"/>
        </w:rPr>
      </w:pPr>
      <w:r>
        <w:rPr>
          <w:rFonts w:ascii="宋体" w:hAnsi="宋体"/>
          <w:sz w:val="24"/>
          <w:szCs w:val="24"/>
        </w:rPr>
        <w:br w:type="page"/>
      </w:r>
      <w:bookmarkStart w:id="2" w:name="_Toc9406"/>
      <w:bookmarkStart w:id="3" w:name="_Toc444715732"/>
      <w:bookmarkStart w:id="4" w:name="_Hlk503427406"/>
      <w:r>
        <w:rPr>
          <w:rFonts w:hint="eastAsia" w:ascii="宋体" w:hAnsi="宋体"/>
          <w:sz w:val="48"/>
          <w:szCs w:val="48"/>
        </w:rPr>
        <w:t>第一部分   磋商邀请</w:t>
      </w:r>
      <w:bookmarkEnd w:id="2"/>
      <w:bookmarkEnd w:id="3"/>
    </w:p>
    <w:p>
      <w:pPr>
        <w:spacing w:line="360" w:lineRule="auto"/>
        <w:ind w:firstLine="480" w:firstLineChars="200"/>
        <w:rPr>
          <w:rFonts w:ascii="宋体" w:hAnsi="宋体" w:cs="宋体"/>
          <w:sz w:val="24"/>
          <w:lang w:val="zh-CN"/>
        </w:rPr>
      </w:pPr>
      <w:bookmarkStart w:id="5" w:name="_Hlk503427571"/>
      <w:r>
        <w:rPr>
          <w:rFonts w:hint="eastAsia" w:ascii="宋体" w:hAnsi="宋体" w:cs="宋体"/>
          <w:sz w:val="24"/>
          <w:lang w:val="zh-CN"/>
        </w:rPr>
        <w:t>青海国焱工程项目管理有限公司（以下均简称“采购代理机构”）受青海省中医院（以下均简称“采购单位”）委托，拟对青海省中医院干眼检测仪等设备采购项目（采购项目编号：青海国焱竞磋（货物）2025-084号）进行国内竞争性磋商采购，现予以公告，欢迎潜在的磋商供应商参加本次政府采购活动。</w:t>
      </w:r>
    </w:p>
    <w:tbl>
      <w:tblPr>
        <w:tblStyle w:val="35"/>
        <w:tblW w:w="9669" w:type="dxa"/>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fixed"/>
        <w:tblCellMar>
          <w:top w:w="0" w:type="dxa"/>
          <w:left w:w="0" w:type="dxa"/>
          <w:bottom w:w="0" w:type="dxa"/>
          <w:right w:w="0" w:type="dxa"/>
        </w:tblCellMar>
      </w:tblPr>
      <w:tblGrid>
        <w:gridCol w:w="1944"/>
        <w:gridCol w:w="7725"/>
      </w:tblGrid>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s="宋体"/>
                <w:sz w:val="24"/>
                <w:lang w:val="zh-CN"/>
              </w:rPr>
            </w:pPr>
            <w:r>
              <w:rPr>
                <w:rFonts w:hint="eastAsia" w:ascii="宋体" w:hAnsi="宋体" w:cs="宋体"/>
                <w:sz w:val="24"/>
                <w:lang w:val="zh-CN"/>
              </w:rPr>
              <w:t>采购项目编号</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s="宋体"/>
                <w:sz w:val="24"/>
                <w:lang w:val="zh-CN"/>
              </w:rPr>
            </w:pPr>
            <w:bookmarkStart w:id="6" w:name="OLE_LINK22"/>
            <w:r>
              <w:rPr>
                <w:rFonts w:hint="eastAsia" w:ascii="宋体" w:hAnsi="宋体" w:cs="宋体"/>
                <w:sz w:val="24"/>
                <w:lang w:val="zh-CN"/>
              </w:rPr>
              <w:t>青海国焱竞磋（货物）2025-084号</w:t>
            </w:r>
            <w:bookmarkEnd w:id="6"/>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采购项目名称</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s="Tahoma"/>
                <w:sz w:val="24"/>
              </w:rPr>
            </w:pPr>
            <w:bookmarkStart w:id="7" w:name="OLE_LINK21"/>
            <w:r>
              <w:rPr>
                <w:rFonts w:hint="eastAsia" w:ascii="宋体" w:hAnsi="宋体" w:cs="宋体"/>
                <w:sz w:val="24"/>
                <w:lang w:val="zh-CN"/>
              </w:rPr>
              <w:t>青海省中医院干眼检测仪等设备采购项目</w:t>
            </w:r>
            <w:bookmarkEnd w:id="7"/>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78"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采购方式</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kern w:val="0"/>
                <w:sz w:val="24"/>
              </w:rPr>
            </w:pPr>
            <w:r>
              <w:rPr>
                <w:rFonts w:ascii="宋体" w:hAnsi="宋体"/>
                <w:kern w:val="0"/>
                <w:sz w:val="24"/>
              </w:rPr>
              <w:t>竞争性磋商</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采购预算控制额度</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hint="eastAsia" w:ascii="宋体" w:hAnsi="宋体" w:eastAsia="宋体"/>
                <w:kern w:val="0"/>
                <w:sz w:val="24"/>
                <w:lang w:eastAsia="zh-CN"/>
              </w:rPr>
            </w:pPr>
            <w:r>
              <w:rPr>
                <w:rFonts w:hint="eastAsia" w:ascii="宋体" w:hAnsi="宋体" w:cs="宋体"/>
                <w:sz w:val="24"/>
                <w:lang w:eastAsia="zh-CN"/>
              </w:rPr>
              <w:t>人民币</w:t>
            </w:r>
            <w:bookmarkStart w:id="8" w:name="OLE_LINK7"/>
            <w:r>
              <w:rPr>
                <w:rFonts w:hint="eastAsia" w:ascii="宋体" w:hAnsi="宋体" w:cs="宋体"/>
                <w:sz w:val="24"/>
                <w:lang w:eastAsia="zh-CN"/>
              </w:rPr>
              <w:t>667,300</w:t>
            </w:r>
            <w:bookmarkEnd w:id="8"/>
            <w:r>
              <w:rPr>
                <w:rFonts w:hint="eastAsia" w:ascii="宋体" w:hAnsi="宋体" w:cs="宋体"/>
                <w:sz w:val="24"/>
                <w:lang w:eastAsia="zh-CN"/>
              </w:rPr>
              <w:t>.00元</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项目分包个数</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kern w:val="0"/>
                <w:sz w:val="24"/>
              </w:rPr>
            </w:pPr>
            <w:r>
              <w:rPr>
                <w:rFonts w:hint="eastAsia" w:ascii="宋体" w:hAnsi="宋体"/>
                <w:kern w:val="0"/>
                <w:sz w:val="24"/>
              </w:rPr>
              <w:t>无</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46" w:hRule="atLeast"/>
          <w:jc w:val="center"/>
        </w:trPr>
        <w:tc>
          <w:tcPr>
            <w:tcW w:w="1944" w:type="dxa"/>
            <w:tcBorders>
              <w:top w:val="outset" w:color="000000" w:sz="6" w:space="0"/>
              <w:left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项目要求</w:t>
            </w:r>
          </w:p>
        </w:tc>
        <w:tc>
          <w:tcPr>
            <w:tcW w:w="7725" w:type="dxa"/>
            <w:tcBorders>
              <w:top w:val="outset" w:color="000000" w:sz="6" w:space="0"/>
              <w:left w:val="outset" w:color="000000" w:sz="6" w:space="0"/>
              <w:right w:val="outset" w:color="000000" w:sz="6" w:space="0"/>
            </w:tcBorders>
            <w:vAlign w:val="center"/>
          </w:tcPr>
          <w:p>
            <w:pPr>
              <w:pStyle w:val="93"/>
              <w:spacing w:line="360" w:lineRule="auto"/>
              <w:rPr>
                <w:rFonts w:ascii="宋体" w:hAnsi="宋体"/>
                <w:kern w:val="0"/>
                <w:sz w:val="24"/>
              </w:rPr>
            </w:pPr>
            <w:bookmarkStart w:id="9" w:name="OLE_LINK23"/>
            <w:r>
              <w:rPr>
                <w:rFonts w:hint="eastAsia" w:ascii="宋体" w:hAnsi="宋体"/>
                <w:kern w:val="0"/>
                <w:sz w:val="24"/>
              </w:rPr>
              <w:t>具体内容详见《磋商文件》</w:t>
            </w:r>
            <w:bookmarkEnd w:id="9"/>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cs="宋体"/>
                <w:sz w:val="24"/>
              </w:rPr>
              <w:t>磋商供应商</w:t>
            </w:r>
            <w:r>
              <w:rPr>
                <w:rFonts w:hint="eastAsia" w:ascii="宋体" w:hAnsi="宋体"/>
                <w:kern w:val="0"/>
                <w:sz w:val="24"/>
              </w:rPr>
              <w:t>资格条件</w:t>
            </w:r>
          </w:p>
        </w:tc>
        <w:tc>
          <w:tcPr>
            <w:tcW w:w="7725" w:type="dxa"/>
            <w:tcBorders>
              <w:top w:val="outset" w:color="000000" w:sz="6" w:space="0"/>
              <w:left w:val="outset" w:color="000000" w:sz="6" w:space="0"/>
              <w:bottom w:val="outset" w:color="000000" w:sz="6" w:space="0"/>
              <w:right w:val="outset" w:color="000000" w:sz="6" w:space="0"/>
            </w:tcBorders>
            <w:vAlign w:val="center"/>
          </w:tcPr>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1.符合《政府采购法》第22条条件，并提供下列材料：</w:t>
            </w:r>
          </w:p>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&lt;1&gt;磋商人的营业执照等证明文件，自然人的身份证明。</w:t>
            </w:r>
          </w:p>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&lt;2&gt;财务状况报告，依法缴纳税收和社会保障资金的相关材料。</w:t>
            </w:r>
          </w:p>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&lt;3&gt;具备履行合同所必需的设备和专业技术能力的证明材料。</w:t>
            </w:r>
          </w:p>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&lt;4&gt;参加政府采购活动前3年内在经营活动中没有重大违法记录的书面声明。</w:t>
            </w:r>
          </w:p>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&lt;5&gt;具备法律、行政法规规定的其他条件的证明材料 。</w:t>
            </w:r>
          </w:p>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2.单位负责人为同一人或者存在直接控股、管理关系的不同磋商人，不得参加同一合同项下的政府采购活动。否则，皆取消投标资格；</w:t>
            </w:r>
          </w:p>
          <w:p>
            <w:pPr>
              <w:autoSpaceDE w:val="0"/>
              <w:autoSpaceDN w:val="0"/>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3</w:t>
            </w:r>
            <w:r>
              <w:rPr>
                <w:rFonts w:hint="eastAsia" w:ascii="宋体" w:hAnsi="宋体" w:cs="宋体"/>
                <w:kern w:val="2"/>
                <w:sz w:val="24"/>
                <w:szCs w:val="24"/>
                <w:lang w:val="en-US" w:eastAsia="zh-CN" w:bidi="ar-SA"/>
              </w:rPr>
              <w:t>.</w:t>
            </w:r>
            <w:r>
              <w:rPr>
                <w:rFonts w:hint="eastAsia" w:ascii="宋体" w:hAnsi="宋体" w:eastAsia="宋体" w:cs="宋体"/>
                <w:kern w:val="2"/>
                <w:sz w:val="24"/>
                <w:szCs w:val="24"/>
                <w:lang w:val="zh-CN" w:eastAsia="zh-CN" w:bidi="ar-SA"/>
              </w:rPr>
              <w:t>经信用中</w:t>
            </w:r>
            <w:r>
              <w:rPr>
                <w:rFonts w:hint="eastAsia" w:ascii="宋体" w:hAnsi="宋体" w:eastAsia="宋体" w:cs="宋体"/>
                <w:kern w:val="2"/>
                <w:sz w:val="24"/>
                <w:szCs w:val="24"/>
                <w:lang w:val="en-US" w:eastAsia="zh-CN" w:bidi="ar-SA"/>
              </w:rPr>
              <w:t>国（www.creditchina.gov.cn）、中国政府采购网（www.ccgp.gov.cn）等渠道查询后，列入失信被执行人、</w:t>
            </w:r>
            <w:r>
              <w:rPr>
                <w:rFonts w:hint="eastAsia" w:ascii="宋体" w:hAnsi="宋体" w:cs="宋体"/>
                <w:kern w:val="2"/>
                <w:sz w:val="24"/>
                <w:szCs w:val="24"/>
                <w:lang w:val="en-US" w:eastAsia="zh-CN" w:bidi="ar-SA"/>
              </w:rPr>
              <w:t>重大税收违法失信主体</w:t>
            </w:r>
            <w:r>
              <w:rPr>
                <w:rFonts w:hint="eastAsia" w:ascii="宋体" w:hAnsi="宋体" w:eastAsia="宋体" w:cs="宋体"/>
                <w:kern w:val="2"/>
                <w:sz w:val="24"/>
                <w:szCs w:val="24"/>
                <w:lang w:val="en-US" w:eastAsia="zh-CN" w:bidi="ar-SA"/>
              </w:rPr>
              <w:t>、政府采购严重违法失信行为记录名单的，取消投标资格(提供“信用中国”网站的查询截图)；</w:t>
            </w:r>
          </w:p>
          <w:p>
            <w:pPr>
              <w:autoSpaceDE w:val="0"/>
              <w:autoSpaceDN w:val="0"/>
              <w:spacing w:line="360" w:lineRule="auto"/>
              <w:rPr>
                <w:rFonts w:hint="eastAsia" w:ascii="宋体" w:hAnsi="宋体" w:eastAsia="宋体" w:cs="宋体"/>
                <w:kern w:val="2"/>
                <w:sz w:val="24"/>
                <w:szCs w:val="24"/>
                <w:lang w:val="zh-CN" w:eastAsia="zh-CN" w:bidi="ar-SA"/>
              </w:rPr>
            </w:pPr>
            <w:r>
              <w:rPr>
                <w:rFonts w:hint="eastAsia" w:ascii="宋体" w:hAnsi="宋体" w:cs="宋体"/>
                <w:kern w:val="2"/>
                <w:sz w:val="24"/>
                <w:szCs w:val="24"/>
                <w:lang w:val="en-US" w:eastAsia="zh-CN" w:bidi="ar-SA"/>
              </w:rPr>
              <w:t>4</w:t>
            </w:r>
            <w:r>
              <w:rPr>
                <w:rFonts w:hint="eastAsia" w:ascii="宋体" w:hAnsi="宋体" w:eastAsia="宋体" w:cs="宋体"/>
                <w:kern w:val="2"/>
                <w:sz w:val="24"/>
                <w:szCs w:val="24"/>
                <w:lang w:val="zh-CN" w:eastAsia="zh-CN" w:bidi="ar-SA"/>
              </w:rPr>
              <w:t>.本项目不接受磋商人以联合体方式进行投标；</w:t>
            </w:r>
          </w:p>
          <w:p>
            <w:pPr>
              <w:autoSpaceDE w:val="0"/>
              <w:autoSpaceDN w:val="0"/>
              <w:spacing w:line="360" w:lineRule="auto"/>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5.</w:t>
            </w:r>
            <w:bookmarkStart w:id="10" w:name="OLE_LINK9"/>
            <w:r>
              <w:rPr>
                <w:rFonts w:hint="eastAsia" w:ascii="宋体" w:hAnsi="宋体"/>
                <w:color w:val="000000"/>
                <w:sz w:val="24"/>
                <w:szCs w:val="24"/>
              </w:rPr>
              <w:t>本次采购要求</w:t>
            </w:r>
            <w:r>
              <w:rPr>
                <w:rFonts w:hint="eastAsia" w:ascii="宋体" w:hAnsi="宋体"/>
                <w:color w:val="000000"/>
                <w:sz w:val="24"/>
                <w:szCs w:val="24"/>
                <w:lang w:eastAsia="zh-CN"/>
              </w:rPr>
              <w:t>供应商</w:t>
            </w:r>
            <w:r>
              <w:rPr>
                <w:rFonts w:hint="eastAsia" w:ascii="宋体" w:hAnsi="宋体"/>
                <w:color w:val="000000"/>
                <w:sz w:val="24"/>
                <w:szCs w:val="24"/>
              </w:rPr>
              <w:t>为生产商的，须具备有效的医疗器械生产许可证和所投产品的医疗器械注册证；</w:t>
            </w:r>
            <w:r>
              <w:rPr>
                <w:rFonts w:hint="eastAsia" w:ascii="宋体" w:hAnsi="宋体"/>
                <w:color w:val="000000"/>
                <w:sz w:val="24"/>
                <w:szCs w:val="24"/>
                <w:lang w:eastAsia="zh-CN"/>
              </w:rPr>
              <w:t>供应商</w:t>
            </w:r>
            <w:r>
              <w:rPr>
                <w:rFonts w:hint="eastAsia" w:ascii="宋体" w:hAnsi="宋体"/>
                <w:color w:val="000000"/>
                <w:sz w:val="24"/>
                <w:szCs w:val="24"/>
              </w:rPr>
              <w:t>为代理商的，具备有效的医疗器械经营许可证及所投产品的医疗器械注册证；</w:t>
            </w:r>
            <w:bookmarkEnd w:id="10"/>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公告发布时间</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202</w:t>
            </w:r>
            <w:r>
              <w:rPr>
                <w:rFonts w:hint="eastAsia" w:ascii="宋体" w:hAnsi="宋体"/>
                <w:color w:val="000000" w:themeColor="text1"/>
                <w:kern w:val="0"/>
                <w:sz w:val="24"/>
                <w:lang w:val="en-US" w:eastAsia="zh-CN"/>
                <w14:textFill>
                  <w14:solidFill>
                    <w14:schemeClr w14:val="tx1"/>
                  </w14:solidFill>
                </w14:textFill>
              </w:rPr>
              <w:t>5</w:t>
            </w:r>
            <w:r>
              <w:rPr>
                <w:rFonts w:hint="eastAsia" w:ascii="宋体" w:hAnsi="宋体"/>
                <w:color w:val="000000" w:themeColor="text1"/>
                <w:kern w:val="0"/>
                <w:sz w:val="24"/>
                <w14:textFill>
                  <w14:solidFill>
                    <w14:schemeClr w14:val="tx1"/>
                  </w14:solidFill>
                </w14:textFill>
              </w:rPr>
              <w:t>年</w:t>
            </w:r>
            <w:r>
              <w:rPr>
                <w:rFonts w:hint="eastAsia" w:ascii="宋体" w:hAnsi="宋体"/>
                <w:color w:val="000000" w:themeColor="text1"/>
                <w:kern w:val="0"/>
                <w:sz w:val="24"/>
                <w:lang w:val="en-US" w:eastAsia="zh-CN"/>
                <w14:textFill>
                  <w14:solidFill>
                    <w14:schemeClr w14:val="tx1"/>
                  </w14:solidFill>
                </w14:textFill>
              </w:rPr>
              <w:t>04</w:t>
            </w:r>
            <w:r>
              <w:rPr>
                <w:rFonts w:hint="eastAsia" w:ascii="宋体" w:hAnsi="宋体"/>
                <w:color w:val="000000" w:themeColor="text1"/>
                <w:kern w:val="0"/>
                <w:sz w:val="24"/>
                <w14:textFill>
                  <w14:solidFill>
                    <w14:schemeClr w14:val="tx1"/>
                  </w14:solidFill>
                </w14:textFill>
              </w:rPr>
              <w:t>月</w:t>
            </w:r>
            <w:r>
              <w:rPr>
                <w:rFonts w:hint="eastAsia" w:ascii="宋体" w:hAnsi="宋体"/>
                <w:color w:val="000000" w:themeColor="text1"/>
                <w:kern w:val="0"/>
                <w:sz w:val="24"/>
                <w:lang w:val="en-US" w:eastAsia="zh-CN"/>
                <w14:textFill>
                  <w14:solidFill>
                    <w14:schemeClr w14:val="tx1"/>
                  </w14:solidFill>
                </w14:textFill>
              </w:rPr>
              <w:t>03</w:t>
            </w:r>
            <w:r>
              <w:rPr>
                <w:rFonts w:hint="eastAsia" w:ascii="宋体" w:hAnsi="宋体"/>
                <w:color w:val="000000" w:themeColor="text1"/>
                <w:kern w:val="0"/>
                <w:sz w:val="24"/>
                <w14:textFill>
                  <w14:solidFill>
                    <w14:schemeClr w14:val="tx1"/>
                  </w14:solidFill>
                </w14:textFill>
              </w:rPr>
              <w:t>日</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cantSplit/>
          <w:jc w:val="center"/>
        </w:trPr>
        <w:tc>
          <w:tcPr>
            <w:tcW w:w="1944" w:type="dxa"/>
            <w:tcBorders>
              <w:top w:val="outset" w:color="000000" w:sz="6" w:space="0"/>
              <w:left w:val="outset" w:color="000000" w:sz="6" w:space="0"/>
              <w:bottom w:val="outset" w:color="000000" w:sz="6" w:space="0"/>
              <w:right w:val="outset" w:color="000000" w:sz="6" w:space="0"/>
            </w:tcBorders>
          </w:tcPr>
          <w:p>
            <w:pPr>
              <w:pStyle w:val="50"/>
              <w:spacing w:line="360" w:lineRule="auto"/>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磋商文件发售起止时间</w:t>
            </w:r>
          </w:p>
        </w:tc>
        <w:tc>
          <w:tcPr>
            <w:tcW w:w="7725" w:type="dxa"/>
            <w:tcBorders>
              <w:top w:val="outset" w:color="000000" w:sz="6" w:space="0"/>
              <w:left w:val="outset" w:color="000000" w:sz="6" w:space="0"/>
              <w:bottom w:val="outset" w:color="000000" w:sz="6" w:space="0"/>
              <w:right w:val="outset" w:color="000000" w:sz="6" w:space="0"/>
            </w:tcBorders>
          </w:tcPr>
          <w:p>
            <w:pPr>
              <w:pStyle w:val="5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自202</w:t>
            </w:r>
            <w:r>
              <w:rPr>
                <w:rFonts w:hint="eastAsia" w:ascii="宋体" w:hAnsi="宋体"/>
                <w:color w:val="000000" w:themeColor="text1"/>
                <w:kern w:val="0"/>
                <w:sz w:val="24"/>
                <w:lang w:val="en-US" w:eastAsia="zh-CN"/>
                <w14:textFill>
                  <w14:solidFill>
                    <w14:schemeClr w14:val="tx1"/>
                  </w14:solidFill>
                </w14:textFill>
              </w:rPr>
              <w:t>5</w:t>
            </w:r>
            <w:r>
              <w:rPr>
                <w:rFonts w:hint="eastAsia" w:ascii="宋体" w:hAnsi="宋体"/>
                <w:color w:val="000000" w:themeColor="text1"/>
                <w:kern w:val="0"/>
                <w:sz w:val="24"/>
                <w14:textFill>
                  <w14:solidFill>
                    <w14:schemeClr w14:val="tx1"/>
                  </w14:solidFill>
                </w14:textFill>
              </w:rPr>
              <w:t>年</w:t>
            </w:r>
            <w:r>
              <w:rPr>
                <w:rFonts w:hint="eastAsia" w:ascii="宋体" w:hAnsi="宋体"/>
                <w:color w:val="000000" w:themeColor="text1"/>
                <w:kern w:val="0"/>
                <w:sz w:val="24"/>
                <w:lang w:val="en-US" w:eastAsia="zh-CN"/>
                <w14:textFill>
                  <w14:solidFill>
                    <w14:schemeClr w14:val="tx1"/>
                  </w14:solidFill>
                </w14:textFill>
              </w:rPr>
              <w:t>04</w:t>
            </w:r>
            <w:r>
              <w:rPr>
                <w:rFonts w:hint="eastAsia" w:ascii="宋体" w:hAnsi="宋体"/>
                <w:color w:val="000000" w:themeColor="text1"/>
                <w:kern w:val="0"/>
                <w:sz w:val="24"/>
                <w14:textFill>
                  <w14:solidFill>
                    <w14:schemeClr w14:val="tx1"/>
                  </w14:solidFill>
                </w14:textFill>
              </w:rPr>
              <w:t>月</w:t>
            </w:r>
            <w:r>
              <w:rPr>
                <w:rFonts w:hint="eastAsia" w:ascii="宋体" w:hAnsi="宋体"/>
                <w:color w:val="000000" w:themeColor="text1"/>
                <w:kern w:val="0"/>
                <w:sz w:val="24"/>
                <w:lang w:val="en-US" w:eastAsia="zh-CN"/>
                <w14:textFill>
                  <w14:solidFill>
                    <w14:schemeClr w14:val="tx1"/>
                  </w14:solidFill>
                </w14:textFill>
              </w:rPr>
              <w:t>04</w:t>
            </w:r>
            <w:r>
              <w:rPr>
                <w:rFonts w:hint="eastAsia" w:ascii="宋体" w:hAnsi="宋体"/>
                <w:color w:val="000000" w:themeColor="text1"/>
                <w:kern w:val="0"/>
                <w:sz w:val="24"/>
                <w14:textFill>
                  <w14:solidFill>
                    <w14:schemeClr w14:val="tx1"/>
                  </w14:solidFill>
                </w14:textFill>
              </w:rPr>
              <w:t>日至202</w:t>
            </w:r>
            <w:r>
              <w:rPr>
                <w:rFonts w:hint="eastAsia" w:ascii="宋体" w:hAnsi="宋体"/>
                <w:color w:val="000000" w:themeColor="text1"/>
                <w:kern w:val="0"/>
                <w:sz w:val="24"/>
                <w:lang w:val="en-US" w:eastAsia="zh-CN"/>
                <w14:textFill>
                  <w14:solidFill>
                    <w14:schemeClr w14:val="tx1"/>
                  </w14:solidFill>
                </w14:textFill>
              </w:rPr>
              <w:t>5</w:t>
            </w:r>
            <w:r>
              <w:rPr>
                <w:rFonts w:hint="eastAsia" w:ascii="宋体" w:hAnsi="宋体"/>
                <w:color w:val="000000" w:themeColor="text1"/>
                <w:kern w:val="0"/>
                <w:sz w:val="24"/>
                <w14:textFill>
                  <w14:solidFill>
                    <w14:schemeClr w14:val="tx1"/>
                  </w14:solidFill>
                </w14:textFill>
              </w:rPr>
              <w:t>年</w:t>
            </w:r>
            <w:r>
              <w:rPr>
                <w:rFonts w:hint="eastAsia" w:ascii="宋体" w:hAnsi="宋体"/>
                <w:color w:val="000000" w:themeColor="text1"/>
                <w:kern w:val="0"/>
                <w:sz w:val="24"/>
                <w:lang w:val="en-US" w:eastAsia="zh-CN"/>
                <w14:textFill>
                  <w14:solidFill>
                    <w14:schemeClr w14:val="tx1"/>
                  </w14:solidFill>
                </w14:textFill>
              </w:rPr>
              <w:t>04</w:t>
            </w:r>
            <w:r>
              <w:rPr>
                <w:rFonts w:hint="eastAsia" w:ascii="宋体" w:hAnsi="宋体"/>
                <w:color w:val="000000" w:themeColor="text1"/>
                <w:kern w:val="0"/>
                <w:sz w:val="24"/>
                <w14:textFill>
                  <w14:solidFill>
                    <w14:schemeClr w14:val="tx1"/>
                  </w14:solidFill>
                </w14:textFill>
              </w:rPr>
              <w:t>月</w:t>
            </w:r>
            <w:r>
              <w:rPr>
                <w:rFonts w:hint="eastAsia" w:ascii="宋体" w:hAnsi="宋体"/>
                <w:color w:val="000000" w:themeColor="text1"/>
                <w:kern w:val="0"/>
                <w:sz w:val="24"/>
                <w:lang w:val="en-US" w:eastAsia="zh-CN"/>
                <w14:textFill>
                  <w14:solidFill>
                    <w14:schemeClr w14:val="tx1"/>
                  </w14:solidFill>
                </w14:textFill>
              </w:rPr>
              <w:t>11</w:t>
            </w:r>
            <w:r>
              <w:rPr>
                <w:rFonts w:hint="eastAsia" w:ascii="宋体" w:hAnsi="宋体"/>
                <w:color w:val="000000" w:themeColor="text1"/>
                <w:kern w:val="0"/>
                <w:sz w:val="24"/>
                <w14:textFill>
                  <w14:solidFill>
                    <w14:schemeClr w14:val="tx1"/>
                  </w14:solidFill>
                </w14:textFill>
              </w:rPr>
              <w:t>日（上午</w:t>
            </w:r>
            <w:r>
              <w:rPr>
                <w:rFonts w:hint="eastAsia" w:ascii="宋体" w:hAnsi="宋体"/>
                <w:color w:val="000000" w:themeColor="text1"/>
                <w:kern w:val="0"/>
                <w:sz w:val="24"/>
                <w:lang w:val="en-US" w:eastAsia="zh-CN"/>
                <w14:textFill>
                  <w14:solidFill>
                    <w14:schemeClr w14:val="tx1"/>
                  </w14:solidFill>
                </w14:textFill>
              </w:rPr>
              <w:t>0</w:t>
            </w:r>
            <w:r>
              <w:rPr>
                <w:rFonts w:hint="eastAsia" w:ascii="宋体" w:hAnsi="宋体"/>
                <w:color w:val="000000" w:themeColor="text1"/>
                <w:kern w:val="0"/>
                <w:sz w:val="24"/>
                <w14:textFill>
                  <w14:solidFill>
                    <w14:schemeClr w14:val="tx1"/>
                  </w14:solidFill>
                </w14:textFill>
              </w:rPr>
              <w:t>0:00-12:00，下午12:</w:t>
            </w:r>
            <w:r>
              <w:rPr>
                <w:rFonts w:ascii="宋体" w:hAnsi="宋体"/>
                <w:color w:val="000000" w:themeColor="text1"/>
                <w:kern w:val="0"/>
                <w:sz w:val="24"/>
                <w14:textFill>
                  <w14:solidFill>
                    <w14:schemeClr w14:val="tx1"/>
                  </w14:solidFill>
                </w14:textFill>
              </w:rPr>
              <w:t>0</w:t>
            </w:r>
            <w:r>
              <w:rPr>
                <w:rFonts w:hint="eastAsia" w:ascii="宋体" w:hAnsi="宋体"/>
                <w:color w:val="000000" w:themeColor="text1"/>
                <w:kern w:val="0"/>
                <w:sz w:val="24"/>
                <w14:textFill>
                  <w14:solidFill>
                    <w14:schemeClr w14:val="tx1"/>
                  </w14:solidFill>
                </w14:textFill>
              </w:rPr>
              <w:t>0-23:59休息日、节假日除外）。</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磋商文件发售方式</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政采云线上报名，</w:t>
            </w:r>
            <w:r>
              <w:rPr>
                <w:rFonts w:ascii="宋体" w:hAnsi="宋体"/>
                <w:color w:val="000000" w:themeColor="text1"/>
                <w:kern w:val="0"/>
                <w:sz w:val="24"/>
                <w14:textFill>
                  <w14:solidFill>
                    <w14:schemeClr w14:val="tx1"/>
                  </w14:solidFill>
                </w14:textFill>
              </w:rPr>
              <w:t>供应商登录政采云平台</w:t>
            </w:r>
            <w:r>
              <w:rPr>
                <w:rFonts w:ascii="宋体" w:hAnsi="宋体"/>
                <w:color w:val="000000" w:themeColor="text1"/>
                <w:kern w:val="0"/>
                <w:sz w:val="24"/>
                <w14:textFill>
                  <w14:solidFill>
                    <w14:schemeClr w14:val="tx1"/>
                  </w14:solidFill>
                </w14:textFill>
              </w:rPr>
              <w:fldChar w:fldCharType="begin"/>
            </w:r>
            <w:r>
              <w:rPr>
                <w:rFonts w:ascii="宋体" w:hAnsi="宋体"/>
                <w:color w:val="000000" w:themeColor="text1"/>
                <w:kern w:val="0"/>
                <w:sz w:val="24"/>
                <w14:textFill>
                  <w14:solidFill>
                    <w14:schemeClr w14:val="tx1"/>
                  </w14:solidFill>
                </w14:textFill>
              </w:rPr>
              <w:instrText xml:space="preserve"> INCLUDEPICTURE "C:\\Users\\GY\\AppData\\Roaming\\Tencent\\QQTempSys\\%W@GJ$ACOF(TYDYECOKVDYB.png" \* MERGEFORMATINET </w:instrText>
            </w:r>
            <w:r>
              <w:rPr>
                <w:rFonts w:ascii="宋体" w:hAnsi="宋体"/>
                <w:color w:val="000000" w:themeColor="text1"/>
                <w:kern w:val="0"/>
                <w:sz w:val="24"/>
                <w14:textFill>
                  <w14:solidFill>
                    <w14:schemeClr w14:val="tx1"/>
                  </w14:solidFill>
                </w14:textFill>
              </w:rPr>
              <w:fldChar w:fldCharType="end"/>
            </w:r>
            <w:r>
              <w:rPr>
                <w:rFonts w:ascii="宋体" w:hAnsi="宋体"/>
                <w:color w:val="000000" w:themeColor="text1"/>
                <w:kern w:val="0"/>
                <w:sz w:val="24"/>
                <w14:textFill>
                  <w14:solidFill>
                    <w14:schemeClr w14:val="tx1"/>
                  </w14:solidFill>
                </w14:textFill>
              </w:rPr>
              <w:t>https://www.zcygov.cn/在线申请获取采购文件（进入“项目采购”应用，在获取采购文件菜单中选择项目，申请获取采购文件）</w:t>
            </w:r>
          </w:p>
          <w:p>
            <w:pPr>
              <w:pStyle w:val="5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（提示：请潜在供应商报名前务必完成网上企业注册及CA锁办理等手续；具体操作详见附件操作指南）</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磋商文件售价</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0</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磋商文件发售地点</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olor w:val="000000" w:themeColor="text1"/>
                <w:kern w:val="0"/>
                <w:sz w:val="24"/>
                <w14:textFill>
                  <w14:solidFill>
                    <w14:schemeClr w14:val="tx1"/>
                  </w14:solidFill>
                </w14:textFill>
              </w:rPr>
            </w:pPr>
            <w:r>
              <w:rPr>
                <w:rFonts w:ascii="宋体" w:hAnsi="宋体"/>
                <w:color w:val="000000" w:themeColor="text1"/>
                <w:kern w:val="0"/>
                <w:sz w:val="24"/>
                <w14:textFill>
                  <w14:solidFill>
                    <w14:schemeClr w14:val="tx1"/>
                  </w14:solidFill>
                </w14:textFill>
              </w:rPr>
              <w:t>线上获取通过政采云平台（</w:t>
            </w:r>
            <w:r>
              <w:rPr>
                <w:rFonts w:ascii="宋体" w:hAnsi="宋体"/>
                <w:color w:val="000000" w:themeColor="text1"/>
                <w:kern w:val="0"/>
                <w:sz w:val="24"/>
                <w14:textFill>
                  <w14:solidFill>
                    <w14:schemeClr w14:val="tx1"/>
                  </w14:solidFill>
                </w14:textFill>
              </w:rPr>
              <w:drawing>
                <wp:inline distT="0" distB="0" distL="0" distR="0">
                  <wp:extent cx="189865" cy="146685"/>
                  <wp:effectExtent l="0" t="0" r="635" b="5715"/>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GJ$ACOF(TYDYECOKVDYB"/>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89865" cy="146685"/>
                          </a:xfrm>
                          <a:prstGeom prst="rect">
                            <a:avLst/>
                          </a:prstGeom>
                          <a:noFill/>
                          <a:ln>
                            <a:noFill/>
                          </a:ln>
                        </pic:spPr>
                      </pic:pic>
                    </a:graphicData>
                  </a:graphic>
                </wp:inline>
              </w:drawing>
            </w:r>
            <w:r>
              <w:rPr>
                <w:rFonts w:ascii="宋体" w:hAnsi="宋体"/>
                <w:color w:val="000000" w:themeColor="text1"/>
                <w:kern w:val="0"/>
                <w:sz w:val="24"/>
                <w14:textFill>
                  <w14:solidFill>
                    <w14:schemeClr w14:val="tx1"/>
                  </w14:solidFill>
                </w14:textFill>
              </w:rPr>
              <w:t>www.zcygov.cn）获取</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磋商截止时间</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lang w:eastAsia="zh-CN"/>
                <w14:textFill>
                  <w14:solidFill>
                    <w14:schemeClr w14:val="tx1"/>
                  </w14:solidFill>
                </w14:textFill>
              </w:rPr>
              <w:t>2025年04月17日下午14:30（北京时间）</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磋商时间</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lang w:eastAsia="zh-CN"/>
                <w14:textFill>
                  <w14:solidFill>
                    <w14:schemeClr w14:val="tx1"/>
                  </w14:solidFill>
                </w14:textFill>
              </w:rPr>
              <w:t>2025年04月17日下午14:30（北京时间）</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磋商及磋商地点</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olor w:val="000000" w:themeColor="text1"/>
                <w:kern w:val="0"/>
                <w:sz w:val="24"/>
                <w14:textFill>
                  <w14:solidFill>
                    <w14:schemeClr w14:val="tx1"/>
                  </w14:solidFill>
                </w14:textFill>
              </w:rPr>
            </w:pPr>
            <w:bookmarkStart w:id="11" w:name="OLE_LINK24"/>
            <w:r>
              <w:rPr>
                <w:rFonts w:hint="eastAsia" w:ascii="宋体" w:hAnsi="宋体"/>
                <w:color w:val="000000" w:themeColor="text1"/>
                <w:kern w:val="0"/>
                <w:sz w:val="24"/>
                <w:lang w:eastAsia="zh-CN"/>
                <w14:textFill>
                  <w14:solidFill>
                    <w14:schemeClr w14:val="tx1"/>
                  </w14:solidFill>
                </w14:textFill>
              </w:rPr>
              <w:t>西宁市城西区盐湖巷6号10号楼（城西区总部经济大厦)16楼</w:t>
            </w:r>
            <w:r>
              <w:rPr>
                <w:rFonts w:hint="eastAsia" w:ascii="宋体" w:hAnsi="宋体"/>
                <w:color w:val="000000" w:themeColor="text1"/>
                <w:kern w:val="0"/>
                <w:sz w:val="24"/>
                <w14:textFill>
                  <w14:solidFill>
                    <w14:schemeClr w14:val="tx1"/>
                  </w14:solidFill>
                </w14:textFill>
              </w:rPr>
              <w:t>青海国焱工程项目管理有限公司</w:t>
            </w:r>
            <w:bookmarkEnd w:id="11"/>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采购单位及联系人电话</w:t>
            </w:r>
          </w:p>
        </w:tc>
        <w:tc>
          <w:tcPr>
            <w:tcW w:w="7725" w:type="dxa"/>
            <w:tcBorders>
              <w:top w:val="outset" w:color="000000" w:sz="6" w:space="0"/>
              <w:left w:val="outset" w:color="000000" w:sz="6" w:space="0"/>
              <w:bottom w:val="outset" w:color="000000" w:sz="6" w:space="0"/>
              <w:right w:val="outset" w:color="000000" w:sz="6" w:space="0"/>
            </w:tcBorders>
            <w:vAlign w:val="center"/>
          </w:tcPr>
          <w:p>
            <w:pPr>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ascii="宋体" w:hAnsi="宋体"/>
                <w:color w:val="000000" w:themeColor="text1"/>
                <w:kern w:val="0"/>
                <w:sz w:val="24"/>
                <w14:textFill>
                  <w14:solidFill>
                    <w14:schemeClr w14:val="tx1"/>
                  </w14:solidFill>
                </w14:textFill>
              </w:rPr>
              <w:t>采</w:t>
            </w:r>
            <w:r>
              <w:rPr>
                <w:rFonts w:hint="eastAsia" w:ascii="宋体" w:hAnsi="宋体"/>
                <w:color w:val="000000" w:themeColor="text1"/>
                <w:kern w:val="0"/>
                <w:sz w:val="24"/>
                <w14:textFill>
                  <w14:solidFill>
                    <w14:schemeClr w14:val="tx1"/>
                  </w14:solidFill>
                </w14:textFill>
              </w:rPr>
              <w:t xml:space="preserve"> </w:t>
            </w:r>
            <w:r>
              <w:rPr>
                <w:rFonts w:ascii="宋体" w:hAnsi="宋体"/>
                <w:color w:val="000000" w:themeColor="text1"/>
                <w:kern w:val="0"/>
                <w:sz w:val="24"/>
                <w14:textFill>
                  <w14:solidFill>
                    <w14:schemeClr w14:val="tx1"/>
                  </w14:solidFill>
                </w14:textFill>
              </w:rPr>
              <w:t>购</w:t>
            </w:r>
            <w:r>
              <w:rPr>
                <w:rFonts w:hint="eastAsia" w:ascii="宋体" w:hAnsi="宋体"/>
                <w:color w:val="000000" w:themeColor="text1"/>
                <w:kern w:val="0"/>
                <w:sz w:val="24"/>
                <w14:textFill>
                  <w14:solidFill>
                    <w14:schemeClr w14:val="tx1"/>
                  </w14:solidFill>
                </w14:textFill>
              </w:rPr>
              <w:t xml:space="preserve"> </w:t>
            </w:r>
            <w:r>
              <w:rPr>
                <w:rFonts w:ascii="宋体" w:hAnsi="宋体"/>
                <w:color w:val="000000" w:themeColor="text1"/>
                <w:kern w:val="0"/>
                <w:sz w:val="24"/>
                <w14:textFill>
                  <w14:solidFill>
                    <w14:schemeClr w14:val="tx1"/>
                  </w14:solidFill>
                </w14:textFill>
              </w:rPr>
              <w:t>人</w:t>
            </w:r>
            <w:r>
              <w:rPr>
                <w:rFonts w:hint="eastAsia" w:ascii="宋体" w:hAnsi="宋体"/>
                <w:color w:val="000000" w:themeColor="text1"/>
                <w:kern w:val="0"/>
                <w:sz w:val="24"/>
                <w14:textFill>
                  <w14:solidFill>
                    <w14:schemeClr w14:val="tx1"/>
                  </w14:solidFill>
                </w14:textFill>
              </w:rPr>
              <w:t>：</w:t>
            </w:r>
            <w:r>
              <w:rPr>
                <w:rFonts w:hint="eastAsia" w:ascii="宋体" w:hAnsi="宋体"/>
                <w:color w:val="000000" w:themeColor="text1"/>
                <w:kern w:val="0"/>
                <w:sz w:val="24"/>
                <w:lang w:eastAsia="zh-CN"/>
                <w14:textFill>
                  <w14:solidFill>
                    <w14:schemeClr w14:val="tx1"/>
                  </w14:solidFill>
                </w14:textFill>
              </w:rPr>
              <w:t>青海省中医院</w:t>
            </w:r>
          </w:p>
          <w:p>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人：</w:t>
            </w:r>
            <w:bookmarkStart w:id="12" w:name="OLE_LINK12"/>
            <w:r>
              <w:rPr>
                <w:rFonts w:hint="eastAsia" w:ascii="宋体" w:hAnsi="宋体"/>
                <w:color w:val="000000" w:themeColor="text1"/>
                <w:kern w:val="0"/>
                <w:sz w:val="24"/>
                <w:lang w:val="en-US" w:eastAsia="zh-CN"/>
                <w14:textFill>
                  <w14:solidFill>
                    <w14:schemeClr w14:val="tx1"/>
                  </w14:solidFill>
                </w14:textFill>
              </w:rPr>
              <w:t>米老师</w:t>
            </w:r>
            <w:bookmarkEnd w:id="12"/>
          </w:p>
          <w:p>
            <w:pPr>
              <w:spacing w:line="360" w:lineRule="auto"/>
              <w:rPr>
                <w:rFonts w:ascii="宋体" w:hAnsi="宋体"/>
                <w:color w:val="000000" w:themeColor="text1"/>
                <w:kern w:val="0"/>
                <w:sz w:val="24"/>
                <w14:textFill>
                  <w14:solidFill>
                    <w14:schemeClr w14:val="tx1"/>
                  </w14:solidFill>
                </w14:textFill>
              </w:rPr>
            </w:pPr>
            <w:r>
              <w:rPr>
                <w:rFonts w:ascii="宋体" w:hAnsi="宋体"/>
                <w:color w:val="000000" w:themeColor="text1"/>
                <w:kern w:val="0"/>
                <w:sz w:val="24"/>
                <w14:textFill>
                  <w14:solidFill>
                    <w14:schemeClr w14:val="tx1"/>
                  </w14:solidFill>
                </w14:textFill>
              </w:rPr>
              <w:t>联系电话</w:t>
            </w:r>
            <w:r>
              <w:rPr>
                <w:rFonts w:hint="eastAsia" w:ascii="宋体" w:hAnsi="宋体"/>
                <w:color w:val="000000" w:themeColor="text1"/>
                <w:kern w:val="0"/>
                <w:sz w:val="24"/>
                <w14:textFill>
                  <w14:solidFill>
                    <w14:schemeClr w14:val="tx1"/>
                  </w14:solidFill>
                </w14:textFill>
              </w:rPr>
              <w:t>：</w:t>
            </w:r>
            <w:bookmarkStart w:id="13" w:name="OLE_LINK2"/>
            <w:r>
              <w:rPr>
                <w:rFonts w:hint="eastAsia" w:ascii="宋体" w:hAnsi="宋体"/>
                <w:color w:val="000000" w:themeColor="text1"/>
                <w:kern w:val="0"/>
                <w:sz w:val="24"/>
                <w14:textFill>
                  <w14:solidFill>
                    <w14:schemeClr w14:val="tx1"/>
                  </w14:solidFill>
                </w14:textFill>
              </w:rPr>
              <w:t>0971-8298522</w:t>
            </w:r>
            <w:bookmarkEnd w:id="13"/>
          </w:p>
          <w:p>
            <w:pPr>
              <w:pStyle w:val="50"/>
              <w:spacing w:line="360" w:lineRule="auto"/>
              <w:jc w:val="left"/>
              <w:rPr>
                <w:rFonts w:ascii="宋体" w:hAnsi="宋体"/>
                <w:color w:val="000000" w:themeColor="text1"/>
                <w:kern w:val="0"/>
                <w:sz w:val="24"/>
                <w14:textFill>
                  <w14:solidFill>
                    <w14:schemeClr w14:val="tx1"/>
                  </w14:solidFill>
                </w14:textFill>
              </w:rPr>
            </w:pPr>
            <w:r>
              <w:rPr>
                <w:rFonts w:ascii="宋体" w:hAnsi="宋体"/>
                <w:color w:val="000000" w:themeColor="text1"/>
                <w:kern w:val="0"/>
                <w:sz w:val="24"/>
                <w14:textFill>
                  <w14:solidFill>
                    <w14:schemeClr w14:val="tx1"/>
                  </w14:solidFill>
                </w14:textFill>
              </w:rPr>
              <w:t>联系地址</w:t>
            </w:r>
            <w:r>
              <w:rPr>
                <w:rFonts w:hint="eastAsia" w:ascii="宋体" w:hAnsi="宋体"/>
                <w:color w:val="000000" w:themeColor="text1"/>
                <w:kern w:val="0"/>
                <w:sz w:val="24"/>
                <w14:textFill>
                  <w14:solidFill>
                    <w14:schemeClr w14:val="tx1"/>
                  </w14:solidFill>
                </w14:textFill>
              </w:rPr>
              <w:t>：</w:t>
            </w:r>
            <w:bookmarkStart w:id="14" w:name="OLE_LINK1"/>
            <w:r>
              <w:rPr>
                <w:rFonts w:hint="eastAsia" w:ascii="宋体" w:hAnsi="宋体"/>
                <w:color w:val="000000" w:themeColor="text1"/>
                <w:kern w:val="0"/>
                <w:sz w:val="24"/>
                <w14:textFill>
                  <w14:solidFill>
                    <w14:schemeClr w14:val="tx1"/>
                  </w14:solidFill>
                </w14:textFill>
              </w:rPr>
              <w:t>青海省西宁市城中区七一路338号</w:t>
            </w:r>
            <w:bookmarkEnd w:id="14"/>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采购代理机构及联系人电话</w:t>
            </w:r>
          </w:p>
        </w:tc>
        <w:tc>
          <w:tcPr>
            <w:tcW w:w="7725" w:type="dxa"/>
            <w:tcBorders>
              <w:top w:val="outset" w:color="000000" w:sz="6" w:space="0"/>
              <w:left w:val="outset" w:color="000000" w:sz="6" w:space="0"/>
              <w:bottom w:val="outset" w:color="000000" w:sz="6" w:space="0"/>
              <w:right w:val="outset" w:color="000000" w:sz="6" w:space="0"/>
            </w:tcBorders>
            <w:vAlign w:val="center"/>
          </w:tcPr>
          <w:p>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采购代理机构：青海国焱工程项目管理有限公司</w:t>
            </w:r>
          </w:p>
          <w:p>
            <w:pPr>
              <w:spacing w:line="360" w:lineRule="auto"/>
              <w:rPr>
                <w:rFonts w:hint="eastAsia" w:ascii="宋体" w:hAnsi="宋体" w:eastAsia="宋体"/>
                <w:color w:val="000000" w:themeColor="text1"/>
                <w:kern w:val="0"/>
                <w:sz w:val="24"/>
                <w:lang w:val="en-US" w:eastAsia="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人：</w:t>
            </w:r>
            <w:bookmarkStart w:id="15" w:name="OLE_LINK13"/>
            <w:r>
              <w:rPr>
                <w:rFonts w:hint="eastAsia" w:ascii="宋体" w:hAnsi="宋体"/>
                <w:color w:val="000000" w:themeColor="text1"/>
                <w:kern w:val="0"/>
                <w:sz w:val="24"/>
                <w:lang w:eastAsia="zh-CN"/>
                <w14:textFill>
                  <w14:solidFill>
                    <w14:schemeClr w14:val="tx1"/>
                  </w14:solidFill>
                </w14:textFill>
              </w:rPr>
              <w:t>刘女士</w:t>
            </w:r>
            <w:bookmarkEnd w:id="15"/>
          </w:p>
          <w:p>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电 话：</w:t>
            </w:r>
            <w:bookmarkStart w:id="16" w:name="OLE_LINK14"/>
            <w:r>
              <w:rPr>
                <w:rFonts w:hint="eastAsia" w:ascii="宋体" w:hAnsi="宋体"/>
                <w:color w:val="000000" w:themeColor="text1"/>
                <w:kern w:val="0"/>
                <w:sz w:val="24"/>
                <w14:textFill>
                  <w14:solidFill>
                    <w14:schemeClr w14:val="tx1"/>
                  </w14:solidFill>
                </w14:textFill>
              </w:rPr>
              <w:t>0971-8456071</w:t>
            </w:r>
            <w:bookmarkEnd w:id="16"/>
          </w:p>
          <w:p>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邮        箱：qhgyzb@126.com</w:t>
            </w:r>
          </w:p>
          <w:p>
            <w:pPr>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地 址：</w:t>
            </w:r>
            <w:r>
              <w:rPr>
                <w:rFonts w:hint="eastAsia" w:ascii="宋体" w:hAnsi="宋体"/>
                <w:color w:val="000000" w:themeColor="text1"/>
                <w:kern w:val="0"/>
                <w:sz w:val="24"/>
                <w:lang w:eastAsia="zh-CN"/>
                <w14:textFill>
                  <w14:solidFill>
                    <w14:schemeClr w14:val="tx1"/>
                  </w14:solidFill>
                </w14:textFill>
              </w:rPr>
              <w:t>西宁市城西区盐湖巷6号10号楼（城西区总部经济大厦)16楼</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采购代理机构开户银行</w:t>
            </w:r>
          </w:p>
        </w:tc>
        <w:tc>
          <w:tcPr>
            <w:tcW w:w="7725" w:type="dxa"/>
            <w:tcBorders>
              <w:top w:val="outset" w:color="000000" w:sz="6" w:space="0"/>
              <w:left w:val="outset" w:color="000000" w:sz="6" w:space="0"/>
              <w:bottom w:val="outset" w:color="000000" w:sz="6" w:space="0"/>
              <w:right w:val="outset" w:color="000000" w:sz="6" w:space="0"/>
            </w:tcBorders>
            <w:vAlign w:val="center"/>
          </w:tcPr>
          <w:p>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中国工商银行股份有限公司西宁五四大街支行</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收款人</w:t>
            </w:r>
          </w:p>
        </w:tc>
        <w:tc>
          <w:tcPr>
            <w:tcW w:w="7725" w:type="dxa"/>
            <w:tcBorders>
              <w:top w:val="outset" w:color="000000" w:sz="6" w:space="0"/>
              <w:left w:val="outset" w:color="000000" w:sz="6" w:space="0"/>
              <w:bottom w:val="outset" w:color="000000" w:sz="6" w:space="0"/>
              <w:right w:val="outset" w:color="000000" w:sz="6" w:space="0"/>
            </w:tcBorders>
            <w:vAlign w:val="center"/>
          </w:tcPr>
          <w:p>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青海国焱工程项目管理有限公司</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kern w:val="0"/>
                <w:sz w:val="24"/>
              </w:rPr>
            </w:pPr>
            <w:r>
              <w:rPr>
                <w:rFonts w:hint="eastAsia" w:ascii="宋体" w:hAnsi="宋体"/>
                <w:kern w:val="0"/>
                <w:sz w:val="24"/>
              </w:rPr>
              <w:t>银行账号</w:t>
            </w:r>
          </w:p>
        </w:tc>
        <w:tc>
          <w:tcPr>
            <w:tcW w:w="7725" w:type="dxa"/>
            <w:tcBorders>
              <w:top w:val="outset" w:color="000000" w:sz="6" w:space="0"/>
              <w:left w:val="outset" w:color="000000" w:sz="6" w:space="0"/>
              <w:bottom w:val="outset" w:color="000000" w:sz="6" w:space="0"/>
              <w:right w:val="outset" w:color="000000" w:sz="6" w:space="0"/>
            </w:tcBorders>
            <w:vAlign w:val="center"/>
          </w:tcPr>
          <w:p>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2806001309000043259（开户行号：102851000139）</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1181"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其他事项</w:t>
            </w:r>
          </w:p>
        </w:tc>
        <w:tc>
          <w:tcPr>
            <w:tcW w:w="7725" w:type="dxa"/>
            <w:tcBorders>
              <w:top w:val="outset" w:color="000000" w:sz="6" w:space="0"/>
              <w:left w:val="outset" w:color="000000" w:sz="6" w:space="0"/>
              <w:bottom w:val="outset" w:color="000000" w:sz="6" w:space="0"/>
              <w:right w:val="outset" w:color="000000" w:sz="6" w:space="0"/>
            </w:tcBorders>
            <w:vAlign w:val="center"/>
          </w:tcPr>
          <w:p>
            <w:pPr>
              <w:pStyle w:val="90"/>
              <w:numPr>
                <w:ilvl w:val="0"/>
                <w:numId w:val="2"/>
              </w:numPr>
              <w:spacing w:line="360" w:lineRule="auto"/>
              <w:ind w:firstLineChars="0"/>
              <w:rPr>
                <w:rFonts w:ascii="宋体" w:hAnsi="宋体"/>
                <w:color w:val="000000" w:themeColor="text1"/>
                <w:kern w:val="0"/>
                <w:sz w:val="24"/>
                <w14:textFill>
                  <w14:solidFill>
                    <w14:schemeClr w14:val="tx1"/>
                  </w14:solidFill>
                </w14:textFill>
              </w:rPr>
            </w:pPr>
            <w:bookmarkStart w:id="17" w:name="OLE_LINK25"/>
            <w:r>
              <w:rPr>
                <w:rFonts w:hint="eastAsia" w:ascii="宋体" w:hAnsi="宋体" w:cs="宋体"/>
                <w:color w:val="000000" w:themeColor="text1"/>
                <w:kern w:val="0"/>
                <w:sz w:val="24"/>
                <w14:textFill>
                  <w14:solidFill>
                    <w14:schemeClr w14:val="tx1"/>
                  </w14:solidFill>
                </w14:textFill>
              </w:rPr>
              <w:t>本公告发布于《青海政府采购网》、《青海项目信息网》同时发布；</w:t>
            </w:r>
            <w:r>
              <w:rPr>
                <w:rFonts w:hint="eastAsia" w:ascii="宋体" w:hAnsi="宋体" w:cs="宋体"/>
                <w:color w:val="000000" w:themeColor="text1"/>
                <w:kern w:val="0"/>
                <w:sz w:val="24"/>
                <w:lang w:eastAsia="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公告内容以青海政府采购网发布的为准）</w:t>
            </w:r>
            <w:r>
              <w:rPr>
                <w:rFonts w:hint="eastAsia" w:ascii="宋体" w:hAnsi="宋体"/>
                <w:color w:val="000000" w:themeColor="text1"/>
                <w:kern w:val="0"/>
                <w:sz w:val="24"/>
                <w14:textFill>
                  <w14:solidFill>
                    <w14:schemeClr w14:val="tx1"/>
                  </w14:solidFill>
                </w14:textFill>
              </w:rPr>
              <w:t>。</w:t>
            </w:r>
          </w:p>
          <w:p>
            <w:pPr>
              <w:pStyle w:val="90"/>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本次招标采用线上提交投标文件的方式进行采购，投标文件必须在投标文件递交截止时间前上传平台。</w:t>
            </w:r>
          </w:p>
          <w:p>
            <w:pPr>
              <w:pStyle w:val="90"/>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 CA问题</w:t>
            </w:r>
            <w:r>
              <w:rPr>
                <w:rFonts w:hint="eastAsia" w:ascii="宋体" w:hAnsi="宋体" w:cs="宋体"/>
                <w:color w:val="000000" w:themeColor="text1"/>
                <w:sz w:val="24"/>
                <w14:textFill>
                  <w14:solidFill>
                    <w14:schemeClr w14:val="tx1"/>
                  </w14:solidFill>
                </w14:textFill>
              </w:rPr>
              <w:t>PC咨询网址（可及时反馈问题截图，让客服快速定位问题）:http://tseal.cn/k.html，</w:t>
            </w:r>
            <w:r>
              <w:rPr>
                <w:rFonts w:ascii="宋体" w:hAnsi="宋体" w:cs="宋体"/>
                <w:color w:val="000000" w:themeColor="text1"/>
                <w:sz w:val="24"/>
                <w14:textFill>
                  <w14:solidFill>
                    <w14:schemeClr w14:val="tx1"/>
                  </w14:solidFill>
                </w14:textFill>
              </w:rPr>
              <w:t>联系电话（人工）：400-087-8198。</w:t>
            </w:r>
          </w:p>
          <w:p>
            <w:pPr>
              <w:pStyle w:val="90"/>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磋商供应商解密和磋商报价时必须</w:t>
            </w:r>
            <w:r>
              <w:rPr>
                <w:rFonts w:hint="eastAsia" w:ascii="宋体" w:hAnsi="宋体" w:cs="宋体"/>
                <w:color w:val="000000" w:themeColor="text1"/>
                <w:sz w:val="24"/>
                <w14:textFill>
                  <w14:solidFill>
                    <w14:schemeClr w14:val="tx1"/>
                  </w14:solidFill>
                </w14:textFill>
              </w:rPr>
              <w:t>由</w:t>
            </w:r>
            <w:r>
              <w:rPr>
                <w:rFonts w:ascii="宋体" w:hAnsi="宋体" w:cs="宋体"/>
                <w:color w:val="000000" w:themeColor="text1"/>
                <w:sz w:val="24"/>
                <w14:textFill>
                  <w14:solidFill>
                    <w14:schemeClr w14:val="tx1"/>
                  </w14:solidFill>
                </w14:textFill>
              </w:rPr>
              <w:t>e签宝注册人办理，磋商供应商须在固定电脑设备前登陆等待解密和磋商报价，磋商供应商</w:t>
            </w:r>
            <w:r>
              <w:rPr>
                <w:rFonts w:hint="eastAsia" w:ascii="宋体" w:hAnsi="宋体" w:cs="宋体"/>
                <w:color w:val="000000" w:themeColor="text1"/>
                <w:sz w:val="24"/>
                <w14:textFill>
                  <w14:solidFill>
                    <w14:schemeClr w14:val="tx1"/>
                  </w14:solidFill>
                </w14:textFill>
              </w:rPr>
              <w:t>须在规定的时间内完成</w:t>
            </w:r>
            <w:r>
              <w:rPr>
                <w:rFonts w:ascii="宋体" w:hAnsi="宋体" w:cs="宋体"/>
                <w:color w:val="000000" w:themeColor="text1"/>
                <w:sz w:val="24"/>
                <w14:textFill>
                  <w14:solidFill>
                    <w14:schemeClr w14:val="tx1"/>
                  </w14:solidFill>
                </w14:textFill>
              </w:rPr>
              <w:t>。</w:t>
            </w:r>
            <w:bookmarkEnd w:id="17"/>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pPr>
              <w:autoSpaceDE w:val="0"/>
              <w:autoSpaceDN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财政部门监督电话</w:t>
            </w:r>
          </w:p>
        </w:tc>
        <w:tc>
          <w:tcPr>
            <w:tcW w:w="7725" w:type="dxa"/>
            <w:tcBorders>
              <w:top w:val="outset" w:color="000000" w:sz="6" w:space="0"/>
              <w:left w:val="outset" w:color="000000" w:sz="6" w:space="0"/>
              <w:bottom w:val="outset" w:color="000000" w:sz="6" w:space="0"/>
              <w:right w:val="outset" w:color="000000" w:sz="6" w:space="0"/>
            </w:tcBorders>
            <w:vAlign w:val="center"/>
          </w:tcPr>
          <w:p>
            <w:pPr>
              <w:autoSpaceDE w:val="0"/>
              <w:autoSpaceDN w:val="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单位名称：青海省财政厅</w:t>
            </w:r>
          </w:p>
          <w:p>
            <w:pPr>
              <w:pStyle w:val="50"/>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联系电话：</w:t>
            </w:r>
            <w:r>
              <w:rPr>
                <w:rFonts w:ascii="宋体" w:hAnsi="宋体"/>
                <w:color w:val="000000" w:themeColor="text1"/>
                <w:kern w:val="0"/>
                <w:sz w:val="24"/>
                <w14:textFill>
                  <w14:solidFill>
                    <w14:schemeClr w14:val="tx1"/>
                  </w14:solidFill>
                </w14:textFill>
              </w:rPr>
              <w:t>0971-3660354</w:t>
            </w:r>
          </w:p>
        </w:tc>
      </w:tr>
    </w:tbl>
    <w:p>
      <w:pPr>
        <w:adjustRightInd w:val="0"/>
        <w:spacing w:line="360" w:lineRule="auto"/>
        <w:jc w:val="right"/>
        <w:textAlignment w:val="baseline"/>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青海国焱工程项目管理有限公司</w:t>
      </w:r>
    </w:p>
    <w:p>
      <w:pPr>
        <w:adjustRightInd w:val="0"/>
        <w:spacing w:line="360" w:lineRule="auto"/>
        <w:jc w:val="center"/>
        <w:textAlignment w:val="baseline"/>
        <w:outlineLvl w:val="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r>
        <w:rPr>
          <w:rFonts w:hint="eastAsia" w:ascii="宋体" w:hAnsi="宋体"/>
          <w:color w:val="auto"/>
          <w:sz w:val="24"/>
        </w:rPr>
        <w:t xml:space="preserve">  </w:t>
      </w:r>
      <w:r>
        <w:rPr>
          <w:rFonts w:hint="eastAsia" w:ascii="宋体" w:hAnsi="宋体"/>
          <w:color w:val="000000" w:themeColor="text1"/>
          <w:sz w:val="24"/>
          <w14:textFill>
            <w14:solidFill>
              <w14:schemeClr w14:val="tx1"/>
            </w14:solidFill>
          </w14:textFill>
        </w:rPr>
        <w:t xml:space="preserve">   </w:t>
      </w:r>
      <w:bookmarkEnd w:id="4"/>
      <w:bookmarkEnd w:id="5"/>
      <w:r>
        <w:rPr>
          <w:rFonts w:hint="eastAsia" w:ascii="宋体" w:hAnsi="宋体"/>
          <w:color w:val="000000" w:themeColor="text1"/>
          <w:sz w:val="24"/>
          <w14:textFill>
            <w14:solidFill>
              <w14:schemeClr w14:val="tx1"/>
            </w14:solidFill>
          </w14:textFill>
        </w:rPr>
        <w:t>202</w:t>
      </w:r>
      <w:r>
        <w:rPr>
          <w:rFonts w:hint="eastAsia" w:ascii="宋体" w:hAnsi="宋体"/>
          <w:color w:val="000000" w:themeColor="text1"/>
          <w:sz w:val="24"/>
          <w:lang w:val="en-US" w:eastAsia="zh-CN"/>
          <w14:textFill>
            <w14:solidFill>
              <w14:schemeClr w14:val="tx1"/>
            </w14:solidFill>
          </w14:textFill>
        </w:rPr>
        <w:t>5</w:t>
      </w:r>
      <w:r>
        <w:rPr>
          <w:rFonts w:hint="eastAsia" w:ascii="宋体" w:hAnsi="宋体"/>
          <w:color w:val="000000" w:themeColor="text1"/>
          <w:sz w:val="24"/>
          <w14:textFill>
            <w14:solidFill>
              <w14:schemeClr w14:val="tx1"/>
            </w14:solidFill>
          </w14:textFill>
        </w:rPr>
        <w:t>年</w:t>
      </w:r>
      <w:r>
        <w:rPr>
          <w:rFonts w:hint="eastAsia" w:ascii="宋体" w:hAnsi="宋体"/>
          <w:color w:val="000000" w:themeColor="text1"/>
          <w:sz w:val="24"/>
          <w:lang w:val="en-US" w:eastAsia="zh-CN"/>
          <w14:textFill>
            <w14:solidFill>
              <w14:schemeClr w14:val="tx1"/>
            </w14:solidFill>
          </w14:textFill>
        </w:rPr>
        <w:t>04</w:t>
      </w:r>
      <w:r>
        <w:rPr>
          <w:rFonts w:hint="eastAsia" w:ascii="宋体" w:hAnsi="宋体"/>
          <w:color w:val="000000" w:themeColor="text1"/>
          <w:sz w:val="24"/>
          <w14:textFill>
            <w14:solidFill>
              <w14:schemeClr w14:val="tx1"/>
            </w14:solidFill>
          </w14:textFill>
        </w:rPr>
        <w:t>月</w:t>
      </w:r>
      <w:r>
        <w:rPr>
          <w:rFonts w:hint="eastAsia" w:ascii="宋体" w:hAnsi="宋体"/>
          <w:color w:val="000000" w:themeColor="text1"/>
          <w:sz w:val="24"/>
          <w:lang w:val="en-US" w:eastAsia="zh-CN"/>
          <w14:textFill>
            <w14:solidFill>
              <w14:schemeClr w14:val="tx1"/>
            </w14:solidFill>
          </w14:textFill>
        </w:rPr>
        <w:t>03</w:t>
      </w:r>
      <w:r>
        <w:rPr>
          <w:rFonts w:hint="eastAsia" w:ascii="宋体" w:hAnsi="宋体"/>
          <w:color w:val="000000" w:themeColor="text1"/>
          <w:sz w:val="24"/>
          <w14:textFill>
            <w14:solidFill>
              <w14:schemeClr w14:val="tx1"/>
            </w14:solidFill>
          </w14:textFill>
        </w:rPr>
        <w:t>日</w:t>
      </w:r>
    </w:p>
    <w:p>
      <w:pPr>
        <w:rPr>
          <w:rFonts w:ascii="宋体" w:hAnsi="宋体"/>
          <w:sz w:val="24"/>
        </w:rPr>
      </w:pPr>
      <w:r>
        <w:rPr>
          <w:rFonts w:ascii="宋体" w:hAnsi="宋体"/>
          <w:sz w:val="24"/>
        </w:rPr>
        <w:br w:type="page"/>
      </w:r>
    </w:p>
    <w:p>
      <w:pPr>
        <w:pStyle w:val="26"/>
        <w:rPr>
          <w:sz w:val="48"/>
          <w:szCs w:val="48"/>
        </w:rPr>
      </w:pPr>
      <w:bookmarkStart w:id="18" w:name="_Toc444715733"/>
      <w:bookmarkStart w:id="19" w:name="_Toc18599"/>
      <w:r>
        <w:rPr>
          <w:rFonts w:hint="eastAsia"/>
          <w:sz w:val="48"/>
          <w:szCs w:val="48"/>
        </w:rPr>
        <w:t>第二部分  磋商供应商须知前附表</w:t>
      </w:r>
      <w:bookmarkEnd w:id="18"/>
      <w:bookmarkEnd w:id="19"/>
    </w:p>
    <w:tbl>
      <w:tblPr>
        <w:tblStyle w:val="35"/>
        <w:tblW w:w="10433" w:type="dxa"/>
        <w:jc w:val="center"/>
        <w:tblLayout w:type="fixed"/>
        <w:tblCellMar>
          <w:top w:w="0" w:type="dxa"/>
          <w:left w:w="57" w:type="dxa"/>
          <w:bottom w:w="0" w:type="dxa"/>
          <w:right w:w="57" w:type="dxa"/>
        </w:tblCellMar>
      </w:tblPr>
      <w:tblGrid>
        <w:gridCol w:w="653"/>
        <w:gridCol w:w="2098"/>
        <w:gridCol w:w="7682"/>
      </w:tblGrid>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宋体"/>
                <w:kern w:val="0"/>
                <w:sz w:val="24"/>
                <w:lang w:val="zh-CN"/>
              </w:rPr>
            </w:pPr>
            <w:r>
              <w:rPr>
                <w:rFonts w:hint="eastAsia" w:ascii="宋体" w:hAnsi="宋体" w:cs="宋体"/>
                <w:bCs/>
                <w:kern w:val="0"/>
                <w:sz w:val="24"/>
                <w:lang w:val="zh-CN"/>
              </w:rPr>
              <w:t>序号</w:t>
            </w:r>
          </w:p>
        </w:tc>
        <w:tc>
          <w:tcPr>
            <w:tcW w:w="9780" w:type="dxa"/>
            <w:gridSpan w:val="2"/>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宋体"/>
                <w:kern w:val="0"/>
                <w:sz w:val="24"/>
                <w:lang w:val="zh-CN"/>
              </w:rPr>
            </w:pPr>
            <w:r>
              <w:rPr>
                <w:rFonts w:hint="eastAsia" w:ascii="宋体" w:hAnsi="宋体" w:cs="宋体"/>
                <w:bCs/>
                <w:kern w:val="0"/>
                <w:sz w:val="24"/>
                <w:lang w:val="zh-CN"/>
              </w:rPr>
              <w:t>内容</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采购项目名称</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sz w:val="24"/>
                <w:lang w:val="zh-CN"/>
              </w:rPr>
              <w:t>青海省中医院干眼检测仪等设备采购项目</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采购项目编号</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青海国焱竞磋（货物）2025-084号</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采购单位</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青海省中医院</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采购代理机构</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青海国焱工程项目管理有限公司</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采购方式</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竞争性磋商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评分办法</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综合评分法</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采购预算控制额度</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rPr>
                <w:rFonts w:hint="eastAsia" w:ascii="宋体" w:hAnsi="宋体" w:eastAsia="宋体" w:cs="宋体"/>
                <w:kern w:val="0"/>
                <w:sz w:val="24"/>
                <w:lang w:val="zh-CN" w:eastAsia="zh-CN"/>
              </w:rPr>
            </w:pPr>
            <w:r>
              <w:rPr>
                <w:rFonts w:hint="eastAsia" w:ascii="宋体" w:hAnsi="宋体" w:cs="宋体"/>
                <w:sz w:val="24"/>
                <w:lang w:eastAsia="zh-CN"/>
              </w:rPr>
              <w:t>人民币667,300.00元</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项目分包个数</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rPr>
                <w:rFonts w:ascii="宋体" w:hAnsi="宋体" w:cs="宋体"/>
                <w:kern w:val="0"/>
                <w:sz w:val="24"/>
                <w:lang w:val="zh-CN"/>
              </w:rPr>
            </w:pPr>
            <w:r>
              <w:rPr>
                <w:rFonts w:hint="eastAsia" w:ascii="宋体" w:hAnsi="宋体"/>
                <w:kern w:val="0"/>
                <w:sz w:val="24"/>
              </w:rPr>
              <w:t>无</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采购要求</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详见磋商文件“第六部分 采购项目要求及技术参数”</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sz w:val="24"/>
              </w:rPr>
              <w:t>磋商供应商</w:t>
            </w:r>
            <w:r>
              <w:rPr>
                <w:rFonts w:hint="eastAsia" w:ascii="宋体" w:hAnsi="宋体" w:cs="宋体"/>
                <w:bCs/>
                <w:kern w:val="0"/>
                <w:sz w:val="24"/>
                <w:lang w:val="zh-CN"/>
              </w:rPr>
              <w:t>资格条件</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hint="eastAsia" w:ascii="宋体" w:hAnsi="宋体" w:cs="宋体"/>
                <w:sz w:val="24"/>
                <w:lang w:val="zh-CN"/>
              </w:rPr>
            </w:pPr>
            <w:r>
              <w:rPr>
                <w:rFonts w:hint="eastAsia" w:ascii="宋体" w:hAnsi="宋体" w:cs="宋体"/>
                <w:sz w:val="24"/>
                <w:lang w:val="zh-CN"/>
              </w:rPr>
              <w:t>1.符合《政府采购法》第22条条件，并提供下列材料：</w:t>
            </w:r>
          </w:p>
          <w:p>
            <w:pPr>
              <w:autoSpaceDE w:val="0"/>
              <w:autoSpaceDN w:val="0"/>
              <w:spacing w:line="360" w:lineRule="auto"/>
              <w:rPr>
                <w:rFonts w:hint="eastAsia" w:ascii="宋体" w:hAnsi="宋体" w:cs="宋体"/>
                <w:sz w:val="24"/>
                <w:lang w:val="zh-CN"/>
              </w:rPr>
            </w:pPr>
            <w:r>
              <w:rPr>
                <w:rFonts w:hint="eastAsia" w:ascii="宋体" w:hAnsi="宋体" w:cs="宋体"/>
                <w:sz w:val="24"/>
                <w:lang w:val="zh-CN"/>
              </w:rPr>
              <w:t>&lt;1&gt;磋商人的营业执照等证明文件，自然人的身份证明。</w:t>
            </w:r>
          </w:p>
          <w:p>
            <w:pPr>
              <w:autoSpaceDE w:val="0"/>
              <w:autoSpaceDN w:val="0"/>
              <w:spacing w:line="360" w:lineRule="auto"/>
              <w:rPr>
                <w:rFonts w:hint="eastAsia" w:ascii="宋体" w:hAnsi="宋体" w:cs="宋体"/>
                <w:sz w:val="24"/>
                <w:lang w:val="zh-CN"/>
              </w:rPr>
            </w:pPr>
            <w:r>
              <w:rPr>
                <w:rFonts w:hint="eastAsia" w:ascii="宋体" w:hAnsi="宋体" w:cs="宋体"/>
                <w:sz w:val="24"/>
                <w:lang w:val="zh-CN"/>
              </w:rPr>
              <w:t>&lt;2&gt;财务状况报告，依法缴纳税收和社会保障资金的相关材料。</w:t>
            </w:r>
          </w:p>
          <w:p>
            <w:pPr>
              <w:autoSpaceDE w:val="0"/>
              <w:autoSpaceDN w:val="0"/>
              <w:spacing w:line="360" w:lineRule="auto"/>
              <w:rPr>
                <w:rFonts w:hint="eastAsia" w:ascii="宋体" w:hAnsi="宋体" w:cs="宋体"/>
                <w:sz w:val="24"/>
                <w:lang w:val="zh-CN"/>
              </w:rPr>
            </w:pPr>
            <w:r>
              <w:rPr>
                <w:rFonts w:hint="eastAsia" w:ascii="宋体" w:hAnsi="宋体" w:cs="宋体"/>
                <w:sz w:val="24"/>
                <w:lang w:val="zh-CN"/>
              </w:rPr>
              <w:t>&lt;3&gt;具备履行合同所必需的设备和专业技术能力的证明材料。</w:t>
            </w:r>
          </w:p>
          <w:p>
            <w:pPr>
              <w:autoSpaceDE w:val="0"/>
              <w:autoSpaceDN w:val="0"/>
              <w:spacing w:line="360" w:lineRule="auto"/>
              <w:rPr>
                <w:rFonts w:hint="eastAsia" w:ascii="宋体" w:hAnsi="宋体" w:cs="宋体"/>
                <w:sz w:val="24"/>
                <w:lang w:val="zh-CN"/>
              </w:rPr>
            </w:pPr>
            <w:r>
              <w:rPr>
                <w:rFonts w:hint="eastAsia" w:ascii="宋体" w:hAnsi="宋体" w:cs="宋体"/>
                <w:sz w:val="24"/>
                <w:lang w:val="zh-CN"/>
              </w:rPr>
              <w:t>&lt;4&gt;参加政府采购活动前3年内在经营活动中没有重大违法记录的书面声明。</w:t>
            </w:r>
          </w:p>
          <w:p>
            <w:pPr>
              <w:autoSpaceDE w:val="0"/>
              <w:autoSpaceDN w:val="0"/>
              <w:spacing w:line="360" w:lineRule="auto"/>
              <w:rPr>
                <w:rFonts w:hint="eastAsia" w:ascii="宋体" w:hAnsi="宋体" w:cs="宋体"/>
                <w:sz w:val="24"/>
                <w:lang w:val="zh-CN"/>
              </w:rPr>
            </w:pPr>
            <w:r>
              <w:rPr>
                <w:rFonts w:hint="eastAsia" w:ascii="宋体" w:hAnsi="宋体" w:cs="宋体"/>
                <w:sz w:val="24"/>
                <w:lang w:val="zh-CN"/>
              </w:rPr>
              <w:t>&lt;5&gt;具备法律、行政法规规定的其他条件的证明材料。</w:t>
            </w:r>
          </w:p>
          <w:p>
            <w:pPr>
              <w:autoSpaceDE w:val="0"/>
              <w:autoSpaceDN w:val="0"/>
              <w:spacing w:line="360" w:lineRule="auto"/>
              <w:rPr>
                <w:rFonts w:hint="eastAsia" w:ascii="宋体" w:hAnsi="宋体" w:cs="宋体"/>
                <w:sz w:val="24"/>
                <w:lang w:val="zh-CN"/>
              </w:rPr>
            </w:pPr>
            <w:r>
              <w:rPr>
                <w:rFonts w:hint="eastAsia" w:ascii="宋体" w:hAnsi="宋体" w:cs="宋体"/>
                <w:sz w:val="24"/>
                <w:lang w:val="zh-CN"/>
              </w:rPr>
              <w:t>2.单位负责人为同一人或者存在直接控股、管理关系的不同磋商人，不得参加同一合同项下的政府采购活动。否则，皆取消投标资格；</w:t>
            </w:r>
          </w:p>
          <w:p>
            <w:pPr>
              <w:autoSpaceDE w:val="0"/>
              <w:autoSpaceDN w:val="0"/>
              <w:spacing w:line="360" w:lineRule="auto"/>
              <w:rPr>
                <w:rFonts w:hint="eastAsia" w:ascii="宋体" w:hAnsi="宋体" w:cs="宋体"/>
                <w:sz w:val="24"/>
              </w:rPr>
            </w:pPr>
            <w:r>
              <w:rPr>
                <w:rFonts w:hint="eastAsia" w:ascii="宋体" w:hAnsi="宋体" w:cs="宋体"/>
                <w:sz w:val="24"/>
                <w:lang w:val="zh-CN"/>
              </w:rPr>
              <w:t>3.经信用中</w:t>
            </w:r>
            <w:r>
              <w:rPr>
                <w:rFonts w:hint="eastAsia" w:ascii="宋体" w:hAnsi="宋体" w:cs="宋体"/>
                <w:sz w:val="24"/>
              </w:rPr>
              <w:t>国（www.creditchina.gov.cn）、中国政府采购网（www.ccgp.gov.cn）等渠道查询后，列入失信被执行人、</w:t>
            </w:r>
            <w:r>
              <w:rPr>
                <w:rFonts w:hint="eastAsia" w:ascii="宋体" w:hAnsi="宋体" w:cs="宋体"/>
                <w:sz w:val="24"/>
                <w:lang w:eastAsia="zh-CN"/>
              </w:rPr>
              <w:t>重大税收违法失信主体</w:t>
            </w:r>
            <w:r>
              <w:rPr>
                <w:rFonts w:hint="eastAsia" w:ascii="宋体" w:hAnsi="宋体" w:cs="宋体"/>
                <w:sz w:val="24"/>
              </w:rPr>
              <w:t>、政府采购严重违法失信行为记录名单的，取消投标资格(提供“信用中国”网站的查询截图)；</w:t>
            </w:r>
          </w:p>
          <w:p>
            <w:pPr>
              <w:autoSpaceDE w:val="0"/>
              <w:autoSpaceDN w:val="0"/>
              <w:spacing w:line="360" w:lineRule="auto"/>
              <w:rPr>
                <w:rFonts w:hint="eastAsia" w:ascii="宋体" w:hAnsi="宋体" w:cs="宋体"/>
                <w:sz w:val="24"/>
                <w:lang w:val="zh-CN"/>
              </w:rPr>
            </w:pPr>
            <w:r>
              <w:rPr>
                <w:rFonts w:hint="eastAsia" w:ascii="宋体" w:hAnsi="宋体" w:cs="宋体"/>
                <w:sz w:val="24"/>
                <w:lang w:val="en-US" w:eastAsia="zh-CN"/>
              </w:rPr>
              <w:t>4</w:t>
            </w:r>
            <w:r>
              <w:rPr>
                <w:rFonts w:hint="eastAsia" w:ascii="宋体" w:hAnsi="宋体" w:cs="宋体"/>
                <w:sz w:val="24"/>
                <w:lang w:val="zh-CN"/>
              </w:rPr>
              <w:t>.本项目不接受磋商人以联合体方式进行投标；</w:t>
            </w:r>
          </w:p>
          <w:p>
            <w:pPr>
              <w:autoSpaceDE w:val="0"/>
              <w:autoSpaceDN w:val="0"/>
              <w:spacing w:line="360" w:lineRule="auto"/>
              <w:rPr>
                <w:rFonts w:hint="default" w:ascii="宋体" w:hAnsi="宋体" w:eastAsia="宋体" w:cs="宋体"/>
                <w:sz w:val="24"/>
                <w:lang w:val="en-US" w:eastAsia="zh-CN"/>
              </w:rPr>
            </w:pPr>
            <w:r>
              <w:rPr>
                <w:rFonts w:hint="eastAsia" w:ascii="宋体" w:hAnsi="宋体" w:cs="宋体"/>
                <w:sz w:val="24"/>
                <w:lang w:val="en-US" w:eastAsia="zh-CN"/>
              </w:rPr>
              <w:t>5.</w:t>
            </w:r>
            <w:r>
              <w:rPr>
                <w:rFonts w:hint="eastAsia" w:ascii="宋体" w:hAnsi="宋体"/>
                <w:color w:val="000000"/>
                <w:sz w:val="24"/>
                <w:szCs w:val="24"/>
              </w:rPr>
              <w:t>本次采购要求</w:t>
            </w:r>
            <w:r>
              <w:rPr>
                <w:rFonts w:hint="eastAsia" w:ascii="宋体" w:hAnsi="宋体"/>
                <w:color w:val="000000"/>
                <w:sz w:val="24"/>
                <w:szCs w:val="24"/>
                <w:lang w:eastAsia="zh-CN"/>
              </w:rPr>
              <w:t>供应商</w:t>
            </w:r>
            <w:r>
              <w:rPr>
                <w:rFonts w:hint="eastAsia" w:ascii="宋体" w:hAnsi="宋体"/>
                <w:color w:val="000000"/>
                <w:sz w:val="24"/>
                <w:szCs w:val="24"/>
              </w:rPr>
              <w:t>为生产商的，须具备有效的医疗器械生产许可证和所投产品的医疗器械注册证；</w:t>
            </w:r>
            <w:r>
              <w:rPr>
                <w:rFonts w:hint="eastAsia" w:ascii="宋体" w:hAnsi="宋体"/>
                <w:color w:val="000000"/>
                <w:sz w:val="24"/>
                <w:szCs w:val="24"/>
                <w:lang w:eastAsia="zh-CN"/>
              </w:rPr>
              <w:t>供应商</w:t>
            </w:r>
            <w:r>
              <w:rPr>
                <w:rFonts w:hint="eastAsia" w:ascii="宋体" w:hAnsi="宋体"/>
                <w:color w:val="000000"/>
                <w:sz w:val="24"/>
                <w:szCs w:val="24"/>
              </w:rPr>
              <w:t>为代理商的，具备有效的医疗器械经营许可证及所投产品的医疗器械注册证；</w:t>
            </w:r>
          </w:p>
        </w:tc>
      </w:tr>
      <w:tr>
        <w:tblPrEx>
          <w:tblCellMar>
            <w:top w:w="0" w:type="dxa"/>
            <w:left w:w="57" w:type="dxa"/>
            <w:bottom w:w="0" w:type="dxa"/>
            <w:right w:w="57" w:type="dxa"/>
          </w:tblCellMar>
        </w:tblPrEx>
        <w:trPr>
          <w:trHeight w:val="552" w:hRule="atLeast"/>
          <w:jc w:val="center"/>
        </w:trPr>
        <w:tc>
          <w:tcPr>
            <w:tcW w:w="653" w:type="dxa"/>
            <w:tcBorders>
              <w:top w:val="single" w:color="000000" w:sz="6" w:space="0"/>
              <w:left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rPr>
            </w:pPr>
          </w:p>
        </w:tc>
        <w:tc>
          <w:tcPr>
            <w:tcW w:w="2098" w:type="dxa"/>
            <w:tcBorders>
              <w:top w:val="single" w:color="000000" w:sz="6" w:space="0"/>
              <w:left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磋商保证金</w:t>
            </w:r>
          </w:p>
        </w:tc>
        <w:tc>
          <w:tcPr>
            <w:tcW w:w="7682" w:type="dxa"/>
            <w:tcBorders>
              <w:top w:val="single" w:color="000000" w:sz="6" w:space="0"/>
              <w:left w:val="single" w:color="000000" w:sz="6" w:space="0"/>
              <w:right w:val="single" w:color="000000" w:sz="6" w:space="0"/>
            </w:tcBorders>
            <w:shd w:val="clear" w:color="000000" w:fill="FFFFFF"/>
          </w:tcPr>
          <w:p>
            <w:pPr>
              <w:pStyle w:val="50"/>
              <w:spacing w:line="360" w:lineRule="auto"/>
              <w:rPr>
                <w:rFonts w:ascii="宋体" w:hAnsi="宋体" w:cs="宋体"/>
                <w:bCs/>
                <w:color w:val="000000" w:themeColor="text1"/>
                <w:kern w:val="0"/>
                <w:sz w:val="24"/>
                <w:lang w:val="zh-CN"/>
                <w14:textFill>
                  <w14:solidFill>
                    <w14:schemeClr w14:val="tx1"/>
                  </w14:solidFill>
                </w14:textFill>
              </w:rPr>
            </w:pPr>
            <w:bookmarkStart w:id="20" w:name="_Toc421873478"/>
            <w:bookmarkStart w:id="21" w:name="_Toc435176391"/>
            <w:bookmarkStart w:id="22" w:name="_Toc435175539"/>
            <w:bookmarkStart w:id="23" w:name="_Toc444762753"/>
            <w:r>
              <w:rPr>
                <w:rFonts w:ascii="宋体" w:hAnsi="宋体" w:cs="宋体"/>
                <w:bCs/>
                <w:kern w:val="0"/>
                <w:sz w:val="24"/>
                <w:lang w:val="zh-CN"/>
              </w:rPr>
              <w:t>各磋商供应商须在磋商响应文件递交截止时间前，缴纳磋商保证金（</w:t>
            </w:r>
            <w:r>
              <w:rPr>
                <w:rFonts w:hint="eastAsia" w:ascii="宋体" w:hAnsi="宋体" w:cs="宋体"/>
                <w:bCs/>
                <w:kern w:val="0"/>
                <w:sz w:val="24"/>
                <w:lang w:val="zh-CN"/>
              </w:rPr>
              <w:t>磋商</w:t>
            </w:r>
            <w:r>
              <w:rPr>
                <w:rFonts w:ascii="宋体" w:hAnsi="宋体" w:cs="宋体"/>
                <w:bCs/>
                <w:kern w:val="0"/>
                <w:sz w:val="24"/>
                <w:lang w:val="zh-CN"/>
              </w:rPr>
              <w:t>保证金应当从其基本账户汇出</w:t>
            </w:r>
            <w:bookmarkEnd w:id="20"/>
            <w:r>
              <w:rPr>
                <w:rFonts w:ascii="宋体" w:hAnsi="宋体" w:cs="宋体"/>
                <w:bCs/>
                <w:kern w:val="0"/>
                <w:sz w:val="24"/>
                <w:lang w:val="zh-CN"/>
              </w:rPr>
              <w:t>，磋商响应文件中须附</w:t>
            </w:r>
            <w:r>
              <w:rPr>
                <w:rFonts w:hint="eastAsia" w:ascii="宋体" w:hAnsi="宋体" w:cs="宋体"/>
                <w:bCs/>
                <w:kern w:val="0"/>
                <w:sz w:val="24"/>
                <w:lang w:val="zh-CN"/>
              </w:rPr>
              <w:t>企业</w:t>
            </w:r>
            <w:r>
              <w:rPr>
                <w:rFonts w:ascii="宋体" w:hAnsi="宋体" w:cs="宋体"/>
                <w:bCs/>
                <w:kern w:val="0"/>
                <w:sz w:val="24"/>
                <w:lang w:val="zh-CN"/>
              </w:rPr>
              <w:t>基本账户开户许可证并加盖磋商</w:t>
            </w:r>
            <w:r>
              <w:rPr>
                <w:rFonts w:ascii="宋体" w:hAnsi="宋体" w:cs="宋体"/>
                <w:bCs/>
                <w:color w:val="000000" w:themeColor="text1"/>
                <w:kern w:val="0"/>
                <w:sz w:val="24"/>
                <w:lang w:val="zh-CN"/>
                <w14:textFill>
                  <w14:solidFill>
                    <w14:schemeClr w14:val="tx1"/>
                  </w14:solidFill>
                </w14:textFill>
              </w:rPr>
              <w:t>企业公章）</w:t>
            </w:r>
            <w:bookmarkEnd w:id="21"/>
            <w:bookmarkEnd w:id="22"/>
            <w:bookmarkEnd w:id="23"/>
          </w:p>
          <w:p>
            <w:pPr>
              <w:pStyle w:val="5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磋商</w:t>
            </w:r>
            <w:r>
              <w:rPr>
                <w:rFonts w:ascii="宋体" w:hAnsi="宋体" w:cs="宋体"/>
                <w:bCs/>
                <w:color w:val="000000" w:themeColor="text1"/>
                <w:kern w:val="0"/>
                <w:sz w:val="24"/>
                <w:lang w:val="zh-CN"/>
                <w14:textFill>
                  <w14:solidFill>
                    <w14:schemeClr w14:val="tx1"/>
                  </w14:solidFill>
                </w14:textFill>
              </w:rPr>
              <w:t>保证金金额：</w:t>
            </w:r>
          </w:p>
          <w:p>
            <w:pPr>
              <w:pStyle w:val="50"/>
              <w:spacing w:line="360" w:lineRule="auto"/>
              <w:rPr>
                <w:rFonts w:ascii="宋体" w:hAnsi="宋体" w:cs="宋体"/>
                <w:bCs/>
                <w:color w:val="auto"/>
                <w:kern w:val="0"/>
                <w:sz w:val="24"/>
                <w:lang w:val="zh-CN"/>
              </w:rPr>
            </w:pPr>
            <w:r>
              <w:rPr>
                <w:rFonts w:hint="eastAsia" w:ascii="宋体" w:hAnsi="宋体" w:cs="宋体"/>
                <w:bCs/>
                <w:color w:val="auto"/>
                <w:kern w:val="0"/>
                <w:sz w:val="24"/>
                <w:lang w:val="zh-CN"/>
              </w:rPr>
              <w:t>小写：￥</w:t>
            </w:r>
            <w:r>
              <w:rPr>
                <w:rFonts w:hint="eastAsia" w:ascii="宋体" w:hAnsi="宋体" w:cs="宋体"/>
                <w:bCs/>
                <w:color w:val="auto"/>
                <w:kern w:val="0"/>
                <w:sz w:val="24"/>
                <w:lang w:val="en-US" w:eastAsia="zh-CN"/>
              </w:rPr>
              <w:t>13,000.00</w:t>
            </w:r>
            <w:r>
              <w:rPr>
                <w:rFonts w:hint="eastAsia" w:ascii="宋体" w:hAnsi="宋体" w:cs="宋体"/>
                <w:bCs/>
                <w:color w:val="auto"/>
                <w:kern w:val="0"/>
                <w:sz w:val="24"/>
                <w:lang w:val="zh-CN"/>
              </w:rPr>
              <w:t>元整；大写：</w:t>
            </w:r>
            <w:r>
              <w:rPr>
                <w:rFonts w:hint="eastAsia" w:ascii="宋体" w:hAnsi="宋体" w:cs="宋体"/>
                <w:bCs/>
                <w:color w:val="auto"/>
                <w:kern w:val="0"/>
                <w:sz w:val="24"/>
                <w:lang w:val="en-US" w:eastAsia="zh-CN"/>
              </w:rPr>
              <w:t>壹万叁仟元整</w:t>
            </w:r>
            <w:r>
              <w:rPr>
                <w:rFonts w:hint="eastAsia" w:ascii="宋体" w:hAnsi="宋体" w:cs="宋体"/>
                <w:bCs/>
                <w:color w:val="auto"/>
                <w:kern w:val="0"/>
                <w:sz w:val="24"/>
                <w:lang w:val="zh-CN"/>
              </w:rPr>
              <w:t>；</w:t>
            </w:r>
          </w:p>
          <w:p>
            <w:pPr>
              <w:pStyle w:val="50"/>
              <w:spacing w:line="360" w:lineRule="auto"/>
              <w:rPr>
                <w:rFonts w:ascii="宋体" w:hAnsi="宋体" w:cs="宋体"/>
                <w:bCs/>
                <w:kern w:val="0"/>
                <w:sz w:val="24"/>
                <w:lang w:val="zh-CN"/>
              </w:rPr>
            </w:pPr>
            <w:r>
              <w:rPr>
                <w:rFonts w:hint="eastAsia" w:ascii="宋体" w:hAnsi="宋体" w:cs="宋体"/>
                <w:bCs/>
                <w:kern w:val="0"/>
                <w:sz w:val="24"/>
                <w:lang w:val="zh-CN"/>
              </w:rPr>
              <w:t>收款单位：青海国焱工程项目管理有限公司</w:t>
            </w:r>
          </w:p>
          <w:p>
            <w:pPr>
              <w:pStyle w:val="50"/>
              <w:spacing w:line="360" w:lineRule="auto"/>
              <w:rPr>
                <w:rFonts w:ascii="宋体" w:hAnsi="宋体" w:cs="宋体"/>
                <w:bCs/>
                <w:kern w:val="0"/>
                <w:sz w:val="24"/>
                <w:lang w:val="zh-CN"/>
              </w:rPr>
            </w:pPr>
            <w:r>
              <w:rPr>
                <w:rFonts w:hint="eastAsia" w:ascii="宋体" w:hAnsi="宋体" w:cs="宋体"/>
                <w:bCs/>
                <w:kern w:val="0"/>
                <w:sz w:val="24"/>
                <w:lang w:val="zh-CN"/>
              </w:rPr>
              <w:t>开 户 行：中国工商银行股份有限公司西宁五四大街支行</w:t>
            </w:r>
          </w:p>
          <w:p>
            <w:pPr>
              <w:pStyle w:val="50"/>
              <w:spacing w:line="360" w:lineRule="auto"/>
              <w:rPr>
                <w:rFonts w:ascii="宋体" w:hAnsi="宋体" w:cs="宋体"/>
                <w:bCs/>
                <w:kern w:val="0"/>
                <w:sz w:val="24"/>
                <w:lang w:val="zh-CN"/>
              </w:rPr>
            </w:pPr>
            <w:r>
              <w:rPr>
                <w:rFonts w:hint="eastAsia" w:ascii="宋体" w:hAnsi="宋体" w:cs="宋体"/>
                <w:bCs/>
                <w:kern w:val="0"/>
                <w:sz w:val="24"/>
                <w:lang w:val="zh-CN"/>
              </w:rPr>
              <w:t>银行账号：2806001309000043259</w:t>
            </w:r>
            <w:r>
              <w:rPr>
                <w:rFonts w:hint="eastAsia" w:ascii="宋体" w:hAnsi="宋体" w:cs="宋体"/>
                <w:kern w:val="0"/>
                <w:sz w:val="24"/>
                <w:lang w:val="zh-CN"/>
              </w:rPr>
              <w:t>（开户行号：102851000139）</w:t>
            </w:r>
          </w:p>
          <w:p>
            <w:pPr>
              <w:pStyle w:val="50"/>
              <w:spacing w:line="360" w:lineRule="auto"/>
              <w:rPr>
                <w:rFonts w:ascii="宋体" w:hAnsi="宋体" w:cs="宋体"/>
                <w:bCs/>
                <w:kern w:val="0"/>
                <w:sz w:val="24"/>
                <w:lang w:val="zh-CN"/>
              </w:rPr>
            </w:pPr>
            <w:r>
              <w:rPr>
                <w:rFonts w:hint="eastAsia" w:ascii="宋体" w:hAnsi="宋体" w:cs="宋体"/>
                <w:bCs/>
                <w:kern w:val="0"/>
                <w:sz w:val="24"/>
                <w:lang w:val="zh-CN"/>
              </w:rPr>
              <w:t>缴纳时间：磋商供应商在磋商截止期前，以银行到账时间为准。</w:t>
            </w:r>
          </w:p>
          <w:p>
            <w:pPr>
              <w:pStyle w:val="50"/>
              <w:spacing w:line="360" w:lineRule="auto"/>
              <w:rPr>
                <w:rFonts w:ascii="宋体" w:hAnsi="宋体" w:cs="宋体"/>
                <w:bCs/>
                <w:kern w:val="0"/>
                <w:sz w:val="24"/>
                <w:lang w:val="zh-CN"/>
              </w:rPr>
            </w:pPr>
            <w:r>
              <w:rPr>
                <w:rFonts w:hint="eastAsia" w:ascii="宋体" w:hAnsi="宋体" w:cs="宋体"/>
                <w:bCs/>
                <w:kern w:val="0"/>
                <w:sz w:val="24"/>
                <w:lang w:val="zh-CN"/>
              </w:rPr>
              <w:t>（1）不接受个人名义或现金形式递交的磋商保证金，磋商供应商应单独提交磋商保证金，磋商保证金须从企业基本账户中支付，磋商文件中须附企业开户许可证；</w:t>
            </w:r>
          </w:p>
          <w:p>
            <w:pPr>
              <w:pStyle w:val="50"/>
              <w:spacing w:line="360" w:lineRule="auto"/>
              <w:rPr>
                <w:rFonts w:ascii="宋体" w:hAnsi="宋体" w:cs="宋体"/>
                <w:kern w:val="0"/>
                <w:sz w:val="24"/>
                <w:lang w:val="zh-CN"/>
              </w:rPr>
            </w:pPr>
            <w:r>
              <w:rPr>
                <w:rFonts w:hint="eastAsia" w:ascii="宋体" w:hAnsi="宋体" w:cs="宋体"/>
                <w:bCs/>
                <w:kern w:val="0"/>
                <w:sz w:val="24"/>
                <w:lang w:val="zh-CN"/>
              </w:rPr>
              <w:t>（2）磋商保证金有效期与磋商有效期一致。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kern w:val="0"/>
                <w:sz w:val="24"/>
              </w:rPr>
              <w:t>磋商</w:t>
            </w:r>
            <w:r>
              <w:rPr>
                <w:rFonts w:hint="eastAsia" w:ascii="宋体" w:hAnsi="宋体" w:cs="宋体"/>
                <w:bCs/>
                <w:kern w:val="0"/>
                <w:sz w:val="24"/>
                <w:lang w:val="zh-CN"/>
              </w:rPr>
              <w:t>保证金缴纳方式</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w:t>
            </w:r>
            <w:r>
              <w:rPr>
                <w:rFonts w:hint="eastAsia" w:ascii="宋体" w:hAnsi="宋体" w:cs="宋体"/>
                <w:color w:val="000000" w:themeColor="text1"/>
                <w:kern w:val="0"/>
                <w:sz w:val="24"/>
                <w:lang w:val="zh-CN"/>
                <w14:textFill>
                  <w14:solidFill>
                    <w14:schemeClr w14:val="tx1"/>
                  </w14:solidFill>
                </w14:textFill>
              </w:rPr>
              <w:t>保证金应当以电汇、支票、汇票、本票或者金融机构、担保机构出具的保函等非现金形式提交。通过银行转账的，必须由磋商供应商从其基本账户（需提供开户许可证）汇（转）入本须知附表中第1</w:t>
            </w:r>
            <w:r>
              <w:rPr>
                <w:rFonts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zh-CN"/>
                <w14:textFill>
                  <w14:solidFill>
                    <w14:schemeClr w14:val="tx1"/>
                  </w14:solidFill>
                </w14:textFill>
              </w:rPr>
              <w:t>条指定的账户。</w:t>
            </w:r>
          </w:p>
          <w:p>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磋商供应商未按照磋商文件要求提交</w:t>
            </w:r>
            <w:r>
              <w:rPr>
                <w:rFonts w:hint="eastAsia" w:ascii="宋体" w:hAnsi="宋体"/>
                <w:color w:val="000000" w:themeColor="text1"/>
                <w:kern w:val="0"/>
                <w:sz w:val="24"/>
                <w14:textFill>
                  <w14:solidFill>
                    <w14:schemeClr w14:val="tx1"/>
                  </w14:solidFill>
                </w14:textFill>
              </w:rPr>
              <w:t>磋商</w:t>
            </w:r>
            <w:r>
              <w:rPr>
                <w:rFonts w:hint="eastAsia" w:ascii="宋体" w:hAnsi="宋体" w:cs="宋体"/>
                <w:color w:val="000000" w:themeColor="text1"/>
                <w:kern w:val="0"/>
                <w:sz w:val="24"/>
                <w:lang w:val="zh-CN"/>
                <w14:textFill>
                  <w14:solidFill>
                    <w14:schemeClr w14:val="tx1"/>
                  </w14:solidFill>
                </w14:textFill>
              </w:rPr>
              <w:t>保证金的，磋商无效。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kern w:val="0"/>
                <w:sz w:val="24"/>
              </w:rPr>
              <w:t>磋商</w:t>
            </w:r>
            <w:r>
              <w:rPr>
                <w:rFonts w:hint="eastAsia" w:ascii="宋体" w:hAnsi="宋体" w:cs="宋体"/>
                <w:bCs/>
                <w:kern w:val="0"/>
                <w:sz w:val="24"/>
                <w:lang w:val="zh-CN"/>
              </w:rPr>
              <w:t>保证金退还</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未成交磋商供应商的</w:t>
            </w:r>
            <w:r>
              <w:rPr>
                <w:rFonts w:hint="eastAsia" w:ascii="宋体" w:hAnsi="宋体"/>
                <w:color w:val="000000" w:themeColor="text1"/>
                <w:kern w:val="0"/>
                <w:sz w:val="24"/>
                <w14:textFill>
                  <w14:solidFill>
                    <w14:schemeClr w14:val="tx1"/>
                  </w14:solidFill>
                </w14:textFill>
              </w:rPr>
              <w:t>磋商</w:t>
            </w:r>
            <w:r>
              <w:rPr>
                <w:rFonts w:hint="eastAsia" w:ascii="宋体" w:hAnsi="宋体" w:cs="宋体"/>
                <w:color w:val="000000" w:themeColor="text1"/>
                <w:kern w:val="0"/>
                <w:sz w:val="24"/>
                <w:lang w:val="zh-CN"/>
                <w14:textFill>
                  <w14:solidFill>
                    <w14:schemeClr w14:val="tx1"/>
                  </w14:solidFill>
                </w14:textFill>
              </w:rPr>
              <w:t>保证金自成交通知书发出之日起5个工作日内退还（不退现金）；成交磋商供应商的磋商保证金，自政府采购合同签订之日起5个工作日内退还（不退现金）。</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kern w:val="0"/>
                <w:sz w:val="24"/>
              </w:rPr>
            </w:pPr>
            <w:r>
              <w:rPr>
                <w:rFonts w:hint="eastAsia" w:ascii="宋体" w:hAnsi="宋体" w:cs="宋体"/>
                <w:bCs/>
                <w:kern w:val="0"/>
                <w:sz w:val="24"/>
                <w:lang w:val="zh-CN"/>
              </w:rPr>
              <w:t>递交磋商文件方式</w:t>
            </w:r>
          </w:p>
        </w:tc>
        <w:tc>
          <w:tcPr>
            <w:tcW w:w="7682"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通过政采云投标客户端递交响应文件</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w:t>
            </w:r>
            <w:r>
              <w:rPr>
                <w:rFonts w:hint="eastAsia" w:ascii="宋体" w:hAnsi="宋体" w:cs="宋体"/>
                <w:bCs/>
                <w:color w:val="000000" w:themeColor="text1"/>
                <w:kern w:val="0"/>
                <w:sz w:val="24"/>
                <w:lang w:val="zh-CN"/>
                <w14:textFill>
                  <w14:solidFill>
                    <w14:schemeClr w14:val="tx1"/>
                  </w14:solidFill>
                </w14:textFill>
              </w:rPr>
              <w:t>截止时间</w:t>
            </w:r>
          </w:p>
        </w:tc>
        <w:tc>
          <w:tcPr>
            <w:tcW w:w="7682"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lang w:eastAsia="zh-CN"/>
                <w14:textFill>
                  <w14:solidFill>
                    <w14:schemeClr w14:val="tx1"/>
                  </w14:solidFill>
                </w14:textFill>
              </w:rPr>
              <w:t>2025年04月17日下午14:30（北京时间）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磋商时间</w:t>
            </w:r>
          </w:p>
        </w:tc>
        <w:tc>
          <w:tcPr>
            <w:tcW w:w="7682" w:type="dxa"/>
            <w:tcBorders>
              <w:top w:val="outset" w:color="000000" w:sz="6" w:space="0"/>
              <w:left w:val="outset" w:color="000000" w:sz="6" w:space="0"/>
              <w:bottom w:val="outset" w:color="000000" w:sz="6" w:space="0"/>
              <w:right w:val="outset" w:color="000000" w:sz="6" w:space="0"/>
            </w:tcBorders>
            <w:vAlign w:val="center"/>
          </w:tcPr>
          <w:p>
            <w:pPr>
              <w:pStyle w:val="50"/>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lang w:eastAsia="zh-CN"/>
                <w14:textFill>
                  <w14:solidFill>
                    <w14:schemeClr w14:val="tx1"/>
                  </w14:solidFill>
                </w14:textFill>
              </w:rPr>
              <w:t>2025年04月17日下午14:30（北京时间）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磋商及磋商地点</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olor w:val="000000" w:themeColor="text1"/>
                <w:kern w:val="0"/>
                <w:sz w:val="24"/>
                <w:lang w:eastAsia="zh-CN"/>
                <w14:textFill>
                  <w14:solidFill>
                    <w14:schemeClr w14:val="tx1"/>
                  </w14:solidFill>
                </w14:textFill>
              </w:rPr>
              <w:t>西宁市城西区盐湖巷6号10号楼（城西区总部经济大厦)16楼</w:t>
            </w:r>
            <w:r>
              <w:rPr>
                <w:rFonts w:hint="eastAsia" w:ascii="宋体" w:hAnsi="宋体"/>
                <w:color w:val="000000" w:themeColor="text1"/>
                <w:kern w:val="0"/>
                <w:sz w:val="24"/>
                <w14:textFill>
                  <w14:solidFill>
                    <w14:schemeClr w14:val="tx1"/>
                  </w14:solidFill>
                </w14:textFill>
              </w:rPr>
              <w:t>青海国焱工程项目管理有限公司</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磋商响应文件格式及编制要求</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1、供应商须提交加密电子投标文件1份务必在开标截止前上传至电子开评标系统。加密电子投标文件制作详情请咨询政采云，咨询电话：400-881-7190。</w:t>
            </w:r>
          </w:p>
          <w:p>
            <w:pPr>
              <w:autoSpaceDE w:val="0"/>
              <w:autoSpaceDN w:val="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2、按照线上磋商响应文件编制要求，编制线上磋商响应文件。</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递交磋商响应文件程序</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kern w:val="0"/>
                <w:sz w:val="24"/>
              </w:rPr>
            </w:pPr>
            <w:r>
              <w:rPr>
                <w:rFonts w:hint="eastAsia" w:ascii="宋体" w:hAnsi="宋体"/>
                <w:kern w:val="0"/>
                <w:sz w:val="24"/>
              </w:rPr>
              <w:t>供应商应当在磋商文件要求的截止时间前，将加密电子投标文件1份务必在开标截止前上传至电子开评标系统并进行签到。</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答疑澄清方式</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线上答疑，应在规定的时间内通过政采云平台进行答疑澄清，如在规定的时间内未按要求进行澄清，视同放弃答疑。</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代理服务费收取</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招标代理服务费：</w:t>
            </w:r>
          </w:p>
          <w:p>
            <w:pPr>
              <w:autoSpaceDE w:val="0"/>
              <w:autoSpaceDN w:val="0"/>
              <w:spacing w:line="360" w:lineRule="auto"/>
              <w:rPr>
                <w:rFonts w:ascii="宋体" w:hAnsi="宋体" w:cs="宋体"/>
                <w:color w:val="auto"/>
                <w:kern w:val="0"/>
                <w:sz w:val="24"/>
                <w:lang w:val="zh-CN"/>
              </w:rPr>
            </w:pPr>
            <w:r>
              <w:rPr>
                <w:rFonts w:hint="eastAsia" w:ascii="宋体" w:hAnsi="宋体" w:cs="宋体"/>
                <w:color w:val="auto"/>
                <w:kern w:val="0"/>
                <w:sz w:val="24"/>
                <w:lang w:val="zh-CN"/>
              </w:rPr>
              <w:t>收取对象：成交磋商供应商</w:t>
            </w:r>
          </w:p>
          <w:p>
            <w:pPr>
              <w:spacing w:line="360" w:lineRule="auto"/>
              <w:rPr>
                <w:rFonts w:ascii="宋体" w:hAnsi="宋体" w:cs="宋体"/>
                <w:kern w:val="0"/>
                <w:sz w:val="24"/>
                <w:lang w:val="zh-CN"/>
              </w:rPr>
            </w:pPr>
            <w:r>
              <w:rPr>
                <w:rFonts w:hint="eastAsia" w:ascii="宋体" w:hAnsi="宋体" w:cs="宋体"/>
                <w:kern w:val="0"/>
                <w:sz w:val="24"/>
                <w:lang w:val="zh-CN"/>
              </w:rPr>
              <w:t>说明：</w:t>
            </w:r>
            <w:bookmarkStart w:id="24" w:name="OLE_LINK11"/>
            <w:r>
              <w:rPr>
                <w:rFonts w:hint="eastAsia" w:ascii="宋体" w:hAnsi="宋体" w:cs="宋体"/>
                <w:kern w:val="0"/>
                <w:sz w:val="24"/>
                <w:lang w:val="zh-CN"/>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参照计价[2002]1980号文以项目成交价核算收取。</w:t>
            </w:r>
            <w:bookmarkEnd w:id="24"/>
          </w:p>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代理服务费的支付形式：电汇、支票。</w:t>
            </w:r>
          </w:p>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账户名：青海国焱工程项目管理有限公司</w:t>
            </w:r>
          </w:p>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开户行号：102851000139</w:t>
            </w:r>
          </w:p>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账  号：2806001309000043259</w:t>
            </w:r>
          </w:p>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开户行：中国工商银行股份有限公司西宁五四大街支行</w:t>
            </w:r>
          </w:p>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代理服务费以人民币支付。</w:t>
            </w:r>
          </w:p>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代理服务费不在投标报价中单列。</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合同签订有效期</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自成交通知书发出之日起</w:t>
            </w:r>
            <w:r>
              <w:rPr>
                <w:rFonts w:hint="eastAsia" w:ascii="宋体" w:hAnsi="宋体" w:cs="宋体"/>
                <w:kern w:val="0"/>
                <w:sz w:val="24"/>
              </w:rPr>
              <w:t>30</w:t>
            </w:r>
            <w:r>
              <w:rPr>
                <w:rFonts w:hint="eastAsia" w:ascii="宋体" w:hAnsi="宋体" w:cs="宋体"/>
                <w:kern w:val="0"/>
                <w:sz w:val="24"/>
                <w:lang w:val="zh-CN"/>
              </w:rPr>
              <w:t>日内与采购单位签订供货合同</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政府采购合同备案</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rPr>
                <w:rFonts w:ascii="宋体" w:hAnsi="宋体" w:cs="Arial"/>
                <w:sz w:val="24"/>
              </w:rPr>
            </w:pPr>
            <w:r>
              <w:rPr>
                <w:rFonts w:ascii="宋体" w:hAnsi="宋体" w:cs="Arial"/>
                <w:sz w:val="24"/>
              </w:rPr>
              <w:t>采购合同全数返回采购代理机构签证，盖章。</w:t>
            </w:r>
          </w:p>
          <w:p>
            <w:pPr>
              <w:spacing w:line="360" w:lineRule="auto"/>
              <w:rPr>
                <w:rFonts w:ascii="宋体" w:hAnsi="宋体" w:cs="Arial"/>
                <w:sz w:val="24"/>
              </w:rPr>
            </w:pPr>
            <w:r>
              <w:rPr>
                <w:rFonts w:ascii="宋体" w:hAnsi="宋体" w:cs="Arial"/>
                <w:sz w:val="24"/>
              </w:rPr>
              <w:t>采购代理机构留存</w:t>
            </w:r>
            <w:r>
              <w:rPr>
                <w:rFonts w:hint="eastAsia" w:ascii="宋体" w:hAnsi="宋体" w:cs="Arial"/>
                <w:sz w:val="24"/>
              </w:rPr>
              <w:t>叁</w:t>
            </w:r>
            <w:r>
              <w:rPr>
                <w:rFonts w:ascii="宋体" w:hAnsi="宋体" w:cs="Arial"/>
                <w:sz w:val="24"/>
              </w:rPr>
              <w:t>份原件备案。</w:t>
            </w:r>
          </w:p>
          <w:p>
            <w:pPr>
              <w:spacing w:line="360" w:lineRule="auto"/>
              <w:rPr>
                <w:rFonts w:ascii="宋体" w:hAnsi="宋体" w:cs="Arial"/>
                <w:sz w:val="24"/>
              </w:rPr>
            </w:pPr>
            <w:r>
              <w:rPr>
                <w:rFonts w:ascii="宋体" w:hAnsi="宋体" w:cs="Arial"/>
                <w:sz w:val="24"/>
              </w:rPr>
              <w:t>合同返回地址：</w:t>
            </w:r>
            <w:r>
              <w:rPr>
                <w:rFonts w:hint="eastAsia" w:ascii="宋体" w:hAnsi="宋体"/>
                <w:kern w:val="0"/>
                <w:sz w:val="24"/>
                <w:lang w:eastAsia="zh-CN"/>
              </w:rPr>
              <w:t>西宁市城西区盐湖巷6号10号楼</w:t>
            </w:r>
            <w:r>
              <w:rPr>
                <w:rFonts w:hint="eastAsia" w:ascii="宋体" w:hAnsi="宋体"/>
                <w:kern w:val="0"/>
                <w:sz w:val="24"/>
                <w:lang w:val="en-US" w:eastAsia="zh-CN"/>
              </w:rPr>
              <w:t>(</w:t>
            </w:r>
            <w:r>
              <w:rPr>
                <w:rFonts w:hint="eastAsia" w:ascii="宋体" w:hAnsi="宋体"/>
                <w:kern w:val="0"/>
                <w:sz w:val="24"/>
                <w:lang w:eastAsia="zh-CN"/>
              </w:rPr>
              <w:t>城西区总部经济大厦)16楼</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磋商有效期</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本次磋商有效期为磋商之日起60个日历日</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numPr>
                <w:ilvl w:val="0"/>
                <w:numId w:val="3"/>
              </w:numPr>
              <w:autoSpaceDE w:val="0"/>
              <w:autoSpaceDN w:val="0"/>
              <w:spacing w:line="360" w:lineRule="auto"/>
              <w:jc w:val="center"/>
              <w:rPr>
                <w:rFonts w:ascii="宋体" w:hAnsi="宋体" w:cs="宋体"/>
                <w:bCs/>
                <w:kern w:val="0"/>
                <w:sz w:val="24"/>
                <w:lang w:val="zh-CN"/>
              </w:rPr>
            </w:pPr>
            <w:bookmarkStart w:id="25" w:name="OLE_LINK10" w:colFirst="2" w:colLast="2"/>
          </w:p>
        </w:tc>
        <w:tc>
          <w:tcPr>
            <w:tcW w:w="209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其他要求</w:t>
            </w:r>
          </w:p>
        </w:tc>
        <w:tc>
          <w:tcPr>
            <w:tcW w:w="7682" w:type="dxa"/>
            <w:tcBorders>
              <w:top w:val="single" w:color="000000" w:sz="6" w:space="0"/>
              <w:left w:val="single" w:color="000000" w:sz="6" w:space="0"/>
              <w:bottom w:val="single" w:color="000000" w:sz="6" w:space="0"/>
              <w:right w:val="single" w:color="000000" w:sz="6" w:space="0"/>
            </w:tcBorders>
            <w:shd w:val="clear" w:color="000000" w:fill="FFFFFF"/>
          </w:tcPr>
          <w:p>
            <w:pPr>
              <w:pStyle w:val="90"/>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本公告发布于《青海政府采购网》、《青海项目信息网》同时发布；</w:t>
            </w:r>
            <w:r>
              <w:rPr>
                <w:rFonts w:hint="eastAsia" w:ascii="宋体" w:hAnsi="宋体" w:cs="宋体"/>
                <w:color w:val="000000" w:themeColor="text1"/>
                <w:kern w:val="0"/>
                <w:sz w:val="24"/>
                <w:lang w:eastAsia="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公告内容以青海政府采购网发布的为准）</w:t>
            </w:r>
            <w:r>
              <w:rPr>
                <w:rFonts w:hint="eastAsia" w:ascii="宋体" w:hAnsi="宋体"/>
                <w:color w:val="000000" w:themeColor="text1"/>
                <w:kern w:val="0"/>
                <w:sz w:val="24"/>
                <w14:textFill>
                  <w14:solidFill>
                    <w14:schemeClr w14:val="tx1"/>
                  </w14:solidFill>
                </w14:textFill>
              </w:rPr>
              <w:t>。</w:t>
            </w:r>
          </w:p>
          <w:p>
            <w:pPr>
              <w:pStyle w:val="90"/>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本次招标采用线上提交投标文件的方式进行采购，投标文件必须在投标文件递交截止时间前上传平台。</w:t>
            </w:r>
          </w:p>
          <w:p>
            <w:pPr>
              <w:pStyle w:val="90"/>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 CA问题</w:t>
            </w:r>
            <w:r>
              <w:rPr>
                <w:rFonts w:hint="eastAsia" w:ascii="宋体" w:hAnsi="宋体" w:cs="宋体"/>
                <w:color w:val="000000" w:themeColor="text1"/>
                <w:sz w:val="24"/>
                <w14:textFill>
                  <w14:solidFill>
                    <w14:schemeClr w14:val="tx1"/>
                  </w14:solidFill>
                </w14:textFill>
              </w:rPr>
              <w:t>PC咨询网址（可及时反馈问题截图，让客服快速定位问题）:http://tseal.cn/k.html，</w:t>
            </w:r>
            <w:r>
              <w:rPr>
                <w:rFonts w:ascii="宋体" w:hAnsi="宋体" w:cs="宋体"/>
                <w:color w:val="000000" w:themeColor="text1"/>
                <w:sz w:val="24"/>
                <w14:textFill>
                  <w14:solidFill>
                    <w14:schemeClr w14:val="tx1"/>
                  </w14:solidFill>
                </w14:textFill>
              </w:rPr>
              <w:t>联系电话（人工）：400-087-8198。</w:t>
            </w:r>
          </w:p>
          <w:p>
            <w:pPr>
              <w:pStyle w:val="90"/>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磋商供应商解密和磋商报价时必须</w:t>
            </w:r>
            <w:r>
              <w:rPr>
                <w:rFonts w:hint="eastAsia" w:ascii="宋体" w:hAnsi="宋体" w:cs="宋体"/>
                <w:color w:val="000000" w:themeColor="text1"/>
                <w:sz w:val="24"/>
                <w14:textFill>
                  <w14:solidFill>
                    <w14:schemeClr w14:val="tx1"/>
                  </w14:solidFill>
                </w14:textFill>
              </w:rPr>
              <w:t>由</w:t>
            </w:r>
            <w:r>
              <w:rPr>
                <w:rFonts w:ascii="宋体" w:hAnsi="宋体" w:cs="宋体"/>
                <w:color w:val="000000" w:themeColor="text1"/>
                <w:sz w:val="24"/>
                <w14:textFill>
                  <w14:solidFill>
                    <w14:schemeClr w14:val="tx1"/>
                  </w14:solidFill>
                </w14:textFill>
              </w:rPr>
              <w:t>e签宝注册人办理，磋商供应商须在固定电脑设备前登陆等待解密和磋商报价，磋商供应商</w:t>
            </w:r>
            <w:r>
              <w:rPr>
                <w:rFonts w:hint="eastAsia" w:ascii="宋体" w:hAnsi="宋体" w:cs="宋体"/>
                <w:color w:val="000000" w:themeColor="text1"/>
                <w:sz w:val="24"/>
                <w14:textFill>
                  <w14:solidFill>
                    <w14:schemeClr w14:val="tx1"/>
                  </w14:solidFill>
                </w14:textFill>
              </w:rPr>
              <w:t>须在规定的时间内完成</w:t>
            </w:r>
            <w:r>
              <w:rPr>
                <w:rFonts w:ascii="宋体" w:hAnsi="宋体" w:cs="宋体"/>
                <w:color w:val="000000" w:themeColor="text1"/>
                <w:sz w:val="24"/>
                <w14:textFill>
                  <w14:solidFill>
                    <w14:schemeClr w14:val="tx1"/>
                  </w14:solidFill>
                </w14:textFill>
              </w:rPr>
              <w:t>。</w:t>
            </w:r>
          </w:p>
        </w:tc>
      </w:tr>
      <w:bookmarkEnd w:id="25"/>
    </w:tbl>
    <w:p>
      <w:pPr>
        <w:pStyle w:val="26"/>
        <w:spacing w:before="0" w:after="0" w:line="360" w:lineRule="auto"/>
        <w:rPr>
          <w:rFonts w:ascii="宋体" w:hAnsi="宋体"/>
          <w:sz w:val="48"/>
          <w:szCs w:val="48"/>
          <w:lang w:val="zh-CN"/>
        </w:rPr>
      </w:pPr>
      <w:r>
        <w:rPr>
          <w:rFonts w:ascii="宋体" w:hAnsi="宋体"/>
          <w:b w:val="0"/>
          <w:sz w:val="24"/>
          <w:szCs w:val="24"/>
        </w:rPr>
        <w:br w:type="page"/>
      </w:r>
      <w:bookmarkStart w:id="26" w:name="_Toc444715734"/>
      <w:bookmarkStart w:id="27" w:name="_Toc30303"/>
      <w:r>
        <w:rPr>
          <w:rFonts w:hint="eastAsia" w:ascii="宋体" w:hAnsi="宋体"/>
          <w:sz w:val="48"/>
          <w:szCs w:val="48"/>
        </w:rPr>
        <w:t>第三部分  磋商供应商须知</w:t>
      </w:r>
      <w:bookmarkEnd w:id="26"/>
      <w:bookmarkEnd w:id="27"/>
    </w:p>
    <w:p>
      <w:pPr>
        <w:pStyle w:val="9"/>
        <w:ind w:left="709"/>
        <w:rPr>
          <w:rFonts w:hAnsi="宋体"/>
          <w:b/>
          <w:sz w:val="24"/>
          <w:szCs w:val="24"/>
        </w:rPr>
      </w:pPr>
      <w:bookmarkStart w:id="28" w:name="_Toc29521"/>
      <w:r>
        <w:rPr>
          <w:rFonts w:hint="eastAsia" w:hAnsi="宋体"/>
          <w:b/>
          <w:sz w:val="24"/>
          <w:szCs w:val="24"/>
        </w:rPr>
        <w:t>说明</w:t>
      </w:r>
      <w:bookmarkEnd w:id="28"/>
    </w:p>
    <w:p>
      <w:pPr>
        <w:pStyle w:val="10"/>
        <w:numPr>
          <w:ilvl w:val="0"/>
          <w:numId w:val="5"/>
        </w:numPr>
        <w:spacing w:before="0" w:after="0" w:line="360" w:lineRule="auto"/>
        <w:rPr>
          <w:rFonts w:ascii="宋体" w:hAnsi="宋体"/>
          <w:b w:val="0"/>
          <w:sz w:val="24"/>
          <w:szCs w:val="24"/>
        </w:rPr>
      </w:pPr>
      <w:bookmarkStart w:id="29" w:name="_Toc13019"/>
      <w:bookmarkStart w:id="30" w:name="_Toc446427794"/>
      <w:bookmarkStart w:id="31" w:name="_Toc495570969"/>
      <w:bookmarkStart w:id="32" w:name="_Toc488691479"/>
      <w:bookmarkStart w:id="33" w:name="_Toc459377860"/>
      <w:r>
        <w:rPr>
          <w:rFonts w:ascii="宋体" w:hAnsi="宋体"/>
          <w:b w:val="0"/>
          <w:sz w:val="24"/>
          <w:szCs w:val="24"/>
        </w:rPr>
        <w:t>磋商内容及要求</w:t>
      </w:r>
      <w:bookmarkEnd w:id="29"/>
      <w:bookmarkEnd w:id="30"/>
      <w:bookmarkEnd w:id="31"/>
      <w:bookmarkEnd w:id="32"/>
      <w:bookmarkEnd w:id="33"/>
    </w:p>
    <w:p>
      <w:pPr>
        <w:pStyle w:val="20"/>
        <w:spacing w:line="360" w:lineRule="auto"/>
        <w:ind w:firstLine="480" w:firstLineChars="200"/>
        <w:rPr>
          <w:rFonts w:hAnsi="宋体"/>
          <w:sz w:val="24"/>
          <w:szCs w:val="24"/>
        </w:rPr>
      </w:pPr>
      <w:r>
        <w:rPr>
          <w:rFonts w:hint="eastAsia" w:hAnsi="宋体"/>
          <w:sz w:val="24"/>
          <w:szCs w:val="24"/>
        </w:rPr>
        <w:t>本次采购依据采购单位的采购计划，仅适用于本竞争性磋商文件（以下简称“磋商文件”）中所叙述的项目。</w:t>
      </w:r>
    </w:p>
    <w:p>
      <w:pPr>
        <w:pStyle w:val="10"/>
        <w:numPr>
          <w:ilvl w:val="0"/>
          <w:numId w:val="5"/>
        </w:numPr>
        <w:spacing w:before="0" w:after="0" w:line="360" w:lineRule="auto"/>
        <w:rPr>
          <w:rFonts w:ascii="宋体" w:hAnsi="宋体"/>
          <w:b w:val="0"/>
          <w:sz w:val="24"/>
          <w:szCs w:val="24"/>
        </w:rPr>
      </w:pPr>
      <w:bookmarkStart w:id="34" w:name="_Toc488673614"/>
      <w:bookmarkStart w:id="35" w:name="_Toc14091"/>
      <w:r>
        <w:rPr>
          <w:rFonts w:hint="eastAsia" w:ascii="宋体" w:hAnsi="宋体"/>
          <w:b w:val="0"/>
          <w:sz w:val="24"/>
          <w:szCs w:val="24"/>
        </w:rPr>
        <w:t>采购方式、合格的磋商供应商</w:t>
      </w:r>
      <w:bookmarkEnd w:id="34"/>
      <w:bookmarkEnd w:id="35"/>
    </w:p>
    <w:p>
      <w:pPr>
        <w:pStyle w:val="20"/>
        <w:numPr>
          <w:ilvl w:val="1"/>
          <w:numId w:val="6"/>
        </w:numPr>
        <w:spacing w:line="360" w:lineRule="auto"/>
        <w:rPr>
          <w:rFonts w:hAnsi="宋体"/>
          <w:sz w:val="24"/>
          <w:szCs w:val="24"/>
        </w:rPr>
      </w:pPr>
      <w:r>
        <w:rPr>
          <w:rFonts w:hint="eastAsia" w:hAnsi="宋体"/>
          <w:sz w:val="24"/>
          <w:szCs w:val="24"/>
        </w:rPr>
        <w:t>本次磋商采取竞争性磋商方式；</w:t>
      </w:r>
    </w:p>
    <w:p>
      <w:pPr>
        <w:pStyle w:val="20"/>
        <w:numPr>
          <w:ilvl w:val="1"/>
          <w:numId w:val="6"/>
        </w:numPr>
        <w:spacing w:line="360" w:lineRule="auto"/>
        <w:rPr>
          <w:rFonts w:hAnsi="宋体"/>
          <w:sz w:val="24"/>
          <w:szCs w:val="24"/>
        </w:rPr>
      </w:pPr>
      <w:r>
        <w:rPr>
          <w:rFonts w:hAnsi="宋体" w:cs="Arial"/>
          <w:sz w:val="24"/>
          <w:szCs w:val="24"/>
        </w:rPr>
        <w:t>合格的磋商供应商：</w:t>
      </w:r>
    </w:p>
    <w:p>
      <w:pPr>
        <w:pStyle w:val="50"/>
        <w:numPr>
          <w:ilvl w:val="0"/>
          <w:numId w:val="7"/>
        </w:numPr>
        <w:spacing w:line="360" w:lineRule="auto"/>
        <w:rPr>
          <w:rFonts w:ascii="宋体" w:hAnsi="宋体"/>
          <w:kern w:val="0"/>
          <w:sz w:val="24"/>
        </w:rPr>
      </w:pPr>
      <w:r>
        <w:rPr>
          <w:rFonts w:hint="eastAsia" w:ascii="宋体" w:hAnsi="宋体"/>
          <w:kern w:val="0"/>
          <w:sz w:val="24"/>
        </w:rPr>
        <w:t>参加政府采购活动的供应商应当具备政府采购法第二十二条第一款规定的条件，提供下列材料：</w:t>
      </w:r>
    </w:p>
    <w:p>
      <w:pPr>
        <w:numPr>
          <w:ilvl w:val="0"/>
          <w:numId w:val="8"/>
        </w:numPr>
        <w:spacing w:line="360" w:lineRule="auto"/>
        <w:rPr>
          <w:rFonts w:ascii="宋体" w:hAnsi="宋体"/>
          <w:kern w:val="0"/>
          <w:sz w:val="24"/>
        </w:rPr>
      </w:pPr>
      <w:r>
        <w:rPr>
          <w:rFonts w:hint="eastAsia" w:ascii="宋体" w:hAnsi="宋体"/>
          <w:kern w:val="0"/>
          <w:sz w:val="24"/>
        </w:rPr>
        <w:t>磋商人的营业执照等证明文件，自然人的身份证明。</w:t>
      </w:r>
    </w:p>
    <w:p>
      <w:pPr>
        <w:numPr>
          <w:ilvl w:val="0"/>
          <w:numId w:val="8"/>
        </w:numPr>
        <w:spacing w:line="360" w:lineRule="auto"/>
        <w:rPr>
          <w:rFonts w:ascii="宋体" w:hAnsi="宋体"/>
          <w:kern w:val="0"/>
          <w:sz w:val="24"/>
        </w:rPr>
      </w:pPr>
      <w:r>
        <w:rPr>
          <w:rFonts w:hint="eastAsia" w:ascii="宋体" w:hAnsi="宋体"/>
          <w:kern w:val="0"/>
          <w:sz w:val="24"/>
        </w:rPr>
        <w:t>财务状况报告，依法缴纳税收和社会保障资金的相关材料。</w:t>
      </w:r>
    </w:p>
    <w:p>
      <w:pPr>
        <w:numPr>
          <w:ilvl w:val="0"/>
          <w:numId w:val="8"/>
        </w:numPr>
        <w:spacing w:line="360" w:lineRule="auto"/>
        <w:rPr>
          <w:rFonts w:ascii="宋体" w:hAnsi="宋体"/>
          <w:kern w:val="0"/>
          <w:sz w:val="24"/>
        </w:rPr>
      </w:pPr>
      <w:r>
        <w:rPr>
          <w:rFonts w:hint="eastAsia" w:ascii="宋体" w:hAnsi="宋体"/>
          <w:kern w:val="0"/>
          <w:sz w:val="24"/>
        </w:rPr>
        <w:t>具备履行合同所必需的设备和专业技术能力的证明材料。</w:t>
      </w:r>
    </w:p>
    <w:p>
      <w:pPr>
        <w:numPr>
          <w:ilvl w:val="0"/>
          <w:numId w:val="8"/>
        </w:numPr>
        <w:spacing w:line="360" w:lineRule="auto"/>
        <w:rPr>
          <w:rFonts w:ascii="宋体" w:hAnsi="宋体"/>
          <w:kern w:val="0"/>
          <w:sz w:val="24"/>
        </w:rPr>
      </w:pPr>
      <w:r>
        <w:rPr>
          <w:rFonts w:hint="eastAsia" w:ascii="宋体" w:hAnsi="宋体"/>
          <w:kern w:val="0"/>
          <w:sz w:val="24"/>
        </w:rPr>
        <w:t>参加政府采购活动前3年内在经营活动中没有重大违法记录的书面声明。</w:t>
      </w:r>
    </w:p>
    <w:p>
      <w:pPr>
        <w:numPr>
          <w:ilvl w:val="0"/>
          <w:numId w:val="8"/>
        </w:numPr>
        <w:spacing w:line="360" w:lineRule="auto"/>
        <w:rPr>
          <w:rFonts w:ascii="宋体" w:hAnsi="宋体"/>
          <w:kern w:val="0"/>
          <w:sz w:val="24"/>
        </w:rPr>
      </w:pPr>
      <w:r>
        <w:rPr>
          <w:rFonts w:hint="eastAsia" w:ascii="宋体" w:hAnsi="宋体"/>
          <w:kern w:val="0"/>
          <w:sz w:val="24"/>
        </w:rPr>
        <w:t>具备法律、行政法规规定的其他条件的证明材料。</w:t>
      </w:r>
    </w:p>
    <w:p>
      <w:pPr>
        <w:numPr>
          <w:ilvl w:val="0"/>
          <w:numId w:val="7"/>
        </w:numPr>
        <w:spacing w:line="360" w:lineRule="auto"/>
        <w:rPr>
          <w:rFonts w:ascii="宋体" w:hAnsi="宋体"/>
          <w:kern w:val="0"/>
          <w:sz w:val="24"/>
        </w:rPr>
      </w:pPr>
      <w:r>
        <w:rPr>
          <w:rFonts w:hint="eastAsia" w:ascii="宋体" w:hAnsi="宋体"/>
          <w:kern w:val="0"/>
          <w:sz w:val="24"/>
        </w:rPr>
        <w:t>单位负责人为同一人或者存在直接控股、管理关系的不同供应商，不得参加同一合同项下的政府采购活动。否则，皆取消磋商资格；</w:t>
      </w:r>
    </w:p>
    <w:p>
      <w:pPr>
        <w:numPr>
          <w:ilvl w:val="0"/>
          <w:numId w:val="7"/>
        </w:numPr>
        <w:spacing w:line="360" w:lineRule="auto"/>
        <w:rPr>
          <w:rFonts w:ascii="宋体" w:hAnsi="宋体"/>
          <w:kern w:val="0"/>
          <w:sz w:val="24"/>
        </w:rPr>
      </w:pPr>
      <w:r>
        <w:rPr>
          <w:rFonts w:hint="eastAsia" w:ascii="宋体" w:hAnsi="宋体" w:cs="宋体"/>
          <w:kern w:val="0"/>
          <w:sz w:val="24"/>
          <w:lang w:val="zh-CN"/>
        </w:rPr>
        <w:t>经信用中</w:t>
      </w:r>
      <w:r>
        <w:rPr>
          <w:rFonts w:hint="eastAsia" w:ascii="宋体" w:hAnsi="宋体"/>
          <w:kern w:val="0"/>
          <w:sz w:val="24"/>
        </w:rPr>
        <w:t>国（www.creditchina.gov.cn）、中国政府采购网（www.ccgp.gov.cn）等渠道查询后，列入失信被执行人、</w:t>
      </w:r>
      <w:r>
        <w:rPr>
          <w:rFonts w:hint="eastAsia" w:ascii="宋体" w:hAnsi="宋体"/>
          <w:color w:val="000000" w:themeColor="text1"/>
          <w:kern w:val="0"/>
          <w:sz w:val="24"/>
          <w:lang w:eastAsia="zh-CN"/>
          <w14:textFill>
            <w14:solidFill>
              <w14:schemeClr w14:val="tx1"/>
            </w14:solidFill>
          </w14:textFill>
        </w:rPr>
        <w:t>重大税收违法失信主体</w:t>
      </w:r>
      <w:r>
        <w:rPr>
          <w:rFonts w:hint="eastAsia" w:ascii="宋体" w:hAnsi="宋体"/>
          <w:kern w:val="0"/>
          <w:sz w:val="24"/>
        </w:rPr>
        <w:t>、政府采购严重违法失信行为记录名单的，取消投标资格(提供“信用中国”网站的查询截图)；</w:t>
      </w:r>
    </w:p>
    <w:p>
      <w:pPr>
        <w:numPr>
          <w:ilvl w:val="0"/>
          <w:numId w:val="7"/>
        </w:numPr>
        <w:spacing w:line="360" w:lineRule="auto"/>
        <w:rPr>
          <w:rFonts w:ascii="宋体" w:hAnsi="宋体"/>
          <w:kern w:val="0"/>
          <w:sz w:val="24"/>
        </w:rPr>
      </w:pPr>
      <w:r>
        <w:rPr>
          <w:rFonts w:hint="eastAsia" w:ascii="宋体" w:hAnsi="宋体" w:cs="宋体"/>
          <w:kern w:val="0"/>
          <w:sz w:val="24"/>
          <w:lang w:val="zh-CN"/>
        </w:rPr>
        <w:t>本项目不接受磋商人以联合体方式进行投标</w:t>
      </w:r>
      <w:r>
        <w:rPr>
          <w:rFonts w:hint="eastAsia" w:ascii="宋体" w:hAnsi="宋体"/>
          <w:kern w:val="0"/>
          <w:sz w:val="24"/>
          <w:lang w:eastAsia="zh-CN"/>
        </w:rPr>
        <w:t>；</w:t>
      </w:r>
    </w:p>
    <w:p>
      <w:pPr>
        <w:numPr>
          <w:ilvl w:val="0"/>
          <w:numId w:val="7"/>
        </w:numPr>
        <w:spacing w:line="360" w:lineRule="auto"/>
        <w:rPr>
          <w:rFonts w:ascii="宋体" w:hAnsi="宋体"/>
          <w:kern w:val="0"/>
          <w:sz w:val="24"/>
        </w:rPr>
      </w:pPr>
      <w:r>
        <w:rPr>
          <w:rFonts w:hint="eastAsia" w:ascii="宋体" w:hAnsi="宋体"/>
          <w:color w:val="000000"/>
          <w:sz w:val="24"/>
          <w:szCs w:val="24"/>
        </w:rPr>
        <w:t>本次采购要求</w:t>
      </w:r>
      <w:r>
        <w:rPr>
          <w:rFonts w:hint="eastAsia" w:ascii="宋体" w:hAnsi="宋体"/>
          <w:color w:val="000000"/>
          <w:sz w:val="24"/>
          <w:szCs w:val="24"/>
          <w:lang w:eastAsia="zh-CN"/>
        </w:rPr>
        <w:t>供应商</w:t>
      </w:r>
      <w:r>
        <w:rPr>
          <w:rFonts w:hint="eastAsia" w:ascii="宋体" w:hAnsi="宋体"/>
          <w:color w:val="000000"/>
          <w:sz w:val="24"/>
          <w:szCs w:val="24"/>
        </w:rPr>
        <w:t>为生产商的，须具备有效的医疗器械生产许可证和所投产品的医疗器械注册证；</w:t>
      </w:r>
      <w:r>
        <w:rPr>
          <w:rFonts w:hint="eastAsia" w:ascii="宋体" w:hAnsi="宋体"/>
          <w:color w:val="000000"/>
          <w:sz w:val="24"/>
          <w:szCs w:val="24"/>
          <w:lang w:eastAsia="zh-CN"/>
        </w:rPr>
        <w:t>供应商</w:t>
      </w:r>
      <w:r>
        <w:rPr>
          <w:rFonts w:hint="eastAsia" w:ascii="宋体" w:hAnsi="宋体"/>
          <w:color w:val="000000"/>
          <w:sz w:val="24"/>
          <w:szCs w:val="24"/>
        </w:rPr>
        <w:t>为代理商的，具备有效的医疗器械经营许可证及所投产品的医疗器械注册证</w:t>
      </w:r>
      <w:r>
        <w:rPr>
          <w:rFonts w:hint="eastAsia" w:ascii="宋体" w:hAnsi="宋体"/>
          <w:color w:val="000000"/>
          <w:sz w:val="24"/>
          <w:szCs w:val="24"/>
          <w:lang w:eastAsia="zh-CN"/>
        </w:rPr>
        <w:t>。</w:t>
      </w:r>
    </w:p>
    <w:p>
      <w:pPr>
        <w:pStyle w:val="17"/>
      </w:pPr>
    </w:p>
    <w:p>
      <w:pPr>
        <w:pStyle w:val="10"/>
        <w:numPr>
          <w:ilvl w:val="0"/>
          <w:numId w:val="5"/>
        </w:numPr>
        <w:spacing w:before="0" w:after="0" w:line="360" w:lineRule="auto"/>
        <w:rPr>
          <w:rFonts w:ascii="宋体" w:hAnsi="宋体"/>
          <w:b w:val="0"/>
          <w:sz w:val="24"/>
          <w:szCs w:val="24"/>
        </w:rPr>
      </w:pPr>
      <w:bookmarkStart w:id="36" w:name="_Toc28737"/>
      <w:bookmarkStart w:id="37" w:name="_Toc488673615"/>
      <w:r>
        <w:rPr>
          <w:rFonts w:hint="eastAsia" w:ascii="宋体" w:hAnsi="宋体"/>
          <w:b w:val="0"/>
          <w:sz w:val="24"/>
          <w:szCs w:val="24"/>
        </w:rPr>
        <w:t>磋商费用</w:t>
      </w:r>
      <w:bookmarkEnd w:id="36"/>
      <w:bookmarkEnd w:id="37"/>
    </w:p>
    <w:p>
      <w:pPr>
        <w:pStyle w:val="20"/>
        <w:spacing w:line="360" w:lineRule="auto"/>
        <w:ind w:firstLine="480" w:firstLineChars="200"/>
        <w:rPr>
          <w:rFonts w:hAnsi="宋体"/>
          <w:b/>
          <w:sz w:val="24"/>
          <w:szCs w:val="24"/>
        </w:rPr>
      </w:pPr>
      <w:r>
        <w:rPr>
          <w:rFonts w:hint="eastAsia" w:hAnsi="宋体"/>
          <w:sz w:val="24"/>
          <w:szCs w:val="24"/>
        </w:rPr>
        <w:t>磋商供应商应自愿承担与参加本次磋商有关的费用。采购代理机构对磋商供应商发生的费用不承担任何责任。</w:t>
      </w:r>
    </w:p>
    <w:p>
      <w:pPr>
        <w:pStyle w:val="9"/>
        <w:ind w:left="709"/>
        <w:rPr>
          <w:rFonts w:hAnsi="宋体"/>
          <w:b/>
          <w:sz w:val="24"/>
          <w:szCs w:val="24"/>
        </w:rPr>
      </w:pPr>
      <w:bookmarkStart w:id="38" w:name="_Toc2235"/>
      <w:r>
        <w:rPr>
          <w:rFonts w:hint="eastAsia" w:hAnsi="宋体"/>
          <w:b/>
          <w:sz w:val="24"/>
          <w:szCs w:val="24"/>
        </w:rPr>
        <w:t>磋商文件说明</w:t>
      </w:r>
      <w:bookmarkEnd w:id="38"/>
    </w:p>
    <w:p>
      <w:pPr>
        <w:pStyle w:val="10"/>
        <w:numPr>
          <w:ilvl w:val="0"/>
          <w:numId w:val="5"/>
        </w:numPr>
        <w:spacing w:before="0" w:after="0" w:line="360" w:lineRule="auto"/>
        <w:rPr>
          <w:rFonts w:ascii="宋体" w:hAnsi="宋体"/>
          <w:b w:val="0"/>
          <w:sz w:val="24"/>
          <w:szCs w:val="24"/>
        </w:rPr>
      </w:pPr>
      <w:bookmarkStart w:id="39" w:name="_Toc488673617"/>
      <w:bookmarkStart w:id="40" w:name="_Toc29353"/>
      <w:r>
        <w:rPr>
          <w:rFonts w:hint="eastAsia" w:ascii="宋体" w:hAnsi="宋体"/>
          <w:b w:val="0"/>
          <w:sz w:val="24"/>
          <w:szCs w:val="24"/>
        </w:rPr>
        <w:t>磋商文件的构成</w:t>
      </w:r>
      <w:bookmarkEnd w:id="39"/>
      <w:bookmarkEnd w:id="40"/>
    </w:p>
    <w:p>
      <w:pPr>
        <w:pStyle w:val="20"/>
        <w:numPr>
          <w:ilvl w:val="1"/>
          <w:numId w:val="9"/>
        </w:numPr>
        <w:spacing w:line="360" w:lineRule="auto"/>
        <w:rPr>
          <w:rFonts w:hAnsi="宋体"/>
          <w:sz w:val="24"/>
          <w:szCs w:val="24"/>
        </w:rPr>
      </w:pPr>
      <w:r>
        <w:rPr>
          <w:rFonts w:hint="eastAsia" w:hAnsi="宋体"/>
          <w:sz w:val="24"/>
          <w:szCs w:val="24"/>
        </w:rPr>
        <w:t>磋商文件包括：</w:t>
      </w:r>
    </w:p>
    <w:p>
      <w:pPr>
        <w:pStyle w:val="20"/>
        <w:numPr>
          <w:ilvl w:val="0"/>
          <w:numId w:val="10"/>
        </w:numPr>
        <w:spacing w:line="360" w:lineRule="auto"/>
        <w:rPr>
          <w:rFonts w:hAnsi="宋体" w:cs="Arial"/>
          <w:sz w:val="24"/>
          <w:szCs w:val="24"/>
        </w:rPr>
      </w:pPr>
      <w:r>
        <w:rPr>
          <w:rFonts w:hint="eastAsia" w:hAnsi="宋体" w:cs="Arial"/>
          <w:sz w:val="24"/>
          <w:szCs w:val="24"/>
        </w:rPr>
        <w:t>磋商邀请；</w:t>
      </w:r>
    </w:p>
    <w:p>
      <w:pPr>
        <w:pStyle w:val="20"/>
        <w:numPr>
          <w:ilvl w:val="0"/>
          <w:numId w:val="10"/>
        </w:numPr>
        <w:spacing w:line="360" w:lineRule="auto"/>
        <w:rPr>
          <w:rFonts w:hAnsi="宋体" w:cs="Arial"/>
          <w:sz w:val="24"/>
          <w:szCs w:val="24"/>
        </w:rPr>
      </w:pPr>
      <w:r>
        <w:rPr>
          <w:rFonts w:hint="eastAsia" w:hAnsi="宋体" w:cs="Arial"/>
          <w:sz w:val="24"/>
          <w:szCs w:val="24"/>
        </w:rPr>
        <w:t>磋商供应商须知前附表；</w:t>
      </w:r>
    </w:p>
    <w:p>
      <w:pPr>
        <w:pStyle w:val="20"/>
        <w:numPr>
          <w:ilvl w:val="0"/>
          <w:numId w:val="10"/>
        </w:numPr>
        <w:spacing w:line="360" w:lineRule="auto"/>
        <w:rPr>
          <w:rFonts w:hAnsi="宋体" w:cs="Arial"/>
          <w:sz w:val="24"/>
          <w:szCs w:val="24"/>
        </w:rPr>
      </w:pPr>
      <w:r>
        <w:rPr>
          <w:rFonts w:hint="eastAsia" w:hAnsi="宋体" w:cs="Arial"/>
          <w:sz w:val="24"/>
          <w:szCs w:val="24"/>
        </w:rPr>
        <w:t>磋商供应商须知；</w:t>
      </w:r>
    </w:p>
    <w:p>
      <w:pPr>
        <w:pStyle w:val="20"/>
        <w:numPr>
          <w:ilvl w:val="0"/>
          <w:numId w:val="10"/>
        </w:numPr>
        <w:spacing w:line="360" w:lineRule="auto"/>
        <w:rPr>
          <w:rFonts w:hAnsi="宋体" w:cs="Arial"/>
          <w:sz w:val="24"/>
          <w:szCs w:val="24"/>
        </w:rPr>
      </w:pPr>
      <w:r>
        <w:rPr>
          <w:rFonts w:hint="eastAsia" w:hAnsi="宋体" w:cs="Arial"/>
          <w:sz w:val="24"/>
          <w:szCs w:val="24"/>
        </w:rPr>
        <w:t>青海省政府采购合同文本样式；</w:t>
      </w:r>
    </w:p>
    <w:p>
      <w:pPr>
        <w:pStyle w:val="20"/>
        <w:numPr>
          <w:ilvl w:val="0"/>
          <w:numId w:val="10"/>
        </w:numPr>
        <w:spacing w:line="360" w:lineRule="auto"/>
        <w:rPr>
          <w:rFonts w:hAnsi="宋体" w:cs="Arial"/>
          <w:sz w:val="24"/>
          <w:szCs w:val="24"/>
        </w:rPr>
      </w:pPr>
      <w:r>
        <w:rPr>
          <w:rFonts w:hint="eastAsia" w:hAnsi="宋体" w:cs="Arial"/>
          <w:sz w:val="24"/>
          <w:szCs w:val="24"/>
        </w:rPr>
        <w:t>磋商响应文件格式；</w:t>
      </w:r>
    </w:p>
    <w:p>
      <w:pPr>
        <w:pStyle w:val="20"/>
        <w:numPr>
          <w:ilvl w:val="0"/>
          <w:numId w:val="10"/>
        </w:numPr>
        <w:spacing w:line="360" w:lineRule="auto"/>
        <w:rPr>
          <w:rFonts w:hAnsi="宋体" w:cs="Arial"/>
          <w:sz w:val="24"/>
          <w:szCs w:val="24"/>
        </w:rPr>
      </w:pPr>
      <w:r>
        <w:rPr>
          <w:rFonts w:hint="eastAsia" w:hAnsi="宋体" w:cs="Arial"/>
          <w:sz w:val="24"/>
          <w:szCs w:val="24"/>
        </w:rPr>
        <w:t>采购项目要求及技术参数；</w:t>
      </w:r>
    </w:p>
    <w:p>
      <w:pPr>
        <w:pStyle w:val="20"/>
        <w:numPr>
          <w:ilvl w:val="0"/>
          <w:numId w:val="10"/>
        </w:numPr>
        <w:spacing w:line="360" w:lineRule="auto"/>
        <w:rPr>
          <w:rFonts w:hAnsi="宋体" w:cs="Arial"/>
          <w:sz w:val="24"/>
          <w:szCs w:val="24"/>
        </w:rPr>
      </w:pPr>
      <w:r>
        <w:rPr>
          <w:rFonts w:hint="eastAsia" w:hAnsi="宋体" w:cs="Arial"/>
          <w:sz w:val="24"/>
          <w:szCs w:val="24"/>
        </w:rPr>
        <w:t>采购过程中发生的澄清、变更和补充文件；</w:t>
      </w:r>
    </w:p>
    <w:p>
      <w:pPr>
        <w:pStyle w:val="20"/>
        <w:numPr>
          <w:ilvl w:val="1"/>
          <w:numId w:val="9"/>
        </w:numPr>
        <w:spacing w:line="360" w:lineRule="auto"/>
        <w:rPr>
          <w:rFonts w:hAnsi="宋体"/>
          <w:sz w:val="24"/>
          <w:szCs w:val="24"/>
        </w:rPr>
      </w:pPr>
      <w:r>
        <w:rPr>
          <w:rFonts w:hint="eastAsia" w:hAnsi="宋体"/>
          <w:sz w:val="24"/>
          <w:szCs w:val="24"/>
        </w:rPr>
        <w:t>磋商供应商应认真阅读磋商文件中列示的事项、格式、条款和要求等内容。如果磋商供应商未按磋商文件要求提交全部资料，或者对磋商文件未作出实质性响应的，根据相关法规要求，此类磋商将被拒绝（视为无效磋商）。</w:t>
      </w:r>
    </w:p>
    <w:p>
      <w:pPr>
        <w:pStyle w:val="10"/>
        <w:numPr>
          <w:ilvl w:val="0"/>
          <w:numId w:val="5"/>
        </w:numPr>
        <w:spacing w:before="0" w:after="0" w:line="360" w:lineRule="auto"/>
        <w:rPr>
          <w:rFonts w:ascii="宋体" w:hAnsi="宋体"/>
          <w:b w:val="0"/>
          <w:sz w:val="24"/>
          <w:szCs w:val="24"/>
        </w:rPr>
      </w:pPr>
      <w:bookmarkStart w:id="41" w:name="_Toc23484"/>
      <w:bookmarkStart w:id="42" w:name="_Toc488673618"/>
      <w:r>
        <w:rPr>
          <w:rFonts w:hint="eastAsia" w:ascii="宋体" w:hAnsi="宋体"/>
          <w:b w:val="0"/>
          <w:sz w:val="24"/>
          <w:szCs w:val="24"/>
        </w:rPr>
        <w:t>磋商文件、磋商活动和成交结果的质疑</w:t>
      </w:r>
      <w:bookmarkEnd w:id="41"/>
      <w:bookmarkEnd w:id="42"/>
    </w:p>
    <w:p>
      <w:pPr>
        <w:pStyle w:val="20"/>
        <w:numPr>
          <w:ilvl w:val="1"/>
          <w:numId w:val="11"/>
        </w:numPr>
        <w:spacing w:line="360" w:lineRule="auto"/>
        <w:rPr>
          <w:rFonts w:hAnsi="宋体"/>
          <w:sz w:val="24"/>
          <w:szCs w:val="24"/>
        </w:rPr>
      </w:pPr>
      <w:r>
        <w:rPr>
          <w:rFonts w:hint="eastAsia" w:hAnsi="宋体"/>
          <w:sz w:val="24"/>
          <w:szCs w:val="24"/>
        </w:rPr>
        <w:t>参加磋商的磋商供应商认为磋商文件、磋商活动和成交、成交结果使自己的权益受到损害的，可以在知道或者应知其权益受到损害之日起7个工作日内以书面形式（如信件、传真等）向采购单位或者采购代理机构提出质疑，不接受匿名质疑。潜在供应商已依法获取其可质疑的磋商文件的，可以对该文件提出质疑，对磋商文件提出质疑的，应当在获取磋商文件或者磋商文件公告期限届满之日起7个工作日内提出。供应商须在法定质疑期内一次性提出针对同一采购程序环节的质疑。采购人或采购代理机构在收到书面质疑函后7个工作日内作出答复。</w:t>
      </w:r>
    </w:p>
    <w:p>
      <w:pPr>
        <w:pStyle w:val="20"/>
        <w:numPr>
          <w:ilvl w:val="1"/>
          <w:numId w:val="11"/>
        </w:numPr>
        <w:spacing w:line="360" w:lineRule="auto"/>
        <w:rPr>
          <w:rFonts w:hAnsi="宋体"/>
          <w:sz w:val="24"/>
          <w:szCs w:val="24"/>
        </w:rPr>
      </w:pPr>
      <w:r>
        <w:rPr>
          <w:rFonts w:hint="eastAsia" w:hAnsi="宋体"/>
          <w:sz w:val="24"/>
          <w:szCs w:val="24"/>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pPr>
        <w:pStyle w:val="20"/>
        <w:numPr>
          <w:ilvl w:val="1"/>
          <w:numId w:val="11"/>
        </w:numPr>
        <w:spacing w:line="360" w:lineRule="auto"/>
        <w:rPr>
          <w:rFonts w:hAnsi="宋体"/>
          <w:sz w:val="24"/>
          <w:szCs w:val="24"/>
        </w:rPr>
      </w:pPr>
      <w:r>
        <w:rPr>
          <w:rFonts w:hint="eastAsia" w:hAnsi="宋体"/>
          <w:sz w:val="24"/>
          <w:szCs w:val="24"/>
        </w:rPr>
        <w:t>质疑时效期间的计算</w:t>
      </w:r>
    </w:p>
    <w:p>
      <w:pPr>
        <w:pStyle w:val="20"/>
        <w:numPr>
          <w:ilvl w:val="0"/>
          <w:numId w:val="12"/>
        </w:numPr>
        <w:spacing w:line="360" w:lineRule="auto"/>
        <w:rPr>
          <w:rFonts w:hAnsi="宋体" w:cs="Arial"/>
          <w:sz w:val="24"/>
          <w:szCs w:val="24"/>
        </w:rPr>
      </w:pPr>
      <w:r>
        <w:rPr>
          <w:rFonts w:hint="eastAsia" w:hAnsi="宋体" w:cs="Arial"/>
          <w:sz w:val="24"/>
          <w:szCs w:val="24"/>
        </w:rPr>
        <w:t>对可以质疑的磋商文件提出质疑的，为收到磋商文件之日或磋商文件公告期限届满之日；</w:t>
      </w:r>
    </w:p>
    <w:p>
      <w:pPr>
        <w:pStyle w:val="20"/>
        <w:numPr>
          <w:ilvl w:val="0"/>
          <w:numId w:val="12"/>
        </w:numPr>
        <w:spacing w:line="360" w:lineRule="auto"/>
        <w:rPr>
          <w:rFonts w:hAnsi="宋体" w:cs="Arial"/>
          <w:sz w:val="24"/>
          <w:szCs w:val="24"/>
        </w:rPr>
      </w:pPr>
      <w:r>
        <w:rPr>
          <w:rFonts w:hint="eastAsia" w:hAnsi="宋体" w:cs="Arial"/>
          <w:sz w:val="24"/>
          <w:szCs w:val="24"/>
        </w:rPr>
        <w:t>对磋商过程提出质疑的，为磋商程序各环节结束之日；</w:t>
      </w:r>
    </w:p>
    <w:p>
      <w:pPr>
        <w:pStyle w:val="20"/>
        <w:numPr>
          <w:ilvl w:val="0"/>
          <w:numId w:val="12"/>
        </w:numPr>
        <w:spacing w:line="360" w:lineRule="auto"/>
        <w:rPr>
          <w:rFonts w:hAnsi="宋体" w:cs="Arial"/>
          <w:sz w:val="24"/>
          <w:szCs w:val="24"/>
        </w:rPr>
      </w:pPr>
      <w:r>
        <w:rPr>
          <w:rFonts w:hint="eastAsia" w:hAnsi="宋体" w:cs="Arial"/>
          <w:sz w:val="24"/>
          <w:szCs w:val="24"/>
        </w:rPr>
        <w:t>对成交结果提出质疑的，为成交公告期限届满之日。</w:t>
      </w:r>
    </w:p>
    <w:p>
      <w:pPr>
        <w:pStyle w:val="10"/>
        <w:numPr>
          <w:ilvl w:val="0"/>
          <w:numId w:val="5"/>
        </w:numPr>
        <w:spacing w:before="0" w:after="0" w:line="360" w:lineRule="auto"/>
        <w:rPr>
          <w:rFonts w:ascii="宋体" w:hAnsi="宋体"/>
          <w:b w:val="0"/>
          <w:sz w:val="24"/>
          <w:szCs w:val="24"/>
        </w:rPr>
      </w:pPr>
      <w:bookmarkStart w:id="43" w:name="_Toc488673619"/>
      <w:bookmarkStart w:id="44" w:name="_Toc10522"/>
      <w:r>
        <w:rPr>
          <w:rFonts w:hint="eastAsia" w:ascii="宋体" w:hAnsi="宋体"/>
          <w:b w:val="0"/>
          <w:sz w:val="24"/>
          <w:szCs w:val="24"/>
        </w:rPr>
        <w:t>磋商文件的修改</w:t>
      </w:r>
      <w:bookmarkEnd w:id="43"/>
      <w:bookmarkEnd w:id="44"/>
    </w:p>
    <w:p>
      <w:pPr>
        <w:pStyle w:val="20"/>
        <w:numPr>
          <w:ilvl w:val="1"/>
          <w:numId w:val="13"/>
        </w:numPr>
        <w:spacing w:line="360" w:lineRule="auto"/>
        <w:rPr>
          <w:rFonts w:hAnsi="宋体"/>
          <w:sz w:val="24"/>
          <w:szCs w:val="24"/>
        </w:rPr>
      </w:pPr>
      <w:r>
        <w:rPr>
          <w:rFonts w:hint="eastAsia" w:hAnsi="宋体"/>
          <w:sz w:val="24"/>
          <w:szCs w:val="24"/>
        </w:rPr>
        <w:t>在磋商截止期前，采购单位或采购代理机构可对磋商文件进行必要的修改或者澄清；</w:t>
      </w:r>
    </w:p>
    <w:p>
      <w:pPr>
        <w:pStyle w:val="20"/>
        <w:numPr>
          <w:ilvl w:val="1"/>
          <w:numId w:val="13"/>
        </w:numPr>
        <w:spacing w:line="360" w:lineRule="auto"/>
        <w:rPr>
          <w:rFonts w:hAnsi="宋体"/>
          <w:sz w:val="24"/>
          <w:szCs w:val="24"/>
        </w:rPr>
      </w:pPr>
      <w:r>
        <w:rPr>
          <w:rFonts w:hint="eastAsia" w:hAnsi="宋体"/>
          <w:sz w:val="24"/>
          <w:szCs w:val="24"/>
        </w:rPr>
        <w:t>采购代理机构对已发出的磋商文件进行必要的澄清或者修改的，澄清或者修改的内容可能影响磋商响应文件编制的，在磋商文件要求提交磋商响应文件截止时间</w:t>
      </w:r>
      <w:r>
        <w:rPr>
          <w:rFonts w:hAnsi="宋体"/>
          <w:sz w:val="24"/>
          <w:szCs w:val="24"/>
        </w:rPr>
        <w:t>5</w:t>
      </w:r>
      <w:r>
        <w:rPr>
          <w:rFonts w:hint="eastAsia" w:hAnsi="宋体"/>
          <w:sz w:val="24"/>
          <w:szCs w:val="24"/>
        </w:rPr>
        <w:t>日前，在青海政府采购网、青海项目信息网等媒体上发布公告。不足</w:t>
      </w:r>
      <w:r>
        <w:rPr>
          <w:rFonts w:hAnsi="宋体"/>
          <w:sz w:val="24"/>
          <w:szCs w:val="24"/>
        </w:rPr>
        <w:t>5</w:t>
      </w:r>
      <w:r>
        <w:rPr>
          <w:rFonts w:hint="eastAsia" w:hAnsi="宋体"/>
          <w:sz w:val="24"/>
          <w:szCs w:val="24"/>
        </w:rPr>
        <w:t>日的，顺延提交磋商响应文件的截止时间。该澄清或者修改的内容为磋商文件的组成部分；</w:t>
      </w:r>
    </w:p>
    <w:p>
      <w:pPr>
        <w:pStyle w:val="20"/>
        <w:numPr>
          <w:ilvl w:val="1"/>
          <w:numId w:val="13"/>
        </w:numPr>
        <w:spacing w:line="360" w:lineRule="auto"/>
        <w:rPr>
          <w:rFonts w:hAnsi="宋体"/>
          <w:sz w:val="24"/>
          <w:szCs w:val="24"/>
        </w:rPr>
      </w:pPr>
      <w:r>
        <w:rPr>
          <w:rFonts w:hint="eastAsia" w:hAnsi="宋体"/>
          <w:sz w:val="24"/>
          <w:szCs w:val="24"/>
        </w:rPr>
        <w:t>在磋商截止时间前，采购单位或采购代理机构可以视采购具体情况，延长磋商截止时间和磋商时间，并在磋商文件要求提交磋商响应文件的截止时间3日前，将变更时间以书面形式通知所有购买了磋商文件的潜在磋商供应商，同时在发布本次磋商公告的网站发布变更公告。</w:t>
      </w:r>
    </w:p>
    <w:p>
      <w:pPr>
        <w:pStyle w:val="9"/>
        <w:ind w:left="709"/>
        <w:rPr>
          <w:rFonts w:hAnsi="宋体"/>
          <w:b/>
          <w:sz w:val="24"/>
          <w:szCs w:val="24"/>
        </w:rPr>
      </w:pPr>
      <w:bookmarkStart w:id="45" w:name="_Toc28586"/>
      <w:r>
        <w:rPr>
          <w:rFonts w:hint="eastAsia" w:hAnsi="宋体"/>
          <w:b/>
          <w:sz w:val="24"/>
          <w:szCs w:val="24"/>
        </w:rPr>
        <w:t>磋商响应文件的编写</w:t>
      </w:r>
      <w:bookmarkEnd w:id="45"/>
    </w:p>
    <w:p>
      <w:pPr>
        <w:pStyle w:val="10"/>
        <w:numPr>
          <w:ilvl w:val="0"/>
          <w:numId w:val="5"/>
        </w:numPr>
        <w:spacing w:before="0" w:after="0" w:line="360" w:lineRule="auto"/>
        <w:rPr>
          <w:rFonts w:ascii="宋体" w:hAnsi="宋体"/>
          <w:b w:val="0"/>
          <w:sz w:val="24"/>
          <w:szCs w:val="24"/>
        </w:rPr>
      </w:pPr>
      <w:bookmarkStart w:id="46" w:name="_Toc488673621"/>
      <w:bookmarkStart w:id="47" w:name="_Toc30380"/>
      <w:r>
        <w:rPr>
          <w:rFonts w:hint="eastAsia" w:ascii="宋体" w:hAnsi="宋体"/>
          <w:b w:val="0"/>
          <w:sz w:val="24"/>
          <w:szCs w:val="24"/>
        </w:rPr>
        <w:t>磋商响应文件的语言及度量衡单位</w:t>
      </w:r>
      <w:bookmarkEnd w:id="46"/>
      <w:bookmarkEnd w:id="47"/>
    </w:p>
    <w:p>
      <w:pPr>
        <w:pStyle w:val="20"/>
        <w:numPr>
          <w:ilvl w:val="1"/>
          <w:numId w:val="14"/>
        </w:numPr>
        <w:spacing w:line="360" w:lineRule="auto"/>
        <w:rPr>
          <w:rFonts w:hAnsi="宋体"/>
          <w:sz w:val="24"/>
          <w:szCs w:val="24"/>
        </w:rPr>
      </w:pPr>
      <w:r>
        <w:rPr>
          <w:rFonts w:hint="eastAsia" w:hAnsi="宋体"/>
          <w:sz w:val="24"/>
          <w:szCs w:val="24"/>
        </w:rPr>
        <w:t>磋商供应商提交的磋商响应文件以及磋商供应商与采购代理机构就此磋商发生的所有来往函电均应使用简体中文；</w:t>
      </w:r>
    </w:p>
    <w:p>
      <w:pPr>
        <w:pStyle w:val="20"/>
        <w:numPr>
          <w:ilvl w:val="1"/>
          <w:numId w:val="14"/>
        </w:numPr>
        <w:spacing w:line="360" w:lineRule="auto"/>
        <w:rPr>
          <w:rFonts w:hAnsi="宋体"/>
          <w:sz w:val="24"/>
          <w:szCs w:val="24"/>
        </w:rPr>
      </w:pPr>
      <w:r>
        <w:rPr>
          <w:rFonts w:hint="eastAsia" w:hAnsi="宋体"/>
          <w:sz w:val="24"/>
          <w:szCs w:val="24"/>
        </w:rPr>
        <w:t>除磋商文件中另有规定外，磋商文件所使用的度量衡单位，均须采用国家法定计量单位；</w:t>
      </w:r>
    </w:p>
    <w:p>
      <w:pPr>
        <w:pStyle w:val="20"/>
        <w:numPr>
          <w:ilvl w:val="1"/>
          <w:numId w:val="14"/>
        </w:numPr>
        <w:spacing w:line="360" w:lineRule="auto"/>
        <w:rPr>
          <w:rFonts w:hAnsi="宋体"/>
          <w:sz w:val="24"/>
          <w:szCs w:val="24"/>
        </w:rPr>
      </w:pPr>
      <w:r>
        <w:rPr>
          <w:rFonts w:hint="eastAsia" w:hAnsi="宋体"/>
          <w:sz w:val="24"/>
          <w:szCs w:val="24"/>
        </w:rPr>
        <w:t>附有外文资料的须翻译成中文，并加盖磋商供应商公章，如果翻译的中文资料与外文资料出现差异与矛盾时，以中文为准，其准确性由磋商供应商负责。</w:t>
      </w:r>
    </w:p>
    <w:p>
      <w:pPr>
        <w:pStyle w:val="10"/>
        <w:numPr>
          <w:ilvl w:val="0"/>
          <w:numId w:val="5"/>
        </w:numPr>
        <w:spacing w:before="0" w:after="0" w:line="360" w:lineRule="auto"/>
        <w:rPr>
          <w:rFonts w:ascii="宋体" w:hAnsi="宋体"/>
          <w:b w:val="0"/>
          <w:sz w:val="24"/>
          <w:szCs w:val="24"/>
        </w:rPr>
      </w:pPr>
      <w:bookmarkStart w:id="48" w:name="_Toc23936"/>
      <w:bookmarkStart w:id="49" w:name="_Toc488673622"/>
      <w:r>
        <w:rPr>
          <w:rFonts w:hint="eastAsia" w:ascii="宋体" w:hAnsi="宋体"/>
          <w:b w:val="0"/>
          <w:sz w:val="24"/>
          <w:szCs w:val="24"/>
        </w:rPr>
        <w:t>磋商报价及币种</w:t>
      </w:r>
      <w:bookmarkEnd w:id="48"/>
      <w:bookmarkEnd w:id="49"/>
    </w:p>
    <w:p>
      <w:pPr>
        <w:pStyle w:val="20"/>
        <w:numPr>
          <w:ilvl w:val="1"/>
          <w:numId w:val="15"/>
        </w:numPr>
        <w:spacing w:line="360" w:lineRule="auto"/>
        <w:rPr>
          <w:rFonts w:hAnsi="宋体"/>
          <w:sz w:val="24"/>
          <w:szCs w:val="24"/>
        </w:rPr>
      </w:pPr>
      <w:r>
        <w:rPr>
          <w:rFonts w:hint="eastAsia" w:hAnsi="宋体"/>
          <w:sz w:val="24"/>
          <w:szCs w:val="24"/>
        </w:rPr>
        <w:t>磋商报价为磋商总价。磋商报价必须包括：</w:t>
      </w:r>
      <w:bookmarkStart w:id="50" w:name="_Hlk497466989"/>
      <w:r>
        <w:rPr>
          <w:rFonts w:hint="eastAsia" w:hAnsi="宋体"/>
          <w:sz w:val="24"/>
        </w:rPr>
        <w:t>产品费、检验费、手续费、保险费、售后服务费、税金、招标代理费以及其他不可预见费等全部费用</w:t>
      </w:r>
      <w:r>
        <w:rPr>
          <w:rFonts w:hint="eastAsia" w:hAnsi="宋体"/>
          <w:sz w:val="24"/>
          <w:szCs w:val="24"/>
        </w:rPr>
        <w:t>。（说明：具体内容应根据项目特点实事求是的填写）</w:t>
      </w:r>
      <w:bookmarkEnd w:id="50"/>
    </w:p>
    <w:p>
      <w:pPr>
        <w:pStyle w:val="20"/>
        <w:numPr>
          <w:ilvl w:val="1"/>
          <w:numId w:val="15"/>
        </w:numPr>
        <w:spacing w:line="360" w:lineRule="auto"/>
        <w:rPr>
          <w:rFonts w:hAnsi="宋体"/>
          <w:sz w:val="24"/>
          <w:szCs w:val="24"/>
        </w:rPr>
      </w:pPr>
      <w:r>
        <w:rPr>
          <w:rFonts w:hint="eastAsia" w:hAnsi="宋体"/>
          <w:sz w:val="24"/>
          <w:szCs w:val="24"/>
        </w:rPr>
        <w:t>磋商报价应注明有效期，有效期应与磋商有效期一致；</w:t>
      </w:r>
    </w:p>
    <w:p>
      <w:pPr>
        <w:pStyle w:val="20"/>
        <w:numPr>
          <w:ilvl w:val="1"/>
          <w:numId w:val="15"/>
        </w:numPr>
        <w:spacing w:line="360" w:lineRule="auto"/>
        <w:rPr>
          <w:rFonts w:hAnsi="宋体"/>
          <w:sz w:val="24"/>
          <w:szCs w:val="24"/>
        </w:rPr>
      </w:pPr>
      <w:r>
        <w:rPr>
          <w:rFonts w:hint="eastAsia" w:hAnsi="宋体"/>
          <w:sz w:val="24"/>
          <w:szCs w:val="24"/>
        </w:rPr>
        <w:t>磋商供应商应根据磋商文件规定的格式完整填写所有内容，并保证所提供的全部资料真实可靠，自愿承担相应责任；</w:t>
      </w:r>
    </w:p>
    <w:p>
      <w:pPr>
        <w:pStyle w:val="20"/>
        <w:numPr>
          <w:ilvl w:val="1"/>
          <w:numId w:val="15"/>
        </w:numPr>
        <w:spacing w:line="360" w:lineRule="auto"/>
        <w:rPr>
          <w:rFonts w:hAnsi="宋体"/>
          <w:sz w:val="24"/>
          <w:szCs w:val="24"/>
        </w:rPr>
      </w:pPr>
      <w:r>
        <w:rPr>
          <w:rFonts w:hint="eastAsia" w:hAnsi="宋体"/>
          <w:sz w:val="24"/>
          <w:szCs w:val="24"/>
        </w:rPr>
        <w:t>磋商报价为闭口价，即成交后在合同有效期内价格不变；</w:t>
      </w:r>
    </w:p>
    <w:p>
      <w:pPr>
        <w:pStyle w:val="20"/>
        <w:numPr>
          <w:ilvl w:val="1"/>
          <w:numId w:val="15"/>
        </w:numPr>
        <w:spacing w:line="360" w:lineRule="auto"/>
        <w:rPr>
          <w:rFonts w:hAnsi="宋体"/>
          <w:sz w:val="24"/>
          <w:szCs w:val="24"/>
        </w:rPr>
      </w:pPr>
      <w:r>
        <w:rPr>
          <w:rFonts w:hint="eastAsia" w:hAnsi="宋体"/>
          <w:sz w:val="24"/>
          <w:szCs w:val="24"/>
        </w:rPr>
        <w:t>磋商币种为人民币。</w:t>
      </w:r>
    </w:p>
    <w:p>
      <w:pPr>
        <w:pStyle w:val="10"/>
        <w:numPr>
          <w:ilvl w:val="0"/>
          <w:numId w:val="5"/>
        </w:numPr>
        <w:spacing w:before="0" w:after="0" w:line="360" w:lineRule="auto"/>
        <w:rPr>
          <w:rFonts w:ascii="宋体" w:hAnsi="宋体"/>
          <w:b w:val="0"/>
          <w:sz w:val="24"/>
          <w:szCs w:val="24"/>
        </w:rPr>
      </w:pPr>
      <w:bookmarkStart w:id="51" w:name="_Toc20904"/>
      <w:bookmarkStart w:id="52" w:name="_Toc488673623"/>
      <w:r>
        <w:rPr>
          <w:rFonts w:hint="eastAsia" w:ascii="宋体" w:hAnsi="宋体"/>
          <w:b w:val="0"/>
          <w:sz w:val="24"/>
          <w:szCs w:val="24"/>
        </w:rPr>
        <w:t>磋商保证金</w:t>
      </w:r>
      <w:bookmarkEnd w:id="51"/>
      <w:bookmarkEnd w:id="52"/>
    </w:p>
    <w:p>
      <w:pPr>
        <w:pStyle w:val="20"/>
        <w:numPr>
          <w:ilvl w:val="1"/>
          <w:numId w:val="16"/>
        </w:numPr>
        <w:spacing w:line="360" w:lineRule="auto"/>
        <w:rPr>
          <w:rFonts w:hAnsi="宋体"/>
          <w:sz w:val="24"/>
          <w:szCs w:val="24"/>
        </w:rPr>
      </w:pPr>
      <w:r>
        <w:rPr>
          <w:rFonts w:hint="eastAsia" w:hAnsi="宋体"/>
          <w:sz w:val="24"/>
          <w:szCs w:val="24"/>
        </w:rPr>
        <w:t>磋商供应商应将磋商保证金缴纳证明作为磋商响应文件的内容一并提供。缴纳的磋商保证金用于因磋商供应商的行为使本次磋商活动受到损失的抵项；</w:t>
      </w:r>
    </w:p>
    <w:p>
      <w:pPr>
        <w:pStyle w:val="20"/>
        <w:numPr>
          <w:ilvl w:val="1"/>
          <w:numId w:val="16"/>
        </w:numPr>
        <w:spacing w:line="360" w:lineRule="auto"/>
        <w:rPr>
          <w:rFonts w:hAnsi="宋体"/>
          <w:sz w:val="24"/>
          <w:szCs w:val="24"/>
        </w:rPr>
      </w:pPr>
      <w:r>
        <w:rPr>
          <w:rFonts w:hint="eastAsia" w:hAnsi="宋体"/>
          <w:sz w:val="24"/>
          <w:szCs w:val="24"/>
        </w:rPr>
        <w:t>磋商人须在投标截止期前按以下要求交纳投标保证金：</w:t>
      </w:r>
    </w:p>
    <w:p>
      <w:pPr>
        <w:adjustRightInd w:val="0"/>
        <w:snapToGrid w:val="0"/>
        <w:spacing w:line="360" w:lineRule="auto"/>
        <w:ind w:firstLine="480" w:firstLineChars="200"/>
        <w:rPr>
          <w:rFonts w:ascii="宋体" w:hAnsi="宋体" w:cs="Arial"/>
          <w:color w:val="000000" w:themeColor="text1"/>
          <w:sz w:val="24"/>
          <w14:textFill>
            <w14:solidFill>
              <w14:schemeClr w14:val="tx1"/>
            </w14:solidFill>
          </w14:textFill>
        </w:rPr>
      </w:pPr>
      <w:r>
        <w:rPr>
          <w:rFonts w:hint="eastAsia" w:ascii="宋体" w:hAnsi="宋体" w:cs="Arial"/>
          <w:kern w:val="0"/>
          <w:sz w:val="24"/>
        </w:rPr>
        <w:t>磋商</w:t>
      </w:r>
      <w:r>
        <w:rPr>
          <w:rFonts w:ascii="宋体" w:hAnsi="宋体" w:cs="Arial"/>
          <w:sz w:val="24"/>
        </w:rPr>
        <w:t>保证金的金额（人民币</w:t>
      </w:r>
      <w:r>
        <w:rPr>
          <w:rFonts w:ascii="宋体" w:hAnsi="宋体" w:cs="Arial"/>
          <w:color w:val="000000" w:themeColor="text1"/>
          <w:sz w:val="24"/>
          <w14:textFill>
            <w14:solidFill>
              <w14:schemeClr w14:val="tx1"/>
            </w14:solidFill>
          </w14:textFill>
        </w:rPr>
        <w:t>）</w:t>
      </w:r>
      <w:bookmarkStart w:id="53" w:name="_Toc421873480"/>
      <w:r>
        <w:rPr>
          <w:rFonts w:hint="eastAsia" w:ascii="宋体" w:hAnsi="宋体" w:cs="Arial"/>
          <w:color w:val="000000" w:themeColor="text1"/>
          <w:sz w:val="24"/>
          <w14:textFill>
            <w14:solidFill>
              <w14:schemeClr w14:val="tx1"/>
            </w14:solidFill>
          </w14:textFill>
        </w:rPr>
        <w:t>：</w:t>
      </w:r>
    </w:p>
    <w:bookmarkEnd w:id="53"/>
    <w:p>
      <w:pPr>
        <w:pStyle w:val="50"/>
        <w:spacing w:line="360" w:lineRule="auto"/>
        <w:ind w:firstLine="480" w:firstLineChars="200"/>
        <w:rPr>
          <w:rFonts w:ascii="宋体" w:hAnsi="宋体" w:cs="宋体"/>
          <w:bCs/>
          <w:color w:val="auto"/>
          <w:kern w:val="0"/>
          <w:sz w:val="24"/>
          <w:lang w:val="zh-CN"/>
        </w:rPr>
      </w:pPr>
      <w:bookmarkStart w:id="54" w:name="_Toc421873483"/>
      <w:r>
        <w:rPr>
          <w:rFonts w:hint="eastAsia" w:ascii="宋体" w:hAnsi="宋体" w:cs="宋体"/>
          <w:bCs/>
          <w:color w:val="auto"/>
          <w:kern w:val="0"/>
          <w:sz w:val="24"/>
          <w:lang w:val="zh-CN"/>
        </w:rPr>
        <w:t>小写：￥</w:t>
      </w:r>
      <w:r>
        <w:rPr>
          <w:rFonts w:hint="eastAsia" w:ascii="宋体" w:hAnsi="宋体" w:cs="宋体"/>
          <w:bCs/>
          <w:color w:val="auto"/>
          <w:kern w:val="0"/>
          <w:sz w:val="24"/>
          <w:lang w:val="en-US" w:eastAsia="zh-CN"/>
        </w:rPr>
        <w:t>13,000.00</w:t>
      </w:r>
      <w:r>
        <w:rPr>
          <w:rFonts w:hint="eastAsia" w:ascii="宋体" w:hAnsi="宋体" w:cs="宋体"/>
          <w:bCs/>
          <w:color w:val="auto"/>
          <w:kern w:val="0"/>
          <w:sz w:val="24"/>
          <w:lang w:val="zh-CN"/>
        </w:rPr>
        <w:t>元整；大写：</w:t>
      </w:r>
      <w:r>
        <w:rPr>
          <w:rFonts w:hint="eastAsia" w:ascii="宋体" w:hAnsi="宋体" w:cs="宋体"/>
          <w:bCs/>
          <w:color w:val="auto"/>
          <w:kern w:val="0"/>
          <w:sz w:val="24"/>
          <w:lang w:val="en-US" w:eastAsia="zh-CN"/>
        </w:rPr>
        <w:t>壹万叁仟元整</w:t>
      </w:r>
      <w:r>
        <w:rPr>
          <w:rFonts w:hint="eastAsia" w:ascii="宋体" w:hAnsi="宋体" w:cs="宋体"/>
          <w:bCs/>
          <w:color w:val="auto"/>
          <w:kern w:val="0"/>
          <w:sz w:val="24"/>
          <w:lang w:val="zh-CN"/>
        </w:rPr>
        <w:t>；</w:t>
      </w:r>
    </w:p>
    <w:p>
      <w:pPr>
        <w:adjustRightInd w:val="0"/>
        <w:snapToGrid w:val="0"/>
        <w:spacing w:line="360" w:lineRule="auto"/>
        <w:ind w:firstLine="480" w:firstLineChars="200"/>
        <w:rPr>
          <w:rFonts w:ascii="宋体" w:hAnsi="宋体" w:cs="Arial"/>
          <w:kern w:val="0"/>
          <w:sz w:val="24"/>
        </w:rPr>
      </w:pPr>
      <w:r>
        <w:rPr>
          <w:rFonts w:ascii="宋体" w:hAnsi="宋体" w:cs="Arial"/>
          <w:kern w:val="0"/>
          <w:sz w:val="24"/>
        </w:rPr>
        <w:t>磋商人可以采用现金支票、银行汇票、银行保函等非现金形式交纳</w:t>
      </w:r>
      <w:r>
        <w:rPr>
          <w:rFonts w:hint="eastAsia" w:ascii="宋体" w:hAnsi="宋体" w:cs="Arial"/>
          <w:kern w:val="0"/>
          <w:sz w:val="24"/>
        </w:rPr>
        <w:t>磋商</w:t>
      </w:r>
      <w:r>
        <w:rPr>
          <w:rFonts w:ascii="宋体" w:hAnsi="宋体" w:cs="Arial"/>
          <w:kern w:val="0"/>
          <w:sz w:val="24"/>
        </w:rPr>
        <w:t>保证金（注明此次项目磋商文件编号，例：</w:t>
      </w:r>
      <w:r>
        <w:rPr>
          <w:rFonts w:hint="eastAsia" w:ascii="宋体" w:hAnsi="宋体" w:cs="Arial"/>
          <w:kern w:val="0"/>
          <w:sz w:val="24"/>
          <w:lang w:eastAsia="zh-CN"/>
        </w:rPr>
        <w:t>青海国焱竞磋（货物）2025-084号</w:t>
      </w:r>
      <w:r>
        <w:rPr>
          <w:rFonts w:ascii="宋体" w:hAnsi="宋体" w:cs="Arial"/>
          <w:kern w:val="0"/>
          <w:sz w:val="24"/>
        </w:rPr>
        <w:t>）；</w:t>
      </w:r>
    </w:p>
    <w:p>
      <w:pPr>
        <w:adjustRightInd w:val="0"/>
        <w:snapToGrid w:val="0"/>
        <w:spacing w:line="360" w:lineRule="auto"/>
        <w:ind w:firstLine="480" w:firstLineChars="200"/>
        <w:rPr>
          <w:rFonts w:ascii="宋体" w:hAnsi="宋体" w:cs="Arial"/>
          <w:kern w:val="0"/>
          <w:sz w:val="24"/>
        </w:rPr>
      </w:pPr>
      <w:r>
        <w:rPr>
          <w:rFonts w:ascii="宋体" w:hAnsi="宋体" w:cs="Arial"/>
          <w:kern w:val="0"/>
          <w:sz w:val="24"/>
        </w:rPr>
        <w:t>提交账号如下：</w:t>
      </w:r>
      <w:bookmarkEnd w:id="54"/>
    </w:p>
    <w:p>
      <w:pPr>
        <w:adjustRightInd w:val="0"/>
        <w:snapToGrid w:val="0"/>
        <w:spacing w:line="360" w:lineRule="auto"/>
        <w:ind w:firstLine="480" w:firstLineChars="200"/>
        <w:rPr>
          <w:rFonts w:ascii="宋体" w:hAnsi="宋体" w:cs="Arial"/>
          <w:kern w:val="0"/>
          <w:sz w:val="24"/>
        </w:rPr>
      </w:pPr>
      <w:r>
        <w:rPr>
          <w:rFonts w:hint="eastAsia" w:ascii="宋体" w:hAnsi="宋体" w:cs="Arial"/>
          <w:kern w:val="0"/>
          <w:sz w:val="24"/>
        </w:rPr>
        <w:t>开户行：中国工商银行股份有限公司西宁五四大街支行</w:t>
      </w:r>
    </w:p>
    <w:p>
      <w:pPr>
        <w:adjustRightInd w:val="0"/>
        <w:snapToGrid w:val="0"/>
        <w:spacing w:line="360" w:lineRule="auto"/>
        <w:ind w:firstLine="480" w:firstLineChars="200"/>
        <w:rPr>
          <w:rFonts w:ascii="宋体" w:hAnsi="宋体" w:cs="Arial"/>
          <w:kern w:val="0"/>
          <w:sz w:val="24"/>
        </w:rPr>
      </w:pPr>
      <w:r>
        <w:rPr>
          <w:rFonts w:hint="eastAsia" w:ascii="宋体" w:hAnsi="宋体" w:cs="Arial"/>
          <w:kern w:val="0"/>
          <w:sz w:val="24"/>
        </w:rPr>
        <w:t>账户名：青海国焱工程项目管理有限公司</w:t>
      </w:r>
    </w:p>
    <w:p>
      <w:pPr>
        <w:adjustRightInd w:val="0"/>
        <w:snapToGrid w:val="0"/>
        <w:spacing w:line="360" w:lineRule="auto"/>
        <w:ind w:firstLine="480" w:firstLineChars="200"/>
        <w:rPr>
          <w:rFonts w:ascii="宋体" w:hAnsi="宋体" w:cs="Arial"/>
          <w:kern w:val="0"/>
          <w:sz w:val="24"/>
        </w:rPr>
      </w:pPr>
      <w:r>
        <w:rPr>
          <w:rFonts w:hint="eastAsia" w:ascii="宋体" w:hAnsi="宋体" w:cs="Arial"/>
          <w:kern w:val="0"/>
          <w:sz w:val="24"/>
        </w:rPr>
        <w:t>账号：2806001309000043259（开户行号：102851000139）</w:t>
      </w:r>
    </w:p>
    <w:p>
      <w:pPr>
        <w:pStyle w:val="20"/>
        <w:spacing w:line="360" w:lineRule="auto"/>
        <w:ind w:left="141" w:leftChars="67" w:firstLine="354" w:firstLineChars="147"/>
        <w:rPr>
          <w:rFonts w:hAnsi="宋体"/>
          <w:sz w:val="24"/>
          <w:szCs w:val="24"/>
        </w:rPr>
      </w:pPr>
      <w:r>
        <w:rPr>
          <w:rFonts w:hAnsi="宋体" w:cs="Arial"/>
          <w:b/>
          <w:sz w:val="24"/>
          <w:szCs w:val="24"/>
        </w:rPr>
        <w:t>缴纳截止时间</w:t>
      </w:r>
      <w:r>
        <w:rPr>
          <w:rFonts w:hint="eastAsia" w:hAnsi="宋体" w:cs="Arial"/>
          <w:b/>
          <w:sz w:val="24"/>
          <w:szCs w:val="24"/>
        </w:rPr>
        <w:t>：磋商截止时间前，以银行到账时间为准。</w:t>
      </w:r>
    </w:p>
    <w:p>
      <w:pPr>
        <w:pStyle w:val="20"/>
        <w:numPr>
          <w:ilvl w:val="1"/>
          <w:numId w:val="16"/>
        </w:numPr>
        <w:spacing w:line="360" w:lineRule="auto"/>
        <w:rPr>
          <w:rFonts w:hAnsi="宋体"/>
          <w:sz w:val="24"/>
          <w:szCs w:val="24"/>
        </w:rPr>
      </w:pPr>
      <w:r>
        <w:rPr>
          <w:rFonts w:hint="eastAsia" w:hAnsi="宋体"/>
          <w:sz w:val="24"/>
          <w:szCs w:val="24"/>
        </w:rPr>
        <w:t>磋商供应商应在磋商截止时间前将磋商保证金缴纳到采购代理机构账户，以银行到账时间为准；</w:t>
      </w:r>
    </w:p>
    <w:p>
      <w:pPr>
        <w:pStyle w:val="20"/>
        <w:numPr>
          <w:ilvl w:val="1"/>
          <w:numId w:val="16"/>
        </w:numPr>
        <w:spacing w:line="360" w:lineRule="auto"/>
        <w:rPr>
          <w:rFonts w:hAnsi="宋体"/>
          <w:sz w:val="24"/>
          <w:szCs w:val="24"/>
        </w:rPr>
      </w:pPr>
      <w:r>
        <w:rPr>
          <w:rFonts w:hint="eastAsia" w:hAnsi="宋体"/>
          <w:sz w:val="24"/>
          <w:szCs w:val="24"/>
        </w:rPr>
        <w:t>磋商保证金应当以电汇、支票、汇票、本票或者金融机构、担保机构出具的保函等非现金形式提交，通过银行转账的，必须从磋商供应商基本账户直接汇（转）入采购代理机构指定账户；</w:t>
      </w:r>
    </w:p>
    <w:p>
      <w:pPr>
        <w:pStyle w:val="20"/>
        <w:numPr>
          <w:ilvl w:val="1"/>
          <w:numId w:val="16"/>
        </w:numPr>
        <w:spacing w:line="360" w:lineRule="auto"/>
        <w:rPr>
          <w:rFonts w:hAnsi="宋体"/>
          <w:sz w:val="24"/>
          <w:szCs w:val="24"/>
        </w:rPr>
      </w:pPr>
      <w:r>
        <w:rPr>
          <w:rFonts w:hint="eastAsia" w:hAnsi="宋体"/>
          <w:sz w:val="24"/>
          <w:szCs w:val="24"/>
        </w:rPr>
        <w:t>未按磋商文件要求在规定时间前交纳规定数额磋商保证金的磋商将被拒绝；</w:t>
      </w:r>
    </w:p>
    <w:p>
      <w:pPr>
        <w:pStyle w:val="20"/>
        <w:numPr>
          <w:ilvl w:val="1"/>
          <w:numId w:val="16"/>
        </w:numPr>
        <w:spacing w:line="360" w:lineRule="auto"/>
        <w:rPr>
          <w:rFonts w:hAnsi="宋体"/>
          <w:sz w:val="24"/>
          <w:szCs w:val="24"/>
        </w:rPr>
      </w:pPr>
      <w:r>
        <w:rPr>
          <w:rFonts w:hint="eastAsia" w:hAnsi="宋体"/>
          <w:sz w:val="24"/>
          <w:szCs w:val="24"/>
        </w:rPr>
        <w:t>未成交磋商供应商的磋商保证金自成交通知书发出之日起5个工作日内全额无息退还（不退现金）；成交磋商供应商的磋商保证金，自政府采购合同签订之日起5个工作日内全额无息退还（不退现金）；</w:t>
      </w:r>
    </w:p>
    <w:p>
      <w:pPr>
        <w:pStyle w:val="20"/>
        <w:numPr>
          <w:ilvl w:val="1"/>
          <w:numId w:val="16"/>
        </w:numPr>
        <w:spacing w:line="360" w:lineRule="auto"/>
        <w:rPr>
          <w:rFonts w:hAnsi="宋体"/>
          <w:sz w:val="24"/>
          <w:szCs w:val="24"/>
        </w:rPr>
      </w:pPr>
      <w:r>
        <w:rPr>
          <w:rFonts w:hint="eastAsia" w:hAnsi="宋体"/>
          <w:sz w:val="24"/>
          <w:szCs w:val="24"/>
        </w:rPr>
        <w:t>下列任何情况发生时，磋商保证金将不予退还：</w:t>
      </w:r>
    </w:p>
    <w:p>
      <w:pPr>
        <w:pStyle w:val="20"/>
        <w:numPr>
          <w:ilvl w:val="0"/>
          <w:numId w:val="17"/>
        </w:numPr>
        <w:spacing w:line="360" w:lineRule="auto"/>
        <w:rPr>
          <w:rFonts w:hAnsi="宋体" w:cs="Arial"/>
          <w:sz w:val="24"/>
          <w:szCs w:val="24"/>
        </w:rPr>
      </w:pPr>
      <w:r>
        <w:rPr>
          <w:rFonts w:hint="eastAsia" w:hAnsi="宋体" w:cs="Arial"/>
          <w:sz w:val="24"/>
          <w:szCs w:val="24"/>
        </w:rPr>
        <w:t>磋商供应商在递交磋商响应文件的截止时间前未到达现场并且没有以书面形式如信函、传真等告知采购代理机构要撤其磋商的；</w:t>
      </w:r>
    </w:p>
    <w:p>
      <w:pPr>
        <w:pStyle w:val="20"/>
        <w:numPr>
          <w:ilvl w:val="0"/>
          <w:numId w:val="17"/>
        </w:numPr>
        <w:spacing w:line="360" w:lineRule="auto"/>
        <w:rPr>
          <w:rFonts w:hAnsi="宋体" w:cs="Arial"/>
          <w:sz w:val="24"/>
          <w:szCs w:val="24"/>
        </w:rPr>
      </w:pPr>
      <w:r>
        <w:rPr>
          <w:rFonts w:hint="eastAsia" w:hAnsi="宋体" w:cs="Arial"/>
          <w:sz w:val="24"/>
          <w:szCs w:val="24"/>
        </w:rPr>
        <w:t>成交磋商供应商在规定期限内未能按规定签订合同或未按规定缴纳成交服务费；</w:t>
      </w:r>
    </w:p>
    <w:p>
      <w:pPr>
        <w:pStyle w:val="20"/>
        <w:numPr>
          <w:ilvl w:val="0"/>
          <w:numId w:val="17"/>
        </w:numPr>
        <w:spacing w:line="360" w:lineRule="auto"/>
        <w:rPr>
          <w:rFonts w:hAnsi="宋体" w:cs="Arial"/>
          <w:sz w:val="24"/>
          <w:szCs w:val="24"/>
        </w:rPr>
      </w:pPr>
      <w:r>
        <w:rPr>
          <w:rFonts w:hint="eastAsia" w:hAnsi="宋体" w:cs="Arial"/>
          <w:sz w:val="24"/>
          <w:szCs w:val="24"/>
        </w:rPr>
        <w:t>提供虚假材料谋取成交的；</w:t>
      </w:r>
    </w:p>
    <w:p>
      <w:pPr>
        <w:pStyle w:val="20"/>
        <w:numPr>
          <w:ilvl w:val="0"/>
          <w:numId w:val="17"/>
        </w:numPr>
        <w:spacing w:line="360" w:lineRule="auto"/>
        <w:rPr>
          <w:rFonts w:hAnsi="宋体" w:cs="Arial"/>
          <w:sz w:val="24"/>
          <w:szCs w:val="24"/>
        </w:rPr>
      </w:pPr>
      <w:r>
        <w:rPr>
          <w:rFonts w:hint="eastAsia" w:hAnsi="宋体" w:cs="Arial"/>
          <w:sz w:val="24"/>
          <w:szCs w:val="24"/>
        </w:rPr>
        <w:t>将成交项目转让给他人，或者在磋商响应文件中未说明，将成交项目分包给他人的；</w:t>
      </w:r>
    </w:p>
    <w:p>
      <w:pPr>
        <w:pStyle w:val="20"/>
        <w:numPr>
          <w:ilvl w:val="0"/>
          <w:numId w:val="17"/>
        </w:numPr>
        <w:spacing w:line="360" w:lineRule="auto"/>
        <w:rPr>
          <w:rFonts w:hAnsi="宋体" w:cs="Arial"/>
          <w:sz w:val="24"/>
          <w:szCs w:val="24"/>
        </w:rPr>
      </w:pPr>
      <w:r>
        <w:rPr>
          <w:rFonts w:hint="eastAsia" w:hAnsi="宋体" w:cs="Arial"/>
          <w:sz w:val="24"/>
          <w:szCs w:val="24"/>
        </w:rPr>
        <w:t>拒绝履行合同义务的；</w:t>
      </w:r>
    </w:p>
    <w:p>
      <w:pPr>
        <w:pStyle w:val="20"/>
        <w:numPr>
          <w:ilvl w:val="0"/>
          <w:numId w:val="17"/>
        </w:numPr>
        <w:spacing w:line="360" w:lineRule="auto"/>
        <w:rPr>
          <w:rFonts w:hAnsi="宋体" w:cs="Arial"/>
          <w:sz w:val="24"/>
          <w:szCs w:val="24"/>
        </w:rPr>
      </w:pPr>
      <w:r>
        <w:rPr>
          <w:rFonts w:hint="eastAsia" w:hAnsi="宋体" w:cs="Arial"/>
          <w:sz w:val="24"/>
          <w:szCs w:val="24"/>
        </w:rPr>
        <w:t>法律、法规规定的其他情形。</w:t>
      </w:r>
    </w:p>
    <w:p>
      <w:pPr>
        <w:pStyle w:val="10"/>
        <w:numPr>
          <w:ilvl w:val="0"/>
          <w:numId w:val="5"/>
        </w:numPr>
        <w:spacing w:before="0" w:after="0" w:line="360" w:lineRule="auto"/>
        <w:rPr>
          <w:rFonts w:ascii="宋体" w:hAnsi="宋体"/>
          <w:b w:val="0"/>
          <w:sz w:val="24"/>
          <w:szCs w:val="24"/>
        </w:rPr>
      </w:pPr>
      <w:bookmarkStart w:id="55" w:name="_Toc488673624"/>
      <w:bookmarkStart w:id="56" w:name="_Toc26293"/>
      <w:r>
        <w:rPr>
          <w:rFonts w:ascii="宋体" w:hAnsi="宋体"/>
          <w:b w:val="0"/>
          <w:sz w:val="24"/>
          <w:szCs w:val="24"/>
        </w:rPr>
        <w:t>磋商有效期</w:t>
      </w:r>
      <w:bookmarkEnd w:id="55"/>
      <w:bookmarkEnd w:id="56"/>
    </w:p>
    <w:p>
      <w:pPr>
        <w:pStyle w:val="20"/>
        <w:spacing w:line="360" w:lineRule="auto"/>
        <w:ind w:firstLine="480" w:firstLineChars="200"/>
        <w:rPr>
          <w:rFonts w:hAnsi="宋体"/>
          <w:b/>
          <w:sz w:val="24"/>
          <w:szCs w:val="24"/>
        </w:rPr>
      </w:pPr>
      <w:r>
        <w:rPr>
          <w:rFonts w:hAnsi="宋体" w:cs="Arial"/>
          <w:sz w:val="24"/>
          <w:szCs w:val="24"/>
        </w:rPr>
        <w:t>本次磋商有效期为自</w:t>
      </w:r>
      <w:r>
        <w:rPr>
          <w:rFonts w:hint="eastAsia" w:hAnsi="宋体" w:cs="Arial"/>
          <w:sz w:val="24"/>
          <w:szCs w:val="24"/>
        </w:rPr>
        <w:t>磋商</w:t>
      </w:r>
      <w:r>
        <w:rPr>
          <w:rFonts w:hAnsi="宋体" w:cs="Arial"/>
          <w:sz w:val="24"/>
          <w:szCs w:val="24"/>
        </w:rPr>
        <w:t>之日起</w:t>
      </w:r>
      <w:r>
        <w:rPr>
          <w:rFonts w:hint="eastAsia" w:hAnsi="宋体" w:cs="Arial"/>
          <w:sz w:val="24"/>
          <w:szCs w:val="24"/>
        </w:rPr>
        <w:t>60</w:t>
      </w:r>
      <w:r>
        <w:rPr>
          <w:rFonts w:hAnsi="宋体" w:cs="Arial"/>
          <w:sz w:val="24"/>
          <w:szCs w:val="24"/>
        </w:rPr>
        <w:t>个</w:t>
      </w:r>
      <w:r>
        <w:rPr>
          <w:rFonts w:hint="eastAsia" w:hAnsi="宋体" w:cs="Arial"/>
          <w:sz w:val="24"/>
          <w:szCs w:val="24"/>
        </w:rPr>
        <w:t>日历日。</w:t>
      </w:r>
    </w:p>
    <w:p>
      <w:pPr>
        <w:pStyle w:val="10"/>
        <w:numPr>
          <w:ilvl w:val="0"/>
          <w:numId w:val="5"/>
        </w:numPr>
        <w:spacing w:before="0" w:after="0" w:line="360" w:lineRule="auto"/>
        <w:rPr>
          <w:rFonts w:ascii="宋体" w:hAnsi="宋体"/>
          <w:b w:val="0"/>
          <w:sz w:val="24"/>
          <w:szCs w:val="24"/>
        </w:rPr>
      </w:pPr>
      <w:bookmarkStart w:id="57" w:name="_Toc20657"/>
      <w:bookmarkStart w:id="58" w:name="_Toc488673625"/>
      <w:r>
        <w:rPr>
          <w:rFonts w:hint="eastAsia" w:ascii="宋体" w:hAnsi="宋体"/>
          <w:b w:val="0"/>
          <w:sz w:val="24"/>
          <w:szCs w:val="24"/>
        </w:rPr>
        <w:t>磋商响应文件的构成</w:t>
      </w:r>
      <w:bookmarkEnd w:id="57"/>
      <w:bookmarkEnd w:id="58"/>
    </w:p>
    <w:p>
      <w:pPr>
        <w:pStyle w:val="20"/>
        <w:spacing w:line="360" w:lineRule="auto"/>
        <w:ind w:firstLine="600" w:firstLineChars="250"/>
        <w:rPr>
          <w:rFonts w:hAnsi="宋体"/>
          <w:sz w:val="24"/>
          <w:szCs w:val="24"/>
        </w:rPr>
      </w:pPr>
      <w:r>
        <w:rPr>
          <w:rFonts w:hint="eastAsia" w:hAnsi="宋体"/>
          <w:sz w:val="24"/>
          <w:szCs w:val="24"/>
        </w:rPr>
        <w:t>磋商供应商应提交相关证明材料，作为其参加磋商和成交后有能力履行合同的证明。编写的磋商响应文件须包括以下内容（格式见磋商文件“第五部分 磋商响应文件格式”）：</w:t>
      </w:r>
    </w:p>
    <w:p>
      <w:pPr>
        <w:autoSpaceDE w:val="0"/>
        <w:autoSpaceDN w:val="0"/>
        <w:spacing w:line="360" w:lineRule="auto"/>
        <w:ind w:left="426"/>
        <w:rPr>
          <w:rFonts w:ascii="宋体" w:hAnsi="宋体"/>
          <w:kern w:val="0"/>
          <w:sz w:val="24"/>
          <w:lang w:val="zh-CN"/>
        </w:rPr>
      </w:pPr>
      <w:r>
        <w:rPr>
          <w:rFonts w:hint="eastAsia" w:ascii="宋体" w:hAnsi="宋体"/>
          <w:kern w:val="0"/>
          <w:sz w:val="24"/>
          <w:lang w:val="zh-CN"/>
        </w:rPr>
        <w:t>11.1 磋商响应</w:t>
      </w:r>
      <w:r>
        <w:rPr>
          <w:rFonts w:ascii="宋体" w:hAnsi="宋体"/>
          <w:kern w:val="0"/>
          <w:sz w:val="24"/>
          <w:lang w:val="zh-CN"/>
        </w:rPr>
        <w:t>文件</w:t>
      </w:r>
    </w:p>
    <w:p>
      <w:pPr>
        <w:pStyle w:val="20"/>
        <w:numPr>
          <w:ilvl w:val="0"/>
          <w:numId w:val="18"/>
        </w:numPr>
        <w:spacing w:line="360" w:lineRule="auto"/>
        <w:rPr>
          <w:rFonts w:hAnsi="宋体" w:cs="Arial"/>
          <w:sz w:val="24"/>
          <w:szCs w:val="24"/>
        </w:rPr>
      </w:pPr>
      <w:r>
        <w:rPr>
          <w:rFonts w:hint="eastAsia" w:hAnsi="宋体" w:cs="Arial"/>
          <w:sz w:val="24"/>
          <w:szCs w:val="24"/>
        </w:rPr>
        <w:t>磋商函；</w:t>
      </w:r>
    </w:p>
    <w:p>
      <w:pPr>
        <w:pStyle w:val="20"/>
        <w:numPr>
          <w:ilvl w:val="0"/>
          <w:numId w:val="18"/>
        </w:numPr>
        <w:spacing w:line="360" w:lineRule="auto"/>
        <w:rPr>
          <w:rFonts w:hAnsi="宋体" w:cs="Arial"/>
          <w:sz w:val="24"/>
          <w:szCs w:val="24"/>
        </w:rPr>
      </w:pPr>
      <w:r>
        <w:rPr>
          <w:rFonts w:hint="eastAsia" w:hAnsi="宋体" w:cs="Arial"/>
          <w:sz w:val="24"/>
          <w:szCs w:val="24"/>
        </w:rPr>
        <w:t>法定代表人证明书；</w:t>
      </w:r>
    </w:p>
    <w:p>
      <w:pPr>
        <w:pStyle w:val="20"/>
        <w:numPr>
          <w:ilvl w:val="0"/>
          <w:numId w:val="18"/>
        </w:numPr>
        <w:spacing w:line="360" w:lineRule="auto"/>
        <w:rPr>
          <w:rFonts w:hAnsi="宋体" w:cs="Arial"/>
          <w:sz w:val="24"/>
          <w:szCs w:val="24"/>
        </w:rPr>
      </w:pPr>
      <w:r>
        <w:rPr>
          <w:rFonts w:hint="eastAsia" w:hAnsi="宋体" w:cs="Arial"/>
          <w:sz w:val="24"/>
          <w:szCs w:val="24"/>
        </w:rPr>
        <w:t>法定代表人授权书；</w:t>
      </w:r>
    </w:p>
    <w:p>
      <w:pPr>
        <w:pStyle w:val="20"/>
        <w:numPr>
          <w:ilvl w:val="0"/>
          <w:numId w:val="18"/>
        </w:numPr>
        <w:spacing w:line="360" w:lineRule="auto"/>
        <w:rPr>
          <w:rFonts w:hAnsi="宋体" w:cs="Arial"/>
          <w:sz w:val="24"/>
          <w:szCs w:val="24"/>
        </w:rPr>
      </w:pPr>
      <w:r>
        <w:rPr>
          <w:rFonts w:hint="eastAsia" w:hAnsi="宋体" w:cs="Arial"/>
          <w:sz w:val="24"/>
          <w:szCs w:val="24"/>
        </w:rPr>
        <w:t>磋商供应商承诺书；</w:t>
      </w:r>
    </w:p>
    <w:p>
      <w:pPr>
        <w:pStyle w:val="20"/>
        <w:numPr>
          <w:ilvl w:val="0"/>
          <w:numId w:val="18"/>
        </w:numPr>
        <w:spacing w:line="360" w:lineRule="auto"/>
        <w:rPr>
          <w:rFonts w:hAnsi="宋体" w:cs="Arial"/>
          <w:sz w:val="24"/>
          <w:szCs w:val="24"/>
        </w:rPr>
      </w:pPr>
      <w:r>
        <w:rPr>
          <w:rFonts w:hint="eastAsia" w:hAnsi="宋体" w:cs="Arial"/>
          <w:sz w:val="24"/>
          <w:szCs w:val="24"/>
        </w:rPr>
        <w:t>供应商诚信承诺书；</w:t>
      </w:r>
    </w:p>
    <w:p>
      <w:pPr>
        <w:pStyle w:val="20"/>
        <w:numPr>
          <w:ilvl w:val="0"/>
          <w:numId w:val="18"/>
        </w:numPr>
        <w:spacing w:line="360" w:lineRule="auto"/>
        <w:rPr>
          <w:rFonts w:hAnsi="宋体" w:cs="Arial"/>
          <w:sz w:val="24"/>
          <w:szCs w:val="24"/>
        </w:rPr>
      </w:pPr>
      <w:r>
        <w:rPr>
          <w:rFonts w:hint="eastAsia" w:hAnsi="宋体" w:cs="Arial"/>
          <w:sz w:val="24"/>
          <w:szCs w:val="24"/>
        </w:rPr>
        <w:t>资格证明材料；</w:t>
      </w:r>
    </w:p>
    <w:p>
      <w:pPr>
        <w:pStyle w:val="20"/>
        <w:numPr>
          <w:ilvl w:val="0"/>
          <w:numId w:val="18"/>
        </w:numPr>
        <w:spacing w:line="360" w:lineRule="auto"/>
        <w:rPr>
          <w:rFonts w:hAnsi="宋体" w:cs="Arial"/>
          <w:sz w:val="24"/>
          <w:szCs w:val="24"/>
        </w:rPr>
      </w:pPr>
      <w:r>
        <w:rPr>
          <w:rFonts w:hint="eastAsia" w:hAnsi="宋体" w:cs="Arial"/>
          <w:sz w:val="24"/>
          <w:szCs w:val="24"/>
        </w:rPr>
        <w:t>财务状况、缴纳税收和社会保障资金证明；</w:t>
      </w:r>
    </w:p>
    <w:p>
      <w:pPr>
        <w:pStyle w:val="20"/>
        <w:numPr>
          <w:ilvl w:val="0"/>
          <w:numId w:val="18"/>
        </w:numPr>
        <w:spacing w:line="360" w:lineRule="auto"/>
        <w:rPr>
          <w:rFonts w:hAnsi="宋体" w:cs="Arial"/>
          <w:sz w:val="24"/>
          <w:szCs w:val="24"/>
        </w:rPr>
      </w:pPr>
      <w:r>
        <w:rPr>
          <w:rFonts w:hint="eastAsia" w:hAnsi="宋体" w:cs="Arial"/>
          <w:sz w:val="24"/>
          <w:szCs w:val="24"/>
        </w:rPr>
        <w:t>具备履行合同所必须的设备和专业技术能力证明；</w:t>
      </w:r>
    </w:p>
    <w:p>
      <w:pPr>
        <w:pStyle w:val="20"/>
        <w:numPr>
          <w:ilvl w:val="0"/>
          <w:numId w:val="18"/>
        </w:numPr>
        <w:spacing w:line="360" w:lineRule="auto"/>
        <w:rPr>
          <w:rFonts w:hAnsi="宋体" w:cs="Arial"/>
          <w:sz w:val="24"/>
          <w:szCs w:val="24"/>
        </w:rPr>
      </w:pPr>
      <w:r>
        <w:rPr>
          <w:rFonts w:hint="eastAsia" w:hAnsi="宋体" w:cs="Arial"/>
          <w:sz w:val="24"/>
          <w:szCs w:val="24"/>
        </w:rPr>
        <w:t>无重大违法记录声明；</w:t>
      </w:r>
    </w:p>
    <w:p>
      <w:pPr>
        <w:pStyle w:val="20"/>
        <w:numPr>
          <w:ilvl w:val="0"/>
          <w:numId w:val="18"/>
        </w:numPr>
        <w:spacing w:line="360" w:lineRule="auto"/>
        <w:rPr>
          <w:rFonts w:hAnsi="宋体" w:cs="Arial"/>
          <w:sz w:val="24"/>
          <w:szCs w:val="24"/>
        </w:rPr>
      </w:pPr>
      <w:r>
        <w:rPr>
          <w:rFonts w:hint="eastAsia" w:hAnsi="宋体" w:cs="Arial"/>
          <w:sz w:val="24"/>
          <w:szCs w:val="24"/>
        </w:rPr>
        <w:t>磋商保证金证明；</w:t>
      </w:r>
    </w:p>
    <w:p>
      <w:pPr>
        <w:pStyle w:val="20"/>
        <w:numPr>
          <w:ilvl w:val="0"/>
          <w:numId w:val="18"/>
        </w:numPr>
        <w:spacing w:line="360" w:lineRule="auto"/>
        <w:rPr>
          <w:rFonts w:hAnsi="宋体" w:cs="Arial"/>
          <w:sz w:val="24"/>
          <w:szCs w:val="24"/>
        </w:rPr>
      </w:pPr>
      <w:r>
        <w:rPr>
          <w:rFonts w:hint="eastAsia" w:hAnsi="宋体" w:cs="Arial"/>
          <w:sz w:val="24"/>
          <w:szCs w:val="24"/>
        </w:rPr>
        <w:t>竞争性磋商首次报价表；</w:t>
      </w:r>
    </w:p>
    <w:p>
      <w:pPr>
        <w:pStyle w:val="20"/>
        <w:numPr>
          <w:ilvl w:val="0"/>
          <w:numId w:val="18"/>
        </w:numPr>
        <w:spacing w:line="360" w:lineRule="auto"/>
        <w:rPr>
          <w:rFonts w:hAnsi="宋体" w:cs="Arial"/>
          <w:sz w:val="24"/>
          <w:szCs w:val="24"/>
        </w:rPr>
      </w:pPr>
      <w:r>
        <w:rPr>
          <w:rFonts w:hAnsi="宋体" w:cs="Arial"/>
          <w:sz w:val="24"/>
          <w:szCs w:val="24"/>
        </w:rPr>
        <w:t>分项报价表</w:t>
      </w:r>
      <w:r>
        <w:rPr>
          <w:rFonts w:hint="eastAsia" w:hAnsi="宋体" w:cs="Arial"/>
          <w:sz w:val="24"/>
          <w:szCs w:val="24"/>
        </w:rPr>
        <w:t>；</w:t>
      </w:r>
    </w:p>
    <w:p>
      <w:pPr>
        <w:pStyle w:val="20"/>
        <w:numPr>
          <w:ilvl w:val="0"/>
          <w:numId w:val="18"/>
        </w:numPr>
        <w:spacing w:line="360" w:lineRule="auto"/>
        <w:rPr>
          <w:rFonts w:hAnsi="宋体" w:cs="Arial"/>
          <w:sz w:val="24"/>
          <w:szCs w:val="24"/>
        </w:rPr>
      </w:pPr>
      <w:r>
        <w:rPr>
          <w:rFonts w:hint="eastAsia" w:hAnsi="宋体" w:cs="Arial"/>
          <w:sz w:val="24"/>
          <w:szCs w:val="24"/>
        </w:rPr>
        <w:t>技术规格响应表；</w:t>
      </w:r>
    </w:p>
    <w:p>
      <w:pPr>
        <w:pStyle w:val="20"/>
        <w:numPr>
          <w:ilvl w:val="0"/>
          <w:numId w:val="18"/>
        </w:numPr>
        <w:spacing w:line="360" w:lineRule="auto"/>
        <w:rPr>
          <w:rFonts w:hAnsi="宋体" w:cs="Arial"/>
          <w:sz w:val="24"/>
          <w:szCs w:val="24"/>
        </w:rPr>
      </w:pPr>
      <w:r>
        <w:rPr>
          <w:rFonts w:hint="eastAsia" w:hAnsi="宋体" w:cs="Arial"/>
          <w:sz w:val="24"/>
          <w:szCs w:val="24"/>
        </w:rPr>
        <w:t>磋商产品相关资料；</w:t>
      </w:r>
    </w:p>
    <w:p>
      <w:pPr>
        <w:pStyle w:val="20"/>
        <w:numPr>
          <w:ilvl w:val="0"/>
          <w:numId w:val="18"/>
        </w:numPr>
        <w:spacing w:line="360" w:lineRule="auto"/>
        <w:rPr>
          <w:rFonts w:hAnsi="宋体" w:cs="Arial"/>
          <w:sz w:val="24"/>
          <w:szCs w:val="24"/>
        </w:rPr>
      </w:pPr>
      <w:r>
        <w:rPr>
          <w:rFonts w:hint="eastAsia" w:hAnsi="宋体" w:cs="Arial"/>
          <w:sz w:val="24"/>
          <w:szCs w:val="24"/>
        </w:rPr>
        <w:t>磋商供应商的类似业绩证明材料；</w:t>
      </w:r>
    </w:p>
    <w:p>
      <w:pPr>
        <w:pStyle w:val="20"/>
        <w:numPr>
          <w:ilvl w:val="0"/>
          <w:numId w:val="18"/>
        </w:numPr>
        <w:spacing w:line="360" w:lineRule="auto"/>
        <w:rPr>
          <w:rFonts w:hAnsi="宋体" w:cs="Arial"/>
          <w:sz w:val="24"/>
          <w:szCs w:val="24"/>
        </w:rPr>
      </w:pPr>
      <w:r>
        <w:rPr>
          <w:rFonts w:hint="eastAsia" w:hAnsi="宋体" w:cs="Arial"/>
          <w:sz w:val="24"/>
          <w:szCs w:val="24"/>
        </w:rPr>
        <w:t>享受政府采购政策优惠的证明资料；</w:t>
      </w:r>
    </w:p>
    <w:p>
      <w:pPr>
        <w:pStyle w:val="20"/>
        <w:numPr>
          <w:ilvl w:val="0"/>
          <w:numId w:val="18"/>
        </w:numPr>
        <w:spacing w:line="360" w:lineRule="auto"/>
        <w:rPr>
          <w:rFonts w:hAnsi="宋体" w:cs="Arial"/>
          <w:sz w:val="24"/>
          <w:szCs w:val="24"/>
        </w:rPr>
      </w:pPr>
      <w:r>
        <w:rPr>
          <w:rFonts w:hint="eastAsia" w:hAnsi="宋体" w:cs="Arial"/>
          <w:sz w:val="24"/>
          <w:szCs w:val="24"/>
        </w:rPr>
        <w:t>磋商供应商认为在其他方面有必要说明的事项；</w:t>
      </w:r>
    </w:p>
    <w:p>
      <w:pPr>
        <w:pStyle w:val="20"/>
        <w:spacing w:line="360" w:lineRule="auto"/>
        <w:ind w:left="845"/>
        <w:rPr>
          <w:rFonts w:hAnsi="宋体" w:cs="Arial"/>
          <w:sz w:val="24"/>
          <w:szCs w:val="24"/>
        </w:rPr>
      </w:pPr>
      <w:r>
        <w:rPr>
          <w:rFonts w:hint="eastAsia" w:hAnsi="宋体" w:cs="Arial"/>
          <w:sz w:val="24"/>
          <w:szCs w:val="24"/>
        </w:rPr>
        <w:t>注：磋商人须按上述内容、顺序和格式编制磋商响应文件，并按要求编制目录、页码，并保证所提供的全部资料真实可信，自愿承担相应责任。</w:t>
      </w:r>
    </w:p>
    <w:p>
      <w:pPr>
        <w:pStyle w:val="10"/>
        <w:numPr>
          <w:ilvl w:val="0"/>
          <w:numId w:val="5"/>
        </w:numPr>
        <w:spacing w:before="0" w:after="0" w:line="360" w:lineRule="auto"/>
        <w:rPr>
          <w:rFonts w:ascii="宋体" w:hAnsi="宋体"/>
          <w:b w:val="0"/>
          <w:sz w:val="24"/>
          <w:szCs w:val="24"/>
        </w:rPr>
      </w:pPr>
      <w:bookmarkStart w:id="59" w:name="_Toc488673626"/>
      <w:bookmarkStart w:id="60" w:name="_Toc24127"/>
      <w:r>
        <w:rPr>
          <w:rFonts w:hint="eastAsia" w:ascii="宋体" w:hAnsi="宋体"/>
          <w:b w:val="0"/>
          <w:sz w:val="24"/>
          <w:szCs w:val="24"/>
        </w:rPr>
        <w:t>磋商响应文件的编制要求</w:t>
      </w:r>
      <w:bookmarkEnd w:id="59"/>
      <w:bookmarkEnd w:id="60"/>
    </w:p>
    <w:p>
      <w:pPr>
        <w:pStyle w:val="20"/>
        <w:spacing w:line="360" w:lineRule="auto"/>
        <w:ind w:firstLine="480" w:firstLineChars="200"/>
        <w:rPr>
          <w:rFonts w:hAnsi="宋体"/>
          <w:sz w:val="24"/>
          <w:szCs w:val="24"/>
        </w:rPr>
      </w:pPr>
      <w:r>
        <w:rPr>
          <w:rFonts w:hint="eastAsia" w:hAnsi="宋体" w:cs="宋体"/>
          <w:sz w:val="24"/>
          <w:szCs w:val="24"/>
          <w:lang w:val="zh-CN"/>
        </w:rPr>
        <w:t>磋商供应商应按照磋商文件所提供的磋商响应文件格式，分别填写磋商文件第五部分的内容，应分别注明所提供产品的名称、技术配置及参数、数量和价格等内容；磋商响应文件要求签字、盖章的地方必须由磋商人的法定代表人或委托代理人按要求签字、盖章。</w:t>
      </w:r>
    </w:p>
    <w:p>
      <w:pPr>
        <w:pStyle w:val="9"/>
        <w:ind w:left="709"/>
        <w:rPr>
          <w:rFonts w:hAnsi="宋体"/>
          <w:b/>
          <w:sz w:val="24"/>
          <w:szCs w:val="24"/>
        </w:rPr>
      </w:pPr>
      <w:bookmarkStart w:id="61" w:name="_Toc15940"/>
      <w:r>
        <w:rPr>
          <w:rFonts w:hint="eastAsia" w:hAnsi="宋体"/>
          <w:b/>
          <w:sz w:val="24"/>
          <w:szCs w:val="24"/>
        </w:rPr>
        <w:t>磋商响应文件的递交</w:t>
      </w:r>
      <w:bookmarkEnd w:id="61"/>
    </w:p>
    <w:p>
      <w:pPr>
        <w:pStyle w:val="20"/>
        <w:tabs>
          <w:tab w:val="left" w:pos="312"/>
        </w:tabs>
        <w:spacing w:line="360" w:lineRule="auto"/>
        <w:ind w:firstLine="480" w:firstLineChars="200"/>
        <w:rPr>
          <w:rFonts w:hAnsi="宋体" w:cs="宋体"/>
          <w:sz w:val="24"/>
        </w:rPr>
      </w:pPr>
      <w:r>
        <w:rPr>
          <w:rFonts w:hint="eastAsia" w:hAnsi="宋体"/>
          <w:bCs/>
          <w:sz w:val="24"/>
          <w:szCs w:val="24"/>
        </w:rPr>
        <w:t>本次招标采用线上提交投标文件的方式进行采购，投标文件必须在投标文件递交截止时间前上传平台。</w:t>
      </w:r>
    </w:p>
    <w:p>
      <w:pPr>
        <w:pStyle w:val="9"/>
        <w:ind w:left="709"/>
        <w:rPr>
          <w:rFonts w:hAnsi="宋体"/>
          <w:b/>
          <w:sz w:val="24"/>
          <w:szCs w:val="24"/>
        </w:rPr>
      </w:pPr>
      <w:bookmarkStart w:id="62" w:name="_Toc669"/>
      <w:r>
        <w:rPr>
          <w:rFonts w:hint="eastAsia" w:hAnsi="宋体"/>
          <w:b/>
          <w:sz w:val="24"/>
          <w:szCs w:val="24"/>
        </w:rPr>
        <w:t>磋商过程</w:t>
      </w:r>
      <w:bookmarkEnd w:id="62"/>
    </w:p>
    <w:p>
      <w:pPr>
        <w:pStyle w:val="90"/>
        <w:numPr>
          <w:ilvl w:val="0"/>
          <w:numId w:val="19"/>
        </w:numPr>
        <w:spacing w:line="360" w:lineRule="auto"/>
        <w:ind w:firstLineChars="0"/>
        <w:rPr>
          <w:rFonts w:ascii="宋体" w:hAnsi="宋体" w:cs="宋体"/>
          <w:sz w:val="24"/>
        </w:rPr>
      </w:pPr>
      <w:r>
        <w:rPr>
          <w:rFonts w:hint="eastAsia" w:ascii="宋体" w:hAnsi="宋体" w:cs="宋体"/>
          <w:sz w:val="24"/>
        </w:rPr>
        <w:t>采购代理机构按本磋商文件中确定的时间和地点组织本项目的磋商活动。供应商应由其委托代理人参加。</w:t>
      </w:r>
    </w:p>
    <w:p>
      <w:pPr>
        <w:pStyle w:val="90"/>
        <w:numPr>
          <w:ilvl w:val="0"/>
          <w:numId w:val="19"/>
        </w:numPr>
        <w:spacing w:line="360" w:lineRule="auto"/>
        <w:ind w:firstLineChars="0"/>
        <w:rPr>
          <w:rFonts w:ascii="宋体" w:hAnsi="宋体" w:cs="宋体"/>
          <w:sz w:val="24"/>
        </w:rPr>
      </w:pPr>
      <w:r>
        <w:rPr>
          <w:rFonts w:hint="eastAsia" w:ascii="宋体" w:hAnsi="宋体" w:cs="宋体"/>
          <w:sz w:val="24"/>
        </w:rPr>
        <w:t>磋商时，对不同文字文本响应文件的解释发生异议的，以中文文本为准。</w:t>
      </w:r>
    </w:p>
    <w:p>
      <w:pPr>
        <w:pStyle w:val="90"/>
        <w:numPr>
          <w:ilvl w:val="0"/>
          <w:numId w:val="19"/>
        </w:numPr>
        <w:spacing w:line="360" w:lineRule="auto"/>
        <w:ind w:firstLineChars="0"/>
        <w:rPr>
          <w:rFonts w:ascii="宋体" w:hAnsi="宋体" w:cs="宋体"/>
          <w:sz w:val="24"/>
        </w:rPr>
      </w:pPr>
      <w:r>
        <w:rPr>
          <w:rFonts w:hint="eastAsia" w:ascii="宋体" w:hAnsi="宋体" w:cs="宋体"/>
          <w:sz w:val="24"/>
        </w:rPr>
        <w:t>磋商工作由采购代理机构组织，采购单位、采购监管、纪检监察等有关方面代表可根据采购项目的具体情况列席。</w:t>
      </w:r>
    </w:p>
    <w:p>
      <w:pPr>
        <w:pStyle w:val="90"/>
        <w:numPr>
          <w:ilvl w:val="0"/>
          <w:numId w:val="19"/>
        </w:numPr>
        <w:spacing w:line="360" w:lineRule="auto"/>
        <w:ind w:firstLineChars="0"/>
        <w:rPr>
          <w:rFonts w:ascii="宋体" w:hAnsi="宋体" w:cs="宋体"/>
          <w:sz w:val="24"/>
        </w:rPr>
      </w:pPr>
      <w:r>
        <w:rPr>
          <w:rFonts w:hint="eastAsia" w:ascii="宋体" w:hAnsi="宋体" w:cs="宋体"/>
          <w:sz w:val="24"/>
        </w:rPr>
        <w:t>磋商过程有专人记录，并存档备查。</w:t>
      </w:r>
    </w:p>
    <w:p>
      <w:pPr>
        <w:pStyle w:val="9"/>
        <w:ind w:left="709"/>
        <w:rPr>
          <w:rFonts w:hAnsi="宋体"/>
          <w:b/>
          <w:sz w:val="24"/>
          <w:szCs w:val="24"/>
        </w:rPr>
      </w:pPr>
      <w:bookmarkStart w:id="63" w:name="_Toc19717"/>
      <w:r>
        <w:rPr>
          <w:rFonts w:hint="eastAsia" w:hAnsi="宋体"/>
          <w:b/>
          <w:sz w:val="24"/>
          <w:szCs w:val="24"/>
        </w:rPr>
        <w:t>资格审查</w:t>
      </w:r>
      <w:bookmarkEnd w:id="63"/>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rPr>
        <w:t>1、合格投标人不足3家的，不得评标。</w:t>
      </w:r>
    </w:p>
    <w:p>
      <w:pPr>
        <w:autoSpaceDE w:val="0"/>
        <w:autoSpaceDN w:val="0"/>
        <w:spacing w:line="360" w:lineRule="auto"/>
        <w:ind w:firstLine="480" w:firstLineChars="200"/>
        <w:rPr>
          <w:rFonts w:ascii="宋体" w:hAnsi="宋体" w:cs="宋体"/>
          <w:sz w:val="24"/>
        </w:rPr>
      </w:pPr>
      <w:bookmarkStart w:id="64" w:name="_Toc497503315"/>
      <w:bookmarkStart w:id="65" w:name="_Toc497503249"/>
      <w:bookmarkStart w:id="66" w:name="_Toc497503449"/>
      <w:bookmarkStart w:id="67" w:name="_Toc30809"/>
      <w:bookmarkStart w:id="68" w:name="_Toc497503516"/>
      <w:r>
        <w:rPr>
          <w:rFonts w:hint="eastAsia" w:ascii="宋体" w:hAnsi="宋体" w:cs="宋体"/>
          <w:kern w:val="0"/>
          <w:sz w:val="24"/>
        </w:rPr>
        <w:t>2、资格审查时，投标人存在下列情况之一的，按无效投标处理：</w:t>
      </w:r>
      <w:bookmarkEnd w:id="64"/>
      <w:bookmarkEnd w:id="65"/>
      <w:bookmarkEnd w:id="66"/>
      <w:bookmarkEnd w:id="67"/>
      <w:bookmarkEnd w:id="68"/>
    </w:p>
    <w:p>
      <w:pPr>
        <w:numPr>
          <w:ilvl w:val="0"/>
          <w:numId w:val="20"/>
        </w:numPr>
        <w:tabs>
          <w:tab w:val="left" w:pos="960"/>
        </w:tabs>
        <w:autoSpaceDE w:val="0"/>
        <w:autoSpaceDN w:val="0"/>
        <w:spacing w:line="360" w:lineRule="auto"/>
        <w:ind w:firstLine="480" w:firstLineChars="200"/>
        <w:rPr>
          <w:rFonts w:ascii="宋体" w:hAnsi="宋体" w:cs="宋体"/>
          <w:kern w:val="0"/>
          <w:sz w:val="24"/>
        </w:rPr>
      </w:pPr>
      <w:r>
        <w:rPr>
          <w:rFonts w:hint="eastAsia" w:ascii="宋体" w:hAnsi="宋体" w:cs="宋体"/>
          <w:sz w:val="24"/>
          <w:shd w:val="clear" w:color="auto" w:fill="FFFFFF"/>
        </w:rPr>
        <w:t>不具备</w:t>
      </w:r>
      <w:r>
        <w:rPr>
          <w:rFonts w:hint="eastAsia" w:ascii="宋体" w:hAnsi="宋体" w:cs="宋体"/>
          <w:kern w:val="0"/>
          <w:sz w:val="24"/>
          <w:lang w:val="zh-CN"/>
        </w:rPr>
        <w:t>第2.2款“合格的投标人”</w:t>
      </w:r>
      <w:r>
        <w:rPr>
          <w:rFonts w:hint="eastAsia" w:ascii="宋体" w:hAnsi="宋体" w:cs="宋体"/>
          <w:sz w:val="24"/>
          <w:shd w:val="clear" w:color="auto" w:fill="FFFFFF"/>
        </w:rPr>
        <w:t>规定的资格要求的；</w:t>
      </w:r>
    </w:p>
    <w:p>
      <w:pPr>
        <w:numPr>
          <w:ilvl w:val="0"/>
          <w:numId w:val="20"/>
        </w:numPr>
        <w:tabs>
          <w:tab w:val="left" w:pos="960"/>
        </w:tabs>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rPr>
        <w:t>未按</w:t>
      </w:r>
      <w:r>
        <w:rPr>
          <w:rFonts w:hint="eastAsia" w:ascii="宋体" w:hAnsi="宋体" w:cs="宋体"/>
          <w:kern w:val="0"/>
          <w:sz w:val="24"/>
          <w:lang w:eastAsia="zh-CN"/>
        </w:rPr>
        <w:t>磋商文件</w:t>
      </w:r>
      <w:r>
        <w:rPr>
          <w:rFonts w:hint="eastAsia" w:ascii="宋体" w:hAnsi="宋体" w:cs="宋体"/>
          <w:kern w:val="0"/>
          <w:sz w:val="24"/>
        </w:rPr>
        <w:t>要求交纳或未足额交纳投标保证金的；</w:t>
      </w:r>
    </w:p>
    <w:p>
      <w:pPr>
        <w:widowControl w:val="0"/>
        <w:numPr>
          <w:ilvl w:val="0"/>
          <w:numId w:val="20"/>
        </w:numPr>
        <w:tabs>
          <w:tab w:val="left" w:pos="960"/>
        </w:tabs>
        <w:autoSpaceDE w:val="0"/>
        <w:autoSpaceDN w:val="0"/>
        <w:spacing w:line="360" w:lineRule="auto"/>
        <w:ind w:firstLine="480" w:firstLineChars="200"/>
        <w:jc w:val="both"/>
        <w:rPr>
          <w:rFonts w:ascii="宋体" w:hAnsi="宋体" w:cs="宋体"/>
          <w:sz w:val="24"/>
          <w:shd w:val="clear" w:color="auto" w:fill="FFFFFF"/>
        </w:rPr>
      </w:pPr>
      <w:r>
        <w:rPr>
          <w:rFonts w:hint="eastAsia" w:ascii="宋体" w:hAnsi="宋体" w:cs="宋体"/>
          <w:kern w:val="0"/>
          <w:sz w:val="24"/>
        </w:rPr>
        <w:t>未按第11.1</w:t>
      </w:r>
      <w:r>
        <w:rPr>
          <w:rFonts w:hint="eastAsia" w:ascii="宋体" w:hAnsi="宋体" w:cs="宋体"/>
          <w:kern w:val="0"/>
          <w:sz w:val="24"/>
          <w:lang w:val="zh-CN"/>
        </w:rPr>
        <w:t>款</w:t>
      </w:r>
      <w:r>
        <w:rPr>
          <w:rFonts w:hint="eastAsia" w:ascii="宋体" w:hAnsi="宋体" w:cs="宋体"/>
          <w:kern w:val="0"/>
          <w:sz w:val="24"/>
        </w:rPr>
        <w:t>（</w:t>
      </w:r>
      <w:r>
        <w:rPr>
          <w:rFonts w:ascii="宋体" w:hAnsi="宋体" w:cs="宋体"/>
          <w:kern w:val="0"/>
          <w:sz w:val="24"/>
        </w:rPr>
        <w:t>1</w:t>
      </w:r>
      <w:r>
        <w:rPr>
          <w:rFonts w:hint="eastAsia" w:ascii="宋体" w:hAnsi="宋体" w:cs="宋体"/>
          <w:kern w:val="0"/>
          <w:sz w:val="24"/>
        </w:rPr>
        <w:t>）-（13）要求提供相关资料的</w:t>
      </w:r>
      <w:r>
        <w:rPr>
          <w:rFonts w:hint="eastAsia" w:ascii="宋体" w:hAnsi="宋体" w:cs="宋体"/>
          <w:sz w:val="24"/>
          <w:shd w:val="clear" w:color="auto" w:fill="FFFFFF"/>
        </w:rPr>
        <w:t>；</w:t>
      </w:r>
    </w:p>
    <w:p>
      <w:pPr>
        <w:numPr>
          <w:ilvl w:val="0"/>
          <w:numId w:val="20"/>
        </w:numPr>
        <w:tabs>
          <w:tab w:val="left" w:pos="960"/>
        </w:tabs>
        <w:autoSpaceDE w:val="0"/>
        <w:autoSpaceDN w:val="0"/>
        <w:spacing w:line="360" w:lineRule="auto"/>
        <w:ind w:firstLine="480" w:firstLineChars="200"/>
        <w:rPr>
          <w:rFonts w:ascii="宋体" w:hAnsi="宋体" w:cs="宋体"/>
          <w:sz w:val="24"/>
          <w:shd w:val="clear" w:color="auto" w:fill="FFFFFF"/>
        </w:rPr>
      </w:pPr>
      <w:r>
        <w:rPr>
          <w:rFonts w:hint="eastAsia" w:ascii="宋体" w:hAnsi="宋体" w:cs="宋体"/>
          <w:kern w:val="0"/>
          <w:sz w:val="24"/>
        </w:rPr>
        <w:t>资格性审查文件未按</w:t>
      </w:r>
      <w:r>
        <w:rPr>
          <w:rFonts w:hint="eastAsia" w:ascii="宋体" w:hAnsi="宋体" w:cs="宋体"/>
          <w:kern w:val="0"/>
          <w:sz w:val="24"/>
          <w:lang w:eastAsia="zh-CN"/>
        </w:rPr>
        <w:t>磋商文件</w:t>
      </w:r>
      <w:r>
        <w:rPr>
          <w:rFonts w:hint="eastAsia" w:ascii="宋体" w:hAnsi="宋体" w:cs="宋体"/>
          <w:kern w:val="0"/>
          <w:sz w:val="24"/>
        </w:rPr>
        <w:t>规定和要求签字、盖章的；</w:t>
      </w:r>
    </w:p>
    <w:p>
      <w:pPr>
        <w:numPr>
          <w:ilvl w:val="0"/>
          <w:numId w:val="20"/>
        </w:numPr>
        <w:tabs>
          <w:tab w:val="left" w:pos="960"/>
        </w:tabs>
        <w:autoSpaceDE w:val="0"/>
        <w:autoSpaceDN w:val="0"/>
        <w:spacing w:line="360" w:lineRule="auto"/>
        <w:ind w:firstLine="480" w:firstLineChars="200"/>
        <w:rPr>
          <w:rFonts w:ascii="宋体" w:hAnsi="宋体" w:cs="宋体"/>
          <w:sz w:val="24"/>
          <w:shd w:val="clear" w:color="auto" w:fill="FFFFFF"/>
        </w:rPr>
      </w:pPr>
      <w:r>
        <w:rPr>
          <w:rFonts w:hint="eastAsia" w:ascii="宋体" w:hAnsi="宋体" w:cs="宋体"/>
          <w:sz w:val="24"/>
          <w:shd w:val="clear" w:color="auto" w:fill="FFFFFF"/>
        </w:rPr>
        <w:t>报价超过</w:t>
      </w:r>
      <w:r>
        <w:rPr>
          <w:rFonts w:hint="eastAsia" w:ascii="宋体" w:hAnsi="宋体" w:cs="宋体"/>
          <w:sz w:val="24"/>
          <w:shd w:val="clear" w:color="auto" w:fill="FFFFFF"/>
          <w:lang w:eastAsia="zh-CN"/>
        </w:rPr>
        <w:t>磋商文件</w:t>
      </w:r>
      <w:r>
        <w:rPr>
          <w:rFonts w:hint="eastAsia" w:ascii="宋体" w:hAnsi="宋体" w:cs="宋体"/>
          <w:sz w:val="24"/>
          <w:shd w:val="clear" w:color="auto" w:fill="FFFFFF"/>
        </w:rPr>
        <w:t>中规定的预算金额或者最高限价的；</w:t>
      </w:r>
    </w:p>
    <w:p>
      <w:pPr>
        <w:numPr>
          <w:ilvl w:val="0"/>
          <w:numId w:val="20"/>
        </w:numPr>
        <w:tabs>
          <w:tab w:val="left" w:pos="960"/>
        </w:tabs>
        <w:autoSpaceDE w:val="0"/>
        <w:autoSpaceDN w:val="0"/>
        <w:spacing w:line="360" w:lineRule="auto"/>
        <w:ind w:firstLine="480" w:firstLineChars="200"/>
        <w:rPr>
          <w:rFonts w:ascii="宋体" w:hAnsi="宋体" w:cs="宋体"/>
          <w:sz w:val="24"/>
          <w:shd w:val="clear" w:color="auto" w:fill="FFFFFF"/>
        </w:rPr>
      </w:pPr>
      <w:r>
        <w:rPr>
          <w:rFonts w:hint="eastAsia" w:ascii="宋体" w:hAnsi="宋体" w:cs="宋体"/>
          <w:kern w:val="0"/>
          <w:sz w:val="24"/>
          <w:lang w:val="zh-CN"/>
        </w:rPr>
        <w:t>投标有效期不能满足磋商文件要求的；</w:t>
      </w:r>
    </w:p>
    <w:p>
      <w:pPr>
        <w:pStyle w:val="9"/>
        <w:ind w:left="709"/>
        <w:rPr>
          <w:rFonts w:hAnsi="宋体"/>
          <w:b/>
          <w:sz w:val="24"/>
          <w:szCs w:val="24"/>
        </w:rPr>
      </w:pPr>
      <w:bookmarkStart w:id="69" w:name="_Toc6499"/>
      <w:r>
        <w:rPr>
          <w:rFonts w:hint="eastAsia" w:hAnsi="宋体"/>
          <w:b/>
          <w:sz w:val="24"/>
          <w:szCs w:val="24"/>
        </w:rPr>
        <w:t>评审程序及方法</w:t>
      </w:r>
      <w:bookmarkEnd w:id="69"/>
    </w:p>
    <w:p>
      <w:pPr>
        <w:pStyle w:val="10"/>
        <w:numPr>
          <w:ilvl w:val="0"/>
          <w:numId w:val="5"/>
        </w:numPr>
        <w:spacing w:before="0" w:after="0" w:line="360" w:lineRule="auto"/>
        <w:rPr>
          <w:rFonts w:ascii="宋体" w:hAnsi="宋体"/>
          <w:b w:val="0"/>
          <w:sz w:val="24"/>
          <w:szCs w:val="24"/>
        </w:rPr>
      </w:pPr>
      <w:bookmarkStart w:id="70" w:name="_Toc7097"/>
      <w:bookmarkStart w:id="71" w:name="_Toc488673633"/>
      <w:r>
        <w:rPr>
          <w:rFonts w:hint="eastAsia" w:ascii="宋体" w:hAnsi="宋体"/>
          <w:b w:val="0"/>
          <w:sz w:val="24"/>
          <w:szCs w:val="24"/>
        </w:rPr>
        <w:t>评标委员会</w:t>
      </w:r>
      <w:bookmarkEnd w:id="70"/>
      <w:bookmarkEnd w:id="71"/>
    </w:p>
    <w:p>
      <w:pPr>
        <w:pStyle w:val="20"/>
        <w:numPr>
          <w:ilvl w:val="1"/>
          <w:numId w:val="21"/>
        </w:numPr>
        <w:spacing w:line="360" w:lineRule="auto"/>
        <w:rPr>
          <w:rFonts w:hAnsi="宋体"/>
          <w:sz w:val="24"/>
          <w:szCs w:val="24"/>
        </w:rPr>
      </w:pPr>
      <w:r>
        <w:rPr>
          <w:rFonts w:hint="eastAsia" w:hAnsi="宋体" w:cs="宋体"/>
          <w:sz w:val="24"/>
          <w:szCs w:val="24"/>
        </w:rPr>
        <w:t>采购代理机构将根据采购项目的特点依法组建磋商小组，其成员由具有一定专业水平的技术、经济等方面的专家和采购单位代表等三人以上单数组成。其中技术、经济等方面的专家不少于成员总数的三分之二。</w:t>
      </w:r>
    </w:p>
    <w:p>
      <w:pPr>
        <w:autoSpaceDE w:val="0"/>
        <w:autoSpaceDN w:val="0"/>
        <w:spacing w:line="360" w:lineRule="auto"/>
        <w:ind w:left="481" w:leftChars="229" w:firstLine="480" w:firstLineChars="200"/>
        <w:rPr>
          <w:rFonts w:ascii="宋体" w:hAnsi="宋体" w:cs="宋体"/>
          <w:kern w:val="0"/>
          <w:sz w:val="24"/>
        </w:rPr>
      </w:pPr>
      <w:r>
        <w:rPr>
          <w:rFonts w:hint="eastAsia" w:ascii="宋体" w:hAnsi="宋体" w:cs="宋体"/>
          <w:kern w:val="0"/>
          <w:sz w:val="24"/>
        </w:rPr>
        <w:t>评审专家对本单位的采购项目只能作为采购人代表参与评标。采购代理机构工作人员不得参加由本机构代理的政府采购项目的评标。</w:t>
      </w:r>
    </w:p>
    <w:p>
      <w:pPr>
        <w:pStyle w:val="20"/>
        <w:spacing w:line="360" w:lineRule="auto"/>
        <w:ind w:firstLine="960" w:firstLineChars="400"/>
        <w:rPr>
          <w:rFonts w:hAnsi="宋体" w:cs="宋体"/>
          <w:sz w:val="24"/>
          <w:szCs w:val="24"/>
        </w:rPr>
      </w:pPr>
      <w:r>
        <w:rPr>
          <w:rFonts w:hint="eastAsia" w:hAnsi="宋体" w:cs="宋体"/>
          <w:sz w:val="24"/>
          <w:szCs w:val="24"/>
        </w:rPr>
        <w:t>评标委员会成员名单在评标结果公告前应当保密。</w:t>
      </w:r>
    </w:p>
    <w:p>
      <w:pPr>
        <w:pStyle w:val="20"/>
        <w:numPr>
          <w:ilvl w:val="1"/>
          <w:numId w:val="21"/>
        </w:numPr>
        <w:spacing w:line="360" w:lineRule="auto"/>
        <w:rPr>
          <w:rFonts w:hAnsi="宋体" w:cs="宋体"/>
          <w:sz w:val="24"/>
          <w:szCs w:val="24"/>
        </w:rPr>
      </w:pPr>
      <w:r>
        <w:rPr>
          <w:rFonts w:hint="eastAsia" w:hAnsi="宋体" w:cs="宋体"/>
          <w:sz w:val="24"/>
          <w:szCs w:val="24"/>
        </w:rPr>
        <w:t>采购人或采购代理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pPr>
        <w:pStyle w:val="20"/>
        <w:numPr>
          <w:ilvl w:val="1"/>
          <w:numId w:val="21"/>
        </w:numPr>
        <w:spacing w:line="360" w:lineRule="auto"/>
        <w:rPr>
          <w:rFonts w:hAnsi="宋体" w:cs="宋体"/>
          <w:sz w:val="24"/>
          <w:szCs w:val="24"/>
        </w:rPr>
      </w:pPr>
      <w:r>
        <w:rPr>
          <w:rFonts w:hint="eastAsia" w:hAnsi="宋体" w:cs="宋体"/>
          <w:sz w:val="24"/>
          <w:szCs w:val="24"/>
        </w:rPr>
        <w:t>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磋商响应文件和开标、评标资料，依法重新组建评标委员会进行评标。原评标委员会所作出的评标意见无效。</w:t>
      </w:r>
    </w:p>
    <w:p>
      <w:pPr>
        <w:pStyle w:val="20"/>
        <w:spacing w:line="360" w:lineRule="auto"/>
        <w:ind w:left="622" w:leftChars="296" w:firstLine="480" w:firstLineChars="200"/>
        <w:rPr>
          <w:rFonts w:hAnsi="宋体" w:cs="宋体"/>
          <w:sz w:val="24"/>
          <w:szCs w:val="24"/>
        </w:rPr>
      </w:pPr>
      <w:r>
        <w:rPr>
          <w:rFonts w:hint="eastAsia" w:hAnsi="宋体" w:cs="宋体"/>
          <w:sz w:val="24"/>
          <w:szCs w:val="24"/>
          <w:lang w:val="zh-CN"/>
        </w:rPr>
        <w:t>采购人或采购代理机构</w:t>
      </w:r>
      <w:r>
        <w:rPr>
          <w:rFonts w:hint="eastAsia" w:hAnsi="宋体" w:cs="宋体"/>
          <w:sz w:val="24"/>
          <w:szCs w:val="24"/>
        </w:rPr>
        <w:t>应当将变更、重新组建评标委员会的情况予以记录，并随磋商文件一并存档。</w:t>
      </w:r>
    </w:p>
    <w:p>
      <w:pPr>
        <w:pStyle w:val="20"/>
        <w:numPr>
          <w:ilvl w:val="1"/>
          <w:numId w:val="21"/>
        </w:numPr>
        <w:spacing w:line="360" w:lineRule="auto"/>
        <w:rPr>
          <w:rFonts w:hAnsi="宋体" w:cs="宋体"/>
          <w:sz w:val="24"/>
          <w:szCs w:val="24"/>
        </w:rPr>
      </w:pPr>
      <w:r>
        <w:rPr>
          <w:rFonts w:hint="eastAsia" w:hAnsi="宋体" w:cs="宋体"/>
          <w:sz w:val="24"/>
          <w:szCs w:val="24"/>
        </w:rPr>
        <w:t>采购人、采购代理机构应当采取必要措施，保证评标在严格保密的情况下进行。除采购人代表、评标现场组织人员外，采购人的其他工作人员以及与评标工作无关的人员不得进入评标现场。</w:t>
      </w:r>
    </w:p>
    <w:p>
      <w:pPr>
        <w:pStyle w:val="20"/>
        <w:spacing w:line="360" w:lineRule="auto"/>
        <w:ind w:left="621"/>
        <w:rPr>
          <w:rFonts w:hAnsi="宋体" w:cs="宋体"/>
          <w:sz w:val="24"/>
          <w:szCs w:val="24"/>
        </w:rPr>
      </w:pPr>
      <w:r>
        <w:rPr>
          <w:rFonts w:hint="eastAsia" w:hAnsi="宋体" w:cs="宋体"/>
          <w:sz w:val="24"/>
          <w:szCs w:val="24"/>
        </w:rPr>
        <w:t>有关人员对评标情况以及在评标过程中获悉的国家秘密、商业秘密负有保密责任。</w:t>
      </w:r>
    </w:p>
    <w:p>
      <w:pPr>
        <w:pStyle w:val="20"/>
        <w:numPr>
          <w:ilvl w:val="1"/>
          <w:numId w:val="21"/>
        </w:numPr>
        <w:spacing w:line="360" w:lineRule="auto"/>
        <w:rPr>
          <w:rFonts w:hAnsi="宋体"/>
          <w:sz w:val="24"/>
          <w:szCs w:val="24"/>
        </w:rPr>
      </w:pPr>
      <w:r>
        <w:rPr>
          <w:rFonts w:hint="eastAsia" w:hAnsi="宋体" w:cs="宋体"/>
          <w:sz w:val="24"/>
          <w:szCs w:val="24"/>
        </w:rPr>
        <w:t>磋商由采购代理机构负责组织，具体磋商事务由依法组建的磋商小组负责，并独立履行下列职责：</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核对评审专家身份和采购人代表授权函，对评审专家在政府采购活动中的职责履行情况予以记录，并及时将有关违法违规行为向财政部门报告；</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宣布评标纪律；</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公布磋商人名单，告知评审专家应当回避的情形；</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组织评标委员会推选评标组长，采购人代表不得担任组长；</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在评标期间采取必要的通讯管理措施，保证评标活动不受外界干扰；</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根据评标委员会的要求介绍政府采购相关政策法规、磋商文件；</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维护评标秩序，监督评标委员会依照磋商文件规定的评标程序、方法和标准进行独立评审，及时制止和纠正采购人代表、评审专家的倾向性言论或者违法违规行为；</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评审工作完成后，按照规定由采购人向评审专家支付劳务报酬和异地评审差旅费，不得向评审专家以外的其他人员支付评审劳务报酬；</w:t>
      </w:r>
    </w:p>
    <w:p>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处理与评标有关的其他事项。</w:t>
      </w:r>
    </w:p>
    <w:p>
      <w:pPr>
        <w:pStyle w:val="20"/>
        <w:spacing w:line="360" w:lineRule="auto"/>
        <w:ind w:left="480"/>
        <w:rPr>
          <w:rFonts w:hAnsi="宋体"/>
          <w:sz w:val="24"/>
          <w:szCs w:val="24"/>
        </w:rPr>
      </w:pPr>
      <w:r>
        <w:rPr>
          <w:rFonts w:hint="eastAsia" w:hAnsi="宋体" w:cs="宋体"/>
          <w:sz w:val="24"/>
          <w:szCs w:val="24"/>
          <w:lang w:val="zh-CN"/>
        </w:rPr>
        <w:t>采购人可以在评标前说明项目背景和采购需求，说明内容不得含有歧视性、倾向性意见，不得超出磋商文件所述范围。说明应当提交书面材料，并随磋商文件一并存档。</w:t>
      </w:r>
    </w:p>
    <w:p>
      <w:pPr>
        <w:pStyle w:val="20"/>
        <w:numPr>
          <w:ilvl w:val="1"/>
          <w:numId w:val="21"/>
        </w:numPr>
        <w:spacing w:line="360" w:lineRule="auto"/>
        <w:rPr>
          <w:rFonts w:hAnsi="宋体"/>
          <w:sz w:val="24"/>
          <w:szCs w:val="24"/>
        </w:rPr>
      </w:pPr>
      <w:r>
        <w:rPr>
          <w:rFonts w:hint="eastAsia" w:hAnsi="宋体" w:cs="宋体"/>
          <w:sz w:val="24"/>
          <w:szCs w:val="24"/>
        </w:rPr>
        <w:t>磋商小组应遵守并履行下列义务</w:t>
      </w:r>
      <w:r>
        <w:rPr>
          <w:rFonts w:hint="eastAsia" w:hAnsi="宋体"/>
          <w:sz w:val="24"/>
          <w:szCs w:val="24"/>
        </w:rPr>
        <w:t>：</w:t>
      </w:r>
    </w:p>
    <w:p>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审查、评价磋商响应文件是否符合磋商文件的商务、技术等实质性要求；</w:t>
      </w:r>
    </w:p>
    <w:p>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要求磋商人对磋商响应文件有关事项作出澄清或者说明；</w:t>
      </w:r>
    </w:p>
    <w:p>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对磋商响应文件进行比较和评价；</w:t>
      </w:r>
    </w:p>
    <w:p>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确定成交候选人名单，以及根据采购人委托直接确定成交人；</w:t>
      </w:r>
    </w:p>
    <w:p>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向采购人、采购代理机构或者有关部门报告评标中发现的违法行为。</w:t>
      </w:r>
    </w:p>
    <w:p>
      <w:pPr>
        <w:pStyle w:val="20"/>
        <w:numPr>
          <w:ilvl w:val="1"/>
          <w:numId w:val="21"/>
        </w:numPr>
        <w:spacing w:line="360" w:lineRule="auto"/>
        <w:rPr>
          <w:rFonts w:hAnsi="宋体"/>
          <w:sz w:val="24"/>
          <w:szCs w:val="24"/>
        </w:rPr>
      </w:pPr>
      <w:r>
        <w:rPr>
          <w:rFonts w:hint="eastAsia" w:hAnsi="宋体"/>
          <w:sz w:val="24"/>
          <w:szCs w:val="24"/>
        </w:rPr>
        <w:t>评审工作在有关部门的监督下依法开展，任何单位和个人不得非法干预、影响评审工作和评审结果。</w:t>
      </w:r>
    </w:p>
    <w:p>
      <w:pPr>
        <w:pStyle w:val="10"/>
        <w:numPr>
          <w:ilvl w:val="0"/>
          <w:numId w:val="5"/>
        </w:numPr>
        <w:spacing w:before="0" w:after="0" w:line="360" w:lineRule="auto"/>
        <w:rPr>
          <w:rFonts w:ascii="宋体" w:hAnsi="宋体"/>
          <w:b w:val="0"/>
          <w:sz w:val="24"/>
          <w:szCs w:val="24"/>
        </w:rPr>
      </w:pPr>
      <w:bookmarkStart w:id="72" w:name="_Toc488673634"/>
      <w:bookmarkStart w:id="73" w:name="_Toc24531"/>
      <w:r>
        <w:rPr>
          <w:rFonts w:hint="eastAsia" w:ascii="宋体" w:hAnsi="宋体"/>
          <w:b w:val="0"/>
          <w:sz w:val="24"/>
          <w:szCs w:val="24"/>
        </w:rPr>
        <w:t>磋商程序</w:t>
      </w:r>
      <w:bookmarkEnd w:id="72"/>
      <w:bookmarkEnd w:id="73"/>
    </w:p>
    <w:p>
      <w:pPr>
        <w:pStyle w:val="20"/>
        <w:numPr>
          <w:ilvl w:val="1"/>
          <w:numId w:val="24"/>
        </w:numPr>
        <w:spacing w:line="360" w:lineRule="auto"/>
        <w:rPr>
          <w:rFonts w:hAnsi="宋体"/>
          <w:sz w:val="24"/>
          <w:szCs w:val="24"/>
        </w:rPr>
      </w:pPr>
      <w:r>
        <w:rPr>
          <w:rFonts w:hint="eastAsia" w:hAnsi="宋体" w:cs="宋体"/>
          <w:sz w:val="24"/>
          <w:szCs w:val="24"/>
          <w:lang w:val="zh-CN"/>
        </w:rPr>
        <w:t>评标委员会应当对符合资格的磋商人的磋商响应文件进行符合性审查，以确定其是否满足磋商文件的实质性要求。</w:t>
      </w:r>
    </w:p>
    <w:p>
      <w:pPr>
        <w:pStyle w:val="20"/>
        <w:numPr>
          <w:ilvl w:val="0"/>
          <w:numId w:val="25"/>
        </w:numPr>
        <w:spacing w:line="360" w:lineRule="auto"/>
        <w:rPr>
          <w:rFonts w:hAnsi="宋体" w:cs="Arial"/>
          <w:sz w:val="24"/>
          <w:szCs w:val="24"/>
        </w:rPr>
      </w:pPr>
      <w:r>
        <w:rPr>
          <w:rFonts w:hint="eastAsia" w:hAnsi="宋体" w:cs="Arial"/>
          <w:sz w:val="24"/>
          <w:szCs w:val="24"/>
        </w:rPr>
        <w:t>本次综合评分的主要因素是：</w:t>
      </w:r>
      <w:r>
        <w:rPr>
          <w:rFonts w:hint="eastAsia" w:hAnsi="宋体" w:cs="Arial"/>
          <w:sz w:val="24"/>
          <w:szCs w:val="24"/>
          <w:lang w:val="en-US" w:eastAsia="zh-CN"/>
        </w:rPr>
        <w:t>投标</w:t>
      </w:r>
      <w:r>
        <w:rPr>
          <w:rFonts w:hint="eastAsia" w:hAnsi="宋体" w:cs="Arial"/>
          <w:sz w:val="24"/>
          <w:szCs w:val="24"/>
        </w:rPr>
        <w:t>报价、</w:t>
      </w:r>
      <w:r>
        <w:rPr>
          <w:rFonts w:hAnsi="宋体" w:cs="Arial"/>
          <w:sz w:val="24"/>
          <w:szCs w:val="24"/>
        </w:rPr>
        <w:t>技术</w:t>
      </w:r>
      <w:r>
        <w:rPr>
          <w:rFonts w:hint="eastAsia" w:hAnsi="宋体" w:cs="Arial"/>
          <w:sz w:val="24"/>
          <w:szCs w:val="24"/>
        </w:rPr>
        <w:t>水平、</w:t>
      </w:r>
      <w:r>
        <w:rPr>
          <w:rFonts w:hint="eastAsia" w:hAnsi="宋体" w:cs="Arial"/>
          <w:sz w:val="24"/>
          <w:szCs w:val="24"/>
          <w:lang w:val="en-US" w:eastAsia="zh-CN"/>
        </w:rPr>
        <w:t>商务评价</w:t>
      </w:r>
      <w:r>
        <w:rPr>
          <w:rFonts w:hint="eastAsia" w:hAnsi="宋体" w:cs="Arial"/>
          <w:sz w:val="24"/>
          <w:szCs w:val="24"/>
        </w:rPr>
        <w:t>、</w:t>
      </w:r>
      <w:r>
        <w:rPr>
          <w:rFonts w:hAnsi="宋体" w:cs="Arial"/>
          <w:sz w:val="24"/>
          <w:szCs w:val="24"/>
        </w:rPr>
        <w:t>售后服务</w:t>
      </w:r>
      <w:r>
        <w:rPr>
          <w:rFonts w:hint="eastAsia" w:hAnsi="宋体" w:cs="Arial"/>
          <w:sz w:val="24"/>
          <w:szCs w:val="24"/>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pPr>
        <w:pStyle w:val="20"/>
        <w:spacing w:line="360" w:lineRule="auto"/>
        <w:ind w:left="840" w:leftChars="400" w:firstLine="480" w:firstLineChars="200"/>
        <w:rPr>
          <w:rFonts w:hAnsi="宋体" w:cs="宋体"/>
          <w:sz w:val="24"/>
          <w:szCs w:val="24"/>
          <w:lang w:val="zh-CN"/>
        </w:rPr>
      </w:pPr>
      <w:r>
        <w:rPr>
          <w:rFonts w:hint="eastAsia" w:hAnsi="宋体" w:cs="宋体"/>
          <w:sz w:val="24"/>
          <w:szCs w:val="24"/>
          <w:lang w:val="zh-CN"/>
        </w:rPr>
        <w:t>供应商为小型、微型企业，且提供本企业生产的货物或者提供其他小型、微型企业生产的货物，价格按相关规定给予</w:t>
      </w:r>
      <w:r>
        <w:rPr>
          <w:rFonts w:hAnsi="宋体" w:cs="宋体"/>
          <w:sz w:val="24"/>
          <w:szCs w:val="24"/>
          <w:lang w:val="zh-CN"/>
        </w:rPr>
        <w:t>10</w:t>
      </w:r>
      <w:r>
        <w:rPr>
          <w:rFonts w:hint="eastAsia" w:hAnsi="宋体" w:cs="宋体"/>
          <w:sz w:val="24"/>
          <w:szCs w:val="24"/>
          <w:lang w:val="zh-CN"/>
        </w:rPr>
        <w:t>%-</w:t>
      </w:r>
      <w:r>
        <w:rPr>
          <w:rFonts w:hAnsi="宋体" w:cs="宋体"/>
          <w:sz w:val="24"/>
          <w:szCs w:val="24"/>
          <w:lang w:val="zh-CN"/>
        </w:rPr>
        <w:t>2</w:t>
      </w:r>
      <w:r>
        <w:rPr>
          <w:rFonts w:hint="eastAsia" w:hAnsi="宋体" w:cs="宋体"/>
          <w:sz w:val="24"/>
          <w:szCs w:val="24"/>
          <w:lang w:val="zh-CN"/>
        </w:rPr>
        <w:t>0%的价格折扣，用扣除后的价格参与评审。本项所称货物不包括使用大型企业注册商标的货物；</w:t>
      </w:r>
    </w:p>
    <w:p>
      <w:pPr>
        <w:pStyle w:val="20"/>
        <w:spacing w:line="360" w:lineRule="auto"/>
        <w:ind w:left="840" w:leftChars="400" w:firstLine="480" w:firstLineChars="200"/>
        <w:rPr>
          <w:rFonts w:hAnsi="宋体" w:cs="宋体"/>
          <w:sz w:val="24"/>
          <w:szCs w:val="24"/>
          <w:lang w:val="zh-CN"/>
        </w:rPr>
      </w:pPr>
      <w:r>
        <w:rPr>
          <w:rFonts w:hint="eastAsia" w:hAnsi="宋体" w:cs="宋体"/>
          <w:sz w:val="24"/>
          <w:szCs w:val="24"/>
          <w:lang w:val="zh-CN"/>
        </w:rPr>
        <w:t>接受大中型企业与小微企业组成联合体或者允许大中型企业向一家或多家小微企业分包的采购项目，对于联合体协议或者分包意向协议约定小微企业的协议金额占到合同总金额30%以上的，对联合体或大中型企业的报价给与4%-6%的扣除，用扣除后的价格参加评审；</w:t>
      </w:r>
    </w:p>
    <w:p>
      <w:pPr>
        <w:pStyle w:val="20"/>
        <w:spacing w:line="360" w:lineRule="auto"/>
        <w:ind w:left="840" w:leftChars="400" w:firstLine="480" w:firstLineChars="200"/>
        <w:rPr>
          <w:rFonts w:hAnsi="宋体" w:cs="宋体"/>
          <w:sz w:val="24"/>
          <w:szCs w:val="24"/>
          <w:lang w:val="zh-CN"/>
        </w:rPr>
      </w:pPr>
      <w:r>
        <w:rPr>
          <w:rFonts w:hint="eastAsia" w:hAnsi="宋体" w:cs="宋体"/>
          <w:sz w:val="24"/>
          <w:szCs w:val="24"/>
          <w:lang w:val="zh-CN"/>
        </w:rPr>
        <w:t>监狱企业、残疾人福利性单位视同小型、微型企业，享受评审中价格扣除等促进中小企业发展的政府采购政策。</w:t>
      </w:r>
    </w:p>
    <w:p>
      <w:pPr>
        <w:pStyle w:val="20"/>
        <w:spacing w:line="360" w:lineRule="auto"/>
        <w:ind w:left="840" w:leftChars="400" w:firstLine="480" w:firstLineChars="200"/>
        <w:rPr>
          <w:rFonts w:hAnsi="宋体" w:cs="宋体"/>
          <w:sz w:val="24"/>
          <w:szCs w:val="24"/>
          <w:lang w:val="zh-CN"/>
        </w:rPr>
      </w:pPr>
      <w:r>
        <w:rPr>
          <w:rFonts w:hint="eastAsia" w:hAnsi="宋体" w:cs="宋体"/>
          <w:sz w:val="24"/>
          <w:szCs w:val="24"/>
          <w:lang w:val="zh-CN"/>
        </w:rPr>
        <w:t>供应商同时符合小型、微型企业及监狱企业、残疾人福利性单位要求的，评审时只有一种类型享受价格评审优惠政策；</w:t>
      </w:r>
    </w:p>
    <w:p>
      <w:pPr>
        <w:pStyle w:val="20"/>
        <w:spacing w:line="360" w:lineRule="auto"/>
        <w:ind w:left="840" w:leftChars="400" w:firstLine="480" w:firstLineChars="200"/>
        <w:rPr>
          <w:rFonts w:hAnsi="宋体" w:cs="Arial"/>
          <w:sz w:val="24"/>
          <w:szCs w:val="24"/>
        </w:rPr>
      </w:pPr>
      <w:r>
        <w:rPr>
          <w:rFonts w:hint="eastAsia" w:hAnsi="宋体" w:cs="宋体"/>
          <w:sz w:val="24"/>
          <w:szCs w:val="24"/>
          <w:lang w:val="zh-CN"/>
        </w:rPr>
        <w:t>投标文件符合本章前款规定的，供应商应提供相关证明资料，且所提供资料必须真实可信。如有虚假，将依法承担相应责任。</w:t>
      </w:r>
    </w:p>
    <w:p>
      <w:pPr>
        <w:pStyle w:val="20"/>
        <w:numPr>
          <w:ilvl w:val="0"/>
          <w:numId w:val="25"/>
        </w:numPr>
        <w:spacing w:line="360" w:lineRule="auto"/>
        <w:rPr>
          <w:rFonts w:hAnsi="宋体" w:cs="Arial"/>
          <w:sz w:val="24"/>
          <w:szCs w:val="24"/>
        </w:rPr>
      </w:pPr>
      <w:r>
        <w:rPr>
          <w:rFonts w:hint="eastAsia" w:hAnsi="宋体" w:cs="Arial"/>
          <w:sz w:val="24"/>
          <w:szCs w:val="24"/>
        </w:rPr>
        <w:t>除磋商价格因素外，评标委员会应依据磋商文件规定的评审方法和评审标准对其他因素进行客观评审；</w:t>
      </w:r>
    </w:p>
    <w:p>
      <w:pPr>
        <w:pStyle w:val="20"/>
        <w:numPr>
          <w:ilvl w:val="1"/>
          <w:numId w:val="24"/>
        </w:numPr>
        <w:spacing w:line="360" w:lineRule="auto"/>
        <w:rPr>
          <w:rFonts w:hAnsi="宋体"/>
          <w:sz w:val="24"/>
          <w:szCs w:val="24"/>
        </w:rPr>
      </w:pPr>
      <w:r>
        <w:rPr>
          <w:rFonts w:hint="eastAsia" w:hAnsi="宋体" w:cs="宋体"/>
          <w:sz w:val="24"/>
          <w:szCs w:val="24"/>
          <w:lang w:val="zh-CN"/>
        </w:rPr>
        <w:t>磋商响应文件中含义不明确、同类问题表述不一致或者有明显文字和计算错误的内容，评标委员会应当以书面形式要求磋商人作出必要的澄清、说明或者补正。</w:t>
      </w:r>
    </w:p>
    <w:p>
      <w:pPr>
        <w:pStyle w:val="20"/>
        <w:spacing w:line="360" w:lineRule="auto"/>
        <w:ind w:left="621"/>
        <w:rPr>
          <w:rFonts w:hAnsi="宋体"/>
          <w:sz w:val="24"/>
          <w:szCs w:val="24"/>
        </w:rPr>
      </w:pPr>
      <w:r>
        <w:rPr>
          <w:rFonts w:hint="eastAsia" w:hAnsi="宋体" w:cs="宋体"/>
          <w:sz w:val="24"/>
          <w:szCs w:val="24"/>
          <w:lang w:val="zh-CN"/>
        </w:rPr>
        <w:t>磋商人的澄清、说明或者补正应当采用书面形式，并加盖公章，或者由法定代表人或其授权的代表签字。磋商人的澄清、说明或者补正不得超出磋商响应文件的范围或者改变磋商响应文件的实质性内容。</w:t>
      </w:r>
    </w:p>
    <w:p>
      <w:pPr>
        <w:pStyle w:val="20"/>
        <w:numPr>
          <w:ilvl w:val="0"/>
          <w:numId w:val="26"/>
        </w:numPr>
        <w:spacing w:line="360" w:lineRule="auto"/>
        <w:rPr>
          <w:rFonts w:hAnsi="宋体" w:cs="Arial"/>
          <w:sz w:val="24"/>
          <w:szCs w:val="24"/>
        </w:rPr>
      </w:pPr>
      <w:r>
        <w:rPr>
          <w:rFonts w:hint="eastAsia" w:hAnsi="宋体" w:cs="Arial"/>
          <w:sz w:val="24"/>
          <w:szCs w:val="24"/>
        </w:rPr>
        <w:t>磋商人存在下列情况之一的，按无效磋商处理：</w:t>
      </w:r>
    </w:p>
    <w:p>
      <w:pPr>
        <w:pStyle w:val="20"/>
        <w:numPr>
          <w:ilvl w:val="0"/>
          <w:numId w:val="27"/>
        </w:numPr>
        <w:spacing w:line="360" w:lineRule="auto"/>
        <w:rPr>
          <w:rFonts w:hAnsi="宋体" w:cs="Arial"/>
          <w:sz w:val="24"/>
          <w:szCs w:val="24"/>
        </w:rPr>
      </w:pPr>
      <w:r>
        <w:rPr>
          <w:rFonts w:hint="eastAsia" w:hAnsi="宋体" w:cs="宋体"/>
          <w:sz w:val="24"/>
          <w:szCs w:val="24"/>
          <w:lang w:val="zh-CN"/>
        </w:rPr>
        <w:t>符合性审查文件未按磋商文件要求签署、盖章的；</w:t>
      </w:r>
    </w:p>
    <w:p>
      <w:pPr>
        <w:pStyle w:val="20"/>
        <w:numPr>
          <w:ilvl w:val="0"/>
          <w:numId w:val="27"/>
        </w:numPr>
        <w:spacing w:line="360" w:lineRule="auto"/>
        <w:rPr>
          <w:rFonts w:hAnsi="宋体" w:cs="Arial"/>
          <w:sz w:val="24"/>
          <w:szCs w:val="24"/>
        </w:rPr>
      </w:pPr>
      <w:r>
        <w:rPr>
          <w:rFonts w:hint="eastAsia" w:hAnsi="宋体" w:cs="Arial"/>
          <w:sz w:val="24"/>
          <w:szCs w:val="24"/>
        </w:rPr>
        <w:t>报价超过磋商文件中规定的预算金额或者最高限价的；</w:t>
      </w:r>
    </w:p>
    <w:p>
      <w:pPr>
        <w:pStyle w:val="20"/>
        <w:numPr>
          <w:ilvl w:val="0"/>
          <w:numId w:val="27"/>
        </w:numPr>
        <w:spacing w:line="360" w:lineRule="auto"/>
        <w:rPr>
          <w:rFonts w:hint="eastAsia" w:hAnsi="宋体" w:cs="Arial"/>
          <w:sz w:val="24"/>
          <w:szCs w:val="24"/>
        </w:rPr>
      </w:pPr>
      <w:r>
        <w:rPr>
          <w:rFonts w:hint="eastAsia" w:hAnsi="宋体" w:cs="Arial"/>
          <w:sz w:val="24"/>
          <w:szCs w:val="24"/>
          <w:lang w:val="zh-CN"/>
        </w:rPr>
        <w:t>采购内容单项报价超过</w:t>
      </w:r>
      <w:r>
        <w:rPr>
          <w:rFonts w:hint="eastAsia" w:hAnsi="宋体" w:cs="Arial"/>
          <w:sz w:val="24"/>
          <w:szCs w:val="24"/>
          <w:lang w:val="en-US" w:eastAsia="zh-CN"/>
        </w:rPr>
        <w:t>磋商</w:t>
      </w:r>
      <w:r>
        <w:rPr>
          <w:rFonts w:hint="eastAsia" w:hAnsi="宋体" w:cs="Arial"/>
          <w:sz w:val="24"/>
          <w:szCs w:val="24"/>
          <w:lang w:val="zh-CN"/>
        </w:rPr>
        <w:t>文件中规定的单项预算金额或者单项最高限价的；</w:t>
      </w:r>
    </w:p>
    <w:p>
      <w:pPr>
        <w:pStyle w:val="20"/>
        <w:numPr>
          <w:ilvl w:val="0"/>
          <w:numId w:val="27"/>
        </w:numPr>
        <w:spacing w:line="360" w:lineRule="auto"/>
        <w:rPr>
          <w:rFonts w:hAnsi="宋体" w:cs="Arial"/>
          <w:sz w:val="24"/>
          <w:szCs w:val="24"/>
        </w:rPr>
      </w:pPr>
      <w:r>
        <w:rPr>
          <w:rFonts w:hint="eastAsia" w:hAnsi="宋体" w:cs="Arial"/>
          <w:sz w:val="24"/>
          <w:szCs w:val="24"/>
        </w:rPr>
        <w:t>产品交货期、磋商有效期不能满足磋商文件要求的；</w:t>
      </w:r>
    </w:p>
    <w:p>
      <w:pPr>
        <w:pStyle w:val="20"/>
        <w:numPr>
          <w:ilvl w:val="0"/>
          <w:numId w:val="27"/>
        </w:numPr>
        <w:spacing w:line="360" w:lineRule="auto"/>
        <w:rPr>
          <w:rFonts w:hAnsi="宋体" w:cs="Arial"/>
          <w:sz w:val="24"/>
          <w:szCs w:val="24"/>
        </w:rPr>
      </w:pPr>
      <w:r>
        <w:rPr>
          <w:rFonts w:hint="eastAsia" w:hAnsi="宋体" w:cs="Arial"/>
          <w:sz w:val="24"/>
          <w:szCs w:val="24"/>
        </w:rPr>
        <w:t>磋商响应文件中含有采购单位不能接受的条件的；</w:t>
      </w:r>
    </w:p>
    <w:p>
      <w:pPr>
        <w:pStyle w:val="20"/>
        <w:numPr>
          <w:ilvl w:val="0"/>
          <w:numId w:val="27"/>
        </w:numPr>
        <w:spacing w:line="360" w:lineRule="auto"/>
        <w:rPr>
          <w:rFonts w:hAnsi="宋体" w:cs="Arial"/>
          <w:sz w:val="24"/>
          <w:szCs w:val="24"/>
        </w:rPr>
      </w:pPr>
      <w:r>
        <w:rPr>
          <w:rFonts w:hint="eastAsia" w:hAnsi="宋体" w:cs="宋体"/>
          <w:sz w:val="24"/>
          <w:szCs w:val="24"/>
          <w:lang w:val="zh-CN"/>
        </w:rPr>
        <w:t>存在串通投标行为；</w:t>
      </w:r>
    </w:p>
    <w:p>
      <w:pPr>
        <w:pStyle w:val="20"/>
        <w:numPr>
          <w:ilvl w:val="0"/>
          <w:numId w:val="27"/>
        </w:numPr>
        <w:spacing w:line="360" w:lineRule="auto"/>
        <w:rPr>
          <w:rFonts w:hAnsi="宋体" w:cs="Arial"/>
          <w:sz w:val="24"/>
          <w:szCs w:val="24"/>
        </w:rPr>
      </w:pPr>
      <w:r>
        <w:rPr>
          <w:rFonts w:hint="eastAsia" w:hAnsi="宋体" w:cs="Arial"/>
          <w:sz w:val="24"/>
          <w:szCs w:val="24"/>
        </w:rPr>
        <w:t>法律、法规和磋商文件规定的其他无效情形。</w:t>
      </w:r>
    </w:p>
    <w:p>
      <w:pPr>
        <w:pStyle w:val="20"/>
        <w:numPr>
          <w:ilvl w:val="0"/>
          <w:numId w:val="26"/>
        </w:numPr>
        <w:spacing w:line="360" w:lineRule="auto"/>
        <w:rPr>
          <w:rFonts w:hAnsi="宋体" w:cs="Arial"/>
          <w:sz w:val="24"/>
          <w:szCs w:val="24"/>
        </w:rPr>
      </w:pPr>
      <w:r>
        <w:rPr>
          <w:rFonts w:hint="eastAsia" w:hAnsi="宋体" w:cs="Arial"/>
          <w:sz w:val="24"/>
          <w:szCs w:val="24"/>
        </w:rPr>
        <w:t>磋商响应文件报价出现前后不一致的，按照下列规定修正：</w:t>
      </w:r>
    </w:p>
    <w:p>
      <w:pPr>
        <w:pStyle w:val="20"/>
        <w:numPr>
          <w:ilvl w:val="0"/>
          <w:numId w:val="28"/>
        </w:numPr>
        <w:spacing w:line="360" w:lineRule="auto"/>
        <w:rPr>
          <w:rFonts w:hAnsi="宋体" w:cs="Arial"/>
          <w:sz w:val="24"/>
          <w:szCs w:val="24"/>
        </w:rPr>
      </w:pPr>
      <w:r>
        <w:rPr>
          <w:rFonts w:hint="eastAsia" w:hAnsi="宋体" w:cs="Arial"/>
          <w:sz w:val="24"/>
          <w:szCs w:val="24"/>
        </w:rPr>
        <w:t>大写金额和小写金额不一致的，以大写金额为准；</w:t>
      </w:r>
    </w:p>
    <w:p>
      <w:pPr>
        <w:pStyle w:val="20"/>
        <w:numPr>
          <w:ilvl w:val="0"/>
          <w:numId w:val="28"/>
        </w:numPr>
        <w:spacing w:line="360" w:lineRule="auto"/>
        <w:rPr>
          <w:rFonts w:hAnsi="宋体" w:cs="Arial"/>
          <w:sz w:val="24"/>
          <w:szCs w:val="24"/>
        </w:rPr>
      </w:pPr>
      <w:r>
        <w:rPr>
          <w:rFonts w:hint="eastAsia" w:hAnsi="宋体" w:cs="Arial"/>
          <w:sz w:val="24"/>
          <w:szCs w:val="24"/>
        </w:rPr>
        <w:t>总价金额与按单价汇总金额不一致的，以单价金额计算结果为准。</w:t>
      </w:r>
    </w:p>
    <w:p>
      <w:pPr>
        <w:pStyle w:val="20"/>
        <w:numPr>
          <w:ilvl w:val="1"/>
          <w:numId w:val="24"/>
        </w:numPr>
        <w:spacing w:line="360" w:lineRule="auto"/>
        <w:rPr>
          <w:rFonts w:hAnsi="宋体" w:cs="Arial"/>
          <w:sz w:val="24"/>
          <w:szCs w:val="24"/>
        </w:rPr>
      </w:pPr>
      <w:r>
        <w:rPr>
          <w:rFonts w:hint="eastAsia" w:hAnsi="宋体" w:cs="宋体"/>
          <w:sz w:val="24"/>
          <w:szCs w:val="24"/>
          <w:shd w:val="clear" w:color="auto" w:fill="FFFFFF"/>
        </w:rPr>
        <w:t>评标委员会应当按照磋商文件中规定的评标方法和标准，对符合性审查合格的磋商响应文件进行商务和技术评估，综合比较与评价。</w:t>
      </w:r>
    </w:p>
    <w:p>
      <w:pPr>
        <w:pStyle w:val="20"/>
        <w:numPr>
          <w:ilvl w:val="1"/>
          <w:numId w:val="24"/>
        </w:numPr>
        <w:spacing w:line="360" w:lineRule="auto"/>
        <w:rPr>
          <w:rFonts w:hAnsi="宋体" w:cs="Arial"/>
          <w:sz w:val="24"/>
          <w:szCs w:val="24"/>
        </w:rPr>
      </w:pPr>
      <w:r>
        <w:rPr>
          <w:rFonts w:hint="eastAsia" w:hAnsi="宋体" w:cs="宋体"/>
          <w:sz w:val="24"/>
          <w:szCs w:val="24"/>
          <w:shd w:val="clear" w:color="auto" w:fill="FFFFFF"/>
        </w:rPr>
        <w:t>评标委员会认为磋商人的报价明显低于其他通过符合性审查磋商人的报价，有可能影响产品质量或者不能诚信履约的，应当要求其在评标现场合理的时间内提供书面说明，必要时提交相关证明材料；磋商人不能证明其报价合理性的，评标委员会应当将其作为无效投标处理。</w:t>
      </w:r>
    </w:p>
    <w:p>
      <w:pPr>
        <w:pStyle w:val="20"/>
        <w:numPr>
          <w:ilvl w:val="1"/>
          <w:numId w:val="24"/>
        </w:numPr>
        <w:spacing w:line="360" w:lineRule="auto"/>
        <w:rPr>
          <w:rFonts w:hAnsi="宋体" w:cs="Arial"/>
          <w:sz w:val="24"/>
          <w:szCs w:val="24"/>
        </w:rPr>
      </w:pPr>
      <w:r>
        <w:rPr>
          <w:rFonts w:hint="eastAsia" w:hAnsi="宋体" w:cs="宋体"/>
          <w:sz w:val="24"/>
          <w:szCs w:val="24"/>
          <w:shd w:val="clear" w:color="auto" w:fill="FFFFFF"/>
        </w:rPr>
        <w:t>综合评分法的采购项目，提供相同品牌产品且通过资格审查、符合性审查的不同磋商人参加同一合同项下投标的，按一家磋商人计算，评审后得分最高的同品牌磋商人获得成交人推荐资格；评审得分相同的，由采购人或者采购人委托评标委员会按照磋商文件规定的方式确定一个磋商人获得成交人推荐资格，磋商文件未规定的采取随机抽取方式确定，其他同品牌磋商人不作为成交候选人。</w:t>
      </w:r>
    </w:p>
    <w:p>
      <w:pPr>
        <w:pStyle w:val="10"/>
        <w:numPr>
          <w:ilvl w:val="0"/>
          <w:numId w:val="5"/>
        </w:numPr>
        <w:spacing w:before="0" w:after="0" w:line="360" w:lineRule="auto"/>
        <w:rPr>
          <w:rFonts w:ascii="宋体" w:hAnsi="宋体"/>
          <w:b w:val="0"/>
          <w:sz w:val="24"/>
          <w:szCs w:val="24"/>
        </w:rPr>
      </w:pPr>
      <w:bookmarkStart w:id="74" w:name="_Toc488673635"/>
      <w:bookmarkStart w:id="75" w:name="_Toc28132"/>
      <w:r>
        <w:rPr>
          <w:rFonts w:hint="eastAsia" w:ascii="宋体" w:hAnsi="宋体"/>
          <w:b w:val="0"/>
          <w:sz w:val="24"/>
          <w:szCs w:val="24"/>
        </w:rPr>
        <w:t>评审办法</w:t>
      </w:r>
      <w:bookmarkEnd w:id="74"/>
      <w:bookmarkEnd w:id="75"/>
    </w:p>
    <w:p>
      <w:pPr>
        <w:pStyle w:val="20"/>
        <w:numPr>
          <w:ilvl w:val="1"/>
          <w:numId w:val="29"/>
        </w:numPr>
        <w:spacing w:line="360" w:lineRule="auto"/>
        <w:rPr>
          <w:rFonts w:hAnsi="宋体"/>
          <w:sz w:val="24"/>
          <w:szCs w:val="24"/>
        </w:rPr>
      </w:pPr>
      <w:r>
        <w:rPr>
          <w:rFonts w:hint="eastAsia" w:hAnsi="宋体"/>
          <w:sz w:val="24"/>
          <w:szCs w:val="24"/>
        </w:rPr>
        <w:t>依照《中华人民共和国政府采购法》、《中华人民共和国政府采购法实施条例》、财政部《政府采购货物和服务招投标管理办法》、《政府采购竞争性磋商采购方式管理暂行办法》、财政部《关于加强政府采购货物和服务项目价格评审管理的通知》的规定，结合该项目的特点制定本评审办法。本次评审采用综合评分法，满分为100分。</w:t>
      </w:r>
    </w:p>
    <w:p>
      <w:pPr>
        <w:pStyle w:val="20"/>
        <w:numPr>
          <w:ilvl w:val="1"/>
          <w:numId w:val="29"/>
        </w:numPr>
        <w:spacing w:line="360" w:lineRule="auto"/>
        <w:rPr>
          <w:rFonts w:hAnsi="宋体"/>
          <w:sz w:val="24"/>
          <w:szCs w:val="24"/>
        </w:rPr>
      </w:pPr>
      <w:r>
        <w:rPr>
          <w:rFonts w:hint="eastAsia" w:hAnsi="宋体" w:cs="宋体"/>
          <w:sz w:val="24"/>
          <w:szCs w:val="24"/>
          <w:lang w:val="zh-CN"/>
        </w:rPr>
        <w:t>本次评审方法采用综合评分法</w:t>
      </w:r>
      <w:r>
        <w:rPr>
          <w:rFonts w:hint="eastAsia" w:hAnsi="宋体" w:cs="宋体"/>
          <w:sz w:val="24"/>
          <w:szCs w:val="24"/>
        </w:rPr>
        <w:t>。</w:t>
      </w:r>
    </w:p>
    <w:p>
      <w:pPr>
        <w:pStyle w:val="20"/>
        <w:numPr>
          <w:ilvl w:val="1"/>
          <w:numId w:val="29"/>
        </w:numPr>
        <w:spacing w:line="360" w:lineRule="auto"/>
        <w:rPr>
          <w:rFonts w:hAnsi="宋体"/>
          <w:sz w:val="24"/>
          <w:szCs w:val="24"/>
        </w:rPr>
      </w:pPr>
      <w:r>
        <w:rPr>
          <w:rFonts w:hAnsi="宋体" w:cs="Arial"/>
          <w:sz w:val="24"/>
          <w:szCs w:val="24"/>
        </w:rPr>
        <w:t>评审标准和分值分配</w:t>
      </w:r>
      <w:r>
        <w:rPr>
          <w:rFonts w:hint="eastAsia" w:hAnsi="宋体" w:cs="Arial"/>
          <w:sz w:val="24"/>
          <w:szCs w:val="24"/>
        </w:rPr>
        <w:t>：</w:t>
      </w:r>
    </w:p>
    <w:p>
      <w:pPr>
        <w:pStyle w:val="20"/>
        <w:spacing w:line="360" w:lineRule="auto"/>
        <w:ind w:firstLine="482" w:firstLineChars="200"/>
        <w:rPr>
          <w:rFonts w:hint="eastAsia" w:hAnsi="宋体"/>
          <w:b/>
          <w:sz w:val="24"/>
          <w:szCs w:val="24"/>
        </w:rPr>
      </w:pPr>
      <w:bookmarkStart w:id="76" w:name="_Hlk497723873"/>
    </w:p>
    <w:p>
      <w:pPr>
        <w:pStyle w:val="20"/>
        <w:spacing w:line="360" w:lineRule="auto"/>
        <w:ind w:firstLine="482" w:firstLineChars="200"/>
        <w:rPr>
          <w:rFonts w:hAnsi="宋体"/>
          <w:b/>
          <w:sz w:val="24"/>
          <w:szCs w:val="24"/>
        </w:rPr>
      </w:pPr>
      <w:r>
        <w:rPr>
          <w:rFonts w:hint="eastAsia" w:hAnsi="宋体"/>
          <w:b/>
          <w:sz w:val="24"/>
          <w:szCs w:val="24"/>
        </w:rPr>
        <w:t>具体项目及评分细则：</w:t>
      </w:r>
    </w:p>
    <w:tbl>
      <w:tblPr>
        <w:tblStyle w:val="35"/>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
        <w:gridCol w:w="951"/>
        <w:gridCol w:w="936"/>
        <w:gridCol w:w="7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32" w:type="pct"/>
            <w:gridSpan w:val="2"/>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rPr>
              <w:t>评审因素</w:t>
            </w:r>
          </w:p>
        </w:tc>
        <w:tc>
          <w:tcPr>
            <w:tcW w:w="469" w:type="pct"/>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rPr>
              <w:t>评审分数</w:t>
            </w:r>
          </w:p>
        </w:tc>
        <w:tc>
          <w:tcPr>
            <w:tcW w:w="3597" w:type="pct"/>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454" w:type="pct"/>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rPr>
              <w:t>投标报价</w:t>
            </w:r>
          </w:p>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rPr>
              <w:t>30分</w:t>
            </w:r>
          </w:p>
        </w:tc>
        <w:tc>
          <w:tcPr>
            <w:tcW w:w="477" w:type="pct"/>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lang w:val="zh-CN"/>
              </w:rPr>
              <w:t>报价分</w:t>
            </w:r>
          </w:p>
        </w:tc>
        <w:tc>
          <w:tcPr>
            <w:tcW w:w="469" w:type="pct"/>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rPr>
              <w:t>30</w:t>
            </w:r>
          </w:p>
        </w:tc>
        <w:tc>
          <w:tcPr>
            <w:tcW w:w="3597" w:type="pct"/>
            <w:shd w:val="clear" w:color="000000" w:fill="FFFFFF"/>
            <w:vAlign w:val="center"/>
          </w:tcPr>
          <w:p>
            <w:pPr>
              <w:autoSpaceDE w:val="0"/>
              <w:autoSpaceDN w:val="0"/>
              <w:snapToGrid w:val="0"/>
              <w:spacing w:line="360" w:lineRule="auto"/>
              <w:rPr>
                <w:rFonts w:ascii="宋体" w:cs="宋体"/>
                <w:color w:val="auto"/>
                <w:sz w:val="24"/>
                <w:highlight w:val="none"/>
              </w:rPr>
            </w:pPr>
            <w:r>
              <w:rPr>
                <w:rFonts w:hint="eastAsia" w:ascii="宋体" w:cs="宋体"/>
                <w:color w:val="auto"/>
                <w:sz w:val="24"/>
                <w:highlight w:val="none"/>
              </w:rPr>
              <w:t>在所有的有效投标报价中，以最低投标报价为基准价，其价格分为满分。其他投标供应商的报价分统一按下列公式计算：投标报价得分=(评标基准价／投标报价)×价格权值（30%）×100（四舍五入后保留小数点后两位）。</w:t>
            </w:r>
          </w:p>
          <w:p>
            <w:pPr>
              <w:autoSpaceDE w:val="0"/>
              <w:autoSpaceDN w:val="0"/>
              <w:snapToGrid w:val="0"/>
              <w:spacing w:line="360" w:lineRule="auto"/>
              <w:rPr>
                <w:rFonts w:ascii="宋体" w:cs="宋体"/>
                <w:color w:val="auto"/>
                <w:sz w:val="24"/>
                <w:highlight w:val="none"/>
              </w:rPr>
            </w:pPr>
            <w:r>
              <w:rPr>
                <w:rFonts w:hint="eastAsia" w:ascii="宋体" w:cs="宋体"/>
                <w:color w:val="auto"/>
                <w:sz w:val="24"/>
                <w:highlight w:val="none"/>
              </w:rPr>
              <w:t>注：1、根据《政府采购促进中小企业发展管理办法》（财库〔2020〕46 号）的规定，对于经主管预算单位统筹后未预留份额专门面向中小企业采购的采购项目，以及预留份额项目中的非预留部分采购包，采购人、采购代理机构应当对符合本办法规定的小微企业报价给予10%的扣除，用扣除后的价格参加评审。</w:t>
            </w:r>
          </w:p>
          <w:p>
            <w:pPr>
              <w:autoSpaceDE w:val="0"/>
              <w:autoSpaceDN w:val="0"/>
              <w:snapToGrid w:val="0"/>
              <w:spacing w:line="360" w:lineRule="auto"/>
              <w:rPr>
                <w:rFonts w:ascii="宋体" w:cs="宋体"/>
                <w:color w:val="auto"/>
                <w:sz w:val="24"/>
                <w:highlight w:val="none"/>
              </w:rPr>
            </w:pPr>
            <w:r>
              <w:rPr>
                <w:rFonts w:hint="eastAsia" w:ascii="宋体" w:cs="宋体"/>
                <w:color w:val="auto"/>
                <w:sz w:val="24"/>
                <w:highlight w:val="none"/>
              </w:rPr>
              <w:t>2、监狱企业、残疾人福利性单位属于小型、微型企业的，不重复享受政策。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454" w:type="pct"/>
            <w:vMerge w:val="restart"/>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lang w:val="zh-CN"/>
              </w:rPr>
              <w:t>技术水平</w:t>
            </w:r>
          </w:p>
          <w:p>
            <w:pPr>
              <w:autoSpaceDE w:val="0"/>
              <w:autoSpaceDN w:val="0"/>
              <w:snapToGrid w:val="0"/>
              <w:spacing w:line="360" w:lineRule="auto"/>
              <w:jc w:val="center"/>
              <w:rPr>
                <w:rFonts w:ascii="宋体" w:cs="宋体"/>
                <w:color w:val="auto"/>
                <w:sz w:val="24"/>
                <w:highlight w:val="none"/>
              </w:rPr>
            </w:pPr>
            <w:r>
              <w:rPr>
                <w:rFonts w:ascii="宋体" w:cs="宋体"/>
                <w:color w:val="auto"/>
                <w:sz w:val="24"/>
                <w:highlight w:val="none"/>
              </w:rPr>
              <w:t>5</w:t>
            </w:r>
            <w:r>
              <w:rPr>
                <w:rFonts w:hint="eastAsia" w:ascii="宋体" w:cs="宋体"/>
                <w:color w:val="auto"/>
                <w:sz w:val="24"/>
                <w:highlight w:val="none"/>
                <w:lang w:val="en-US" w:eastAsia="zh-CN"/>
              </w:rPr>
              <w:t>5</w:t>
            </w:r>
            <w:r>
              <w:rPr>
                <w:rFonts w:hint="eastAsia" w:ascii="宋体" w:cs="宋体"/>
                <w:color w:val="auto"/>
                <w:sz w:val="24"/>
                <w:highlight w:val="none"/>
              </w:rPr>
              <w:t>分</w:t>
            </w:r>
          </w:p>
        </w:tc>
        <w:tc>
          <w:tcPr>
            <w:tcW w:w="477" w:type="pct"/>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lang w:val="zh-CN"/>
              </w:rPr>
              <w:t>技术参数</w:t>
            </w:r>
          </w:p>
        </w:tc>
        <w:tc>
          <w:tcPr>
            <w:tcW w:w="469" w:type="pct"/>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lang w:val="en-US" w:eastAsia="zh-CN"/>
              </w:rPr>
              <w:t>3</w:t>
            </w:r>
            <w:r>
              <w:rPr>
                <w:rFonts w:hint="eastAsia" w:ascii="宋体" w:cs="宋体"/>
                <w:color w:val="auto"/>
                <w:sz w:val="24"/>
                <w:highlight w:val="none"/>
              </w:rPr>
              <w:t>0</w:t>
            </w:r>
          </w:p>
        </w:tc>
        <w:tc>
          <w:tcPr>
            <w:tcW w:w="3597" w:type="pct"/>
            <w:shd w:val="clear" w:color="000000" w:fill="FFFFFF"/>
            <w:vAlign w:val="center"/>
          </w:tcPr>
          <w:p>
            <w:pPr>
              <w:autoSpaceDE w:val="0"/>
              <w:autoSpaceDN w:val="0"/>
              <w:snapToGrid w:val="0"/>
              <w:spacing w:line="360" w:lineRule="auto"/>
              <w:rPr>
                <w:rFonts w:ascii="宋体" w:cs="宋体"/>
                <w:color w:val="auto"/>
                <w:sz w:val="24"/>
                <w:highlight w:val="none"/>
              </w:rPr>
            </w:pPr>
            <w:bookmarkStart w:id="77" w:name="OLE_LINK27"/>
            <w:bookmarkStart w:id="78" w:name="OLE_LINK16"/>
            <w:r>
              <w:rPr>
                <w:rFonts w:hint="eastAsia" w:ascii="宋体"/>
                <w:color w:val="auto"/>
                <w:sz w:val="24"/>
                <w:highlight w:val="none"/>
              </w:rPr>
              <w:t>投标产品技术参数和配置完全满足或高于磋商文件要求的，得30分；</w:t>
            </w:r>
            <w:r>
              <w:rPr>
                <w:rFonts w:hint="eastAsia" w:ascii="宋体"/>
                <w:color w:val="auto"/>
                <w:sz w:val="24"/>
                <w:highlight w:val="none"/>
                <w:lang w:val="en-US" w:eastAsia="zh-CN"/>
              </w:rPr>
              <w:t>标有</w:t>
            </w:r>
            <w:r>
              <w:rPr>
                <w:rFonts w:hint="eastAsia" w:ascii="宋体" w:hAnsi="宋体" w:eastAsia="宋体" w:cs="宋体"/>
                <w:b w:val="0"/>
                <w:bCs w:val="0"/>
                <w:color w:val="000000" w:themeColor="text1"/>
                <w:sz w:val="24"/>
                <w:highlight w:val="none"/>
                <w:shd w:val="clear"/>
                <w14:textFill>
                  <w14:solidFill>
                    <w14:schemeClr w14:val="tx1"/>
                  </w14:solidFill>
                </w14:textFill>
              </w:rPr>
              <w:t>★</w:t>
            </w:r>
            <w:r>
              <w:rPr>
                <w:rFonts w:hint="eastAsia" w:ascii="宋体" w:hAnsi="宋体" w:eastAsia="宋体" w:cs="宋体"/>
                <w:b w:val="0"/>
                <w:bCs w:val="0"/>
                <w:color w:val="000000" w:themeColor="text1"/>
                <w:sz w:val="24"/>
                <w:highlight w:val="none"/>
                <w:shd w:val="clear"/>
                <w:lang w:val="en-US" w:eastAsia="zh-CN"/>
                <w14:textFill>
                  <w14:solidFill>
                    <w14:schemeClr w14:val="tx1"/>
                  </w14:solidFill>
                </w14:textFill>
              </w:rPr>
              <w:t>的</w:t>
            </w:r>
            <w:r>
              <w:rPr>
                <w:rFonts w:hint="eastAsia" w:ascii="宋体"/>
                <w:color w:val="auto"/>
                <w:sz w:val="24"/>
                <w:highlight w:val="none"/>
              </w:rPr>
              <w:t>每有一项负偏离扣</w:t>
            </w:r>
            <w:r>
              <w:rPr>
                <w:rFonts w:hint="eastAsia" w:ascii="宋体"/>
                <w:color w:val="auto"/>
                <w:sz w:val="24"/>
                <w:highlight w:val="none"/>
                <w:lang w:val="en-US" w:eastAsia="zh-CN"/>
              </w:rPr>
              <w:t>5</w:t>
            </w:r>
            <w:r>
              <w:rPr>
                <w:rFonts w:hint="eastAsia" w:ascii="宋体"/>
                <w:color w:val="auto"/>
                <w:sz w:val="24"/>
                <w:highlight w:val="none"/>
              </w:rPr>
              <w:t>分，</w:t>
            </w:r>
            <w:r>
              <w:rPr>
                <w:rFonts w:hint="eastAsia" w:ascii="宋体"/>
                <w:color w:val="auto"/>
                <w:sz w:val="24"/>
                <w:highlight w:val="none"/>
                <w:lang w:val="en-US" w:eastAsia="zh-CN"/>
              </w:rPr>
              <w:t>其他</w:t>
            </w:r>
            <w:r>
              <w:rPr>
                <w:rFonts w:hint="eastAsia" w:ascii="宋体"/>
                <w:color w:val="auto"/>
                <w:sz w:val="24"/>
                <w:highlight w:val="none"/>
              </w:rPr>
              <w:t>每有一项负偏离扣3分</w:t>
            </w:r>
            <w:r>
              <w:rPr>
                <w:rFonts w:hint="eastAsia" w:ascii="宋体"/>
                <w:color w:val="auto"/>
                <w:sz w:val="24"/>
                <w:highlight w:val="none"/>
                <w:lang w:eastAsia="zh-CN"/>
              </w:rPr>
              <w:t>，</w:t>
            </w:r>
            <w:r>
              <w:rPr>
                <w:rFonts w:hint="eastAsia" w:ascii="宋体"/>
                <w:color w:val="auto"/>
                <w:sz w:val="24"/>
                <w:highlight w:val="none"/>
              </w:rPr>
              <w:t>直至扣完为止</w:t>
            </w:r>
            <w:bookmarkEnd w:id="77"/>
            <w:r>
              <w:rPr>
                <w:rFonts w:hint="eastAsia" w:ascii="宋体"/>
                <w:color w:val="auto"/>
                <w:sz w:val="24"/>
                <w:highlight w:val="none"/>
              </w:rPr>
              <w:t>。</w:t>
            </w:r>
            <w:bookmarkEnd w:id="7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454" w:type="pct"/>
            <w:vMerge w:val="continue"/>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p>
        </w:tc>
        <w:tc>
          <w:tcPr>
            <w:tcW w:w="477" w:type="pct"/>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ascii="宋体" w:cs="宋体"/>
                <w:color w:val="auto"/>
                <w:sz w:val="24"/>
                <w:highlight w:val="none"/>
              </w:rPr>
              <w:t>环保和节能</w:t>
            </w:r>
          </w:p>
        </w:tc>
        <w:tc>
          <w:tcPr>
            <w:tcW w:w="469" w:type="pct"/>
            <w:shd w:val="clear" w:color="000000" w:fill="FFFFFF"/>
            <w:vAlign w:val="center"/>
          </w:tcPr>
          <w:p>
            <w:pPr>
              <w:autoSpaceDE w:val="0"/>
              <w:autoSpaceDN w:val="0"/>
              <w:snapToGrid w:val="0"/>
              <w:spacing w:line="360" w:lineRule="auto"/>
              <w:jc w:val="center"/>
              <w:rPr>
                <w:rFonts w:hint="eastAsia" w:ascii="宋体" w:eastAsia="宋体" w:cs="宋体"/>
                <w:color w:val="auto"/>
                <w:sz w:val="24"/>
                <w:highlight w:val="none"/>
                <w:lang w:eastAsia="zh-CN"/>
              </w:rPr>
            </w:pPr>
            <w:r>
              <w:rPr>
                <w:rFonts w:hint="eastAsia" w:ascii="宋体" w:cs="宋体"/>
                <w:color w:val="auto"/>
                <w:sz w:val="24"/>
                <w:highlight w:val="none"/>
                <w:lang w:val="en-US" w:eastAsia="zh-CN"/>
              </w:rPr>
              <w:t>1</w:t>
            </w:r>
          </w:p>
        </w:tc>
        <w:tc>
          <w:tcPr>
            <w:tcW w:w="3597" w:type="pct"/>
            <w:shd w:val="clear" w:color="000000" w:fill="FFFFFF"/>
            <w:vAlign w:val="center"/>
          </w:tcPr>
          <w:p>
            <w:pPr>
              <w:autoSpaceDE w:val="0"/>
              <w:autoSpaceDN w:val="0"/>
              <w:snapToGrid w:val="0"/>
              <w:spacing w:line="360" w:lineRule="auto"/>
              <w:rPr>
                <w:rFonts w:ascii="宋体"/>
                <w:color w:val="auto"/>
                <w:sz w:val="24"/>
                <w:highlight w:val="none"/>
              </w:rPr>
            </w:pPr>
            <w:bookmarkStart w:id="79" w:name="OLE_LINK17"/>
            <w:r>
              <w:rPr>
                <w:rFonts w:hint="eastAsia" w:ascii="宋体"/>
                <w:color w:val="auto"/>
                <w:sz w:val="24"/>
                <w:highlight w:val="none"/>
              </w:rPr>
              <w:t>所投产品为节能产品，每提供1份得0.5分，满分0.5分；</w:t>
            </w:r>
          </w:p>
          <w:p>
            <w:pPr>
              <w:autoSpaceDE w:val="0"/>
              <w:autoSpaceDN w:val="0"/>
              <w:snapToGrid w:val="0"/>
              <w:spacing w:line="360" w:lineRule="auto"/>
              <w:rPr>
                <w:rFonts w:ascii="宋体" w:cs="宋体"/>
                <w:color w:val="auto"/>
                <w:sz w:val="24"/>
                <w:highlight w:val="none"/>
              </w:rPr>
            </w:pPr>
            <w:r>
              <w:rPr>
                <w:rFonts w:hint="eastAsia" w:ascii="宋体"/>
                <w:color w:val="auto"/>
                <w:sz w:val="24"/>
                <w:highlight w:val="none"/>
              </w:rPr>
              <w:t>所投产品为环保产品，每提供1份得0.5分，满分0.5分；未提供不得分。该项得分的认定以《国家节能产品认证证书》、《中国环境标志产品认证证书》为准。</w:t>
            </w:r>
            <w:bookmarkEnd w:id="7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454" w:type="pct"/>
            <w:vMerge w:val="continue"/>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p>
        </w:tc>
        <w:tc>
          <w:tcPr>
            <w:tcW w:w="951" w:type="dxa"/>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lang w:val="zh-CN"/>
              </w:rPr>
              <w:t>项目管理及实施方案</w:t>
            </w:r>
          </w:p>
        </w:tc>
        <w:tc>
          <w:tcPr>
            <w:tcW w:w="936" w:type="dxa"/>
            <w:shd w:val="clear" w:color="000000" w:fill="FFFFFF"/>
            <w:vAlign w:val="center"/>
          </w:tcPr>
          <w:p>
            <w:pPr>
              <w:autoSpaceDE w:val="0"/>
              <w:autoSpaceDN w:val="0"/>
              <w:snapToGrid w:val="0"/>
              <w:spacing w:line="360" w:lineRule="auto"/>
              <w:jc w:val="center"/>
              <w:rPr>
                <w:rFonts w:hint="eastAsia" w:ascii="宋体" w:eastAsia="宋体" w:cs="宋体"/>
                <w:color w:val="auto"/>
                <w:sz w:val="24"/>
                <w:highlight w:val="none"/>
                <w:lang w:eastAsia="zh-CN"/>
              </w:rPr>
            </w:pPr>
            <w:r>
              <w:rPr>
                <w:rFonts w:hint="eastAsia" w:ascii="宋体" w:cs="宋体"/>
                <w:color w:val="auto"/>
                <w:sz w:val="24"/>
                <w:highlight w:val="none"/>
              </w:rPr>
              <w:t>2</w:t>
            </w:r>
            <w:r>
              <w:rPr>
                <w:rFonts w:hint="eastAsia" w:ascii="宋体" w:cs="宋体"/>
                <w:color w:val="auto"/>
                <w:sz w:val="24"/>
                <w:highlight w:val="none"/>
                <w:lang w:val="en-US" w:eastAsia="zh-CN"/>
              </w:rPr>
              <w:t>4</w:t>
            </w:r>
          </w:p>
        </w:tc>
        <w:tc>
          <w:tcPr>
            <w:tcW w:w="7171" w:type="dxa"/>
            <w:shd w:val="clear" w:color="000000" w:fill="FFFFFF"/>
            <w:vAlign w:val="center"/>
          </w:tcPr>
          <w:p>
            <w:pPr>
              <w:autoSpaceDE w:val="0"/>
              <w:autoSpaceDN w:val="0"/>
              <w:snapToGrid w:val="0"/>
              <w:spacing w:line="360" w:lineRule="auto"/>
              <w:rPr>
                <w:rFonts w:ascii="宋体"/>
                <w:color w:val="auto"/>
                <w:sz w:val="24"/>
                <w:highlight w:val="none"/>
              </w:rPr>
            </w:pPr>
            <w:bookmarkStart w:id="80" w:name="OLE_LINK18"/>
            <w:r>
              <w:rPr>
                <w:rFonts w:hint="eastAsia" w:ascii="宋体"/>
                <w:color w:val="auto"/>
                <w:sz w:val="24"/>
                <w:highlight w:val="none"/>
              </w:rPr>
              <w:t>1、磋商供应商制定方案须体现科学合理性、条理性、可行性、完善性、针对性。包含：</w:t>
            </w:r>
            <w:r>
              <w:rPr>
                <w:rFonts w:hint="eastAsia" w:ascii="宋体" w:hAnsi="宋体" w:eastAsia="宋体" w:cs="宋体"/>
                <w:b w:val="0"/>
                <w:bCs w:val="0"/>
                <w:color w:val="auto"/>
                <w:sz w:val="24"/>
                <w:highlight w:val="none"/>
              </w:rPr>
              <w:t>①项目管理机构②项目管理措施③培训方案④质量控制及保证措施⑤</w:t>
            </w:r>
            <w:r>
              <w:rPr>
                <w:rFonts w:hint="eastAsia" w:ascii="宋体" w:hAnsi="宋体" w:eastAsia="宋体" w:cs="宋体"/>
                <w:b w:val="0"/>
                <w:bCs w:val="0"/>
                <w:color w:val="auto"/>
                <w:sz w:val="24"/>
                <w:highlight w:val="none"/>
                <w:lang w:val="en-US" w:eastAsia="zh-CN"/>
              </w:rPr>
              <w:t>安装调试</w:t>
            </w:r>
            <w:r>
              <w:rPr>
                <w:rFonts w:hint="eastAsia" w:ascii="宋体" w:hAnsi="宋体" w:eastAsia="宋体" w:cs="宋体"/>
                <w:b w:val="0"/>
                <w:bCs w:val="0"/>
                <w:color w:val="auto"/>
                <w:sz w:val="24"/>
                <w:highlight w:val="none"/>
              </w:rPr>
              <w:t>方案。以上因素实质性响应并详尽合理的每一项得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rPr>
              <w:t>分，满分</w:t>
            </w:r>
            <w:r>
              <w:rPr>
                <w:rFonts w:hint="eastAsia" w:ascii="宋体" w:hAnsi="宋体" w:cs="宋体"/>
                <w:b w:val="0"/>
                <w:bCs w:val="0"/>
                <w:color w:val="auto"/>
                <w:sz w:val="24"/>
                <w:highlight w:val="none"/>
                <w:lang w:val="en-US" w:eastAsia="zh-CN"/>
              </w:rPr>
              <w:t>15</w:t>
            </w:r>
            <w:r>
              <w:rPr>
                <w:rFonts w:hint="eastAsia" w:ascii="宋体" w:hAnsi="宋体" w:eastAsia="宋体" w:cs="宋体"/>
                <w:b w:val="0"/>
                <w:bCs w:val="0"/>
                <w:color w:val="auto"/>
                <w:sz w:val="24"/>
                <w:highlight w:val="none"/>
              </w:rPr>
              <w:t>分；每有一项存在缺陷或不足的扣</w:t>
            </w:r>
            <w:r>
              <w:rPr>
                <w:rFonts w:hint="eastAsia" w:ascii="宋体" w:hAnsi="宋体" w:cs="宋体"/>
                <w:b w:val="0"/>
                <w:bCs w:val="0"/>
                <w:color w:val="auto"/>
                <w:sz w:val="24"/>
                <w:highlight w:val="none"/>
                <w:lang w:val="en-US" w:eastAsia="zh-CN"/>
              </w:rPr>
              <w:t>1.5</w:t>
            </w:r>
            <w:r>
              <w:rPr>
                <w:rFonts w:hint="eastAsia" w:ascii="宋体" w:hAnsi="宋体" w:eastAsia="宋体" w:cs="宋体"/>
                <w:b w:val="0"/>
                <w:bCs w:val="0"/>
                <w:color w:val="auto"/>
                <w:sz w:val="24"/>
                <w:highlight w:val="none"/>
              </w:rPr>
              <w:t>分，未提供的不得分。</w:t>
            </w:r>
          </w:p>
          <w:bookmarkEnd w:id="80"/>
          <w:p>
            <w:pPr>
              <w:autoSpaceDE w:val="0"/>
              <w:autoSpaceDN w:val="0"/>
              <w:snapToGrid w:val="0"/>
              <w:spacing w:line="360" w:lineRule="auto"/>
              <w:rPr>
                <w:rFonts w:ascii="宋体" w:cs="宋体"/>
                <w:color w:val="auto"/>
                <w:sz w:val="24"/>
                <w:highlight w:val="none"/>
                <w:lang w:val="zh-CN"/>
              </w:rPr>
            </w:pPr>
            <w:bookmarkStart w:id="81" w:name="OLE_LINK19"/>
            <w:r>
              <w:rPr>
                <w:rFonts w:hint="eastAsia" w:ascii="宋体"/>
                <w:color w:val="auto"/>
                <w:sz w:val="24"/>
                <w:highlight w:val="none"/>
              </w:rPr>
              <w:t>2、</w:t>
            </w:r>
            <w:r>
              <w:rPr>
                <w:rFonts w:hint="eastAsia" w:ascii="宋体" w:hAnsi="宋体" w:eastAsia="宋体" w:cs="宋体"/>
                <w:b w:val="0"/>
                <w:bCs w:val="0"/>
                <w:color w:val="auto"/>
                <w:sz w:val="24"/>
                <w:highlight w:val="none"/>
              </w:rPr>
              <w:t>磋商供应商</w:t>
            </w:r>
            <w:r>
              <w:rPr>
                <w:rFonts w:hint="eastAsia" w:ascii="宋体" w:hAnsi="宋体" w:eastAsia="宋体" w:cs="宋体"/>
                <w:b w:val="0"/>
                <w:bCs w:val="0"/>
                <w:color w:val="auto"/>
                <w:sz w:val="24"/>
                <w:highlight w:val="none"/>
                <w:lang w:val="en-US" w:eastAsia="zh-CN"/>
              </w:rPr>
              <w:t xml:space="preserve"> </w:t>
            </w:r>
            <w:r>
              <w:rPr>
                <w:rFonts w:hint="eastAsia" w:ascii="宋体" w:hAnsi="宋体" w:eastAsia="宋体" w:cs="宋体"/>
                <w:b w:val="0"/>
                <w:bCs w:val="0"/>
                <w:color w:val="auto"/>
                <w:sz w:val="24"/>
                <w:highlight w:val="none"/>
              </w:rPr>
              <w:t>针对本项目特点制定详细的货物供货及配送方案。包含：①供货计划②运输计划及运输配置、应急措施等③供货保证措施。以上因素实质性响应并详尽合理的每一项得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rPr>
              <w:t>分，满分</w:t>
            </w:r>
            <w:r>
              <w:rPr>
                <w:rFonts w:hint="eastAsia" w:ascii="宋体" w:hAnsi="宋体" w:cs="宋体"/>
                <w:b w:val="0"/>
                <w:bCs w:val="0"/>
                <w:color w:val="auto"/>
                <w:sz w:val="24"/>
                <w:highlight w:val="none"/>
                <w:lang w:val="en-US" w:eastAsia="zh-CN"/>
              </w:rPr>
              <w:t>9</w:t>
            </w:r>
            <w:r>
              <w:rPr>
                <w:rFonts w:hint="eastAsia" w:ascii="宋体" w:hAnsi="宋体" w:eastAsia="宋体" w:cs="宋体"/>
                <w:b w:val="0"/>
                <w:bCs w:val="0"/>
                <w:color w:val="auto"/>
                <w:sz w:val="24"/>
                <w:highlight w:val="none"/>
              </w:rPr>
              <w:t>分；每有一项存在缺陷或不足的扣</w:t>
            </w:r>
            <w:r>
              <w:rPr>
                <w:rFonts w:hint="eastAsia" w:ascii="宋体" w:hAnsi="宋体" w:cs="宋体"/>
                <w:b w:val="0"/>
                <w:bCs w:val="0"/>
                <w:color w:val="auto"/>
                <w:sz w:val="24"/>
                <w:highlight w:val="none"/>
                <w:lang w:val="en-US" w:eastAsia="zh-CN"/>
              </w:rPr>
              <w:t>1.5</w:t>
            </w:r>
            <w:r>
              <w:rPr>
                <w:rFonts w:hint="eastAsia" w:ascii="宋体" w:hAnsi="宋体" w:eastAsia="宋体" w:cs="宋体"/>
                <w:b w:val="0"/>
                <w:bCs w:val="0"/>
                <w:color w:val="auto"/>
                <w:sz w:val="24"/>
                <w:highlight w:val="none"/>
              </w:rPr>
              <w:t>分，未提供的不得分。</w:t>
            </w:r>
            <w:bookmarkEnd w:id="8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906" w:type="dxa"/>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lang w:val="zh-CN"/>
              </w:rPr>
              <w:t>商务评价</w:t>
            </w:r>
          </w:p>
          <w:p>
            <w:pPr>
              <w:autoSpaceDE w:val="0"/>
              <w:autoSpaceDN w:val="0"/>
              <w:snapToGrid w:val="0"/>
              <w:spacing w:line="360" w:lineRule="auto"/>
              <w:jc w:val="center"/>
              <w:rPr>
                <w:rFonts w:ascii="宋体" w:cs="宋体"/>
                <w:color w:val="auto"/>
                <w:sz w:val="24"/>
                <w:highlight w:val="none"/>
              </w:rPr>
            </w:pPr>
            <w:r>
              <w:rPr>
                <w:rFonts w:ascii="宋体" w:cs="宋体"/>
                <w:color w:val="auto"/>
                <w:sz w:val="24"/>
                <w:highlight w:val="none"/>
              </w:rPr>
              <w:t>1</w:t>
            </w:r>
            <w:r>
              <w:rPr>
                <w:rFonts w:hint="eastAsia" w:ascii="宋体" w:cs="宋体"/>
                <w:color w:val="auto"/>
                <w:sz w:val="24"/>
                <w:highlight w:val="none"/>
                <w:lang w:val="en-US" w:eastAsia="zh-CN"/>
              </w:rPr>
              <w:t>0</w:t>
            </w:r>
            <w:r>
              <w:rPr>
                <w:rFonts w:hint="eastAsia" w:ascii="宋体" w:cs="宋体"/>
                <w:color w:val="auto"/>
                <w:sz w:val="24"/>
                <w:highlight w:val="none"/>
              </w:rPr>
              <w:t>分</w:t>
            </w:r>
          </w:p>
        </w:tc>
        <w:tc>
          <w:tcPr>
            <w:tcW w:w="951" w:type="dxa"/>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rPr>
              <w:t>类似业绩情况</w:t>
            </w:r>
          </w:p>
        </w:tc>
        <w:tc>
          <w:tcPr>
            <w:tcW w:w="936" w:type="dxa"/>
            <w:shd w:val="clear" w:color="000000" w:fill="FFFFFF"/>
            <w:vAlign w:val="center"/>
          </w:tcPr>
          <w:p>
            <w:pPr>
              <w:autoSpaceDE w:val="0"/>
              <w:autoSpaceDN w:val="0"/>
              <w:snapToGrid w:val="0"/>
              <w:spacing w:line="360" w:lineRule="auto"/>
              <w:jc w:val="center"/>
              <w:rPr>
                <w:rFonts w:hint="default" w:ascii="宋体" w:eastAsia="宋体" w:cs="宋体"/>
                <w:color w:val="auto"/>
                <w:sz w:val="24"/>
                <w:highlight w:val="none"/>
                <w:lang w:val="en-US" w:eastAsia="zh-CN"/>
              </w:rPr>
            </w:pPr>
            <w:r>
              <w:rPr>
                <w:rFonts w:hint="eastAsia" w:ascii="宋体" w:cs="宋体"/>
                <w:color w:val="auto"/>
                <w:sz w:val="24"/>
                <w:highlight w:val="none"/>
                <w:lang w:val="en-US" w:eastAsia="zh-CN"/>
              </w:rPr>
              <w:t>10</w:t>
            </w:r>
          </w:p>
        </w:tc>
        <w:tc>
          <w:tcPr>
            <w:tcW w:w="7171" w:type="dxa"/>
            <w:shd w:val="clear" w:color="000000" w:fill="FFFFFF"/>
            <w:vAlign w:val="center"/>
          </w:tcPr>
          <w:p>
            <w:pPr>
              <w:autoSpaceDE w:val="0"/>
              <w:autoSpaceDN w:val="0"/>
              <w:snapToGrid w:val="0"/>
              <w:spacing w:line="360" w:lineRule="auto"/>
              <w:rPr>
                <w:rFonts w:ascii="宋体" w:cs="宋体"/>
                <w:color w:val="auto"/>
                <w:sz w:val="24"/>
                <w:highlight w:val="none"/>
              </w:rPr>
            </w:pPr>
            <w:bookmarkStart w:id="82" w:name="OLE_LINK20"/>
            <w:r>
              <w:rPr>
                <w:rFonts w:hint="eastAsia" w:ascii="宋体"/>
                <w:color w:val="auto"/>
                <w:sz w:val="24"/>
                <w:highlight w:val="none"/>
              </w:rPr>
              <w:t>提供202</w:t>
            </w:r>
            <w:r>
              <w:rPr>
                <w:rFonts w:hint="eastAsia" w:ascii="宋体"/>
                <w:color w:val="auto"/>
                <w:sz w:val="24"/>
                <w:highlight w:val="none"/>
                <w:lang w:val="en-US" w:eastAsia="zh-CN"/>
              </w:rPr>
              <w:t>2</w:t>
            </w:r>
            <w:r>
              <w:rPr>
                <w:rFonts w:hint="eastAsia" w:ascii="宋体"/>
                <w:color w:val="auto"/>
                <w:sz w:val="24"/>
                <w:highlight w:val="none"/>
              </w:rPr>
              <w:t>年1月1日以来的</w:t>
            </w:r>
            <w:r>
              <w:rPr>
                <w:rFonts w:hint="eastAsia" w:ascii="宋体"/>
                <w:color w:val="auto"/>
                <w:sz w:val="24"/>
                <w:highlight w:val="none"/>
                <w:lang w:eastAsia="zh-CN"/>
              </w:rPr>
              <w:t>磋商供应商</w:t>
            </w:r>
            <w:r>
              <w:rPr>
                <w:rFonts w:hint="eastAsia" w:ascii="宋体"/>
                <w:color w:val="auto"/>
                <w:sz w:val="24"/>
                <w:highlight w:val="none"/>
              </w:rPr>
              <w:t>类似业绩证明材料，需提供中标通知书或合同（包含合同首页、标的及金额所在页、交货合同签字盖章页的扫描（或复印）件）。每提供一项得</w:t>
            </w:r>
            <w:r>
              <w:rPr>
                <w:rFonts w:hint="eastAsia" w:ascii="宋体"/>
                <w:color w:val="auto"/>
                <w:sz w:val="24"/>
                <w:highlight w:val="none"/>
                <w:lang w:val="en-US" w:eastAsia="zh-CN"/>
              </w:rPr>
              <w:t>2</w:t>
            </w:r>
            <w:r>
              <w:rPr>
                <w:rFonts w:hint="eastAsia" w:ascii="宋体"/>
                <w:color w:val="auto"/>
                <w:sz w:val="24"/>
                <w:highlight w:val="none"/>
              </w:rPr>
              <w:t>分，满分</w:t>
            </w:r>
            <w:r>
              <w:rPr>
                <w:rFonts w:hint="eastAsia" w:ascii="宋体"/>
                <w:color w:val="auto"/>
                <w:sz w:val="24"/>
                <w:highlight w:val="none"/>
                <w:lang w:val="en-US" w:eastAsia="zh-CN"/>
              </w:rPr>
              <w:t>10</w:t>
            </w:r>
            <w:r>
              <w:rPr>
                <w:rFonts w:hint="eastAsia" w:ascii="宋体"/>
                <w:color w:val="auto"/>
                <w:sz w:val="24"/>
                <w:highlight w:val="none"/>
              </w:rPr>
              <w:t>分，不提供不得分。</w:t>
            </w:r>
            <w:bookmarkEnd w:id="8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454" w:type="pct"/>
            <w:shd w:val="clear" w:color="000000" w:fill="FFFFFF"/>
            <w:vAlign w:val="center"/>
          </w:tcPr>
          <w:p>
            <w:pPr>
              <w:autoSpaceDE w:val="0"/>
              <w:autoSpaceDN w:val="0"/>
              <w:snapToGrid w:val="0"/>
              <w:spacing w:line="360" w:lineRule="auto"/>
              <w:jc w:val="center"/>
              <w:rPr>
                <w:rFonts w:ascii="宋体" w:cs="宋体"/>
                <w:color w:val="auto"/>
                <w:sz w:val="24"/>
                <w:highlight w:val="none"/>
              </w:rPr>
            </w:pPr>
            <w:r>
              <w:rPr>
                <w:rFonts w:hint="eastAsia" w:ascii="宋体" w:cs="宋体"/>
                <w:color w:val="auto"/>
                <w:sz w:val="24"/>
                <w:highlight w:val="none"/>
              </w:rPr>
              <w:t>售后服务</w:t>
            </w:r>
          </w:p>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rPr>
              <w:t>5</w:t>
            </w:r>
            <w:r>
              <w:rPr>
                <w:rFonts w:hint="eastAsia" w:ascii="宋体" w:cs="宋体"/>
                <w:color w:val="auto"/>
                <w:sz w:val="24"/>
                <w:highlight w:val="none"/>
                <w:lang w:val="zh-CN"/>
              </w:rPr>
              <w:t>分</w:t>
            </w:r>
          </w:p>
        </w:tc>
        <w:tc>
          <w:tcPr>
            <w:tcW w:w="477" w:type="pct"/>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lang w:val="zh-CN"/>
              </w:rPr>
              <w:t>售后服务计划、措施及服务承诺</w:t>
            </w:r>
          </w:p>
        </w:tc>
        <w:tc>
          <w:tcPr>
            <w:tcW w:w="469" w:type="pct"/>
            <w:shd w:val="clear" w:color="000000" w:fill="FFFFFF"/>
            <w:vAlign w:val="center"/>
          </w:tcPr>
          <w:p>
            <w:pPr>
              <w:autoSpaceDE w:val="0"/>
              <w:autoSpaceDN w:val="0"/>
              <w:snapToGrid w:val="0"/>
              <w:spacing w:line="360" w:lineRule="auto"/>
              <w:jc w:val="center"/>
              <w:rPr>
                <w:rFonts w:ascii="宋体" w:cs="宋体"/>
                <w:color w:val="auto"/>
                <w:sz w:val="24"/>
                <w:highlight w:val="none"/>
                <w:lang w:val="zh-CN"/>
              </w:rPr>
            </w:pPr>
            <w:r>
              <w:rPr>
                <w:rFonts w:hint="eastAsia" w:ascii="宋体" w:cs="宋体"/>
                <w:color w:val="auto"/>
                <w:sz w:val="24"/>
                <w:highlight w:val="none"/>
              </w:rPr>
              <w:t>5</w:t>
            </w:r>
          </w:p>
        </w:tc>
        <w:tc>
          <w:tcPr>
            <w:tcW w:w="3597" w:type="pct"/>
            <w:shd w:val="clear" w:color="000000" w:fill="FFFFFF"/>
            <w:vAlign w:val="center"/>
          </w:tcPr>
          <w:p>
            <w:pPr>
              <w:autoSpaceDE w:val="0"/>
              <w:autoSpaceDN w:val="0"/>
              <w:snapToGrid w:val="0"/>
              <w:spacing w:line="360" w:lineRule="auto"/>
              <w:rPr>
                <w:rFonts w:ascii="宋体" w:cs="宋体"/>
                <w:color w:val="auto"/>
                <w:sz w:val="24"/>
                <w:highlight w:val="none"/>
                <w:lang w:val="zh-CN"/>
              </w:rPr>
            </w:pPr>
            <w:bookmarkStart w:id="83" w:name="OLE_LINK28"/>
            <w:r>
              <w:rPr>
                <w:rFonts w:hint="eastAsia" w:ascii="宋体"/>
                <w:color w:val="auto"/>
                <w:sz w:val="24"/>
                <w:highlight w:val="none"/>
              </w:rPr>
              <w:t>针对该项目须有完善的售后服务体系。包含：①售后服务机构和人员②售后服务内容、流程和服务质量③售后服务中应包含人员定期回访、应急响应等④在质量保证期内，对于产品质量问题造成的损坏，免费提供咨询、维修服务等⑤售后服务相关承诺。以上因素实质性响应并详尽合理的每一项得1分，满分5分；每有一项存在缺陷或不足的扣0.5分，未提供的不得分。</w:t>
            </w:r>
            <w:bookmarkEnd w:id="8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5000" w:type="pct"/>
            <w:gridSpan w:val="4"/>
            <w:shd w:val="clear" w:color="000000" w:fill="FFFFFF"/>
            <w:vAlign w:val="center"/>
          </w:tcPr>
          <w:p>
            <w:pPr>
              <w:autoSpaceDE w:val="0"/>
              <w:autoSpaceDN w:val="0"/>
              <w:snapToGrid w:val="0"/>
              <w:spacing w:line="360" w:lineRule="auto"/>
              <w:rPr>
                <w:rFonts w:ascii="宋体"/>
                <w:color w:val="auto"/>
                <w:sz w:val="24"/>
                <w:highlight w:val="none"/>
              </w:rPr>
            </w:pPr>
            <w:r>
              <w:rPr>
                <w:rFonts w:hint="eastAsia" w:ascii="宋体"/>
                <w:color w:val="auto"/>
                <w:sz w:val="24"/>
                <w:highlight w:val="none"/>
              </w:rPr>
              <w:t>内容存在缺陷或不足是指：方案内容不切合行业实际、不符合行业政策；或存在项目名称错误、地点区域错误、内容与本项目需求无关、方案内容矛盾或表述前后不一致；或方案内容过于简单、不适用项目实际情况。</w:t>
            </w:r>
          </w:p>
        </w:tc>
      </w:tr>
    </w:tbl>
    <w:p>
      <w:pPr>
        <w:pStyle w:val="20"/>
        <w:spacing w:line="360" w:lineRule="auto"/>
        <w:rPr>
          <w:rFonts w:hAnsi="宋体"/>
          <w:b/>
          <w:sz w:val="24"/>
          <w:szCs w:val="24"/>
        </w:rPr>
      </w:pPr>
    </w:p>
    <w:bookmarkEnd w:id="76"/>
    <w:p>
      <w:pPr>
        <w:pStyle w:val="9"/>
        <w:ind w:left="709"/>
        <w:rPr>
          <w:rFonts w:hAnsi="宋体"/>
          <w:b/>
          <w:sz w:val="24"/>
          <w:szCs w:val="24"/>
        </w:rPr>
      </w:pPr>
      <w:bookmarkStart w:id="84" w:name="_Toc16772"/>
      <w:r>
        <w:rPr>
          <w:rFonts w:hint="eastAsia" w:hAnsi="宋体"/>
          <w:b/>
          <w:sz w:val="24"/>
          <w:szCs w:val="24"/>
        </w:rPr>
        <w:t>定标</w:t>
      </w:r>
      <w:bookmarkEnd w:id="84"/>
    </w:p>
    <w:p>
      <w:pPr>
        <w:pStyle w:val="10"/>
        <w:numPr>
          <w:ilvl w:val="0"/>
          <w:numId w:val="5"/>
        </w:numPr>
        <w:spacing w:before="0" w:after="0" w:line="360" w:lineRule="auto"/>
        <w:rPr>
          <w:rFonts w:ascii="宋体" w:hAnsi="宋体"/>
          <w:b w:val="0"/>
          <w:sz w:val="24"/>
          <w:szCs w:val="24"/>
        </w:rPr>
      </w:pPr>
      <w:bookmarkStart w:id="85" w:name="_Toc26198"/>
      <w:bookmarkStart w:id="86" w:name="_Toc488673637"/>
      <w:r>
        <w:rPr>
          <w:rFonts w:hint="eastAsia" w:ascii="宋体" w:hAnsi="宋体"/>
          <w:b w:val="0"/>
          <w:sz w:val="24"/>
          <w:szCs w:val="24"/>
        </w:rPr>
        <w:t>推荐并确定成交磋商供应商</w:t>
      </w:r>
      <w:bookmarkEnd w:id="85"/>
      <w:bookmarkEnd w:id="86"/>
    </w:p>
    <w:p>
      <w:pPr>
        <w:pStyle w:val="20"/>
        <w:numPr>
          <w:ilvl w:val="1"/>
          <w:numId w:val="30"/>
        </w:numPr>
        <w:spacing w:line="360" w:lineRule="auto"/>
        <w:rPr>
          <w:rFonts w:hAnsi="宋体"/>
          <w:sz w:val="24"/>
          <w:szCs w:val="24"/>
        </w:rPr>
      </w:pPr>
      <w:r>
        <w:rPr>
          <w:rFonts w:hint="eastAsia" w:hAnsi="宋体" w:cs="宋体"/>
          <w:b/>
          <w:bCs/>
          <w:sz w:val="24"/>
          <w:szCs w:val="24"/>
        </w:rPr>
        <w:t>采用综合评分法的，</w:t>
      </w:r>
      <w:r>
        <w:rPr>
          <w:rFonts w:hint="eastAsia" w:hAnsi="宋体" w:cs="宋体"/>
          <w:sz w:val="24"/>
          <w:szCs w:val="24"/>
          <w:shd w:val="clear" w:color="auto" w:fill="FFFFFF"/>
        </w:rPr>
        <w:t>评标结果按评审后得分由高到低顺序排列。得分相同的，按投标报价由低到高顺序排列。得分且投标报价相同的并列。磋商响应文件满足磋商文件全部实质性要求，且按照评审因素的量化指标评审得分最高的磋商人为排名第一的成交候选人。</w:t>
      </w:r>
    </w:p>
    <w:p>
      <w:pPr>
        <w:pStyle w:val="20"/>
        <w:numPr>
          <w:ilvl w:val="1"/>
          <w:numId w:val="30"/>
        </w:numPr>
        <w:spacing w:line="360" w:lineRule="auto"/>
        <w:rPr>
          <w:rFonts w:hAnsi="宋体"/>
          <w:sz w:val="24"/>
          <w:szCs w:val="24"/>
        </w:rPr>
      </w:pPr>
      <w:r>
        <w:rPr>
          <w:rFonts w:hint="eastAsia" w:hAnsi="宋体"/>
          <w:sz w:val="24"/>
          <w:szCs w:val="24"/>
        </w:rPr>
        <w:t>成交磋商供应商因不可抗力或自身原因不能履行合同时，采购单位可以按照评审报告推荐的预成交候选磋商供应商名单排序，确定下一候选磋商供应商为成交磋商供应商，也可重新开展政府采购活动。</w:t>
      </w:r>
    </w:p>
    <w:p>
      <w:pPr>
        <w:pStyle w:val="20"/>
        <w:numPr>
          <w:ilvl w:val="1"/>
          <w:numId w:val="30"/>
        </w:numPr>
        <w:spacing w:line="360" w:lineRule="auto"/>
        <w:rPr>
          <w:rFonts w:hAnsi="宋体"/>
          <w:sz w:val="24"/>
          <w:szCs w:val="24"/>
        </w:rPr>
      </w:pPr>
      <w:r>
        <w:rPr>
          <w:rFonts w:hint="eastAsia" w:hAnsi="宋体" w:cs="宋体"/>
          <w:sz w:val="24"/>
          <w:szCs w:val="24"/>
          <w:shd w:val="clear" w:color="auto" w:fill="FFFFFF"/>
        </w:rPr>
        <w:t>评标结果汇总完成后，除下列情形外，任何人不得修改评标结果：</w:t>
      </w:r>
    </w:p>
    <w:p>
      <w:pPr>
        <w:pStyle w:val="20"/>
        <w:numPr>
          <w:ilvl w:val="0"/>
          <w:numId w:val="31"/>
        </w:numPr>
        <w:spacing w:line="360" w:lineRule="auto"/>
        <w:rPr>
          <w:rFonts w:hAnsi="宋体"/>
          <w:sz w:val="24"/>
          <w:szCs w:val="24"/>
        </w:rPr>
      </w:pPr>
      <w:r>
        <w:rPr>
          <w:rFonts w:hint="eastAsia" w:hAnsi="宋体" w:cs="宋体"/>
          <w:sz w:val="24"/>
          <w:szCs w:val="24"/>
          <w:shd w:val="clear" w:color="auto" w:fill="FFFFFF"/>
        </w:rPr>
        <w:t>分值汇总计算错误的；</w:t>
      </w:r>
    </w:p>
    <w:p>
      <w:pPr>
        <w:pStyle w:val="20"/>
        <w:numPr>
          <w:ilvl w:val="0"/>
          <w:numId w:val="31"/>
        </w:numPr>
        <w:spacing w:line="360" w:lineRule="auto"/>
        <w:rPr>
          <w:rFonts w:hAnsi="宋体"/>
          <w:sz w:val="24"/>
          <w:szCs w:val="24"/>
        </w:rPr>
      </w:pPr>
      <w:r>
        <w:rPr>
          <w:rFonts w:hint="eastAsia" w:hAnsi="宋体" w:cs="宋体"/>
          <w:sz w:val="24"/>
          <w:szCs w:val="24"/>
          <w:shd w:val="clear" w:color="auto" w:fill="FFFFFF"/>
        </w:rPr>
        <w:t>分项评分超出评分标准范围的；</w:t>
      </w:r>
    </w:p>
    <w:p>
      <w:pPr>
        <w:pStyle w:val="20"/>
        <w:numPr>
          <w:ilvl w:val="0"/>
          <w:numId w:val="31"/>
        </w:numPr>
        <w:spacing w:line="360" w:lineRule="auto"/>
        <w:rPr>
          <w:rFonts w:hAnsi="宋体"/>
          <w:sz w:val="24"/>
          <w:szCs w:val="24"/>
        </w:rPr>
      </w:pPr>
      <w:r>
        <w:rPr>
          <w:rFonts w:hint="eastAsia" w:hAnsi="宋体" w:cs="宋体"/>
          <w:sz w:val="24"/>
          <w:szCs w:val="24"/>
          <w:shd w:val="clear" w:color="auto" w:fill="FFFFFF"/>
        </w:rPr>
        <w:t>评标委员会成员对客观评审因素评分不一致的；</w:t>
      </w:r>
    </w:p>
    <w:p>
      <w:pPr>
        <w:pStyle w:val="20"/>
        <w:numPr>
          <w:ilvl w:val="0"/>
          <w:numId w:val="31"/>
        </w:numPr>
        <w:spacing w:line="360" w:lineRule="auto"/>
        <w:rPr>
          <w:rFonts w:hAnsi="宋体"/>
          <w:sz w:val="24"/>
          <w:szCs w:val="24"/>
        </w:rPr>
      </w:pPr>
      <w:r>
        <w:rPr>
          <w:rFonts w:hint="eastAsia" w:hAnsi="宋体" w:cs="宋体"/>
          <w:sz w:val="24"/>
          <w:szCs w:val="24"/>
          <w:shd w:val="clear" w:color="auto" w:fill="FFFFFF"/>
        </w:rPr>
        <w:t>经评标委员会认定评分畸高、畸低的。</w:t>
      </w:r>
    </w:p>
    <w:p>
      <w:pPr>
        <w:autoSpaceDE w:val="0"/>
        <w:autoSpaceDN w:val="0"/>
        <w:spacing w:line="360" w:lineRule="auto"/>
        <w:ind w:left="1042" w:leftChars="496" w:firstLine="480" w:firstLineChars="200"/>
        <w:rPr>
          <w:rFonts w:ascii="宋体" w:hAnsi="宋体" w:cs="宋体"/>
          <w:sz w:val="24"/>
          <w:shd w:val="clear" w:color="auto" w:fill="FFFFFF"/>
        </w:rPr>
      </w:pPr>
      <w:r>
        <w:rPr>
          <w:rFonts w:hint="eastAsia" w:ascii="宋体" w:hAnsi="宋体" w:cs="宋体"/>
          <w:sz w:val="24"/>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pStyle w:val="20"/>
        <w:spacing w:line="360" w:lineRule="auto"/>
        <w:ind w:left="1042" w:leftChars="496" w:firstLine="480" w:firstLineChars="200"/>
        <w:rPr>
          <w:rFonts w:hAnsi="宋体"/>
          <w:sz w:val="24"/>
          <w:szCs w:val="24"/>
        </w:rPr>
      </w:pPr>
      <w:r>
        <w:rPr>
          <w:rFonts w:hint="eastAsia" w:hAnsi="宋体" w:cs="宋体"/>
          <w:sz w:val="24"/>
          <w:szCs w:val="24"/>
          <w:shd w:val="clear" w:color="auto" w:fill="FFFFFF"/>
        </w:rPr>
        <w:t>磋商人对以上情形提出质疑的，采购人或者采购代理机构可以组织原评标委员会进行重新评审，重新评审改变评标结果的，应当书面报告本级财政部门。</w:t>
      </w:r>
    </w:p>
    <w:p>
      <w:pPr>
        <w:pStyle w:val="10"/>
        <w:numPr>
          <w:ilvl w:val="0"/>
          <w:numId w:val="5"/>
        </w:numPr>
        <w:spacing w:before="0" w:after="0" w:line="360" w:lineRule="auto"/>
        <w:rPr>
          <w:rFonts w:ascii="宋体" w:hAnsi="宋体"/>
          <w:b w:val="0"/>
          <w:sz w:val="24"/>
          <w:szCs w:val="24"/>
        </w:rPr>
      </w:pPr>
      <w:bookmarkStart w:id="87" w:name="_Toc3386"/>
      <w:bookmarkStart w:id="88" w:name="_Toc488673638"/>
      <w:r>
        <w:rPr>
          <w:rFonts w:hint="eastAsia" w:ascii="宋体" w:hAnsi="宋体"/>
          <w:b w:val="0"/>
          <w:sz w:val="24"/>
          <w:szCs w:val="24"/>
        </w:rPr>
        <w:t>成交通知</w:t>
      </w:r>
      <w:bookmarkEnd w:id="87"/>
      <w:bookmarkEnd w:id="88"/>
    </w:p>
    <w:p>
      <w:pPr>
        <w:pStyle w:val="20"/>
        <w:numPr>
          <w:ilvl w:val="1"/>
          <w:numId w:val="32"/>
        </w:numPr>
        <w:spacing w:line="360" w:lineRule="auto"/>
        <w:rPr>
          <w:rFonts w:hAnsi="宋体"/>
          <w:b/>
          <w:bCs/>
          <w:sz w:val="24"/>
          <w:szCs w:val="24"/>
        </w:rPr>
      </w:pPr>
      <w:r>
        <w:rPr>
          <w:rFonts w:hint="eastAsia" w:hAnsi="宋体" w:cs="宋体"/>
          <w:sz w:val="24"/>
          <w:szCs w:val="24"/>
        </w:rPr>
        <w:t>采购代理机构应当在评标结束后2个工作日内将评标报告送采购人。采购人应当自收到评标报告之日起５个工作日内，在评标报告确定的成交候选人名单中按顺序确定成交人。成交候选人并列的，由采购人或者采购人委托评标委员会按照磋商文件规定的方式确定成交人；磋商文件未规定的，采取随机抽取的方式确定。</w:t>
      </w:r>
    </w:p>
    <w:p>
      <w:pPr>
        <w:pStyle w:val="20"/>
        <w:numPr>
          <w:ilvl w:val="1"/>
          <w:numId w:val="32"/>
        </w:numPr>
        <w:spacing w:line="360" w:lineRule="auto"/>
        <w:rPr>
          <w:rFonts w:hAnsi="宋体"/>
          <w:b/>
          <w:bCs/>
          <w:sz w:val="24"/>
          <w:szCs w:val="24"/>
        </w:rPr>
      </w:pPr>
      <w:r>
        <w:rPr>
          <w:rFonts w:hint="eastAsia" w:hAnsi="宋体" w:cs="宋体"/>
          <w:sz w:val="24"/>
          <w:szCs w:val="24"/>
        </w:rPr>
        <w:t>采购人在收到评标报告5个工作日内未按评标报告推荐的成交候选人顺序确定成交人，又不能说明合法理由的，视同按评标报告推荐的顺序确定排名第一的成交候选人为成交人。</w:t>
      </w:r>
    </w:p>
    <w:p>
      <w:pPr>
        <w:pStyle w:val="20"/>
        <w:numPr>
          <w:ilvl w:val="1"/>
          <w:numId w:val="32"/>
        </w:numPr>
        <w:spacing w:line="360" w:lineRule="auto"/>
        <w:rPr>
          <w:rFonts w:hAnsi="宋体"/>
          <w:b/>
          <w:bCs/>
          <w:sz w:val="24"/>
          <w:szCs w:val="24"/>
        </w:rPr>
      </w:pPr>
      <w:r>
        <w:rPr>
          <w:rFonts w:hint="eastAsia" w:hAnsi="宋体"/>
          <w:sz w:val="24"/>
          <w:szCs w:val="24"/>
        </w:rPr>
        <w:t>采购代理机构自成交磋商供应商确定之日起2个工作日内发出《成交通知书》，并在青海政府采购网</w:t>
      </w:r>
      <w:r>
        <w:rPr>
          <w:rFonts w:hint="eastAsia" w:hAnsi="宋体"/>
          <w:sz w:val="24"/>
          <w:szCs w:val="28"/>
        </w:rPr>
        <w:t>、</w:t>
      </w:r>
      <w:r>
        <w:rPr>
          <w:rFonts w:hint="eastAsia" w:hAnsi="宋体"/>
          <w:sz w:val="24"/>
          <w:szCs w:val="24"/>
        </w:rPr>
        <w:t>青海项目信息网等媒体上公告成交结果。</w:t>
      </w:r>
    </w:p>
    <w:p>
      <w:pPr>
        <w:pStyle w:val="20"/>
        <w:numPr>
          <w:ilvl w:val="1"/>
          <w:numId w:val="32"/>
        </w:numPr>
        <w:spacing w:line="360" w:lineRule="auto"/>
        <w:rPr>
          <w:rFonts w:hAnsi="宋体"/>
          <w:b/>
          <w:bCs/>
          <w:sz w:val="24"/>
          <w:szCs w:val="24"/>
        </w:rPr>
      </w:pPr>
      <w:r>
        <w:rPr>
          <w:rFonts w:hint="eastAsia" w:hAnsi="宋体" w:cs="宋体"/>
          <w:sz w:val="24"/>
          <w:szCs w:val="24"/>
        </w:rPr>
        <w:t>成交结果公告内容应当包括采购人及其委托的采购代理机构的名称、地址、联系方式，项目名称和项目编号，成交人名称、地址和成交金额，主要成交标的的名称、规格型号、数量、单价、服务要求，成交公告期限以及评审专家名单。</w:t>
      </w:r>
    </w:p>
    <w:p>
      <w:pPr>
        <w:pStyle w:val="20"/>
        <w:numPr>
          <w:ilvl w:val="1"/>
          <w:numId w:val="32"/>
        </w:numPr>
        <w:spacing w:line="360" w:lineRule="auto"/>
        <w:rPr>
          <w:rFonts w:hAnsi="宋体"/>
          <w:b/>
          <w:bCs/>
          <w:sz w:val="24"/>
          <w:szCs w:val="24"/>
        </w:rPr>
      </w:pPr>
      <w:r>
        <w:rPr>
          <w:rFonts w:hint="eastAsia" w:hAnsi="宋体" w:cs="宋体"/>
          <w:sz w:val="24"/>
          <w:szCs w:val="24"/>
        </w:rPr>
        <w:t>成交公告期限为1个工作日。</w:t>
      </w:r>
    </w:p>
    <w:p>
      <w:pPr>
        <w:pStyle w:val="20"/>
        <w:numPr>
          <w:ilvl w:val="1"/>
          <w:numId w:val="32"/>
        </w:numPr>
        <w:spacing w:line="360" w:lineRule="auto"/>
        <w:rPr>
          <w:rFonts w:hAnsi="宋体"/>
          <w:b/>
          <w:bCs/>
          <w:sz w:val="24"/>
          <w:szCs w:val="24"/>
        </w:rPr>
      </w:pPr>
      <w:r>
        <w:rPr>
          <w:rFonts w:hint="eastAsia" w:hAnsi="宋体" w:cs="宋体"/>
          <w:sz w:val="24"/>
          <w:szCs w:val="24"/>
        </w:rPr>
        <w:t>在公告成交结果的同时，</w:t>
      </w:r>
      <w:r>
        <w:rPr>
          <w:rFonts w:hint="eastAsia" w:hAnsi="宋体" w:cs="宋体"/>
          <w:sz w:val="24"/>
          <w:szCs w:val="24"/>
          <w:shd w:val="clear" w:color="auto" w:fill="FFFFFF"/>
        </w:rPr>
        <w:t>采购人或者采购代理机构</w:t>
      </w:r>
      <w:r>
        <w:rPr>
          <w:rFonts w:hint="eastAsia" w:hAnsi="宋体" w:cs="宋体"/>
          <w:sz w:val="24"/>
          <w:szCs w:val="24"/>
        </w:rPr>
        <w:t>应当向成交人发出成交通知书；采用综合评分法评审的，还应当告知未成交人本人的评审得分与排序。</w:t>
      </w:r>
    </w:p>
    <w:p>
      <w:pPr>
        <w:pStyle w:val="20"/>
        <w:numPr>
          <w:ilvl w:val="1"/>
          <w:numId w:val="32"/>
        </w:numPr>
        <w:spacing w:line="360" w:lineRule="auto"/>
        <w:rPr>
          <w:rFonts w:hAnsi="宋体"/>
          <w:b/>
          <w:bCs/>
          <w:sz w:val="24"/>
          <w:szCs w:val="24"/>
        </w:rPr>
      </w:pPr>
      <w:r>
        <w:rPr>
          <w:rFonts w:hint="eastAsia" w:hAnsi="宋体" w:cs="宋体"/>
          <w:sz w:val="24"/>
          <w:szCs w:val="24"/>
        </w:rPr>
        <w:t>成交通知书发出后，采购人不得违法改变成交结果，成交人无正当理由不得放弃成交。</w:t>
      </w:r>
    </w:p>
    <w:p>
      <w:pPr>
        <w:pStyle w:val="20"/>
        <w:numPr>
          <w:ilvl w:val="1"/>
          <w:numId w:val="32"/>
        </w:numPr>
        <w:spacing w:line="360" w:lineRule="auto"/>
        <w:rPr>
          <w:rFonts w:hAnsi="宋体"/>
          <w:b/>
          <w:bCs/>
          <w:sz w:val="24"/>
          <w:szCs w:val="24"/>
        </w:rPr>
      </w:pPr>
      <w:r>
        <w:rPr>
          <w:rFonts w:hint="eastAsia" w:hAnsi="宋体"/>
          <w:sz w:val="24"/>
          <w:szCs w:val="24"/>
        </w:rPr>
        <w:t>《成交通知书》对采购单位和成交磋商供应商具有同等效力，《成交通知书》发出后，采购单位改变成交结果的，或者成交磋商供应商无正当理由放弃成交项目的，依法承担法律责任。</w:t>
      </w:r>
    </w:p>
    <w:p>
      <w:pPr>
        <w:pStyle w:val="9"/>
        <w:ind w:left="709"/>
        <w:rPr>
          <w:rFonts w:hAnsi="宋体"/>
          <w:b/>
          <w:sz w:val="24"/>
          <w:szCs w:val="24"/>
        </w:rPr>
      </w:pPr>
      <w:bookmarkStart w:id="89" w:name="_Toc15156"/>
      <w:r>
        <w:rPr>
          <w:rFonts w:hint="eastAsia" w:hAnsi="宋体"/>
          <w:b/>
          <w:sz w:val="24"/>
          <w:szCs w:val="24"/>
        </w:rPr>
        <w:t>授予合同</w:t>
      </w:r>
      <w:bookmarkEnd w:id="89"/>
    </w:p>
    <w:p>
      <w:pPr>
        <w:pStyle w:val="10"/>
        <w:numPr>
          <w:ilvl w:val="0"/>
          <w:numId w:val="5"/>
        </w:numPr>
        <w:spacing w:before="0" w:after="0" w:line="360" w:lineRule="auto"/>
        <w:rPr>
          <w:rFonts w:ascii="宋体" w:hAnsi="宋体"/>
          <w:b w:val="0"/>
          <w:sz w:val="24"/>
          <w:szCs w:val="24"/>
        </w:rPr>
      </w:pPr>
      <w:bookmarkStart w:id="90" w:name="_Toc24901"/>
      <w:bookmarkStart w:id="91" w:name="_Toc488673640"/>
      <w:r>
        <w:rPr>
          <w:rFonts w:hint="eastAsia" w:ascii="宋体" w:hAnsi="宋体"/>
          <w:b w:val="0"/>
          <w:sz w:val="24"/>
          <w:szCs w:val="24"/>
        </w:rPr>
        <w:t>签订合同</w:t>
      </w:r>
      <w:bookmarkEnd w:id="90"/>
      <w:bookmarkEnd w:id="91"/>
    </w:p>
    <w:p>
      <w:pPr>
        <w:pStyle w:val="20"/>
        <w:numPr>
          <w:ilvl w:val="1"/>
          <w:numId w:val="33"/>
        </w:numPr>
        <w:spacing w:line="360" w:lineRule="auto"/>
        <w:rPr>
          <w:rFonts w:hAnsi="宋体"/>
          <w:sz w:val="24"/>
          <w:szCs w:val="24"/>
        </w:rPr>
      </w:pPr>
      <w:r>
        <w:rPr>
          <w:rFonts w:hint="eastAsia" w:hAnsi="宋体"/>
          <w:sz w:val="24"/>
          <w:szCs w:val="24"/>
        </w:rPr>
        <w:t>采购单位与成交磋商供应商双方应当自《成交通知书》发出之日起30日内，签订采购合同，送采购代理机构审核并备案；</w:t>
      </w:r>
    </w:p>
    <w:p>
      <w:pPr>
        <w:pStyle w:val="20"/>
        <w:numPr>
          <w:ilvl w:val="1"/>
          <w:numId w:val="33"/>
        </w:numPr>
        <w:spacing w:line="360" w:lineRule="auto"/>
        <w:rPr>
          <w:rFonts w:hAnsi="宋体"/>
          <w:sz w:val="24"/>
          <w:szCs w:val="24"/>
        </w:rPr>
      </w:pPr>
      <w:r>
        <w:rPr>
          <w:rFonts w:hAnsi="宋体"/>
          <w:sz w:val="24"/>
          <w:szCs w:val="24"/>
        </w:rPr>
        <w:t>签订合同时，成交人以支票、汇票、本票等非现金形式向采购人指定的账户交纳履约保证金。履约保证金的数额为采购合同总金额的5%。</w:t>
      </w:r>
    </w:p>
    <w:p>
      <w:pPr>
        <w:pStyle w:val="20"/>
        <w:numPr>
          <w:ilvl w:val="1"/>
          <w:numId w:val="33"/>
        </w:numPr>
        <w:spacing w:line="360" w:lineRule="auto"/>
        <w:rPr>
          <w:rFonts w:hAnsi="宋体"/>
          <w:sz w:val="24"/>
          <w:szCs w:val="24"/>
        </w:rPr>
      </w:pPr>
      <w:r>
        <w:rPr>
          <w:rFonts w:hint="eastAsia" w:hAnsi="宋体"/>
          <w:sz w:val="24"/>
          <w:szCs w:val="24"/>
        </w:rPr>
        <w:t>成交磋商供应商在法定期限内无正当理由拒签合同的，按违约处理。同时，采购代理机构和采购单位可依评标排序重新确定成交磋商供应商，并协调双方签订采购合同，或重新组织采购活动；</w:t>
      </w:r>
    </w:p>
    <w:p>
      <w:pPr>
        <w:pStyle w:val="20"/>
        <w:numPr>
          <w:ilvl w:val="1"/>
          <w:numId w:val="33"/>
        </w:numPr>
        <w:spacing w:line="360" w:lineRule="auto"/>
        <w:rPr>
          <w:rFonts w:hAnsi="宋体"/>
          <w:sz w:val="24"/>
          <w:szCs w:val="24"/>
        </w:rPr>
      </w:pPr>
      <w:r>
        <w:rPr>
          <w:rFonts w:hint="eastAsia" w:hAnsi="宋体"/>
          <w:sz w:val="24"/>
          <w:szCs w:val="24"/>
        </w:rPr>
        <w:t>采购单位不得向成交供应商提出任何不合理的要求作为订立合同的条件，采购单位和成交供应商不得私下订立背离合同实质性内容的协议；</w:t>
      </w:r>
    </w:p>
    <w:p>
      <w:pPr>
        <w:pStyle w:val="20"/>
        <w:numPr>
          <w:ilvl w:val="1"/>
          <w:numId w:val="33"/>
        </w:numPr>
        <w:spacing w:line="360" w:lineRule="auto"/>
        <w:rPr>
          <w:rFonts w:hAnsi="宋体"/>
          <w:sz w:val="24"/>
          <w:szCs w:val="24"/>
        </w:rPr>
      </w:pPr>
      <w:r>
        <w:rPr>
          <w:rFonts w:hint="eastAsia" w:hAnsi="宋体"/>
          <w:sz w:val="24"/>
          <w:szCs w:val="24"/>
        </w:rPr>
        <w:t>磋商文件、成交磋商供应商的磋商响应文件、《成交通知书》及其澄清、说明文件、承诺等，均为签订采购合同的依据，作为采购合同的组成部分；</w:t>
      </w:r>
    </w:p>
    <w:p>
      <w:pPr>
        <w:pStyle w:val="20"/>
        <w:numPr>
          <w:ilvl w:val="1"/>
          <w:numId w:val="33"/>
        </w:numPr>
        <w:spacing w:line="360" w:lineRule="auto"/>
        <w:rPr>
          <w:rFonts w:hAnsi="宋体"/>
          <w:sz w:val="24"/>
          <w:szCs w:val="24"/>
        </w:rPr>
      </w:pPr>
      <w:r>
        <w:rPr>
          <w:rFonts w:hint="eastAsia" w:hAnsi="宋体"/>
          <w:sz w:val="24"/>
          <w:szCs w:val="24"/>
        </w:rPr>
        <w:t>采购人与成交人应当根据合同的约定依法履行合同义务。政府采购合同的履行、违约责任和解决争议的方法等适用《中华人民共和国民法典》。</w:t>
      </w:r>
    </w:p>
    <w:p>
      <w:pPr>
        <w:pStyle w:val="20"/>
        <w:numPr>
          <w:ilvl w:val="1"/>
          <w:numId w:val="33"/>
        </w:numPr>
        <w:spacing w:line="360" w:lineRule="auto"/>
        <w:rPr>
          <w:rFonts w:hAnsi="宋体"/>
          <w:sz w:val="24"/>
          <w:szCs w:val="24"/>
        </w:rPr>
      </w:pPr>
      <w:r>
        <w:rPr>
          <w:rFonts w:hint="eastAsia" w:hAnsi="宋体"/>
          <w:sz w:val="24"/>
          <w:szCs w:val="24"/>
        </w:rPr>
        <w:t>采购人应当及时对采购项目进行验收。采购人可以邀请参加本项目的其他磋商人或者第三方机构参与验收。参与验收的磋商人或者第三方机构的意见作为验收书的参考资料一并存档。</w:t>
      </w:r>
    </w:p>
    <w:p>
      <w:pPr>
        <w:pStyle w:val="20"/>
        <w:numPr>
          <w:ilvl w:val="1"/>
          <w:numId w:val="33"/>
        </w:numPr>
        <w:spacing w:line="360" w:lineRule="auto"/>
        <w:rPr>
          <w:rFonts w:hAnsi="宋体"/>
          <w:sz w:val="24"/>
          <w:szCs w:val="24"/>
        </w:rPr>
      </w:pPr>
      <w:r>
        <w:rPr>
          <w:rFonts w:hint="eastAsia" w:hAnsi="宋体"/>
          <w:sz w:val="24"/>
          <w:szCs w:val="24"/>
        </w:rPr>
        <w:t>采购人应当加强对成交人的履约管理，并按照采购合同约定，及时向成交人支付采购资金。对于成交人违反采购合同约定的行为，采购人应当及时处理，依法追究其违约责任。</w:t>
      </w:r>
    </w:p>
    <w:p>
      <w:pPr>
        <w:pStyle w:val="20"/>
        <w:numPr>
          <w:ilvl w:val="1"/>
          <w:numId w:val="33"/>
        </w:numPr>
        <w:spacing w:line="360" w:lineRule="auto"/>
        <w:rPr>
          <w:rFonts w:hAnsi="宋体"/>
          <w:sz w:val="24"/>
          <w:szCs w:val="24"/>
        </w:rPr>
      </w:pPr>
      <w:r>
        <w:rPr>
          <w:rFonts w:hint="eastAsia" w:hAnsi="宋体"/>
          <w:sz w:val="24"/>
          <w:szCs w:val="24"/>
        </w:rPr>
        <w:t>采购合同签订之日起2个工作日内，由采购单位将采购合同在</w:t>
      </w:r>
      <w:r>
        <w:rPr>
          <w:rFonts w:hint="eastAsia" w:hAnsi="宋体"/>
          <w:sz w:val="24"/>
          <w:szCs w:val="28"/>
        </w:rPr>
        <w:t>青海政府采购网、青海项目信息网</w:t>
      </w:r>
      <w:r>
        <w:rPr>
          <w:rFonts w:hint="eastAsia" w:hAnsi="宋体"/>
          <w:sz w:val="24"/>
          <w:szCs w:val="24"/>
        </w:rPr>
        <w:t>等媒体上公告，但采购合同中涉及国家秘密、商业秘密的内容除外。</w:t>
      </w:r>
    </w:p>
    <w:p>
      <w:pPr>
        <w:pStyle w:val="20"/>
        <w:numPr>
          <w:ilvl w:val="1"/>
          <w:numId w:val="33"/>
        </w:numPr>
        <w:spacing w:line="360" w:lineRule="auto"/>
        <w:rPr>
          <w:rFonts w:hAnsi="宋体"/>
          <w:sz w:val="24"/>
          <w:szCs w:val="24"/>
        </w:rPr>
      </w:pPr>
      <w:r>
        <w:rPr>
          <w:rFonts w:hint="eastAsia" w:hAnsi="宋体"/>
          <w:sz w:val="24"/>
          <w:szCs w:val="24"/>
        </w:rPr>
        <w:t>采购人、采购代理机构应当建立真实完整的招标采购档案，妥善保存每项采购活动的磋商文件。</w:t>
      </w:r>
    </w:p>
    <w:p>
      <w:pPr>
        <w:pStyle w:val="9"/>
        <w:ind w:left="709"/>
        <w:rPr>
          <w:rFonts w:hAnsi="宋体"/>
          <w:b/>
          <w:sz w:val="24"/>
          <w:szCs w:val="24"/>
        </w:rPr>
      </w:pPr>
      <w:bookmarkStart w:id="92" w:name="_Toc22338"/>
      <w:r>
        <w:rPr>
          <w:rFonts w:hint="eastAsia" w:hAnsi="宋体"/>
          <w:b/>
          <w:sz w:val="24"/>
          <w:szCs w:val="24"/>
        </w:rPr>
        <w:t>废标条款</w:t>
      </w:r>
      <w:bookmarkEnd w:id="92"/>
    </w:p>
    <w:p>
      <w:pPr>
        <w:pStyle w:val="10"/>
        <w:numPr>
          <w:ilvl w:val="0"/>
          <w:numId w:val="5"/>
        </w:numPr>
        <w:spacing w:before="0" w:after="0" w:line="360" w:lineRule="auto"/>
        <w:rPr>
          <w:rFonts w:ascii="宋体" w:hAnsi="宋体"/>
          <w:b w:val="0"/>
          <w:sz w:val="24"/>
          <w:szCs w:val="24"/>
        </w:rPr>
      </w:pPr>
      <w:bookmarkStart w:id="93" w:name="_Toc488673642"/>
      <w:bookmarkStart w:id="94" w:name="_Toc5165"/>
      <w:r>
        <w:rPr>
          <w:rFonts w:hint="eastAsia" w:ascii="宋体" w:hAnsi="宋体"/>
          <w:b w:val="0"/>
          <w:sz w:val="24"/>
          <w:szCs w:val="24"/>
        </w:rPr>
        <w:t>废标情形</w:t>
      </w:r>
      <w:bookmarkEnd w:id="93"/>
      <w:bookmarkEnd w:id="94"/>
    </w:p>
    <w:p>
      <w:pPr>
        <w:pStyle w:val="20"/>
        <w:numPr>
          <w:ilvl w:val="1"/>
          <w:numId w:val="34"/>
        </w:numPr>
        <w:spacing w:line="360" w:lineRule="auto"/>
        <w:rPr>
          <w:rFonts w:hAnsi="宋体"/>
          <w:sz w:val="24"/>
          <w:szCs w:val="24"/>
        </w:rPr>
      </w:pPr>
      <w:r>
        <w:rPr>
          <w:rFonts w:hAnsi="宋体" w:cs="Arial"/>
          <w:sz w:val="24"/>
          <w:szCs w:val="24"/>
        </w:rPr>
        <w:t>在磋商采购中，出现下列情形之一的，应予废标</w:t>
      </w:r>
      <w:r>
        <w:rPr>
          <w:rFonts w:hint="eastAsia" w:hAnsi="宋体" w:cs="Arial"/>
          <w:sz w:val="24"/>
          <w:szCs w:val="24"/>
        </w:rPr>
        <w:t>：</w:t>
      </w:r>
    </w:p>
    <w:p>
      <w:pPr>
        <w:pStyle w:val="20"/>
        <w:numPr>
          <w:ilvl w:val="0"/>
          <w:numId w:val="35"/>
        </w:numPr>
        <w:spacing w:line="360" w:lineRule="auto"/>
        <w:rPr>
          <w:rFonts w:hAnsi="宋体" w:cs="Arial"/>
          <w:sz w:val="24"/>
          <w:szCs w:val="24"/>
        </w:rPr>
      </w:pPr>
      <w:r>
        <w:rPr>
          <w:rFonts w:hint="eastAsia" w:hAnsi="宋体" w:cs="Arial"/>
          <w:sz w:val="24"/>
          <w:szCs w:val="24"/>
        </w:rPr>
        <w:t>符合磋商条件的磋商供应商或者对磋商文件作出实质性响应的磋商供应商不足三家的；</w:t>
      </w:r>
    </w:p>
    <w:p>
      <w:pPr>
        <w:pStyle w:val="20"/>
        <w:numPr>
          <w:ilvl w:val="0"/>
          <w:numId w:val="35"/>
        </w:numPr>
        <w:spacing w:line="360" w:lineRule="auto"/>
        <w:rPr>
          <w:rFonts w:hAnsi="宋体" w:cs="Arial"/>
          <w:sz w:val="24"/>
          <w:szCs w:val="24"/>
        </w:rPr>
      </w:pPr>
      <w:r>
        <w:rPr>
          <w:rFonts w:hint="eastAsia" w:hAnsi="宋体" w:cs="Arial"/>
          <w:sz w:val="24"/>
          <w:szCs w:val="24"/>
        </w:rPr>
        <w:t>出现影响采购活动正常推进的违法、违规行为的；</w:t>
      </w:r>
    </w:p>
    <w:p>
      <w:pPr>
        <w:pStyle w:val="20"/>
        <w:numPr>
          <w:ilvl w:val="0"/>
          <w:numId w:val="35"/>
        </w:numPr>
        <w:spacing w:line="360" w:lineRule="auto"/>
        <w:rPr>
          <w:rFonts w:hAnsi="宋体" w:cs="Arial"/>
          <w:sz w:val="24"/>
          <w:szCs w:val="24"/>
        </w:rPr>
      </w:pPr>
      <w:r>
        <w:rPr>
          <w:rFonts w:hint="eastAsia" w:hAnsi="宋体" w:cs="Arial"/>
          <w:sz w:val="24"/>
          <w:szCs w:val="24"/>
        </w:rPr>
        <w:t>磋商供应商的报价均超出采购预算额度，采购单位不能支付的；</w:t>
      </w:r>
    </w:p>
    <w:p>
      <w:pPr>
        <w:pStyle w:val="20"/>
        <w:numPr>
          <w:ilvl w:val="0"/>
          <w:numId w:val="35"/>
        </w:numPr>
        <w:spacing w:line="360" w:lineRule="auto"/>
        <w:rPr>
          <w:rFonts w:hAnsi="宋体" w:cs="Arial"/>
          <w:sz w:val="24"/>
          <w:szCs w:val="24"/>
        </w:rPr>
      </w:pPr>
      <w:r>
        <w:rPr>
          <w:rFonts w:hint="eastAsia" w:hAnsi="宋体" w:cs="Arial"/>
          <w:sz w:val="24"/>
          <w:szCs w:val="24"/>
        </w:rPr>
        <w:t>因重大变故，采购任务取消的。</w:t>
      </w:r>
    </w:p>
    <w:p>
      <w:pPr>
        <w:pStyle w:val="20"/>
        <w:numPr>
          <w:ilvl w:val="1"/>
          <w:numId w:val="34"/>
        </w:numPr>
        <w:spacing w:line="360" w:lineRule="auto"/>
        <w:rPr>
          <w:rFonts w:hAnsi="宋体"/>
          <w:sz w:val="24"/>
          <w:szCs w:val="24"/>
        </w:rPr>
      </w:pPr>
      <w:r>
        <w:rPr>
          <w:rFonts w:hint="eastAsia" w:hAnsi="宋体"/>
          <w:sz w:val="24"/>
          <w:szCs w:val="24"/>
        </w:rPr>
        <w:t>废标后，由采购代理机构发布废标公告。</w:t>
      </w:r>
    </w:p>
    <w:p>
      <w:pPr>
        <w:pStyle w:val="9"/>
        <w:ind w:left="709"/>
        <w:rPr>
          <w:rFonts w:hAnsi="宋体"/>
          <w:b/>
          <w:sz w:val="24"/>
          <w:szCs w:val="24"/>
        </w:rPr>
      </w:pPr>
      <w:bookmarkStart w:id="95" w:name="_Toc14964"/>
      <w:r>
        <w:rPr>
          <w:rFonts w:hint="eastAsia" w:hAnsi="宋体"/>
          <w:b/>
          <w:sz w:val="24"/>
          <w:szCs w:val="24"/>
        </w:rPr>
        <w:t>其他</w:t>
      </w:r>
      <w:bookmarkEnd w:id="95"/>
    </w:p>
    <w:p>
      <w:pPr>
        <w:pStyle w:val="10"/>
        <w:numPr>
          <w:ilvl w:val="0"/>
          <w:numId w:val="5"/>
        </w:numPr>
        <w:spacing w:before="0" w:after="0" w:line="360" w:lineRule="auto"/>
        <w:rPr>
          <w:rFonts w:ascii="宋体" w:hAnsi="宋体"/>
          <w:b w:val="0"/>
          <w:sz w:val="24"/>
          <w:szCs w:val="24"/>
        </w:rPr>
      </w:pPr>
      <w:bookmarkStart w:id="96" w:name="_Toc17273"/>
      <w:bookmarkStart w:id="97" w:name="_Toc488673644"/>
      <w:r>
        <w:rPr>
          <w:rFonts w:hint="eastAsia" w:ascii="宋体" w:hAnsi="宋体"/>
          <w:b w:val="0"/>
          <w:sz w:val="24"/>
          <w:szCs w:val="24"/>
        </w:rPr>
        <w:t>串标情形</w:t>
      </w:r>
      <w:bookmarkEnd w:id="96"/>
      <w:bookmarkEnd w:id="97"/>
    </w:p>
    <w:p>
      <w:pPr>
        <w:pStyle w:val="20"/>
        <w:numPr>
          <w:ilvl w:val="0"/>
          <w:numId w:val="36"/>
        </w:numPr>
        <w:spacing w:line="360" w:lineRule="auto"/>
        <w:rPr>
          <w:rFonts w:hAnsi="宋体"/>
          <w:sz w:val="24"/>
          <w:szCs w:val="24"/>
        </w:rPr>
      </w:pPr>
      <w:r>
        <w:rPr>
          <w:rFonts w:hint="eastAsia" w:hAnsi="宋体"/>
          <w:sz w:val="24"/>
          <w:szCs w:val="24"/>
        </w:rPr>
        <w:t>磋商人应当遵循公平竞争的原则，不得恶意串通，不得妨碍其他磋商人的竞争行为，不得损害采购人或者其他磋商人的合法权益</w:t>
      </w:r>
      <w:r>
        <w:rPr>
          <w:rFonts w:hint="eastAsia" w:hAnsi="宋体" w:cs="宋体"/>
          <w:sz w:val="24"/>
          <w:szCs w:val="24"/>
        </w:rPr>
        <w:t>。</w:t>
      </w:r>
    </w:p>
    <w:p>
      <w:pPr>
        <w:pStyle w:val="20"/>
        <w:spacing w:line="360" w:lineRule="auto"/>
        <w:ind w:left="1042" w:leftChars="496"/>
        <w:rPr>
          <w:rFonts w:hAnsi="宋体" w:cs="宋体"/>
          <w:sz w:val="24"/>
          <w:szCs w:val="24"/>
        </w:rPr>
      </w:pPr>
      <w:r>
        <w:rPr>
          <w:rFonts w:hint="eastAsia" w:hAnsi="宋体"/>
          <w:sz w:val="24"/>
          <w:szCs w:val="24"/>
        </w:rPr>
        <w:t>在评标过程中发现磋商人有上述情形的，评标委员会应当认定其投标无效，并书面报告本级财政部门</w:t>
      </w:r>
      <w:r>
        <w:rPr>
          <w:rFonts w:hint="eastAsia" w:hAnsi="宋体" w:cs="宋体"/>
          <w:sz w:val="24"/>
          <w:szCs w:val="24"/>
        </w:rPr>
        <w:t>。</w:t>
      </w:r>
    </w:p>
    <w:p>
      <w:pPr>
        <w:pStyle w:val="20"/>
        <w:numPr>
          <w:ilvl w:val="0"/>
          <w:numId w:val="36"/>
        </w:numPr>
        <w:spacing w:line="360" w:lineRule="auto"/>
        <w:rPr>
          <w:rFonts w:hAnsi="宋体"/>
          <w:sz w:val="24"/>
          <w:szCs w:val="24"/>
        </w:rPr>
      </w:pPr>
      <w:r>
        <w:rPr>
          <w:rFonts w:hint="eastAsia" w:hAnsi="宋体"/>
          <w:sz w:val="24"/>
          <w:szCs w:val="24"/>
        </w:rPr>
        <w:t>有下列情形之一的，视为磋商人串通投标，其投标无效：</w:t>
      </w:r>
    </w:p>
    <w:p>
      <w:pPr>
        <w:pStyle w:val="20"/>
        <w:numPr>
          <w:ilvl w:val="0"/>
          <w:numId w:val="37"/>
        </w:numPr>
        <w:spacing w:line="360" w:lineRule="auto"/>
        <w:rPr>
          <w:rFonts w:hAnsi="宋体"/>
          <w:sz w:val="24"/>
          <w:szCs w:val="24"/>
        </w:rPr>
      </w:pPr>
      <w:r>
        <w:rPr>
          <w:rFonts w:hint="eastAsia" w:hAnsi="宋体" w:cs="宋体"/>
          <w:sz w:val="24"/>
          <w:szCs w:val="24"/>
        </w:rPr>
        <w:t>不同磋商人的磋商响应文件由同一单位或者个人编制；</w:t>
      </w:r>
    </w:p>
    <w:p>
      <w:pPr>
        <w:pStyle w:val="20"/>
        <w:numPr>
          <w:ilvl w:val="0"/>
          <w:numId w:val="37"/>
        </w:numPr>
        <w:spacing w:line="360" w:lineRule="auto"/>
        <w:rPr>
          <w:rFonts w:hAnsi="宋体"/>
          <w:sz w:val="24"/>
          <w:szCs w:val="24"/>
        </w:rPr>
      </w:pPr>
      <w:r>
        <w:rPr>
          <w:rFonts w:hint="eastAsia" w:hAnsi="宋体" w:cs="宋体"/>
          <w:sz w:val="24"/>
          <w:szCs w:val="24"/>
        </w:rPr>
        <w:t>不同磋商人委托同一单位或者个人办理投标事宜；</w:t>
      </w:r>
    </w:p>
    <w:p>
      <w:pPr>
        <w:pStyle w:val="20"/>
        <w:numPr>
          <w:ilvl w:val="0"/>
          <w:numId w:val="37"/>
        </w:numPr>
        <w:spacing w:line="360" w:lineRule="auto"/>
        <w:rPr>
          <w:rFonts w:hAnsi="宋体"/>
          <w:sz w:val="24"/>
          <w:szCs w:val="24"/>
        </w:rPr>
      </w:pPr>
      <w:r>
        <w:rPr>
          <w:rFonts w:hint="eastAsia" w:hAnsi="宋体" w:cs="宋体"/>
          <w:sz w:val="24"/>
          <w:szCs w:val="24"/>
        </w:rPr>
        <w:t>不同磋商人的磋商响应文件载明的项目管理成员或者联系人员为同一人；</w:t>
      </w:r>
    </w:p>
    <w:p>
      <w:pPr>
        <w:pStyle w:val="20"/>
        <w:numPr>
          <w:ilvl w:val="0"/>
          <w:numId w:val="37"/>
        </w:numPr>
        <w:spacing w:line="360" w:lineRule="auto"/>
        <w:rPr>
          <w:rFonts w:hAnsi="宋体"/>
          <w:sz w:val="24"/>
          <w:szCs w:val="24"/>
        </w:rPr>
      </w:pPr>
      <w:r>
        <w:rPr>
          <w:rFonts w:hint="eastAsia" w:hAnsi="宋体" w:cs="宋体"/>
          <w:sz w:val="24"/>
          <w:szCs w:val="24"/>
        </w:rPr>
        <w:t>不同磋商人的磋商响应文件异常一致或者投标报价呈规律性差异；</w:t>
      </w:r>
    </w:p>
    <w:p>
      <w:pPr>
        <w:pStyle w:val="20"/>
        <w:numPr>
          <w:ilvl w:val="0"/>
          <w:numId w:val="37"/>
        </w:numPr>
        <w:spacing w:line="360" w:lineRule="auto"/>
        <w:rPr>
          <w:rFonts w:hAnsi="宋体"/>
          <w:sz w:val="24"/>
          <w:szCs w:val="24"/>
        </w:rPr>
      </w:pPr>
      <w:r>
        <w:rPr>
          <w:rFonts w:hint="eastAsia" w:hAnsi="宋体" w:cs="宋体"/>
          <w:sz w:val="24"/>
          <w:szCs w:val="24"/>
        </w:rPr>
        <w:t>不同磋商人的磋商响应文件相互混装；</w:t>
      </w:r>
    </w:p>
    <w:p>
      <w:pPr>
        <w:pStyle w:val="20"/>
        <w:numPr>
          <w:ilvl w:val="0"/>
          <w:numId w:val="37"/>
        </w:numPr>
        <w:spacing w:line="360" w:lineRule="auto"/>
        <w:rPr>
          <w:rFonts w:hAnsi="宋体"/>
          <w:sz w:val="24"/>
          <w:szCs w:val="24"/>
        </w:rPr>
      </w:pPr>
      <w:r>
        <w:rPr>
          <w:rFonts w:hint="eastAsia" w:hAnsi="宋体" w:cs="宋体"/>
          <w:sz w:val="24"/>
          <w:szCs w:val="24"/>
        </w:rPr>
        <w:t>不同磋商人的投标保证金从同一单位或者个人的账户转出。</w:t>
      </w:r>
    </w:p>
    <w:p>
      <w:pPr>
        <w:pStyle w:val="20"/>
        <w:numPr>
          <w:ilvl w:val="0"/>
          <w:numId w:val="36"/>
        </w:numPr>
        <w:spacing w:line="360" w:lineRule="auto"/>
        <w:rPr>
          <w:rFonts w:hAnsi="宋体"/>
          <w:sz w:val="24"/>
          <w:szCs w:val="24"/>
        </w:rPr>
      </w:pPr>
      <w:r>
        <w:rPr>
          <w:rFonts w:hint="eastAsia" w:hAnsi="宋体"/>
          <w:sz w:val="24"/>
          <w:szCs w:val="24"/>
        </w:rPr>
        <w:t>其他未尽事宜，按照《中华人民共和国政府采购法》、《中华人民共和国民法典》、《中华人民共和国政府采购法实施条例》、《政府采购竞争性磋商采购方式管理暂行办法》等法律法规的有关条款执行。</w:t>
      </w:r>
    </w:p>
    <w:p>
      <w:pPr>
        <w:pStyle w:val="26"/>
        <w:spacing w:before="0" w:after="0" w:line="360" w:lineRule="auto"/>
        <w:rPr>
          <w:rFonts w:ascii="宋体" w:hAnsi="宋体"/>
          <w:sz w:val="48"/>
          <w:szCs w:val="48"/>
        </w:rPr>
      </w:pPr>
      <w:r>
        <w:rPr>
          <w:rFonts w:ascii="宋体" w:hAnsi="宋体"/>
          <w:sz w:val="24"/>
          <w:szCs w:val="24"/>
        </w:rPr>
        <w:br w:type="page"/>
      </w:r>
      <w:bookmarkStart w:id="98" w:name="_Toc15376"/>
      <w:r>
        <w:rPr>
          <w:rFonts w:hint="eastAsia" w:ascii="宋体" w:hAnsi="宋体"/>
          <w:sz w:val="48"/>
          <w:szCs w:val="48"/>
        </w:rPr>
        <w:t>第四部分青海省政府采购合同文本样式</w:t>
      </w:r>
      <w:bookmarkEnd w:id="98"/>
    </w:p>
    <w:p>
      <w:pPr>
        <w:pStyle w:val="20"/>
        <w:spacing w:line="360" w:lineRule="auto"/>
        <w:ind w:firstLine="482" w:firstLineChars="200"/>
        <w:rPr>
          <w:rFonts w:hAnsi="宋体"/>
          <w:b/>
          <w:sz w:val="24"/>
          <w:szCs w:val="24"/>
        </w:rPr>
      </w:pPr>
    </w:p>
    <w:p>
      <w:pPr>
        <w:spacing w:line="360" w:lineRule="auto"/>
        <w:jc w:val="center"/>
        <w:rPr>
          <w:rFonts w:ascii="宋体" w:hAnsi="宋体"/>
          <w:b/>
          <w:spacing w:val="120"/>
          <w:sz w:val="24"/>
        </w:rPr>
      </w:pPr>
    </w:p>
    <w:p>
      <w:pPr>
        <w:spacing w:line="360" w:lineRule="auto"/>
        <w:jc w:val="center"/>
        <w:rPr>
          <w:rFonts w:ascii="宋体" w:hAnsi="宋体"/>
          <w:b/>
          <w:spacing w:val="120"/>
          <w:sz w:val="24"/>
        </w:rPr>
      </w:pPr>
    </w:p>
    <w:p>
      <w:pPr>
        <w:spacing w:line="360" w:lineRule="auto"/>
        <w:jc w:val="center"/>
        <w:rPr>
          <w:rFonts w:ascii="宋体" w:hAnsi="宋体"/>
          <w:b/>
          <w:spacing w:val="120"/>
          <w:sz w:val="72"/>
          <w:szCs w:val="72"/>
        </w:rPr>
      </w:pPr>
    </w:p>
    <w:p>
      <w:pPr>
        <w:spacing w:line="360" w:lineRule="auto"/>
        <w:jc w:val="center"/>
        <w:rPr>
          <w:rFonts w:hint="eastAsia" w:ascii="宋体" w:hAnsi="宋体"/>
          <w:b/>
          <w:bCs/>
          <w:sz w:val="72"/>
          <w:szCs w:val="72"/>
          <w:lang w:val="zh-CN"/>
        </w:rPr>
      </w:pPr>
      <w:r>
        <w:rPr>
          <w:rFonts w:hint="eastAsia" w:ascii="宋体" w:hAnsi="宋体"/>
          <w:b/>
          <w:bCs/>
          <w:sz w:val="72"/>
          <w:szCs w:val="72"/>
          <w:lang w:val="zh-CN"/>
        </w:rPr>
        <w:t>青海省政府采购合同书</w:t>
      </w:r>
    </w:p>
    <w:p>
      <w:pPr>
        <w:pStyle w:val="2"/>
        <w:jc w:val="center"/>
        <w:rPr>
          <w:sz w:val="13"/>
          <w:szCs w:val="18"/>
          <w:lang w:val="zh-CN"/>
        </w:rPr>
      </w:pPr>
      <w:r>
        <w:rPr>
          <w:rFonts w:hint="eastAsia" w:ascii="宋体" w:hAnsi="宋体"/>
          <w:b/>
          <w:bCs/>
          <w:sz w:val="44"/>
          <w:szCs w:val="44"/>
          <w:lang w:val="zh-CN"/>
        </w:rPr>
        <w:t>（合同以最终签订为准）</w:t>
      </w: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pStyle w:val="2"/>
        <w:rPr>
          <w:rFonts w:ascii="宋体" w:hAnsi="宋体"/>
          <w:b/>
          <w:sz w:val="24"/>
        </w:rPr>
      </w:pPr>
    </w:p>
    <w:p>
      <w:pPr>
        <w:pStyle w:val="3"/>
        <w:rPr>
          <w:rFonts w:ascii="宋体" w:hAnsi="宋体"/>
          <w:b/>
          <w:sz w:val="24"/>
        </w:rPr>
      </w:pPr>
    </w:p>
    <w:p>
      <w:pPr>
        <w:pStyle w:val="5"/>
      </w:pPr>
    </w:p>
    <w:p>
      <w:pPr>
        <w:spacing w:line="360" w:lineRule="auto"/>
        <w:rPr>
          <w:rFonts w:ascii="宋体" w:hAnsi="宋体"/>
          <w:b/>
          <w:sz w:val="24"/>
        </w:rPr>
      </w:pPr>
    </w:p>
    <w:p>
      <w:pPr>
        <w:spacing w:line="360" w:lineRule="auto"/>
        <w:ind w:left="2316" w:leftChars="357" w:hanging="1566" w:hangingChars="650"/>
        <w:rPr>
          <w:rFonts w:ascii="宋体" w:hAnsi="宋体"/>
          <w:b/>
          <w:sz w:val="24"/>
          <w:u w:val="single"/>
        </w:rPr>
      </w:pPr>
      <w:r>
        <w:rPr>
          <w:rFonts w:hint="eastAsia" w:ascii="宋体" w:hAnsi="宋体"/>
          <w:b/>
          <w:sz w:val="24"/>
        </w:rPr>
        <w:t>采购项目名称：</w:t>
      </w:r>
      <w:r>
        <w:rPr>
          <w:rFonts w:hint="eastAsia" w:ascii="宋体" w:hAnsi="宋体"/>
          <w:b/>
          <w:sz w:val="24"/>
          <w:u w:val="single"/>
          <w:lang w:eastAsia="zh-CN"/>
        </w:rPr>
        <w:t>青海省中医院干眼检测仪等设备采购项目</w:t>
      </w:r>
      <w:r>
        <w:rPr>
          <w:rFonts w:hint="eastAsia" w:ascii="宋体" w:hAnsi="宋体"/>
          <w:b/>
          <w:sz w:val="24"/>
          <w:u w:val="single"/>
        </w:rPr>
        <w:t xml:space="preserve"> </w:t>
      </w:r>
      <w:r>
        <w:rPr>
          <w:rFonts w:hint="eastAsia" w:ascii="宋体" w:hAnsi="宋体"/>
          <w:b/>
          <w:sz w:val="24"/>
          <w:u w:val="single"/>
          <w:lang w:val="en-US" w:eastAsia="zh-CN"/>
        </w:rPr>
        <w:t xml:space="preserve">           </w:t>
      </w:r>
      <w:r>
        <w:rPr>
          <w:rFonts w:hint="eastAsia" w:ascii="宋体" w:hAnsi="宋体"/>
          <w:b/>
          <w:sz w:val="24"/>
          <w:u w:val="single"/>
        </w:rPr>
        <w:t xml:space="preserve"> </w:t>
      </w:r>
    </w:p>
    <w:p>
      <w:pPr>
        <w:spacing w:line="360" w:lineRule="auto"/>
        <w:ind w:firstLine="723" w:firstLineChars="300"/>
        <w:rPr>
          <w:rFonts w:ascii="宋体" w:hAnsi="宋体"/>
          <w:b/>
          <w:sz w:val="24"/>
          <w:u w:val="single"/>
        </w:rPr>
      </w:pPr>
      <w:r>
        <w:rPr>
          <w:rFonts w:ascii="宋体" w:hAnsi="宋体"/>
          <w:b/>
          <w:sz w:val="24"/>
        </w:rPr>
        <w:t>采购项目编号</w:t>
      </w:r>
      <w:r>
        <w:rPr>
          <w:rFonts w:hint="eastAsia" w:ascii="宋体" w:hAnsi="宋体"/>
          <w:b/>
          <w:sz w:val="24"/>
        </w:rPr>
        <w:t>：</w:t>
      </w:r>
      <w:r>
        <w:rPr>
          <w:rFonts w:hint="eastAsia" w:ascii="宋体" w:hAnsi="宋体"/>
          <w:b/>
          <w:sz w:val="24"/>
          <w:u w:val="single"/>
          <w:lang w:eastAsia="zh-CN"/>
        </w:rPr>
        <w:t>青海国焱竞磋（货物）2025-084号</w:t>
      </w:r>
      <w:r>
        <w:rPr>
          <w:rFonts w:hint="eastAsia" w:ascii="宋体" w:hAnsi="宋体"/>
          <w:b/>
          <w:sz w:val="24"/>
          <w:u w:val="single"/>
        </w:rPr>
        <w:t xml:space="preserve">                  </w:t>
      </w:r>
    </w:p>
    <w:p>
      <w:pPr>
        <w:spacing w:line="360" w:lineRule="auto"/>
        <w:ind w:firstLine="723" w:firstLineChars="300"/>
        <w:rPr>
          <w:rFonts w:ascii="宋体" w:hAnsi="宋体"/>
          <w:b/>
          <w:sz w:val="24"/>
          <w:u w:val="single"/>
        </w:rPr>
      </w:pPr>
      <w:r>
        <w:rPr>
          <w:rFonts w:ascii="宋体" w:hAnsi="宋体"/>
          <w:b/>
          <w:sz w:val="24"/>
        </w:rPr>
        <w:t>采购合同编号</w:t>
      </w:r>
      <w:r>
        <w:rPr>
          <w:rFonts w:hint="eastAsia" w:ascii="宋体" w:hAnsi="宋体"/>
          <w:b/>
          <w:sz w:val="24"/>
        </w:rPr>
        <w:t>：</w:t>
      </w:r>
      <w:r>
        <w:rPr>
          <w:rFonts w:hint="eastAsia" w:ascii="宋体" w:hAnsi="宋体"/>
          <w:b/>
          <w:sz w:val="24"/>
          <w:u w:val="single"/>
        </w:rPr>
        <w:t>QHGY-202</w:t>
      </w:r>
      <w:r>
        <w:rPr>
          <w:rFonts w:hint="eastAsia" w:ascii="宋体" w:hAnsi="宋体"/>
          <w:b/>
          <w:sz w:val="24"/>
          <w:u w:val="single"/>
          <w:lang w:val="en-US" w:eastAsia="zh-CN"/>
        </w:rPr>
        <w:t>5-084</w:t>
      </w:r>
      <w:r>
        <w:rPr>
          <w:rFonts w:hint="eastAsia" w:ascii="宋体" w:hAnsi="宋体"/>
          <w:b/>
          <w:sz w:val="24"/>
          <w:u w:val="single"/>
        </w:rPr>
        <w:t xml:space="preserve">                                   </w:t>
      </w:r>
    </w:p>
    <w:p>
      <w:pPr>
        <w:spacing w:line="360" w:lineRule="auto"/>
        <w:ind w:firstLine="723" w:firstLineChars="300"/>
        <w:rPr>
          <w:rFonts w:ascii="宋体" w:hAnsi="宋体"/>
          <w:b/>
          <w:sz w:val="24"/>
          <w:u w:val="single"/>
        </w:rPr>
      </w:pPr>
      <w:r>
        <w:rPr>
          <w:rFonts w:ascii="宋体" w:hAnsi="宋体"/>
          <w:b/>
          <w:sz w:val="24"/>
        </w:rPr>
        <w:t>合同金额</w:t>
      </w:r>
      <w:r>
        <w:rPr>
          <w:rFonts w:hint="eastAsia" w:ascii="宋体" w:hAnsi="宋体"/>
          <w:b/>
          <w:sz w:val="24"/>
        </w:rPr>
        <w:t>（</w:t>
      </w:r>
      <w:r>
        <w:rPr>
          <w:rFonts w:ascii="宋体" w:hAnsi="宋体"/>
          <w:b/>
          <w:sz w:val="24"/>
        </w:rPr>
        <w:t>人民币</w:t>
      </w:r>
      <w:r>
        <w:rPr>
          <w:rFonts w:hint="eastAsia" w:ascii="宋体" w:hAnsi="宋体"/>
          <w:b/>
          <w:sz w:val="24"/>
        </w:rPr>
        <w:t>）：</w:t>
      </w:r>
      <w:r>
        <w:rPr>
          <w:rFonts w:hint="eastAsia" w:ascii="宋体" w:hAnsi="宋体"/>
          <w:b/>
          <w:sz w:val="24"/>
          <w:u w:val="single"/>
        </w:rPr>
        <w:t xml:space="preserve">                                           </w:t>
      </w:r>
    </w:p>
    <w:p>
      <w:pPr>
        <w:spacing w:line="360" w:lineRule="auto"/>
        <w:ind w:firstLine="723" w:firstLineChars="300"/>
        <w:rPr>
          <w:rFonts w:ascii="宋体" w:hAnsi="宋体"/>
          <w:b/>
          <w:sz w:val="24"/>
          <w:u w:val="single"/>
        </w:rPr>
      </w:pPr>
      <w:r>
        <w:rPr>
          <w:rFonts w:hint="eastAsia" w:ascii="宋体" w:hAnsi="宋体"/>
          <w:b/>
          <w:sz w:val="24"/>
        </w:rPr>
        <w:t>采购单位（</w:t>
      </w:r>
      <w:r>
        <w:rPr>
          <w:rFonts w:ascii="宋体" w:hAnsi="宋体"/>
          <w:b/>
          <w:sz w:val="24"/>
        </w:rPr>
        <w:t>甲方</w:t>
      </w:r>
      <w:r>
        <w:rPr>
          <w:rFonts w:hint="eastAsia" w:ascii="宋体" w:hAnsi="宋体"/>
          <w:b/>
          <w:sz w:val="24"/>
        </w:rPr>
        <w:t>）：</w:t>
      </w:r>
      <w:r>
        <w:rPr>
          <w:rFonts w:hint="eastAsia" w:ascii="宋体" w:hAnsi="宋体"/>
          <w:b/>
          <w:sz w:val="24"/>
          <w:u w:val="single"/>
        </w:rPr>
        <w:t xml:space="preserve"> </w:t>
      </w:r>
      <w:r>
        <w:rPr>
          <w:rFonts w:hint="eastAsia" w:ascii="宋体" w:hAnsi="宋体"/>
          <w:b/>
          <w:sz w:val="24"/>
          <w:u w:val="single"/>
          <w:lang w:eastAsia="zh-CN"/>
        </w:rPr>
        <w:t>青海省中医院</w:t>
      </w:r>
      <w:r>
        <w:rPr>
          <w:rFonts w:hint="eastAsia" w:ascii="宋体" w:hAnsi="宋体"/>
          <w:b/>
          <w:sz w:val="24"/>
          <w:u w:val="single"/>
        </w:rPr>
        <w:t xml:space="preserve">                        （盖章）</w:t>
      </w:r>
    </w:p>
    <w:p>
      <w:pPr>
        <w:spacing w:line="360" w:lineRule="auto"/>
        <w:ind w:firstLine="723" w:firstLineChars="300"/>
        <w:rPr>
          <w:rFonts w:ascii="宋体" w:hAnsi="宋体"/>
          <w:b/>
          <w:sz w:val="24"/>
          <w:u w:val="single"/>
        </w:rPr>
      </w:pPr>
      <w:r>
        <w:rPr>
          <w:rFonts w:ascii="宋体" w:hAnsi="宋体"/>
          <w:b/>
          <w:sz w:val="24"/>
        </w:rPr>
        <w:t>成交供应商</w:t>
      </w:r>
      <w:r>
        <w:rPr>
          <w:rFonts w:hint="eastAsia" w:ascii="宋体" w:hAnsi="宋体"/>
          <w:b/>
          <w:sz w:val="24"/>
        </w:rPr>
        <w:t>（</w:t>
      </w:r>
      <w:r>
        <w:rPr>
          <w:rFonts w:ascii="宋体" w:hAnsi="宋体"/>
          <w:b/>
          <w:sz w:val="24"/>
        </w:rPr>
        <w:t>乙方</w:t>
      </w:r>
      <w:r>
        <w:rPr>
          <w:rFonts w:hint="eastAsia" w:ascii="宋体" w:hAnsi="宋体"/>
          <w:b/>
          <w:sz w:val="24"/>
        </w:rPr>
        <w:t>）：</w:t>
      </w:r>
      <w:r>
        <w:rPr>
          <w:rFonts w:hint="eastAsia" w:ascii="宋体" w:hAnsi="宋体"/>
          <w:b/>
          <w:sz w:val="24"/>
          <w:u w:val="single"/>
        </w:rPr>
        <w:t xml:space="preserve">                                   （盖章）</w:t>
      </w:r>
    </w:p>
    <w:p>
      <w:pPr>
        <w:spacing w:line="360" w:lineRule="auto"/>
        <w:ind w:firstLine="723" w:firstLineChars="300"/>
        <w:rPr>
          <w:rFonts w:ascii="宋体" w:hAnsi="宋体"/>
          <w:sz w:val="24"/>
          <w:u w:val="single"/>
        </w:rPr>
      </w:pPr>
      <w:r>
        <w:rPr>
          <w:rFonts w:ascii="宋体" w:hAnsi="宋体"/>
          <w:b/>
          <w:sz w:val="24"/>
        </w:rPr>
        <w:t>采购日期</w:t>
      </w:r>
      <w:r>
        <w:rPr>
          <w:rFonts w:hint="eastAsia" w:ascii="宋体" w:hAnsi="宋体"/>
          <w:b/>
          <w:sz w:val="24"/>
        </w:rPr>
        <w:t xml:space="preserve">： </w:t>
      </w:r>
      <w:r>
        <w:rPr>
          <w:rFonts w:hint="eastAsia" w:ascii="宋体" w:hAnsi="宋体"/>
          <w:b/>
          <w:sz w:val="24"/>
          <w:u w:val="single"/>
        </w:rPr>
        <w:t xml:space="preserve">                          </w:t>
      </w:r>
      <w:r>
        <w:rPr>
          <w:rFonts w:hint="eastAsia" w:ascii="宋体" w:hAnsi="宋体"/>
          <w:sz w:val="24"/>
          <w:u w:val="single"/>
        </w:rPr>
        <w:t xml:space="preserve">                         </w:t>
      </w:r>
    </w:p>
    <w:p>
      <w:pPr>
        <w:spacing w:line="360" w:lineRule="auto"/>
        <w:rPr>
          <w:rFonts w:ascii="宋体" w:hAnsi="宋体" w:cs="宋体"/>
          <w:b/>
          <w:sz w:val="24"/>
        </w:rPr>
      </w:pPr>
      <w:r>
        <w:rPr>
          <w:rFonts w:ascii="宋体" w:hAnsi="宋体"/>
          <w:sz w:val="24"/>
          <w:u w:val="single"/>
        </w:rPr>
        <w:br w:type="page"/>
      </w:r>
      <w:r>
        <w:rPr>
          <w:rFonts w:hint="eastAsia" w:ascii="宋体" w:hAnsi="宋体" w:cs="宋体"/>
          <w:b/>
          <w:sz w:val="24"/>
        </w:rPr>
        <w:t>采购单位（以下简称甲方）：</w:t>
      </w:r>
    </w:p>
    <w:p>
      <w:pPr>
        <w:spacing w:line="360" w:lineRule="auto"/>
        <w:rPr>
          <w:rFonts w:ascii="宋体" w:hAnsi="宋体" w:cs="宋体"/>
          <w:b/>
          <w:sz w:val="24"/>
        </w:rPr>
      </w:pPr>
      <w:r>
        <w:rPr>
          <w:rFonts w:hint="eastAsia" w:ascii="宋体" w:hAnsi="宋体" w:cs="宋体"/>
          <w:b/>
          <w:sz w:val="24"/>
        </w:rPr>
        <w:t>成交</w:t>
      </w:r>
      <w:r>
        <w:rPr>
          <w:rFonts w:ascii="宋体" w:hAnsi="宋体" w:cs="宋体"/>
          <w:b/>
          <w:sz w:val="24"/>
        </w:rPr>
        <w:t>供应商</w:t>
      </w:r>
      <w:r>
        <w:rPr>
          <w:rFonts w:hint="eastAsia" w:ascii="宋体" w:hAnsi="宋体" w:cs="宋体"/>
          <w:b/>
          <w:sz w:val="24"/>
        </w:rPr>
        <w:t>（</w:t>
      </w:r>
      <w:r>
        <w:rPr>
          <w:rFonts w:ascii="宋体" w:hAnsi="宋体" w:cs="宋体"/>
          <w:b/>
          <w:sz w:val="24"/>
        </w:rPr>
        <w:t>以下简称乙方</w:t>
      </w:r>
      <w:r>
        <w:rPr>
          <w:rFonts w:hint="eastAsia" w:ascii="宋体" w:hAnsi="宋体" w:cs="宋体"/>
          <w:b/>
          <w:sz w:val="24"/>
        </w:rPr>
        <w:t>）：</w:t>
      </w:r>
    </w:p>
    <w:p>
      <w:pPr>
        <w:spacing w:line="360" w:lineRule="auto"/>
        <w:ind w:firstLine="480" w:firstLineChars="200"/>
        <w:rPr>
          <w:rFonts w:ascii="宋体" w:hAnsi="宋体" w:cs="宋体"/>
          <w:sz w:val="24"/>
        </w:rPr>
      </w:pPr>
      <w:r>
        <w:rPr>
          <w:rFonts w:hint="eastAsia" w:ascii="宋体" w:hAnsi="宋体" w:cs="宋体"/>
          <w:sz w:val="24"/>
        </w:rPr>
        <w:t>甲、乙双方根据    年  月  日</w:t>
      </w:r>
      <w:r>
        <w:rPr>
          <w:rFonts w:hint="eastAsia" w:ascii="宋体" w:hAnsi="宋体" w:cs="宋体"/>
          <w:sz w:val="24"/>
          <w:lang w:eastAsia="zh-CN"/>
        </w:rPr>
        <w:t>青海省中医院干眼检测仪等设备采购项目</w:t>
      </w:r>
      <w:r>
        <w:rPr>
          <w:rFonts w:hint="eastAsia" w:ascii="宋体" w:hAnsi="宋体" w:cs="宋体"/>
          <w:sz w:val="24"/>
        </w:rPr>
        <w:t>（</w:t>
      </w:r>
      <w:r>
        <w:rPr>
          <w:rFonts w:hint="eastAsia" w:ascii="宋体" w:hAnsi="宋体" w:cs="宋体"/>
          <w:sz w:val="24"/>
          <w:lang w:eastAsia="zh-CN"/>
        </w:rPr>
        <w:t>青海国焱竞磋（货物）2025-084号</w:t>
      </w:r>
      <w:r>
        <w:rPr>
          <w:rFonts w:hint="eastAsia" w:ascii="宋体" w:hAnsi="宋体" w:cs="宋体"/>
          <w:sz w:val="24"/>
        </w:rPr>
        <w:t>）的磋商文件要求和采购代理机构出具的《成交通知书》，并经双方协商一致，签订本合同协议书。</w:t>
      </w:r>
    </w:p>
    <w:p>
      <w:pPr>
        <w:spacing w:line="360" w:lineRule="auto"/>
        <w:rPr>
          <w:rFonts w:ascii="宋体" w:hAnsi="宋体" w:cs="宋体"/>
          <w:b/>
          <w:sz w:val="24"/>
        </w:rPr>
      </w:pPr>
      <w:r>
        <w:rPr>
          <w:rFonts w:ascii="宋体" w:hAnsi="宋体" w:cs="宋体"/>
          <w:b/>
          <w:sz w:val="24"/>
        </w:rPr>
        <w:t>一</w:t>
      </w:r>
      <w:r>
        <w:rPr>
          <w:rFonts w:hint="eastAsia" w:ascii="宋体" w:hAnsi="宋体" w:cs="宋体"/>
          <w:b/>
          <w:sz w:val="24"/>
        </w:rPr>
        <w:t>、签订本政府采购合同的依据</w:t>
      </w:r>
    </w:p>
    <w:p>
      <w:pPr>
        <w:spacing w:line="360" w:lineRule="auto"/>
        <w:ind w:firstLine="480" w:firstLineChars="200"/>
        <w:rPr>
          <w:rFonts w:ascii="宋体" w:hAnsi="宋体" w:cs="宋体"/>
          <w:sz w:val="24"/>
        </w:rPr>
      </w:pPr>
      <w:r>
        <w:rPr>
          <w:rFonts w:hint="eastAsia" w:ascii="宋体" w:hAnsi="宋体" w:cs="宋体"/>
          <w:sz w:val="24"/>
        </w:rPr>
        <w:t>本政府采购合同所附下列文件是构成本政府采购合同不可分割的部分：</w:t>
      </w:r>
    </w:p>
    <w:p>
      <w:pPr>
        <w:spacing w:line="360" w:lineRule="auto"/>
        <w:rPr>
          <w:rFonts w:ascii="宋体" w:hAnsi="宋体" w:cs="宋体"/>
          <w:sz w:val="24"/>
        </w:rPr>
      </w:pPr>
      <w:r>
        <w:rPr>
          <w:rFonts w:hint="eastAsia" w:ascii="宋体" w:hAnsi="宋体" w:cs="宋体"/>
          <w:sz w:val="24"/>
        </w:rPr>
        <w:t>1．磋商文件；</w:t>
      </w:r>
    </w:p>
    <w:p>
      <w:pPr>
        <w:spacing w:line="360" w:lineRule="auto"/>
        <w:rPr>
          <w:rFonts w:ascii="宋体" w:hAnsi="宋体" w:cs="宋体"/>
          <w:sz w:val="24"/>
        </w:rPr>
      </w:pPr>
      <w:r>
        <w:rPr>
          <w:rFonts w:hint="eastAsia" w:ascii="宋体" w:hAnsi="宋体" w:cs="宋体"/>
          <w:sz w:val="24"/>
        </w:rPr>
        <w:t>2．磋商文件的更正、变更公告；</w:t>
      </w:r>
    </w:p>
    <w:p>
      <w:pPr>
        <w:spacing w:line="360" w:lineRule="auto"/>
        <w:rPr>
          <w:rFonts w:ascii="宋体" w:hAnsi="宋体" w:cs="宋体"/>
          <w:sz w:val="24"/>
        </w:rPr>
      </w:pPr>
      <w:r>
        <w:rPr>
          <w:rFonts w:hint="eastAsia" w:ascii="宋体" w:hAnsi="宋体" w:cs="宋体"/>
          <w:sz w:val="24"/>
        </w:rPr>
        <w:t>3．成交磋商供应商提交的磋商响应文件；</w:t>
      </w:r>
    </w:p>
    <w:p>
      <w:pPr>
        <w:spacing w:line="360" w:lineRule="auto"/>
        <w:rPr>
          <w:rFonts w:ascii="宋体" w:hAnsi="宋体" w:cs="宋体"/>
          <w:sz w:val="24"/>
        </w:rPr>
      </w:pPr>
      <w:r>
        <w:rPr>
          <w:rFonts w:hint="eastAsia" w:ascii="宋体" w:hAnsi="宋体" w:cs="宋体"/>
          <w:sz w:val="24"/>
        </w:rPr>
        <w:t>4．磋商文件中规定的政府采购合同通用条款；</w:t>
      </w:r>
    </w:p>
    <w:p>
      <w:pPr>
        <w:spacing w:line="360" w:lineRule="auto"/>
        <w:rPr>
          <w:rFonts w:hint="eastAsia" w:ascii="宋体" w:hAnsi="宋体" w:eastAsia="宋体" w:cs="宋体"/>
          <w:sz w:val="24"/>
          <w:lang w:eastAsia="zh-CN"/>
        </w:rPr>
      </w:pPr>
      <w:r>
        <w:rPr>
          <w:rFonts w:hint="eastAsia" w:ascii="宋体" w:hAnsi="宋体" w:cs="宋体"/>
          <w:sz w:val="24"/>
        </w:rPr>
        <w:t>5．成交通知书</w:t>
      </w:r>
      <w:r>
        <w:rPr>
          <w:rFonts w:hint="eastAsia" w:ascii="宋体" w:hAnsi="宋体" w:cs="宋体"/>
          <w:sz w:val="24"/>
          <w:lang w:eastAsia="zh-CN"/>
        </w:rPr>
        <w:t>；</w:t>
      </w:r>
    </w:p>
    <w:p>
      <w:pPr>
        <w:spacing w:line="360" w:lineRule="auto"/>
        <w:rPr>
          <w:rFonts w:ascii="宋体" w:hAnsi="宋体" w:cs="宋体"/>
          <w:sz w:val="24"/>
        </w:rPr>
      </w:pPr>
      <w:r>
        <w:rPr>
          <w:rFonts w:hint="eastAsia" w:ascii="宋体" w:hAnsi="宋体"/>
          <w:sz w:val="24"/>
        </w:rPr>
        <w:t>6. 履约保证金缴纳凭证。</w:t>
      </w:r>
    </w:p>
    <w:p>
      <w:pPr>
        <w:spacing w:line="360" w:lineRule="auto"/>
        <w:rPr>
          <w:rFonts w:ascii="宋体" w:hAnsi="宋体"/>
          <w:b/>
          <w:sz w:val="24"/>
        </w:rPr>
      </w:pPr>
      <w:r>
        <w:rPr>
          <w:rFonts w:hint="eastAsia" w:ascii="宋体" w:hAnsi="宋体"/>
          <w:b/>
          <w:sz w:val="24"/>
        </w:rPr>
        <w:t xml:space="preserve">二、合同标的及金额                                          </w:t>
      </w:r>
      <w:r>
        <w:rPr>
          <w:rFonts w:hint="eastAsia" w:ascii="宋体" w:hAnsi="宋体"/>
          <w:sz w:val="24"/>
        </w:rPr>
        <w:t>单位：    元</w:t>
      </w:r>
    </w:p>
    <w:tbl>
      <w:tblPr>
        <w:tblStyle w:val="35"/>
        <w:tblW w:w="9644" w:type="dxa"/>
        <w:tblInd w:w="103" w:type="dxa"/>
        <w:tblLayout w:type="fixed"/>
        <w:tblCellMar>
          <w:top w:w="0" w:type="dxa"/>
          <w:left w:w="108" w:type="dxa"/>
          <w:bottom w:w="0" w:type="dxa"/>
          <w:right w:w="108" w:type="dxa"/>
        </w:tblCellMar>
      </w:tblPr>
      <w:tblGrid>
        <w:gridCol w:w="1265"/>
        <w:gridCol w:w="1260"/>
        <w:gridCol w:w="1308"/>
        <w:gridCol w:w="708"/>
        <w:gridCol w:w="1560"/>
        <w:gridCol w:w="1417"/>
        <w:gridCol w:w="2126"/>
      </w:tblGrid>
      <w:tr>
        <w:tblPrEx>
          <w:tblCellMar>
            <w:top w:w="0" w:type="dxa"/>
            <w:left w:w="108" w:type="dxa"/>
            <w:bottom w:w="0" w:type="dxa"/>
            <w:right w:w="108" w:type="dxa"/>
          </w:tblCellMar>
        </w:tblPrEx>
        <w:trPr>
          <w:trHeight w:val="757" w:hRule="atLeast"/>
        </w:trPr>
        <w:tc>
          <w:tcPr>
            <w:tcW w:w="1265" w:type="dxa"/>
            <w:tcBorders>
              <w:top w:val="single" w:color="auto" w:sz="4" w:space="0"/>
              <w:left w:val="single" w:color="auto" w:sz="4" w:space="0"/>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序号</w:t>
            </w:r>
          </w:p>
        </w:tc>
        <w:tc>
          <w:tcPr>
            <w:tcW w:w="1260"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标的名称</w:t>
            </w:r>
          </w:p>
        </w:tc>
        <w:tc>
          <w:tcPr>
            <w:tcW w:w="1308"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型号规格</w:t>
            </w:r>
          </w:p>
        </w:tc>
        <w:tc>
          <w:tcPr>
            <w:tcW w:w="708"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数量</w:t>
            </w:r>
          </w:p>
        </w:tc>
        <w:tc>
          <w:tcPr>
            <w:tcW w:w="1560"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单价</w:t>
            </w:r>
          </w:p>
        </w:tc>
        <w:tc>
          <w:tcPr>
            <w:tcW w:w="1417"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总价</w:t>
            </w:r>
          </w:p>
        </w:tc>
        <w:tc>
          <w:tcPr>
            <w:tcW w:w="2126"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备注</w:t>
            </w:r>
          </w:p>
        </w:tc>
      </w:tr>
      <w:tr>
        <w:tblPrEx>
          <w:tblCellMar>
            <w:top w:w="0" w:type="dxa"/>
            <w:left w:w="108" w:type="dxa"/>
            <w:bottom w:w="0" w:type="dxa"/>
            <w:right w:w="108" w:type="dxa"/>
          </w:tblCellMar>
        </w:tblPrEx>
        <w:trPr>
          <w:trHeight w:val="564" w:hRule="atLeast"/>
        </w:trPr>
        <w:tc>
          <w:tcPr>
            <w:tcW w:w="1265" w:type="dxa"/>
            <w:tcBorders>
              <w:top w:val="nil"/>
              <w:left w:val="single" w:color="auto" w:sz="4" w:space="0"/>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1</w:t>
            </w:r>
          </w:p>
        </w:tc>
        <w:tc>
          <w:tcPr>
            <w:tcW w:w="1260" w:type="dxa"/>
            <w:tcBorders>
              <w:top w:val="nil"/>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308" w:type="dxa"/>
            <w:tcBorders>
              <w:top w:val="nil"/>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708" w:type="dxa"/>
            <w:tcBorders>
              <w:top w:val="nil"/>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560" w:type="dxa"/>
            <w:tcBorders>
              <w:top w:val="nil"/>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417" w:type="dxa"/>
            <w:tcBorders>
              <w:top w:val="nil"/>
              <w:left w:val="nil"/>
              <w:bottom w:val="single" w:color="auto" w:sz="4" w:space="0"/>
              <w:right w:val="nil"/>
            </w:tcBorders>
            <w:shd w:val="clear" w:color="auto" w:fill="FFFFFF"/>
            <w:vAlign w:val="center"/>
          </w:tcPr>
          <w:p>
            <w:pPr>
              <w:spacing w:line="360" w:lineRule="auto"/>
              <w:jc w:val="center"/>
              <w:rPr>
                <w:rFonts w:ascii="宋体" w:hAnsi="宋体"/>
                <w:sz w:val="24"/>
              </w:rPr>
            </w:pPr>
          </w:p>
        </w:tc>
        <w:tc>
          <w:tcPr>
            <w:tcW w:w="2126" w:type="dxa"/>
            <w:tcBorders>
              <w:top w:val="nil"/>
              <w:left w:val="single" w:color="auto" w:sz="4" w:space="0"/>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r>
      <w:tr>
        <w:tblPrEx>
          <w:tblCellMar>
            <w:top w:w="0" w:type="dxa"/>
            <w:left w:w="108" w:type="dxa"/>
            <w:bottom w:w="0" w:type="dxa"/>
            <w:right w:w="108" w:type="dxa"/>
          </w:tblCellMar>
        </w:tblPrEx>
        <w:trPr>
          <w:trHeight w:val="702" w:hRule="atLeast"/>
        </w:trPr>
        <w:tc>
          <w:tcPr>
            <w:tcW w:w="1265" w:type="dxa"/>
            <w:tcBorders>
              <w:top w:val="nil"/>
              <w:left w:val="single" w:color="auto" w:sz="4" w:space="0"/>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2</w:t>
            </w:r>
          </w:p>
        </w:tc>
        <w:tc>
          <w:tcPr>
            <w:tcW w:w="1260" w:type="dxa"/>
            <w:tcBorders>
              <w:top w:val="nil"/>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308" w:type="dxa"/>
            <w:tcBorders>
              <w:top w:val="nil"/>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708"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560" w:type="dxa"/>
            <w:tcBorders>
              <w:top w:val="nil"/>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417" w:type="dxa"/>
            <w:tcBorders>
              <w:top w:val="nil"/>
              <w:left w:val="nil"/>
              <w:bottom w:val="single" w:color="auto" w:sz="4" w:space="0"/>
              <w:right w:val="nil"/>
            </w:tcBorders>
            <w:shd w:val="clear" w:color="auto" w:fill="FFFFFF"/>
            <w:vAlign w:val="center"/>
          </w:tcPr>
          <w:p>
            <w:pPr>
              <w:spacing w:line="360" w:lineRule="auto"/>
              <w:jc w:val="center"/>
              <w:rPr>
                <w:rFonts w:ascii="宋体" w:hAnsi="宋体"/>
                <w:sz w:val="24"/>
              </w:rPr>
            </w:pPr>
          </w:p>
        </w:tc>
        <w:tc>
          <w:tcPr>
            <w:tcW w:w="2126" w:type="dxa"/>
            <w:tcBorders>
              <w:top w:val="nil"/>
              <w:left w:val="single" w:color="auto" w:sz="4" w:space="0"/>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r>
      <w:tr>
        <w:tblPrEx>
          <w:tblCellMar>
            <w:top w:w="0" w:type="dxa"/>
            <w:left w:w="108" w:type="dxa"/>
            <w:bottom w:w="0" w:type="dxa"/>
            <w:right w:w="108" w:type="dxa"/>
          </w:tblCellMar>
        </w:tblPrEx>
        <w:trPr>
          <w:trHeight w:val="702" w:hRule="atLeast"/>
        </w:trPr>
        <w:tc>
          <w:tcPr>
            <w:tcW w:w="1265" w:type="dxa"/>
            <w:tcBorders>
              <w:top w:val="single" w:color="auto" w:sz="4" w:space="0"/>
              <w:left w:val="single" w:color="auto" w:sz="4" w:space="0"/>
              <w:bottom w:val="single" w:color="auto" w:sz="4" w:space="0"/>
              <w:right w:val="single" w:color="auto" w:sz="4" w:space="0"/>
            </w:tcBorders>
            <w:shd w:val="clear" w:color="auto" w:fill="FFFFFF"/>
            <w:vAlign w:val="center"/>
          </w:tcPr>
          <w:p>
            <w:pPr>
              <w:spacing w:line="360" w:lineRule="auto"/>
              <w:jc w:val="center"/>
              <w:rPr>
                <w:rFonts w:ascii="宋体" w:hAnsi="宋体"/>
                <w:sz w:val="24"/>
              </w:rPr>
            </w:pPr>
            <w:r>
              <w:rPr>
                <w:rFonts w:hint="eastAsia" w:ascii="宋体" w:hAnsi="宋体"/>
                <w:sz w:val="24"/>
              </w:rPr>
              <w:t>…</w:t>
            </w:r>
          </w:p>
        </w:tc>
        <w:tc>
          <w:tcPr>
            <w:tcW w:w="1260"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308"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708"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560" w:type="dxa"/>
            <w:tcBorders>
              <w:top w:val="single" w:color="auto" w:sz="4" w:space="0"/>
              <w:left w:val="nil"/>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c>
          <w:tcPr>
            <w:tcW w:w="1417" w:type="dxa"/>
            <w:tcBorders>
              <w:top w:val="single" w:color="auto" w:sz="4" w:space="0"/>
              <w:left w:val="nil"/>
              <w:bottom w:val="single" w:color="auto" w:sz="4" w:space="0"/>
              <w:right w:val="nil"/>
            </w:tcBorders>
            <w:shd w:val="clear" w:color="auto" w:fill="FFFFFF"/>
            <w:vAlign w:val="center"/>
          </w:tcPr>
          <w:p>
            <w:pPr>
              <w:spacing w:line="360" w:lineRule="auto"/>
              <w:jc w:val="center"/>
              <w:rPr>
                <w:rFonts w:ascii="宋体" w:hAnsi="宋体"/>
                <w:sz w:val="24"/>
              </w:rPr>
            </w:pPr>
          </w:p>
        </w:tc>
        <w:tc>
          <w:tcPr>
            <w:tcW w:w="2126" w:type="dxa"/>
            <w:tcBorders>
              <w:top w:val="single" w:color="auto" w:sz="4" w:space="0"/>
              <w:left w:val="single" w:color="auto" w:sz="4" w:space="0"/>
              <w:bottom w:val="single" w:color="auto" w:sz="4" w:space="0"/>
              <w:right w:val="single" w:color="auto" w:sz="4" w:space="0"/>
            </w:tcBorders>
            <w:shd w:val="clear" w:color="auto" w:fill="FFFFFF"/>
            <w:vAlign w:val="center"/>
          </w:tcPr>
          <w:p>
            <w:pPr>
              <w:spacing w:line="360" w:lineRule="auto"/>
              <w:jc w:val="center"/>
              <w:rPr>
                <w:rFonts w:ascii="宋体" w:hAnsi="宋体"/>
                <w:sz w:val="24"/>
              </w:rPr>
            </w:pPr>
          </w:p>
        </w:tc>
      </w:tr>
    </w:tbl>
    <w:p>
      <w:pPr>
        <w:spacing w:line="360" w:lineRule="auto"/>
        <w:ind w:firstLine="480" w:firstLineChars="200"/>
        <w:rPr>
          <w:rFonts w:ascii="宋体" w:hAnsi="宋体"/>
          <w:sz w:val="24"/>
        </w:rPr>
      </w:pPr>
      <w:r>
        <w:rPr>
          <w:rFonts w:hint="eastAsia" w:ascii="宋体" w:hAnsi="宋体"/>
          <w:sz w:val="24"/>
        </w:rPr>
        <w:t>根据上述政府采购合同文件要求，本政府采购合同的总金额为人民币（大写）</w:t>
      </w:r>
      <w:r>
        <w:rPr>
          <w:rFonts w:hint="eastAsia" w:ascii="宋体" w:hAnsi="宋体"/>
          <w:sz w:val="24"/>
          <w:u w:val="single"/>
        </w:rPr>
        <w:t xml:space="preserve">      </w:t>
      </w:r>
      <w:r>
        <w:rPr>
          <w:rFonts w:hint="eastAsia" w:ascii="宋体" w:hAnsi="宋体"/>
          <w:sz w:val="24"/>
        </w:rPr>
        <w:t>元。</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sz w:val="24"/>
        </w:rPr>
        <w:t>本合同以人民币进行结算，合同总价包括：</w:t>
      </w:r>
      <w:bookmarkStart w:id="99" w:name="_Hlk96518561"/>
      <w:r>
        <w:rPr>
          <w:rFonts w:hint="eastAsia" w:ascii="宋体" w:hAnsi="宋体"/>
          <w:sz w:val="24"/>
        </w:rPr>
        <w:t>产品费、检验费、手续费、保险费、售后服务费、税金、招标代理费以及其他不可预见费等全部费用。</w:t>
      </w:r>
      <w:bookmarkEnd w:id="99"/>
      <w:r>
        <w:rPr>
          <w:rFonts w:hint="eastAsia" w:ascii="宋体" w:hAnsi="宋体"/>
          <w:sz w:val="24"/>
        </w:rPr>
        <w:t>（说明：具体</w:t>
      </w:r>
      <w:r>
        <w:rPr>
          <w:rFonts w:hint="eastAsia" w:ascii="宋体" w:hAnsi="宋体"/>
          <w:color w:val="000000" w:themeColor="text1"/>
          <w:sz w:val="24"/>
          <w14:textFill>
            <w14:solidFill>
              <w14:schemeClr w14:val="tx1"/>
            </w14:solidFill>
          </w14:textFill>
        </w:rPr>
        <w:t>内容应根据项目特点实事求是的填写）。</w:t>
      </w:r>
    </w:p>
    <w:p>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三、交付时间、地点和要求</w:t>
      </w:r>
    </w:p>
    <w:p>
      <w:pPr>
        <w:spacing w:line="360" w:lineRule="auto"/>
        <w:rPr>
          <w:rFonts w:ascii="宋体" w:hAnsi="宋体" w:cs="宋体"/>
          <w:color w:val="auto"/>
          <w:kern w:val="0"/>
          <w:sz w:val="24"/>
          <w:lang w:val="zh-CN"/>
        </w:rPr>
      </w:pPr>
      <w:r>
        <w:rPr>
          <w:rFonts w:hint="eastAsia" w:ascii="宋体" w:hAnsi="宋体"/>
          <w:color w:val="auto"/>
          <w:sz w:val="24"/>
        </w:rPr>
        <w:t>1.交货期：</w:t>
      </w:r>
      <w:r>
        <w:rPr>
          <w:rFonts w:hint="eastAsia" w:ascii="宋体" w:hAnsi="宋体"/>
          <w:color w:val="auto"/>
          <w:sz w:val="24"/>
          <w:lang w:val="en-US" w:eastAsia="zh-CN"/>
        </w:rPr>
        <w:t>合同签订后30个工作日</w:t>
      </w:r>
      <w:r>
        <w:rPr>
          <w:rFonts w:hint="eastAsia" w:ascii="宋体" w:hAnsi="宋体" w:cs="宋体"/>
          <w:color w:val="auto"/>
          <w:kern w:val="0"/>
          <w:sz w:val="24"/>
          <w:lang w:val="zh-CN"/>
        </w:rPr>
        <w:t>；</w:t>
      </w:r>
    </w:p>
    <w:p>
      <w:pPr>
        <w:spacing w:line="360" w:lineRule="auto"/>
        <w:ind w:firstLine="240" w:firstLineChars="100"/>
        <w:rPr>
          <w:rFonts w:ascii="宋体" w:hAnsi="宋体"/>
          <w:color w:val="auto"/>
          <w:sz w:val="24"/>
        </w:rPr>
      </w:pPr>
      <w:r>
        <w:rPr>
          <w:rFonts w:hint="eastAsia" w:ascii="宋体" w:hAnsi="宋体"/>
          <w:color w:val="auto"/>
          <w:sz w:val="24"/>
        </w:rPr>
        <w:t>交货地点：</w:t>
      </w:r>
      <w:bookmarkStart w:id="100" w:name="_Hlk497746416"/>
      <w:r>
        <w:rPr>
          <w:rFonts w:hint="eastAsia" w:ascii="宋体" w:hAnsi="宋体"/>
          <w:color w:val="auto"/>
          <w:sz w:val="24"/>
          <w:lang w:val="en-US" w:eastAsia="zh-CN"/>
        </w:rPr>
        <w:t>采购人指定地点</w:t>
      </w:r>
      <w:r>
        <w:rPr>
          <w:rFonts w:hint="eastAsia" w:ascii="宋体" w:hAnsi="宋体"/>
          <w:color w:val="auto"/>
          <w:sz w:val="24"/>
        </w:rPr>
        <w:t>；</w:t>
      </w:r>
    </w:p>
    <w:p>
      <w:pPr>
        <w:spacing w:line="360" w:lineRule="auto"/>
        <w:ind w:firstLine="240" w:firstLineChars="100"/>
        <w:rPr>
          <w:rFonts w:ascii="宋体" w:hAnsi="宋体"/>
          <w:color w:val="auto"/>
          <w:sz w:val="24"/>
        </w:rPr>
      </w:pPr>
      <w:r>
        <w:rPr>
          <w:rFonts w:hint="eastAsia" w:ascii="宋体" w:hAnsi="宋体"/>
          <w:color w:val="auto"/>
          <w:sz w:val="24"/>
        </w:rPr>
        <w:t>质保期：</w:t>
      </w:r>
      <w:r>
        <w:rPr>
          <w:rFonts w:hint="eastAsia" w:ascii="宋体" w:hAnsi="Calibri" w:cs="宋体"/>
          <w:color w:val="auto"/>
          <w:kern w:val="0"/>
          <w:sz w:val="24"/>
          <w:lang w:val="en-US" w:eastAsia="zh-CN"/>
        </w:rPr>
        <w:t>2</w:t>
      </w:r>
      <w:r>
        <w:rPr>
          <w:rFonts w:hint="eastAsia" w:ascii="宋体" w:hAnsi="Calibri" w:cs="宋体"/>
          <w:color w:val="auto"/>
          <w:kern w:val="0"/>
          <w:sz w:val="24"/>
        </w:rPr>
        <w:t>年</w:t>
      </w:r>
      <w:r>
        <w:rPr>
          <w:rFonts w:hint="eastAsia" w:ascii="宋体" w:hAnsi="Calibri" w:cs="宋体"/>
          <w:color w:val="auto"/>
          <w:kern w:val="0"/>
          <w:sz w:val="24"/>
          <w:lang w:val="zh-CN"/>
        </w:rPr>
        <w:t>；</w:t>
      </w:r>
    </w:p>
    <w:bookmarkEnd w:id="100"/>
    <w:p>
      <w:pPr>
        <w:spacing w:line="360" w:lineRule="auto"/>
        <w:rPr>
          <w:rFonts w:ascii="宋体" w:hAnsi="宋体"/>
          <w:sz w:val="24"/>
        </w:rPr>
      </w:pPr>
      <w:r>
        <w:rPr>
          <w:rFonts w:hint="eastAsia" w:ascii="宋体" w:hAnsi="宋体"/>
          <w:color w:val="000000" w:themeColor="text1"/>
          <w:sz w:val="24"/>
          <w14:textFill>
            <w14:solidFill>
              <w14:schemeClr w14:val="tx1"/>
            </w14:solidFill>
          </w14:textFill>
        </w:rPr>
        <w:t>2.乙方提供不符合磋商响应文件和本合</w:t>
      </w:r>
      <w:r>
        <w:rPr>
          <w:rFonts w:hint="eastAsia" w:ascii="宋体" w:hAnsi="宋体"/>
          <w:sz w:val="24"/>
        </w:rPr>
        <w:t>同规定的产品，甲方有权拒绝接受；</w:t>
      </w:r>
    </w:p>
    <w:p>
      <w:pPr>
        <w:spacing w:line="360" w:lineRule="auto"/>
        <w:rPr>
          <w:rFonts w:ascii="宋体" w:hAnsi="宋体"/>
          <w:sz w:val="24"/>
        </w:rPr>
      </w:pPr>
      <w:r>
        <w:rPr>
          <w:rFonts w:hint="eastAsia" w:ascii="宋体" w:hAnsi="宋体"/>
          <w:sz w:val="24"/>
        </w:rPr>
        <w:t>3.乙方应将提供产品的装箱清单、用户手册、原厂保修卡、随机资料、工具和备品、备件等（如有）交付给甲方，如有缺失应及时补齐，否则视为逾期交货；</w:t>
      </w:r>
    </w:p>
    <w:p>
      <w:pPr>
        <w:spacing w:line="360" w:lineRule="auto"/>
        <w:rPr>
          <w:rFonts w:ascii="宋体" w:hAnsi="宋体"/>
          <w:sz w:val="24"/>
        </w:rPr>
      </w:pPr>
      <w:r>
        <w:rPr>
          <w:rFonts w:hint="eastAsia" w:ascii="宋体" w:hAnsi="宋体"/>
          <w:sz w:val="24"/>
        </w:rPr>
        <w:t>4.甲方应当在到货（安装、调试完）后7个工作日内进行验收，逾期不验收的，乙方可视为验收合格。验收合格后，由甲乙双方签署产品验收单并加盖采购单位公章，甲乙双方各执一份；</w:t>
      </w:r>
    </w:p>
    <w:p>
      <w:pPr>
        <w:spacing w:line="360" w:lineRule="auto"/>
        <w:rPr>
          <w:rFonts w:ascii="宋体" w:hAnsi="宋体"/>
          <w:sz w:val="24"/>
        </w:rPr>
      </w:pPr>
      <w:r>
        <w:rPr>
          <w:rFonts w:hint="eastAsia" w:ascii="宋体" w:hAnsi="宋体"/>
          <w:sz w:val="24"/>
        </w:rPr>
        <w:t>5.甲方应提供该项目验收报告交同级财政监管部门，由财政部门按规定程序抽验后办理资金拨付；</w:t>
      </w:r>
    </w:p>
    <w:p>
      <w:pPr>
        <w:spacing w:line="360" w:lineRule="auto"/>
        <w:rPr>
          <w:rFonts w:ascii="宋体" w:hAnsi="宋体"/>
          <w:sz w:val="24"/>
        </w:rPr>
      </w:pPr>
      <w:r>
        <w:rPr>
          <w:rFonts w:hint="eastAsia" w:ascii="宋体" w:hAnsi="宋体"/>
          <w:sz w:val="24"/>
        </w:rPr>
        <w:t>6.甲方在验收过程中发现乙方有违约问题，可按磋商响应文件的规定要求乙方及时予以解决；</w:t>
      </w:r>
    </w:p>
    <w:p>
      <w:pPr>
        <w:spacing w:line="360" w:lineRule="auto"/>
        <w:rPr>
          <w:rFonts w:ascii="宋体" w:hAnsi="宋体"/>
          <w:sz w:val="24"/>
        </w:rPr>
      </w:pPr>
      <w:r>
        <w:rPr>
          <w:rFonts w:hint="eastAsia" w:ascii="宋体" w:hAnsi="宋体"/>
          <w:sz w:val="24"/>
        </w:rPr>
        <w:t>7.乙方向甲方提供产品相关完税销售发票。</w:t>
      </w:r>
    </w:p>
    <w:p>
      <w:pPr>
        <w:spacing w:line="360" w:lineRule="auto"/>
        <w:rPr>
          <w:rFonts w:ascii="宋体" w:hAnsi="宋体"/>
          <w:b/>
          <w:sz w:val="24"/>
        </w:rPr>
      </w:pPr>
      <w:r>
        <w:rPr>
          <w:rFonts w:hint="eastAsia" w:ascii="宋体" w:hAnsi="宋体"/>
          <w:b/>
          <w:sz w:val="24"/>
        </w:rPr>
        <w:t>四、付款方式</w:t>
      </w:r>
    </w:p>
    <w:p>
      <w:pPr>
        <w:spacing w:line="360" w:lineRule="auto"/>
        <w:rPr>
          <w:rFonts w:ascii="宋体" w:hAnsi="宋体"/>
          <w:color w:val="auto"/>
          <w:sz w:val="24"/>
        </w:rPr>
      </w:pPr>
      <w:r>
        <w:rPr>
          <w:rFonts w:hint="eastAsia" w:ascii="宋体" w:hAnsi="宋体"/>
          <w:color w:val="auto"/>
          <w:sz w:val="24"/>
        </w:rPr>
        <w:t>1.付款方式：本项目不支持预付款；</w:t>
      </w:r>
    </w:p>
    <w:p>
      <w:pPr>
        <w:autoSpaceDE w:val="0"/>
        <w:autoSpaceDN w:val="0"/>
        <w:spacing w:line="360" w:lineRule="auto"/>
        <w:rPr>
          <w:rFonts w:hint="eastAsia" w:ascii="宋体" w:hAnsi="宋体"/>
          <w:color w:val="auto"/>
          <w:sz w:val="24"/>
          <w:lang w:val="zh-CN"/>
        </w:rPr>
      </w:pPr>
      <w:r>
        <w:rPr>
          <w:rFonts w:hint="eastAsia" w:ascii="宋体" w:hAnsi="宋体"/>
          <w:color w:val="auto"/>
          <w:sz w:val="24"/>
        </w:rPr>
        <w:t>2．</w:t>
      </w:r>
      <w:r>
        <w:rPr>
          <w:rFonts w:hint="eastAsia" w:ascii="宋体" w:hAnsi="宋体"/>
          <w:color w:val="auto"/>
          <w:sz w:val="24"/>
          <w:lang w:val="zh-CN"/>
        </w:rPr>
        <w:t>乙方收到中标通知书后，向甲方指定账户缴纳10%的履约保证金，即人民币元（大写：</w:t>
      </w:r>
      <w:r>
        <w:rPr>
          <w:rFonts w:hint="eastAsia" w:ascii="宋体" w:hAnsi="宋体"/>
          <w:color w:val="auto"/>
          <w:sz w:val="24"/>
          <w:u w:val="single"/>
          <w:lang w:val="en-US" w:eastAsia="zh-CN"/>
        </w:rPr>
        <w:t xml:space="preserve">         </w:t>
      </w:r>
      <w:r>
        <w:rPr>
          <w:rFonts w:hint="eastAsia" w:ascii="宋体" w:hAnsi="宋体"/>
          <w:color w:val="auto"/>
          <w:sz w:val="24"/>
          <w:lang w:val="zh-CN"/>
        </w:rPr>
        <w:t>）。产品验收合格后，履约保证金自动转为质保金。质保期起始时间为自双方签署产品验收单之日起计算。质保金待免费质保期满2年且产品无质量问题后，由乙方提出书面申请，甲方以转账的方式予以无息退还。乙方所交付的产品全部到位后，经乙方安装、调试、试运行、培训完成后，由甲方验收，验收合格后按合同金额向乙方支付合同总价款的100%即人民币元（大写：</w:t>
      </w:r>
      <w:r>
        <w:rPr>
          <w:rFonts w:hint="eastAsia" w:ascii="宋体" w:hAnsi="宋体"/>
          <w:color w:val="auto"/>
          <w:sz w:val="24"/>
          <w:u w:val="single"/>
          <w:lang w:val="en-US" w:eastAsia="zh-CN"/>
        </w:rPr>
        <w:t xml:space="preserve">         </w:t>
      </w:r>
      <w:r>
        <w:rPr>
          <w:rFonts w:hint="eastAsia" w:ascii="宋体" w:hAnsi="宋体"/>
          <w:color w:val="auto"/>
          <w:sz w:val="24"/>
          <w:lang w:val="zh-CN"/>
        </w:rPr>
        <w:t>）。验收合格后，乙方应向甲方提供符合甲方要求的发票。甲方确认发票内容及金额无误后,向乙方支付款项。乙方未提供发票，或者提供发票的内容或金额有误的，甲方有权拒绝支付相应款项。</w:t>
      </w:r>
    </w:p>
    <w:p>
      <w:pPr>
        <w:autoSpaceDE w:val="0"/>
        <w:autoSpaceDN w:val="0"/>
        <w:spacing w:line="360" w:lineRule="auto"/>
        <w:rPr>
          <w:rFonts w:ascii="宋体" w:hAnsi="宋体"/>
          <w:b/>
          <w:sz w:val="24"/>
        </w:rPr>
      </w:pPr>
      <w:r>
        <w:rPr>
          <w:rFonts w:hint="eastAsia" w:ascii="宋体" w:hAnsi="宋体"/>
          <w:b/>
          <w:sz w:val="24"/>
        </w:rPr>
        <w:t>五、合同的变更、终止与转让</w:t>
      </w:r>
    </w:p>
    <w:p>
      <w:pPr>
        <w:spacing w:line="360" w:lineRule="auto"/>
        <w:rPr>
          <w:rFonts w:ascii="宋体" w:hAnsi="宋体"/>
          <w:sz w:val="24"/>
        </w:rPr>
      </w:pPr>
      <w:r>
        <w:rPr>
          <w:rFonts w:hint="eastAsia" w:ascii="宋体" w:hAnsi="宋体"/>
          <w:sz w:val="24"/>
        </w:rPr>
        <w:t>1．除《中华人民共和国政府采购法》第50条规定的情形外，本合同一经签订，甲乙双方不得擅自变更、中止或终止；</w:t>
      </w:r>
    </w:p>
    <w:p>
      <w:pPr>
        <w:spacing w:line="360" w:lineRule="auto"/>
        <w:rPr>
          <w:rFonts w:ascii="宋体" w:hAnsi="宋体"/>
          <w:sz w:val="24"/>
        </w:rPr>
      </w:pPr>
      <w:r>
        <w:rPr>
          <w:rFonts w:hint="eastAsia" w:ascii="宋体" w:hAnsi="宋体"/>
          <w:sz w:val="24"/>
        </w:rPr>
        <w:t>2．乙方不得擅自转让其应履行的合同义务。</w:t>
      </w:r>
    </w:p>
    <w:p>
      <w:pPr>
        <w:spacing w:line="360" w:lineRule="auto"/>
        <w:rPr>
          <w:rFonts w:ascii="宋体" w:hAnsi="宋体"/>
          <w:b/>
          <w:sz w:val="24"/>
        </w:rPr>
      </w:pPr>
      <w:r>
        <w:rPr>
          <w:rFonts w:hint="eastAsia" w:ascii="宋体" w:hAnsi="宋体"/>
          <w:b/>
          <w:sz w:val="24"/>
        </w:rPr>
        <w:t>六、违约责任</w:t>
      </w:r>
    </w:p>
    <w:p>
      <w:pPr>
        <w:spacing w:line="360" w:lineRule="auto"/>
        <w:rPr>
          <w:rFonts w:ascii="宋体" w:hAnsi="宋体"/>
          <w:sz w:val="24"/>
        </w:rPr>
      </w:pPr>
      <w:r>
        <w:rPr>
          <w:rFonts w:hint="eastAsia" w:ascii="宋体" w:hAnsi="宋体"/>
          <w:sz w:val="24"/>
        </w:rPr>
        <w:t>1．乙方所提供的产品规格、技术标准、材料等质量不合格的，应及时更换；更换不及时的，按逾期交货处罚；因质量问题甲方不同意接收的，质保金全额扣除，并由乙方赔偿由此引起的甲方的一切经济损失；</w:t>
      </w:r>
    </w:p>
    <w:p>
      <w:pPr>
        <w:spacing w:line="360" w:lineRule="auto"/>
        <w:rPr>
          <w:rFonts w:ascii="宋体" w:hAnsi="宋体"/>
          <w:sz w:val="24"/>
        </w:rPr>
      </w:pPr>
      <w:r>
        <w:rPr>
          <w:rFonts w:hint="eastAsia" w:ascii="宋体" w:hAnsi="宋体"/>
          <w:sz w:val="24"/>
        </w:rPr>
        <w:t>2．乙方提供的货物如侵犯了第三方权益而引发纠纷或诉讼的，均由乙方负责交涉并承担全部责任；</w:t>
      </w:r>
    </w:p>
    <w:p>
      <w:pPr>
        <w:spacing w:line="360" w:lineRule="auto"/>
        <w:rPr>
          <w:rFonts w:ascii="宋体" w:hAnsi="宋体"/>
          <w:sz w:val="24"/>
        </w:rPr>
      </w:pPr>
      <w:r>
        <w:rPr>
          <w:rFonts w:hint="eastAsia" w:ascii="宋体" w:hAnsi="宋体"/>
          <w:sz w:val="24"/>
        </w:rPr>
        <w:t>3．因包装、运输引起的货物损坏，按质量不合格处罚；</w:t>
      </w:r>
    </w:p>
    <w:p>
      <w:pPr>
        <w:spacing w:line="360" w:lineRule="auto"/>
        <w:rPr>
          <w:rFonts w:ascii="宋体" w:hAnsi="宋体"/>
          <w:sz w:val="24"/>
        </w:rPr>
      </w:pPr>
      <w:r>
        <w:rPr>
          <w:rFonts w:hint="eastAsia" w:ascii="宋体" w:hAnsi="宋体"/>
          <w:sz w:val="24"/>
        </w:rPr>
        <w:t>4．甲方无故延期接受货物和乙方逾期交货的，每天应向对方偿付未交货物的货款3‰的违约金，但违约金累计不得超过违约货款的5%，超过10天对方有权解除合同，违约方承担因此给对方造成的经济损失；</w:t>
      </w:r>
    </w:p>
    <w:p>
      <w:pPr>
        <w:spacing w:line="360" w:lineRule="auto"/>
        <w:rPr>
          <w:rFonts w:ascii="宋体" w:hAnsi="宋体"/>
          <w:sz w:val="24"/>
        </w:rPr>
      </w:pPr>
      <w:r>
        <w:rPr>
          <w:rFonts w:hint="eastAsia" w:ascii="宋体" w:hAnsi="宋体"/>
          <w:sz w:val="24"/>
        </w:rPr>
        <w:t>5．乙方未按本合同和磋商文件中规定的服务承诺提供售后服务的，乙方应按本合同合计金额的5%向甲方支付违约金；</w:t>
      </w:r>
    </w:p>
    <w:p>
      <w:pPr>
        <w:spacing w:line="360" w:lineRule="auto"/>
        <w:rPr>
          <w:rFonts w:ascii="宋体" w:hAnsi="宋体"/>
          <w:sz w:val="24"/>
        </w:rPr>
      </w:pPr>
      <w:r>
        <w:rPr>
          <w:rFonts w:hint="eastAsia" w:ascii="宋体" w:hAnsi="宋体"/>
          <w:sz w:val="24"/>
        </w:rPr>
        <w:t>6．乙方提供的货物在质量保证期内，因设计、工艺或材料的缺陷和其它质量原因造成的问题，由乙方负责，费用从履约保证金中扣除，不足另补；</w:t>
      </w:r>
    </w:p>
    <w:p>
      <w:pPr>
        <w:spacing w:line="360" w:lineRule="auto"/>
        <w:rPr>
          <w:rFonts w:ascii="宋体" w:hAnsi="宋体"/>
          <w:sz w:val="24"/>
        </w:rPr>
      </w:pPr>
      <w:r>
        <w:rPr>
          <w:rFonts w:hint="eastAsia" w:ascii="宋体" w:hAnsi="宋体"/>
          <w:sz w:val="24"/>
        </w:rPr>
        <w:t>7．其它违约行为按违约货款额5%收取违约金并赔偿经济损失。</w:t>
      </w:r>
    </w:p>
    <w:p>
      <w:pPr>
        <w:spacing w:line="360" w:lineRule="auto"/>
        <w:rPr>
          <w:rFonts w:ascii="宋体" w:hAnsi="宋体"/>
          <w:b/>
          <w:sz w:val="24"/>
        </w:rPr>
      </w:pPr>
      <w:r>
        <w:rPr>
          <w:rFonts w:hint="eastAsia" w:ascii="宋体" w:hAnsi="宋体"/>
          <w:b/>
          <w:sz w:val="24"/>
        </w:rPr>
        <w:t>七、不可抗力</w:t>
      </w:r>
    </w:p>
    <w:p>
      <w:pPr>
        <w:spacing w:line="360" w:lineRule="auto"/>
        <w:rPr>
          <w:rFonts w:ascii="宋体" w:hAnsi="宋体"/>
          <w:sz w:val="24"/>
        </w:rPr>
      </w:pPr>
      <w:r>
        <w:rPr>
          <w:rFonts w:hint="eastAsia" w:ascii="宋体" w:hAnsi="宋体"/>
          <w:sz w:val="24"/>
        </w:rPr>
        <w:t>1．不可抗力使合同的某些内容有变更必要的，双方应通过协商在</w:t>
      </w:r>
      <w:r>
        <w:rPr>
          <w:rFonts w:ascii="宋体" w:hAnsi="宋体"/>
          <w:sz w:val="24"/>
          <w:u w:val="single"/>
        </w:rPr>
        <w:t>3</w:t>
      </w:r>
      <w:r>
        <w:rPr>
          <w:rFonts w:hint="eastAsia" w:ascii="宋体" w:hAnsi="宋体"/>
          <w:sz w:val="24"/>
        </w:rPr>
        <w:t>天内达成进一步履行合同的协议，因不可抗力致使合同不能履行的，合同终止；</w:t>
      </w:r>
    </w:p>
    <w:p>
      <w:pPr>
        <w:spacing w:line="360" w:lineRule="auto"/>
        <w:rPr>
          <w:rFonts w:ascii="宋体" w:hAnsi="宋体"/>
          <w:sz w:val="24"/>
        </w:rPr>
      </w:pPr>
      <w:r>
        <w:rPr>
          <w:rFonts w:hint="eastAsia" w:ascii="宋体" w:hAnsi="宋体"/>
          <w:sz w:val="24"/>
        </w:rPr>
        <w:t>2．除法律、法规规定的不可抗力情形外，双方约定出现</w:t>
      </w:r>
      <w:r>
        <w:rPr>
          <w:rFonts w:hint="eastAsia" w:ascii="宋体" w:hAnsi="宋体"/>
          <w:sz w:val="24"/>
          <w:u w:val="single"/>
        </w:rPr>
        <w:t xml:space="preserve"> 自然灾害 </w:t>
      </w:r>
      <w:r>
        <w:rPr>
          <w:rFonts w:hint="eastAsia" w:ascii="宋体" w:hAnsi="宋体"/>
          <w:sz w:val="24"/>
        </w:rPr>
        <w:t>情况亦视为不可抗力。</w:t>
      </w:r>
    </w:p>
    <w:p>
      <w:pPr>
        <w:spacing w:line="360" w:lineRule="auto"/>
        <w:rPr>
          <w:rFonts w:ascii="宋体" w:hAnsi="宋体"/>
          <w:b/>
          <w:sz w:val="24"/>
        </w:rPr>
      </w:pPr>
      <w:r>
        <w:rPr>
          <w:rFonts w:hint="eastAsia" w:ascii="宋体" w:hAnsi="宋体"/>
          <w:b/>
          <w:sz w:val="24"/>
        </w:rPr>
        <w:t>八、知识产权：</w:t>
      </w:r>
    </w:p>
    <w:p>
      <w:pPr>
        <w:spacing w:line="360" w:lineRule="auto"/>
        <w:rPr>
          <w:rFonts w:ascii="宋体" w:hAnsi="宋体"/>
          <w:b/>
          <w:sz w:val="24"/>
        </w:rPr>
      </w:pPr>
      <w:r>
        <w:rPr>
          <w:rFonts w:hint="eastAsia" w:ascii="宋体" w:hAnsi="宋体"/>
          <w:b/>
          <w:sz w:val="24"/>
        </w:rPr>
        <w:t>九、其他约定：</w:t>
      </w:r>
    </w:p>
    <w:p>
      <w:pPr>
        <w:spacing w:line="360" w:lineRule="auto"/>
        <w:rPr>
          <w:rFonts w:ascii="宋体" w:hAnsi="宋体"/>
          <w:b/>
          <w:sz w:val="24"/>
        </w:rPr>
      </w:pPr>
      <w:r>
        <w:rPr>
          <w:rFonts w:hint="eastAsia" w:ascii="宋体" w:hAnsi="宋体"/>
          <w:b/>
          <w:sz w:val="24"/>
        </w:rPr>
        <w:t>十、合同争议解决</w:t>
      </w:r>
    </w:p>
    <w:p>
      <w:pPr>
        <w:spacing w:line="360" w:lineRule="auto"/>
        <w:rPr>
          <w:rFonts w:ascii="宋体" w:hAnsi="宋体"/>
          <w:sz w:val="24"/>
        </w:rPr>
      </w:pPr>
      <w:r>
        <w:rPr>
          <w:rFonts w:hint="eastAsia" w:ascii="宋体" w:hAnsi="宋体"/>
          <w:sz w:val="24"/>
        </w:rPr>
        <w:t>1．因产品质量问题发生争议的，应邀请国家认可的质量检测机构进行鉴定。产品符合标准的，鉴定费由甲方承担；产品不符合标准的，鉴定费由乙方承担；</w:t>
      </w:r>
    </w:p>
    <w:p>
      <w:pPr>
        <w:spacing w:line="360" w:lineRule="auto"/>
        <w:rPr>
          <w:rFonts w:ascii="宋体" w:hAnsi="宋体"/>
          <w:sz w:val="24"/>
        </w:rPr>
      </w:pPr>
      <w:r>
        <w:rPr>
          <w:rFonts w:hint="eastAsia" w:ascii="宋体" w:hAnsi="宋体"/>
          <w:sz w:val="24"/>
        </w:rPr>
        <w:t>2．因履行本合同引起的或与本合同有关的争议，甲乙双方应首先通过友好协商解决，如果协商不能解决，可向甲方所在地仲裁委员会申请仲裁或向甲方所在地人民法院提起诉讼；</w:t>
      </w:r>
    </w:p>
    <w:p>
      <w:pPr>
        <w:spacing w:line="360" w:lineRule="auto"/>
        <w:rPr>
          <w:rFonts w:ascii="宋体" w:hAnsi="宋体"/>
          <w:sz w:val="24"/>
        </w:rPr>
      </w:pPr>
      <w:r>
        <w:rPr>
          <w:rFonts w:hint="eastAsia" w:ascii="宋体" w:hAnsi="宋体"/>
          <w:sz w:val="24"/>
        </w:rPr>
        <w:t>3．诉讼期间，本合同继续履行。</w:t>
      </w:r>
    </w:p>
    <w:p>
      <w:pPr>
        <w:spacing w:line="360" w:lineRule="auto"/>
        <w:rPr>
          <w:rFonts w:ascii="宋体" w:hAnsi="宋体"/>
          <w:b/>
          <w:sz w:val="24"/>
        </w:rPr>
      </w:pPr>
      <w:r>
        <w:rPr>
          <w:rFonts w:hint="eastAsia" w:ascii="宋体" w:hAnsi="宋体"/>
          <w:b/>
          <w:sz w:val="24"/>
        </w:rPr>
        <w:t>十一、合同生效及其它：</w:t>
      </w:r>
    </w:p>
    <w:p>
      <w:pPr>
        <w:spacing w:line="360" w:lineRule="auto"/>
        <w:rPr>
          <w:rFonts w:ascii="宋体" w:hAnsi="宋体"/>
          <w:sz w:val="24"/>
        </w:rPr>
      </w:pPr>
      <w:r>
        <w:rPr>
          <w:rFonts w:hint="eastAsia" w:ascii="宋体" w:hAnsi="宋体"/>
          <w:sz w:val="24"/>
        </w:rPr>
        <w:t>1．本合同一式八份，经双方签字，并加盖公章即为生效；</w:t>
      </w:r>
    </w:p>
    <w:p>
      <w:pPr>
        <w:spacing w:line="360" w:lineRule="auto"/>
        <w:rPr>
          <w:rFonts w:ascii="宋体" w:hAnsi="宋体"/>
          <w:sz w:val="24"/>
        </w:rPr>
      </w:pPr>
      <w:r>
        <w:rPr>
          <w:rFonts w:hint="eastAsia" w:ascii="宋体" w:hAnsi="宋体"/>
          <w:sz w:val="24"/>
        </w:rPr>
        <w:t>2．本合同未尽事宜，按经济合同法有关规定处理；</w:t>
      </w:r>
    </w:p>
    <w:p>
      <w:pPr>
        <w:spacing w:line="360" w:lineRule="auto"/>
        <w:rPr>
          <w:rFonts w:ascii="宋体" w:hAnsi="宋体"/>
          <w:sz w:val="24"/>
        </w:rPr>
      </w:pPr>
      <w:r>
        <w:rPr>
          <w:rFonts w:hint="eastAsia" w:ascii="宋体" w:hAnsi="宋体"/>
          <w:sz w:val="24"/>
        </w:rPr>
        <w:t>3．本合同的组成包含《合同通用条款》，可自行在青海政府采购网下载《合同通用条款》</w:t>
      </w:r>
    </w:p>
    <w:p>
      <w:pPr>
        <w:rPr>
          <w:rFonts w:ascii="宋体" w:hAnsi="宋体"/>
          <w:sz w:val="24"/>
        </w:rPr>
      </w:pPr>
      <w:r>
        <w:rPr>
          <w:rFonts w:ascii="宋体" w:hAnsi="宋体"/>
          <w:sz w:val="24"/>
        </w:rPr>
        <w:br w:type="page"/>
      </w:r>
    </w:p>
    <w:p>
      <w:pPr>
        <w:spacing w:line="360" w:lineRule="auto"/>
        <w:rPr>
          <w:rFonts w:ascii="宋体" w:hAnsi="宋体"/>
          <w:sz w:val="24"/>
        </w:rPr>
      </w:pPr>
      <w:r>
        <w:rPr>
          <w:rFonts w:hint="eastAsia" w:ascii="宋体" w:hAnsi="宋体"/>
          <w:sz w:val="24"/>
        </w:rPr>
        <w:t>（此页无正文内容）</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甲方（盖章）：                             乙方（盖章）：</w:t>
      </w:r>
    </w:p>
    <w:p>
      <w:pPr>
        <w:spacing w:line="360" w:lineRule="auto"/>
        <w:rPr>
          <w:rFonts w:ascii="宋体" w:hAnsi="宋体"/>
          <w:sz w:val="24"/>
        </w:rPr>
      </w:pPr>
      <w:r>
        <w:rPr>
          <w:rFonts w:hint="eastAsia" w:ascii="宋体" w:hAnsi="宋体"/>
          <w:sz w:val="24"/>
        </w:rPr>
        <w:t>法人或委托人（签字）：                     法人或委托人（签字）：</w:t>
      </w:r>
    </w:p>
    <w:p>
      <w:pPr>
        <w:spacing w:line="360" w:lineRule="auto"/>
        <w:rPr>
          <w:rFonts w:ascii="宋体" w:hAnsi="宋体"/>
          <w:sz w:val="24"/>
        </w:rPr>
      </w:pPr>
      <w:r>
        <w:rPr>
          <w:rFonts w:hint="eastAsia" w:ascii="宋体" w:hAnsi="宋体"/>
          <w:sz w:val="24"/>
        </w:rPr>
        <w:t>联系电话：                                开户银行：</w:t>
      </w:r>
    </w:p>
    <w:p>
      <w:pPr>
        <w:spacing w:line="360" w:lineRule="auto"/>
        <w:ind w:firstLine="5040" w:firstLineChars="2100"/>
        <w:rPr>
          <w:rFonts w:ascii="宋体" w:hAnsi="宋体"/>
          <w:sz w:val="24"/>
        </w:rPr>
      </w:pPr>
      <w:r>
        <w:rPr>
          <w:rFonts w:hint="eastAsia" w:ascii="宋体" w:hAnsi="宋体"/>
          <w:sz w:val="24"/>
        </w:rPr>
        <w:t>账号：</w:t>
      </w:r>
    </w:p>
    <w:p>
      <w:pPr>
        <w:spacing w:line="360" w:lineRule="auto"/>
        <w:ind w:firstLine="5040" w:firstLineChars="2100"/>
        <w:rPr>
          <w:rFonts w:ascii="宋体" w:hAnsi="宋体"/>
          <w:sz w:val="24"/>
        </w:rPr>
      </w:pPr>
      <w:r>
        <w:rPr>
          <w:rFonts w:hint="eastAsia" w:ascii="宋体" w:hAnsi="宋体"/>
          <w:sz w:val="24"/>
        </w:rPr>
        <w:t>联系电话：</w:t>
      </w:r>
    </w:p>
    <w:p>
      <w:pPr>
        <w:spacing w:line="360" w:lineRule="auto"/>
        <w:ind w:right="960" w:firstLine="5040" w:firstLineChars="2100"/>
        <w:rPr>
          <w:rFonts w:ascii="宋体" w:hAnsi="宋体" w:cs="宋体"/>
          <w:kern w:val="0"/>
          <w:sz w:val="24"/>
        </w:rPr>
      </w:pPr>
      <w:r>
        <w:rPr>
          <w:rFonts w:hint="eastAsia" w:ascii="宋体" w:hAnsi="宋体"/>
          <w:sz w:val="24"/>
        </w:rPr>
        <w:t>签约时间：    年  月  日</w:t>
      </w:r>
    </w:p>
    <w:p>
      <w:pPr>
        <w:spacing w:line="360" w:lineRule="auto"/>
        <w:rPr>
          <w:rFonts w:ascii="宋体" w:hAnsi="宋体"/>
          <w:sz w:val="24"/>
        </w:rPr>
      </w:pPr>
    </w:p>
    <w:p>
      <w:pPr>
        <w:pStyle w:val="2"/>
        <w:rPr>
          <w:rFonts w:ascii="宋体" w:hAnsi="宋体"/>
          <w:sz w:val="24"/>
        </w:rPr>
      </w:pPr>
    </w:p>
    <w:p>
      <w:pPr>
        <w:pStyle w:val="16"/>
      </w:pPr>
    </w:p>
    <w:p>
      <w:pPr>
        <w:spacing w:line="360" w:lineRule="auto"/>
        <w:rPr>
          <w:rFonts w:ascii="宋体" w:hAnsi="宋体"/>
          <w:sz w:val="24"/>
        </w:rPr>
      </w:pPr>
      <w:r>
        <w:rPr>
          <w:rFonts w:hint="eastAsia" w:ascii="宋体" w:hAnsi="宋体"/>
          <w:sz w:val="24"/>
        </w:rPr>
        <w:t>采购代理机构：青海国焱工程项目管理有限公司</w:t>
      </w:r>
    </w:p>
    <w:p>
      <w:pPr>
        <w:spacing w:line="360" w:lineRule="auto"/>
        <w:rPr>
          <w:rFonts w:ascii="宋体" w:hAnsi="宋体"/>
          <w:sz w:val="24"/>
        </w:rPr>
      </w:pPr>
      <w:r>
        <w:rPr>
          <w:rFonts w:hint="eastAsia" w:ascii="宋体" w:hAnsi="宋体"/>
          <w:sz w:val="24"/>
        </w:rPr>
        <w:t>负责人或经办人：</w:t>
      </w:r>
    </w:p>
    <w:p>
      <w:pPr>
        <w:spacing w:line="360" w:lineRule="auto"/>
        <w:rPr>
          <w:rFonts w:ascii="宋体" w:hAnsi="宋体"/>
          <w:sz w:val="24"/>
        </w:rPr>
      </w:pPr>
      <w:r>
        <w:rPr>
          <w:rFonts w:hint="eastAsia" w:ascii="宋体" w:hAnsi="宋体"/>
          <w:sz w:val="24"/>
        </w:rPr>
        <w:t>合同备案日期：  年   月   日</w:t>
      </w:r>
    </w:p>
    <w:p>
      <w:pPr>
        <w:spacing w:line="360" w:lineRule="auto"/>
        <w:jc w:val="center"/>
        <w:rPr>
          <w:rFonts w:ascii="宋体" w:hAnsi="宋体" w:cs="宋体"/>
          <w:b/>
          <w:bCs/>
          <w:kern w:val="0"/>
          <w:sz w:val="28"/>
          <w:szCs w:val="28"/>
          <w:lang w:val="zh-CN"/>
        </w:rPr>
      </w:pPr>
      <w:r>
        <w:rPr>
          <w:rFonts w:ascii="宋体" w:hAnsi="宋体"/>
          <w:sz w:val="24"/>
        </w:rPr>
        <w:br w:type="page"/>
      </w:r>
      <w:r>
        <w:rPr>
          <w:rFonts w:hint="eastAsia" w:ascii="宋体" w:hAnsi="宋体"/>
          <w:b/>
          <w:sz w:val="28"/>
          <w:szCs w:val="28"/>
        </w:rPr>
        <w:t>合同通用条款</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根据《中华人民共和国</w:t>
      </w:r>
      <w:r>
        <w:rPr>
          <w:rFonts w:hint="eastAsia" w:hAnsi="宋体"/>
          <w:sz w:val="24"/>
        </w:rPr>
        <w:t>民法典</w:t>
      </w:r>
      <w:r>
        <w:rPr>
          <w:rFonts w:hint="eastAsia" w:ascii="宋体" w:hAnsi="宋体" w:cs="宋体"/>
          <w:kern w:val="0"/>
          <w:sz w:val="24"/>
          <w:lang w:val="zh-CN"/>
        </w:rPr>
        <w:t>》、《中华人民共和国政府采购法》的规定，合同双方经协商达成一致，自愿订立本合同，遵循公平原则明确双方的权利、义务，确保双方诚实守信地履行合同。</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定义</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本合同中的下列术语应解释为：</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“合同”指甲乙双方签署的、载明的甲乙双方权利义务的协议，包括所有的附件、附录和上述文件所提到的构成合同的所有文件。</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“合同金额”指根据合同规定，乙方在正确地完全履行合同义务后甲方应付给乙方的价款。</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“合同条款”指本合同条款。</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“货物”指乙方根据合同约定须向甲方提供的一切产品、设备、机械、仪表、备件等，包括辅助工具、使用手册等相关资料。</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“服务”指根据本合同规定乙方承担与供货有关的辅助服务，如运输、保险及安装、调试、提供技术援助、培训和合同中规定乙方应承担的其它义务。</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“甲方”指购买货物和服务的单位。</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“乙方”指提供本合同条款下货物和服务的公司或其他实体。</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“现场”指合同规定货物将要运至和安装的地点。</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“验收”指合同双方依据强制性的国家技术质量规范和合同约定，确认合同条款下的货物符合合同规定的活动。</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原厂商：产品制造商或其在中国境内设立的办事或技术服务机构。除另有说明外，本合同文件所述的制造商、产品制造商、制造厂家、产品制造厂家均为原厂商。</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原产地：指产品的生产地，或提供服务的来源地。</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“工作日”指国家法定工作日，“天”指日历天数。</w:t>
      </w:r>
    </w:p>
    <w:p>
      <w:pPr>
        <w:numPr>
          <w:ilvl w:val="0"/>
          <w:numId w:val="38"/>
        </w:numPr>
        <w:autoSpaceDE w:val="0"/>
        <w:autoSpaceDN w:val="0"/>
        <w:spacing w:line="360" w:lineRule="auto"/>
        <w:rPr>
          <w:rFonts w:ascii="宋体" w:hAnsi="宋体" w:cs="宋体"/>
          <w:kern w:val="0"/>
          <w:sz w:val="24"/>
        </w:rPr>
      </w:pPr>
      <w:r>
        <w:rPr>
          <w:rFonts w:hint="eastAsia" w:ascii="宋体" w:hAnsi="宋体" w:cs="宋体"/>
          <w:b/>
          <w:bCs/>
          <w:kern w:val="0"/>
          <w:sz w:val="24"/>
          <w:lang w:val="zh-CN"/>
        </w:rPr>
        <w:t>技术规格要求</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本合同条款下提交货物的技术规格要求应等于或优于招磋商文件技术规格要求。若技术规格要求中无相应规定，则应符合相应的国家有关部门最新颁布的相应正式标准。</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乙方应向甲方提供货物及服务有关的标准的中文文本。</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除非技术规范中另有规定，计量单位均采用中华人民共和国法定计量单位。</w:t>
      </w:r>
    </w:p>
    <w:p>
      <w:pPr>
        <w:numPr>
          <w:ilvl w:val="0"/>
          <w:numId w:val="38"/>
        </w:numPr>
        <w:autoSpaceDE w:val="0"/>
        <w:autoSpaceDN w:val="0"/>
        <w:spacing w:line="360" w:lineRule="auto"/>
        <w:rPr>
          <w:rFonts w:ascii="宋体" w:hAnsi="宋体" w:cs="宋体"/>
          <w:kern w:val="0"/>
          <w:sz w:val="24"/>
        </w:rPr>
      </w:pPr>
      <w:r>
        <w:rPr>
          <w:rFonts w:hint="eastAsia" w:ascii="宋体" w:hAnsi="宋体" w:cs="宋体"/>
          <w:b/>
          <w:bCs/>
          <w:kern w:val="0"/>
          <w:sz w:val="24"/>
          <w:lang w:val="zh-CN"/>
        </w:rPr>
        <w:t>合同范围</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乙方应负责培训甲方的技术人员。</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按照甲方的要求，乙方应在合同规定的免费质保期和免费保修期内，免费负责修理或更换有缺陷的零部件或整机，对软件产品进行免费升级，同时在合同规定的免费质保期和免费保修期满后，以最优惠的价格，向买方提供合同货物大修和维护所需的配件及服务。</w:t>
      </w:r>
    </w:p>
    <w:p>
      <w:pPr>
        <w:numPr>
          <w:ilvl w:val="0"/>
          <w:numId w:val="38"/>
        </w:numPr>
        <w:autoSpaceDE w:val="0"/>
        <w:autoSpaceDN w:val="0"/>
        <w:spacing w:line="360" w:lineRule="auto"/>
        <w:rPr>
          <w:rFonts w:ascii="宋体" w:hAnsi="宋体" w:cs="宋体"/>
          <w:kern w:val="0"/>
          <w:sz w:val="24"/>
        </w:rPr>
      </w:pPr>
      <w:r>
        <w:rPr>
          <w:rFonts w:hint="eastAsia" w:ascii="宋体" w:hAnsi="宋体" w:cs="宋体"/>
          <w:b/>
          <w:bCs/>
          <w:kern w:val="0"/>
          <w:sz w:val="24"/>
          <w:lang w:val="zh-CN"/>
        </w:rPr>
        <w:t>合同文件和资料</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乙方在提供仪器设备时应同时提供中文版相关的技术资料，如目录索引、图纸、操作手册、使用指南、维修指南、服务手册等。</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numPr>
          <w:ilvl w:val="0"/>
          <w:numId w:val="38"/>
        </w:numPr>
        <w:autoSpaceDE w:val="0"/>
        <w:autoSpaceDN w:val="0"/>
        <w:spacing w:line="360" w:lineRule="auto"/>
        <w:rPr>
          <w:rFonts w:ascii="宋体" w:hAnsi="宋体" w:cs="宋体"/>
          <w:kern w:val="0"/>
          <w:sz w:val="24"/>
        </w:rPr>
      </w:pPr>
      <w:r>
        <w:rPr>
          <w:rFonts w:hint="eastAsia" w:ascii="宋体" w:hAnsi="宋体" w:cs="宋体"/>
          <w:b/>
          <w:bCs/>
          <w:kern w:val="0"/>
          <w:sz w:val="24"/>
          <w:lang w:val="zh-CN"/>
        </w:rPr>
        <w:t>知识产权</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乙方应保证甲方在使用该货物或其任何一部分时不受第三方提出的侵犯专利权、著作权、商标权和工业设计权等的起诉。</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任何第三方提出侵权指控，乙方须与第三方交涉并承担由此产生的一切责任、费用和经济赔偿。</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双方应共同遵守国家有关版权、专利、商标等知识产权方面的法律规定，相互尊重对方的知识产权，对本合同内容、对方的技术秘密和商业秘密负有保密责任。如有违反，违约方负相关法律责任。</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在本合同生效时已经存在并为各方合法拥有或使用的所有技术、资料和信息的知识产权，仍应属于其各自的原权利人所有或享有，另有约定的除外。</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numPr>
          <w:ilvl w:val="0"/>
          <w:numId w:val="38"/>
        </w:numPr>
        <w:autoSpaceDE w:val="0"/>
        <w:autoSpaceDN w:val="0"/>
        <w:spacing w:line="360" w:lineRule="auto"/>
        <w:rPr>
          <w:rFonts w:ascii="宋体" w:hAnsi="宋体" w:cs="宋体"/>
          <w:kern w:val="0"/>
          <w:sz w:val="24"/>
        </w:rPr>
      </w:pPr>
      <w:r>
        <w:rPr>
          <w:rFonts w:hint="eastAsia" w:ascii="宋体" w:hAnsi="宋体" w:cs="宋体"/>
          <w:b/>
          <w:bCs/>
          <w:kern w:val="0"/>
          <w:sz w:val="24"/>
          <w:lang w:val="zh-CN"/>
        </w:rPr>
        <w:t>保密</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保密信息指任何一方因履行本合同所知悉的任何以口头、书面、图表或电子形式存在的对方信息，具体包括：</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任何涉及对方过去、现在或将来的商业计划、规章制度、操作规程、处理手段、财务信息；</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任何对方的技术措施、技术方案、软件应用及开发，硬件设备的品种、质量、数量、品牌等；</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任何对方的技术秘密或专有知识、文件、报告、数据、客户软件、流程图、数据库、发明、知识、贸易秘密。</w:t>
      </w:r>
    </w:p>
    <w:p>
      <w:pPr>
        <w:numPr>
          <w:ilvl w:val="1"/>
          <w:numId w:val="38"/>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乙方应根据甲方的要求签署相应的保密协议，保密协议与本条款存在不一致的，以保密协议为准。</w:t>
      </w:r>
    </w:p>
    <w:p>
      <w:pPr>
        <w:numPr>
          <w:ilvl w:val="0"/>
          <w:numId w:val="38"/>
        </w:numPr>
        <w:autoSpaceDE w:val="0"/>
        <w:autoSpaceDN w:val="0"/>
        <w:spacing w:line="360" w:lineRule="auto"/>
        <w:rPr>
          <w:rFonts w:ascii="宋体" w:hAnsi="宋体" w:cs="宋体"/>
          <w:kern w:val="0"/>
          <w:sz w:val="24"/>
        </w:rPr>
      </w:pPr>
      <w:r>
        <w:rPr>
          <w:rFonts w:hint="eastAsia" w:ascii="宋体" w:hAnsi="宋体" w:cs="宋体"/>
          <w:b/>
          <w:bCs/>
          <w:kern w:val="0"/>
          <w:sz w:val="24"/>
          <w:lang w:val="zh-CN"/>
        </w:rPr>
        <w:t>质量保证</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货物质量保证</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乙方必须保证货物是全新、未使用过的，并完全符合强制性的国家技术质量规范和合同规定的质量、规格、性能和技术规范等的要求。</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须保证所提供的货物经正确安装、正常运转和保养，在其使用寿命期内须具有符合质量要求和产品说明书的性能。在货物免费质保期之内，乙方须对由于设计、工艺或材料的缺陷而发生的任何不足或故障负责，并免费予以改进或更换。</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根据乙方按检验标准自己检验结果或委托有资质的相关质检机构的检验结果，发现货物的数量、质量、规格与合同不符；或者在免费质保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合同条款下货物的免费质保期自货物通过最终验收起算，合同另行规定除外。</w:t>
      </w:r>
    </w:p>
    <w:p>
      <w:pPr>
        <w:numPr>
          <w:ilvl w:val="1"/>
          <w:numId w:val="38"/>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辅助服务质量保证</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乙方应保证合同条款下所提供的服务包括培训、安装指导、单机调试、系统联调和试验等，按合同规定方式进行，并保证不存在因乙方工作人员的过失、错误或疏忽而产生的缺陷。</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包装要求</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除合同另有约定外</w:t>
      </w:r>
      <w:r>
        <w:rPr>
          <w:rFonts w:hint="eastAsia" w:ascii="宋体" w:hAnsi="宋体" w:cs="宋体"/>
          <w:kern w:val="0"/>
          <w:sz w:val="24"/>
        </w:rPr>
        <w:t>,</w:t>
      </w:r>
      <w:r>
        <w:rPr>
          <w:rFonts w:hint="eastAsia" w:ascii="宋体" w:hAnsi="宋体" w:cs="宋体"/>
          <w:kern w:val="0"/>
          <w:sz w:val="24"/>
          <w:lang w:val="zh-CN"/>
        </w:rPr>
        <w:t>乙方提供的全部货物</w:t>
      </w:r>
      <w:r>
        <w:rPr>
          <w:rFonts w:hint="eastAsia" w:ascii="宋体" w:hAnsi="宋体" w:cs="宋体"/>
          <w:kern w:val="0"/>
          <w:sz w:val="24"/>
        </w:rPr>
        <w:t>,</w:t>
      </w:r>
      <w:r>
        <w:rPr>
          <w:rFonts w:hint="eastAsia" w:ascii="宋体" w:hAnsi="宋体" w:cs="宋体"/>
          <w:kern w:val="0"/>
          <w:sz w:val="24"/>
          <w:lang w:val="zh-CN"/>
        </w:rPr>
        <w:t>均应采用本行业通用的方式进行包装，且该包装应符合国家有关包装的法律、法规的规定。</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包装应适应于远距离运输，并有良好的防潮、防震、防锈和防粗暴装卸等保护措施，以确保货物安全运抵现场。由于包装不善所引起的货物锈蚀、损坏和损失均由乙方承担。</w:t>
      </w:r>
    </w:p>
    <w:p>
      <w:pPr>
        <w:autoSpaceDE w:val="0"/>
        <w:autoSpaceDN w:val="0"/>
        <w:spacing w:line="360" w:lineRule="auto"/>
        <w:ind w:left="480"/>
        <w:rPr>
          <w:rFonts w:ascii="宋体" w:hAnsi="宋体" w:cs="宋体"/>
          <w:kern w:val="0"/>
          <w:sz w:val="24"/>
        </w:rPr>
      </w:pPr>
      <w:r>
        <w:rPr>
          <w:rFonts w:hint="eastAsia" w:ascii="宋体" w:hAnsi="宋体" w:cs="宋体"/>
          <w:kern w:val="0"/>
          <w:sz w:val="24"/>
          <w:lang w:val="zh-CN"/>
        </w:rPr>
        <w:t>乙方应提供货物运至合同规定的最终目的地所需要的包装，以防止货物在转运中损坏或变质。</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乙方所提供的货物包装均为出厂时原包装。</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乙方所提供货物必须附有质量合格证，装箱清单，主机、附件、各种零部件和消耗品，有清楚的与装箱单相对应的名称和编号。</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货物运输中的运输费用和保险费用均由乙方承担。运输过程中的一切损失、损坏均由乙方负责。</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价格</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履行合同所必须的所有费用，包括但不限于货物及部件的设计、检测与试验、制造、运输、装卸、保险、单机调试、安装调试指导、技术资料、培训、交通、人员、差旅、免费质保期服务费、其他管理费用、所有的检验、测试、调试、验收、试运行费用等均已包括在合同价格中。</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本合同价格为固定价格，包括了乙方履行合同全过程产生的所有成本和费用以及乙方应承担的一切税费。</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检验费用</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乙方必须负担本条款下属于乙方负责的检验、测试、调试、试运行和验收的所有费用，并负责乙方派往买方组织的检验、测试和验收人员的所有费用。</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甲方按合同计划参加在乙方工厂所在地检验、测试和验收的费用全部由乙方负责并已包含在合同总价中。</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甲方检验人员已到卖方所在地，测试无法依照合同进行，而引起甲方人员延长逗留时间，所有由此产生的包括甲方人员在内的直接费用及成本由乙方承担。</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交货方式及交货时间</w:t>
      </w:r>
    </w:p>
    <w:p>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交货方式：现场交货，乙方负责办理运输和保险，将货物运抵现场。</w:t>
      </w:r>
    </w:p>
    <w:p>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交货期应根据产品的特点实事求是填写，进口产品90个工作日内，国产产品60个工作日内。特殊产品交货期需说明。</w:t>
      </w:r>
    </w:p>
    <w:p>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交货时间：所有货物运抵现场并经双方开箱验收合格之日。</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检验和验收</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开箱验收</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货物运抵现场后，双方应及时开箱验收，并制作验收记录，以确认与本合同约定的数量、型号等是否一致。</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开箱验收中如发现货物的数量、规格与合同约定不符，甲方有权拒收货物，乙方应及时按甲方要求免费对拒收货物采取更换或其他必要的补救措施，直至开箱验收合格，方视为乙方完成交货。</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检验验收</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交货完成后，乙方应及时组装、调试、试运行，按照合同专用条款规定的试运行完成后，双方及时组织对货物检验验收。合同双方均须派人参加合同要求双方参加的试验、检验。</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在具体实施合同规定的检验验收之前，乙方需提前提交相应的测试计划（包括测试程序、测试内容和检验标准、试验时间安排等）供甲方确认。</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除需甲方确认的试验验收外，乙方还应对所有检验验收测试的结果、步骤、原始数据等作妥善记录。如甲方要求，乙方应提供这些记录给买方。</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检验测试出现全部或部分未达到本合同所约定的技术指标，甲方有权选择下列任一处理方式：</w:t>
      </w:r>
    </w:p>
    <w:p>
      <w:pPr>
        <w:numPr>
          <w:ilvl w:val="0"/>
          <w:numId w:val="39"/>
        </w:numPr>
        <w:autoSpaceDE w:val="0"/>
        <w:autoSpaceDN w:val="0"/>
        <w:spacing w:line="360" w:lineRule="auto"/>
        <w:rPr>
          <w:rFonts w:ascii="宋体" w:hAnsi="宋体" w:cs="宋体"/>
          <w:kern w:val="0"/>
          <w:sz w:val="24"/>
        </w:rPr>
      </w:pPr>
      <w:r>
        <w:rPr>
          <w:rFonts w:hint="eastAsia" w:ascii="宋体" w:hAnsi="宋体" w:cs="宋体"/>
          <w:kern w:val="0"/>
          <w:sz w:val="24"/>
          <w:lang w:val="zh-CN"/>
        </w:rPr>
        <w:t>重新测试直至合格为止；</w:t>
      </w:r>
    </w:p>
    <w:p>
      <w:pPr>
        <w:numPr>
          <w:ilvl w:val="0"/>
          <w:numId w:val="39"/>
        </w:numPr>
        <w:autoSpaceDE w:val="0"/>
        <w:autoSpaceDN w:val="0"/>
        <w:spacing w:line="360" w:lineRule="auto"/>
        <w:rPr>
          <w:rFonts w:ascii="宋体" w:hAnsi="宋体" w:cs="宋体"/>
          <w:kern w:val="0"/>
          <w:sz w:val="24"/>
        </w:rPr>
      </w:pPr>
      <w:r>
        <w:rPr>
          <w:rFonts w:hint="eastAsia" w:ascii="宋体" w:hAnsi="宋体" w:cs="宋体"/>
          <w:kern w:val="0"/>
          <w:sz w:val="24"/>
          <w:lang w:val="zh-CN"/>
        </w:rPr>
        <w:t>要求乙方对货物进行免费更换，然后重新测试直至合格为止；</w:t>
      </w:r>
    </w:p>
    <w:p>
      <w:pPr>
        <w:autoSpaceDE w:val="0"/>
        <w:autoSpaceDN w:val="0"/>
        <w:spacing w:line="360" w:lineRule="auto"/>
        <w:rPr>
          <w:rFonts w:ascii="宋体" w:hAnsi="宋体" w:cs="宋体"/>
          <w:kern w:val="0"/>
          <w:sz w:val="24"/>
        </w:rPr>
      </w:pPr>
      <w:r>
        <w:rPr>
          <w:rFonts w:hint="eastAsia" w:ascii="宋体" w:hAnsi="宋体" w:cs="宋体"/>
          <w:kern w:val="0"/>
          <w:sz w:val="24"/>
          <w:lang w:val="zh-CN"/>
        </w:rPr>
        <w:t>无论选择何种方式，甲方因此而发生的因卖方原因引起的所有费用均由乙方负担。</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使用过程检验</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在合同规定的免费质保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如果合同双方对乙方提供的上述试验结果报告的解释有分歧，双方须于出现分歧后</w:t>
      </w:r>
      <w:r>
        <w:rPr>
          <w:rFonts w:hint="eastAsia" w:ascii="宋体" w:hAnsi="宋体" w:cs="宋体"/>
          <w:kern w:val="0"/>
          <w:sz w:val="24"/>
        </w:rPr>
        <w:t>10</w:t>
      </w:r>
      <w:r>
        <w:rPr>
          <w:rFonts w:hint="eastAsia" w:ascii="宋体" w:hAnsi="宋体" w:cs="宋体"/>
          <w:kern w:val="0"/>
          <w:sz w:val="24"/>
          <w:lang w:val="zh-CN"/>
        </w:rPr>
        <w:t>天内给对方声明，以陈述己方的观点。声明须附有关证据。分歧应通过协商解决。</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付款条件</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本合同条款下的付款方法和条件在“青海省政府采购合同书”中具体规定。</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履约保证金</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乙方应在合同签订前，按要求提交履约保证金。</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履约保证金用于补偿甲方因乙方不能履行其合同义务而蒙受的损失。</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履约保证金应使用本合同货币，按下述方式之一提交（磋商文件中另有约定的除外）：</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甲方可接受的在中华人民共和国注册和营业的银行出具的履约保函；</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支票或汇票。</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乙方未能按合同规定履行其义务，甲方有权从履约保证金中取得补偿。货物验收合格后，甲方将履约保证金退还乙方或转为质量保证金。</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索赔</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货物的质量、规格、数量、性能等与合同约定不符，或在免费质保期内证实货物存有缺陷，包括潜在的缺陷或使用不符合要求的材料等，甲方有权根据有资质的权威质检机构的检验结果向乙方提出索赔（但责任应由保险公司或运输部门承担的除外）。</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在履约保证期和检验期内，乙方对甲方提出的索赔负有责任，乙方应按照甲方同意的下列一种或多种方式解决索赔事宜：</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根据货物低劣程度、损坏程度以及甲方所遭受损失的数额，经甲乙双方商定降低货物的价格，或由有资质的中介机构评估，以降低后的价格或评估价格为准。</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numPr>
          <w:ilvl w:val="1"/>
          <w:numId w:val="38"/>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乙方收到甲方发出的索赔通知之日起</w:t>
      </w:r>
      <w:r>
        <w:rPr>
          <w:rFonts w:hint="eastAsia" w:ascii="宋体" w:hAnsi="宋体" w:cs="宋体"/>
          <w:kern w:val="0"/>
          <w:sz w:val="24"/>
        </w:rPr>
        <w:t>5</w:t>
      </w:r>
      <w:r>
        <w:rPr>
          <w:rFonts w:hint="eastAsia" w:ascii="宋体" w:hAnsi="宋体" w:cs="宋体"/>
          <w:kern w:val="0"/>
          <w:sz w:val="24"/>
          <w:lang w:val="zh-CN"/>
        </w:rPr>
        <w:t>个工作日内未作答复的，甲方可从合同款或履约保证金中扣回索赔金额，如金额不足以补偿索赔金额，乙方应补足差额部分。</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迟延交货</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乙方应按照合同约定的时间交货和提供服务。</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除不可抗力因素外，乙方迟延交货，甲方有权提出违约损失赔偿或解除合同。</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违约赔偿</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除不可抗力因素外，乙方没有按照合同规定的时间交货和提供服务，甲方可要求乙方支付违约金。违约金每日按合同总价款的千分之五计收。</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不可抗力</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双方中任何一方遭遇法律规定的不可抗力，致使合同履行受阻时，履行合同的期限应予延长，延长的期限应相当于不可抗力所影响的时间。</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受事故影响的一方应在不可抗力的事故发生后以书面形式通知另一方。</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不可抗力使合同的某些内容有变更必要的，双方应通过协商达成进一步履行合同的协议，因不可抗力致使合同不能履行的，合同终止。</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税费</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与本合同有关的一切税费均由乙方承担。</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合同争议的解决</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甲方和乙方由于本合同的履行而发生任何争议时，双方可先通过协商解决。</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任何一方不愿通过协商或通过协商仍不能解决争议，则双方中任何一方均应向甲方所在地人民法院起诉。</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违约解除合同</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出现下列情形之一的，视为乙方违约。甲方可向乙方发出书面通知，部分或全部终止合同，同时保留向乙方索赔的权利。</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乙方未能在合同规定的限期或甲方同意延长的限期内，提供全部或部分货物的；</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乙方未能履行合同规定的其它主要义务的；</w:t>
      </w:r>
    </w:p>
    <w:p>
      <w:pPr>
        <w:numPr>
          <w:ilvl w:val="2"/>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乙方在本合同履行过程中有欺诈行为的。</w:t>
      </w:r>
    </w:p>
    <w:p>
      <w:pPr>
        <w:numPr>
          <w:ilvl w:val="1"/>
          <w:numId w:val="38"/>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破产终止合同</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乙方破产而无法完全履行本合同义务时，甲方可以书面方式通知乙方终止合同而不给予乙方补偿。该合同的终止将不损害或不影响甲方已经采取或将要采取任何行动或补救措施的权利。</w:t>
      </w:r>
    </w:p>
    <w:p>
      <w:pPr>
        <w:numPr>
          <w:ilvl w:val="0"/>
          <w:numId w:val="38"/>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转让和分包</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政府采购合同不能转让。</w:t>
      </w:r>
    </w:p>
    <w:p>
      <w:pPr>
        <w:numPr>
          <w:ilvl w:val="1"/>
          <w:numId w:val="38"/>
        </w:numPr>
        <w:autoSpaceDE w:val="0"/>
        <w:autoSpaceDN w:val="0"/>
        <w:spacing w:line="360" w:lineRule="auto"/>
        <w:rPr>
          <w:rFonts w:ascii="宋体" w:hAnsi="宋体" w:cs="宋体"/>
          <w:kern w:val="0"/>
          <w:sz w:val="24"/>
        </w:rPr>
      </w:pPr>
      <w:r>
        <w:rPr>
          <w:rFonts w:hint="eastAsia" w:ascii="宋体" w:hAnsi="宋体" w:cs="宋体"/>
          <w:kern w:val="0"/>
          <w:sz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合同修改</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甲方和乙方都不得擅自变更本合同，但合同继续履行将损害国家和社会公共利益的除外。如必须对合同条款进行改动时，当事人双方须共同签署书面文件，做为合同的补充。</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通知</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本合同任何一方给另一方的通知，都应以书面形式发送，而另一方也应以书面形式确认并发送到对方明确的地址。</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计量单位</w:t>
      </w:r>
    </w:p>
    <w:p>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除技术规范中另有规定外</w:t>
      </w:r>
      <w:r>
        <w:rPr>
          <w:rFonts w:hint="eastAsia" w:ascii="宋体" w:hAnsi="宋体" w:cs="宋体"/>
          <w:kern w:val="0"/>
          <w:sz w:val="24"/>
        </w:rPr>
        <w:t>,</w:t>
      </w:r>
      <w:r>
        <w:rPr>
          <w:rFonts w:hint="eastAsia" w:ascii="宋体" w:hAnsi="宋体" w:cs="宋体"/>
          <w:kern w:val="0"/>
          <w:sz w:val="24"/>
          <w:lang w:val="zh-CN"/>
        </w:rPr>
        <w:t>计量单位均使用国家法定计量单位。</w:t>
      </w:r>
    </w:p>
    <w:p>
      <w:pPr>
        <w:numPr>
          <w:ilvl w:val="0"/>
          <w:numId w:val="38"/>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适用法律</w:t>
      </w:r>
    </w:p>
    <w:p>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本合同按照中华人民共和国的相关法律进行解释。</w:t>
      </w:r>
    </w:p>
    <w:p>
      <w:pPr>
        <w:pStyle w:val="26"/>
        <w:spacing w:before="0" w:after="0" w:line="360" w:lineRule="auto"/>
        <w:rPr>
          <w:rFonts w:ascii="宋体" w:hAnsi="宋体"/>
          <w:sz w:val="48"/>
          <w:szCs w:val="48"/>
        </w:rPr>
      </w:pPr>
      <w:r>
        <w:rPr>
          <w:rFonts w:ascii="宋体" w:hAnsi="宋体" w:cs="宋体"/>
          <w:kern w:val="0"/>
          <w:sz w:val="24"/>
          <w:szCs w:val="24"/>
          <w:lang w:val="zh-CN"/>
        </w:rPr>
        <w:br w:type="page"/>
      </w:r>
      <w:bookmarkStart w:id="101" w:name="_Toc16836"/>
      <w:r>
        <w:rPr>
          <w:rFonts w:hint="eastAsia" w:ascii="宋体" w:hAnsi="宋体"/>
          <w:sz w:val="48"/>
          <w:szCs w:val="48"/>
        </w:rPr>
        <w:t>第五部分  磋商响应文件格式</w:t>
      </w:r>
      <w:bookmarkEnd w:id="101"/>
    </w:p>
    <w:p>
      <w:pPr>
        <w:spacing w:line="360" w:lineRule="auto"/>
        <w:rPr>
          <w:rFonts w:ascii="宋体" w:hAnsi="宋体"/>
          <w:sz w:val="24"/>
        </w:rPr>
      </w:pPr>
    </w:p>
    <w:p>
      <w:pPr>
        <w:spacing w:line="360" w:lineRule="auto"/>
        <w:ind w:firstLine="630" w:firstLineChars="224"/>
        <w:rPr>
          <w:rFonts w:ascii="宋体" w:hAnsi="宋体" w:cs="宋体"/>
          <w:b/>
          <w:bCs/>
          <w:kern w:val="0"/>
          <w:sz w:val="24"/>
          <w:lang w:val="zh-CN"/>
        </w:rPr>
      </w:pPr>
      <w:r>
        <w:rPr>
          <w:rFonts w:hint="eastAsia" w:ascii="宋体" w:hAnsi="宋体" w:cs="宋体"/>
          <w:b/>
          <w:bCs/>
          <w:kern w:val="0"/>
          <w:sz w:val="28"/>
          <w:szCs w:val="28"/>
          <w:lang w:val="zh-CN"/>
        </w:rPr>
        <w:t>磋商供应商应严格按照本格式要求编制磋商响应文件</w:t>
      </w:r>
      <w:r>
        <w:rPr>
          <w:rFonts w:hint="eastAsia" w:ascii="宋体" w:hAnsi="宋体" w:cs="宋体"/>
          <w:b/>
          <w:bCs/>
          <w:kern w:val="0"/>
          <w:sz w:val="24"/>
          <w:lang w:val="zh-CN"/>
        </w:rPr>
        <w:t>。</w:t>
      </w:r>
    </w:p>
    <w:p>
      <w:pPr>
        <w:spacing w:line="360" w:lineRule="auto"/>
        <w:rPr>
          <w:rFonts w:ascii="宋体" w:hAnsi="宋体"/>
          <w:b/>
          <w:sz w:val="24"/>
          <w:lang w:val="zh-CN"/>
        </w:rPr>
      </w:pPr>
      <w:r>
        <w:rPr>
          <w:rFonts w:ascii="宋体" w:hAnsi="宋体" w:cs="宋体"/>
          <w:kern w:val="0"/>
          <w:sz w:val="24"/>
          <w:lang w:val="zh-CN"/>
        </w:rPr>
        <w:br w:type="page"/>
      </w:r>
    </w:p>
    <w:p>
      <w:pPr>
        <w:pStyle w:val="9"/>
        <w:numPr>
          <w:ilvl w:val="0"/>
          <w:numId w:val="0"/>
        </w:numPr>
        <w:ind w:left="709" w:hanging="709"/>
        <w:rPr>
          <w:rFonts w:hAnsi="宋体"/>
          <w:sz w:val="24"/>
          <w:szCs w:val="24"/>
          <w:lang w:val="zh-CN"/>
        </w:rPr>
      </w:pPr>
      <w:bookmarkStart w:id="102" w:name="_Toc8943"/>
      <w:r>
        <w:rPr>
          <w:rFonts w:hint="eastAsia" w:hAnsi="宋体"/>
          <w:b/>
          <w:sz w:val="24"/>
          <w:szCs w:val="24"/>
          <w:lang w:val="zh-CN"/>
        </w:rPr>
        <w:t>磋商响应文件封面</w:t>
      </w:r>
      <w:bookmarkEnd w:id="102"/>
    </w:p>
    <w:p>
      <w:pPr>
        <w:spacing w:line="360" w:lineRule="auto"/>
        <w:jc w:val="right"/>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jc w:val="center"/>
        <w:rPr>
          <w:rFonts w:ascii="宋体" w:hAnsi="宋体"/>
          <w:b/>
          <w:sz w:val="72"/>
          <w:szCs w:val="72"/>
        </w:rPr>
      </w:pPr>
      <w:r>
        <w:rPr>
          <w:rFonts w:hint="eastAsia" w:ascii="宋体" w:hAnsi="宋体"/>
          <w:b/>
          <w:sz w:val="72"/>
          <w:szCs w:val="72"/>
        </w:rPr>
        <w:t>青海省政府采购项目</w:t>
      </w:r>
    </w:p>
    <w:p>
      <w:pPr>
        <w:spacing w:line="360" w:lineRule="auto"/>
        <w:jc w:val="center"/>
        <w:rPr>
          <w:rFonts w:ascii="宋体" w:hAnsi="宋体"/>
          <w:b/>
          <w:sz w:val="72"/>
          <w:szCs w:val="72"/>
        </w:rPr>
      </w:pPr>
    </w:p>
    <w:p>
      <w:pPr>
        <w:spacing w:line="360" w:lineRule="auto"/>
        <w:jc w:val="center"/>
        <w:rPr>
          <w:rFonts w:ascii="宋体" w:hAnsi="宋体"/>
          <w:b/>
          <w:sz w:val="72"/>
          <w:szCs w:val="72"/>
        </w:rPr>
      </w:pPr>
    </w:p>
    <w:p>
      <w:pPr>
        <w:spacing w:line="360" w:lineRule="auto"/>
        <w:jc w:val="center"/>
        <w:rPr>
          <w:rFonts w:ascii="宋体" w:hAnsi="宋体"/>
          <w:b/>
          <w:sz w:val="72"/>
          <w:szCs w:val="72"/>
        </w:rPr>
      </w:pPr>
      <w:r>
        <w:rPr>
          <w:rFonts w:hint="eastAsia" w:ascii="宋体" w:hAnsi="宋体"/>
          <w:b/>
          <w:sz w:val="72"/>
          <w:szCs w:val="72"/>
        </w:rPr>
        <w:t>磋商响应文件</w:t>
      </w:r>
    </w:p>
    <w:p>
      <w:pPr>
        <w:adjustRightInd w:val="0"/>
        <w:spacing w:line="360" w:lineRule="auto"/>
        <w:textAlignment w:val="baseline"/>
        <w:rPr>
          <w:rFonts w:ascii="宋体" w:hAnsi="宋体"/>
          <w:b/>
          <w:bCs/>
          <w:sz w:val="24"/>
        </w:rPr>
      </w:pPr>
    </w:p>
    <w:p>
      <w:pPr>
        <w:adjustRightInd w:val="0"/>
        <w:spacing w:line="360" w:lineRule="auto"/>
        <w:textAlignment w:val="baseline"/>
        <w:rPr>
          <w:rFonts w:ascii="宋体" w:hAnsi="宋体"/>
          <w:b/>
          <w:bCs/>
          <w:sz w:val="24"/>
        </w:rPr>
      </w:pPr>
    </w:p>
    <w:p>
      <w:pPr>
        <w:adjustRightInd w:val="0"/>
        <w:spacing w:line="360" w:lineRule="auto"/>
        <w:textAlignment w:val="baseline"/>
        <w:rPr>
          <w:rFonts w:ascii="宋体" w:hAnsi="宋体"/>
          <w:b/>
          <w:bCs/>
          <w:sz w:val="24"/>
        </w:rPr>
      </w:pPr>
    </w:p>
    <w:p>
      <w:pPr>
        <w:adjustRightInd w:val="0"/>
        <w:spacing w:line="360" w:lineRule="auto"/>
        <w:ind w:firstLine="643" w:firstLineChars="200"/>
        <w:textAlignment w:val="baseline"/>
        <w:rPr>
          <w:rFonts w:ascii="宋体" w:hAnsi="宋体"/>
          <w:b/>
          <w:bCs/>
          <w:sz w:val="32"/>
          <w:szCs w:val="32"/>
          <w:u w:val="single"/>
        </w:rPr>
      </w:pPr>
      <w:r>
        <w:rPr>
          <w:rFonts w:hint="eastAsia" w:ascii="宋体" w:hAnsi="宋体"/>
          <w:b/>
          <w:bCs/>
          <w:sz w:val="32"/>
          <w:szCs w:val="32"/>
        </w:rPr>
        <w:t>采购项目编号</w:t>
      </w:r>
      <w:r>
        <w:rPr>
          <w:rFonts w:hint="eastAsia" w:ascii="宋体" w:hAnsi="宋体"/>
          <w:sz w:val="32"/>
          <w:szCs w:val="32"/>
        </w:rPr>
        <w:t>：</w:t>
      </w:r>
      <w:r>
        <w:rPr>
          <w:rFonts w:hint="eastAsia" w:ascii="宋体" w:hAnsi="宋体"/>
          <w:sz w:val="32"/>
          <w:szCs w:val="32"/>
          <w:u w:val="single"/>
        </w:rPr>
        <w:t xml:space="preserve">                           </w:t>
      </w:r>
    </w:p>
    <w:p>
      <w:pPr>
        <w:adjustRightInd w:val="0"/>
        <w:spacing w:line="360" w:lineRule="auto"/>
        <w:ind w:firstLine="643" w:firstLineChars="200"/>
        <w:textAlignment w:val="baseline"/>
        <w:rPr>
          <w:rFonts w:ascii="宋体" w:hAnsi="宋体"/>
          <w:b/>
          <w:bCs/>
          <w:sz w:val="32"/>
          <w:szCs w:val="32"/>
          <w:u w:val="single"/>
        </w:rPr>
      </w:pPr>
      <w:r>
        <w:rPr>
          <w:rFonts w:ascii="宋体" w:hAnsi="宋体"/>
          <w:b/>
          <w:bCs/>
          <w:sz w:val="32"/>
          <w:szCs w:val="32"/>
        </w:rPr>
        <w:t>采购项目名称</w:t>
      </w:r>
      <w:r>
        <w:rPr>
          <w:rFonts w:hint="eastAsia" w:ascii="宋体" w:hAnsi="宋体"/>
          <w:b/>
          <w:bCs/>
          <w:sz w:val="32"/>
          <w:szCs w:val="32"/>
        </w:rPr>
        <w:t>：</w:t>
      </w:r>
      <w:r>
        <w:rPr>
          <w:rFonts w:hint="eastAsia" w:ascii="宋体" w:hAnsi="宋体"/>
          <w:b/>
          <w:bCs/>
          <w:sz w:val="32"/>
          <w:szCs w:val="32"/>
          <w:u w:val="single"/>
        </w:rPr>
        <w:t xml:space="preserve">                           </w:t>
      </w:r>
    </w:p>
    <w:p>
      <w:pPr>
        <w:adjustRightInd w:val="0"/>
        <w:spacing w:line="360" w:lineRule="auto"/>
        <w:ind w:firstLine="643" w:firstLineChars="200"/>
        <w:textAlignment w:val="baseline"/>
        <w:rPr>
          <w:rFonts w:ascii="宋体" w:hAnsi="宋体"/>
          <w:b/>
          <w:bCs/>
          <w:sz w:val="32"/>
          <w:szCs w:val="32"/>
          <w:u w:val="single"/>
        </w:rPr>
      </w:pPr>
      <w:r>
        <w:rPr>
          <w:rFonts w:hint="eastAsia" w:ascii="宋体" w:hAnsi="宋体"/>
          <w:b/>
          <w:bCs/>
          <w:sz w:val="32"/>
          <w:szCs w:val="32"/>
        </w:rPr>
        <w:t>磋商供应商</w:t>
      </w:r>
      <w:r>
        <w:rPr>
          <w:rFonts w:hint="eastAsia" w:ascii="宋体" w:hAnsi="宋体"/>
          <w:b/>
          <w:sz w:val="32"/>
          <w:szCs w:val="32"/>
        </w:rPr>
        <w:t>：</w:t>
      </w:r>
      <w:r>
        <w:rPr>
          <w:rFonts w:hint="eastAsia" w:ascii="宋体" w:hAnsi="宋体"/>
          <w:b/>
          <w:sz w:val="32"/>
          <w:szCs w:val="32"/>
          <w:u w:val="single"/>
        </w:rPr>
        <w:t xml:space="preserve">                     （公章）</w:t>
      </w:r>
    </w:p>
    <w:p>
      <w:pPr>
        <w:adjustRightInd w:val="0"/>
        <w:spacing w:line="360" w:lineRule="auto"/>
        <w:ind w:firstLine="643" w:firstLineChars="200"/>
        <w:textAlignment w:val="baseline"/>
        <w:rPr>
          <w:rFonts w:ascii="宋体" w:hAnsi="宋体"/>
          <w:b/>
          <w:sz w:val="32"/>
          <w:szCs w:val="32"/>
          <w:u w:val="single"/>
        </w:rPr>
      </w:pPr>
      <w:r>
        <w:rPr>
          <w:rFonts w:hint="eastAsia" w:ascii="宋体" w:hAnsi="宋体"/>
          <w:b/>
          <w:sz w:val="32"/>
          <w:szCs w:val="32"/>
        </w:rPr>
        <w:t xml:space="preserve">法定代表人： </w:t>
      </w:r>
      <w:r>
        <w:rPr>
          <w:rFonts w:hint="eastAsia" w:ascii="宋体" w:hAnsi="宋体"/>
          <w:b/>
          <w:sz w:val="32"/>
          <w:szCs w:val="32"/>
          <w:u w:val="single"/>
        </w:rPr>
        <w:t xml:space="preserve">        （签字或加盖法人章）</w:t>
      </w:r>
    </w:p>
    <w:p>
      <w:pPr>
        <w:adjustRightInd w:val="0"/>
        <w:spacing w:line="360" w:lineRule="auto"/>
        <w:ind w:firstLine="643" w:firstLineChars="200"/>
        <w:textAlignment w:val="baseline"/>
        <w:rPr>
          <w:rFonts w:ascii="宋体" w:hAnsi="宋体"/>
          <w:b/>
          <w:sz w:val="32"/>
          <w:szCs w:val="32"/>
          <w:u w:val="single"/>
        </w:rPr>
      </w:pPr>
    </w:p>
    <w:p>
      <w:pPr>
        <w:spacing w:line="360" w:lineRule="auto"/>
        <w:ind w:firstLine="4000" w:firstLineChars="1250"/>
        <w:rPr>
          <w:rFonts w:ascii="宋体" w:hAnsi="宋体"/>
          <w:sz w:val="32"/>
          <w:szCs w:val="32"/>
        </w:rPr>
      </w:pPr>
      <w:r>
        <w:rPr>
          <w:rFonts w:hint="eastAsia" w:ascii="宋体" w:hAnsi="宋体"/>
          <w:sz w:val="32"/>
          <w:szCs w:val="32"/>
        </w:rPr>
        <w:t>年   月  日</w:t>
      </w:r>
      <w:bookmarkStart w:id="103" w:name="_Toc444715735"/>
    </w:p>
    <w:p>
      <w:pPr>
        <w:pStyle w:val="9"/>
        <w:numPr>
          <w:ilvl w:val="0"/>
          <w:numId w:val="0"/>
        </w:numPr>
        <w:ind w:left="709" w:hanging="709"/>
        <w:rPr>
          <w:rFonts w:hAnsi="宋体"/>
          <w:b/>
          <w:sz w:val="24"/>
          <w:szCs w:val="24"/>
          <w:lang w:val="zh-CN"/>
        </w:rPr>
      </w:pPr>
      <w:r>
        <w:rPr>
          <w:rFonts w:hAnsi="宋体"/>
          <w:sz w:val="24"/>
          <w:szCs w:val="24"/>
        </w:rPr>
        <w:br w:type="page"/>
      </w:r>
      <w:bookmarkStart w:id="104" w:name="_Toc9867"/>
      <w:r>
        <w:rPr>
          <w:rFonts w:hint="eastAsia" w:hAnsi="宋体"/>
          <w:b/>
          <w:sz w:val="24"/>
          <w:szCs w:val="24"/>
          <w:lang w:val="zh-CN"/>
        </w:rPr>
        <w:t>磋商响应文件目录</w:t>
      </w:r>
      <w:bookmarkEnd w:id="103"/>
      <w:bookmarkEnd w:id="104"/>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rPr>
        <w:t>磋商</w:t>
      </w:r>
      <w:r>
        <w:rPr>
          <w:rFonts w:hint="eastAsia" w:ascii="宋体" w:hAnsi="宋体" w:cs="宋体"/>
          <w:kern w:val="0"/>
          <w:sz w:val="24"/>
          <w:lang w:val="zh-CN"/>
        </w:rPr>
        <w:t>函……………………………………………………………所在页码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2</w:t>
      </w:r>
      <w:r>
        <w:rPr>
          <w:rFonts w:hint="eastAsia" w:ascii="宋体" w:hAnsi="宋体" w:cs="宋体"/>
          <w:kern w:val="0"/>
          <w:sz w:val="24"/>
          <w:lang w:val="zh-CN"/>
        </w:rPr>
        <w:t>）法定代表人证明书………………………………………………所在页码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3</w:t>
      </w:r>
      <w:r>
        <w:rPr>
          <w:rFonts w:hint="eastAsia" w:ascii="宋体" w:hAnsi="宋体" w:cs="宋体"/>
          <w:kern w:val="0"/>
          <w:sz w:val="24"/>
          <w:lang w:val="zh-CN"/>
        </w:rPr>
        <w:t>）法定代表人授权书………………………………………………所在页码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（4）磋商供应商承诺书………………………………………………所在页码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5</w:t>
      </w:r>
      <w:r>
        <w:rPr>
          <w:rFonts w:hint="eastAsia" w:ascii="宋体" w:hAnsi="宋体" w:cs="宋体"/>
          <w:kern w:val="0"/>
          <w:sz w:val="24"/>
          <w:lang w:val="zh-CN"/>
        </w:rPr>
        <w:t>）供应商诚信承诺书………………………………………………所在页码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6</w:t>
      </w:r>
      <w:r>
        <w:rPr>
          <w:rFonts w:hint="eastAsia" w:ascii="宋体" w:hAnsi="宋体" w:cs="宋体"/>
          <w:kern w:val="0"/>
          <w:sz w:val="24"/>
          <w:lang w:val="zh-CN"/>
        </w:rPr>
        <w:t>）资格证明材料……………………………………………………所在页码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7</w:t>
      </w:r>
      <w:r>
        <w:rPr>
          <w:rFonts w:hint="eastAsia" w:ascii="宋体" w:hAnsi="宋体" w:cs="宋体"/>
          <w:kern w:val="0"/>
          <w:sz w:val="24"/>
          <w:lang w:val="zh-CN"/>
        </w:rPr>
        <w:t>）财务状况、缴纳税收和社会保障资金证明……………………所在页码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（8）具备履行合同所必须的设备和专业技术能力证明……………所在页码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（9）</w:t>
      </w:r>
      <w:r>
        <w:rPr>
          <w:rFonts w:hint="eastAsia" w:ascii="宋体" w:hAnsi="宋体" w:cs="宋体"/>
          <w:sz w:val="24"/>
        </w:rPr>
        <w:t>磋商保证金证明</w:t>
      </w:r>
      <w:r>
        <w:rPr>
          <w:rFonts w:hint="eastAsia" w:ascii="宋体" w:hAnsi="宋体" w:cs="宋体"/>
          <w:kern w:val="0"/>
          <w:sz w:val="24"/>
          <w:lang w:val="zh-CN"/>
        </w:rPr>
        <w:t>…………………………………………………所在页码</w:t>
      </w:r>
    </w:p>
    <w:p>
      <w:pPr>
        <w:autoSpaceDE w:val="0"/>
        <w:autoSpaceDN w:val="0"/>
        <w:spacing w:line="360" w:lineRule="auto"/>
        <w:jc w:val="center"/>
        <w:rPr>
          <w:rFonts w:ascii="宋体" w:hAnsi="宋体" w:cs="宋体"/>
          <w:kern w:val="0"/>
          <w:sz w:val="24"/>
          <w:lang w:val="zh-CN"/>
        </w:rPr>
      </w:pPr>
      <w:r>
        <w:rPr>
          <w:rFonts w:hint="eastAsia" w:ascii="宋体" w:hAnsi="宋体" w:cs="宋体"/>
          <w:kern w:val="0"/>
          <w:sz w:val="24"/>
          <w:lang w:val="zh-CN"/>
        </w:rPr>
        <w:t>（10）无重大违法记录声明……………………………………………所在页码</w:t>
      </w:r>
    </w:p>
    <w:p>
      <w:pPr>
        <w:spacing w:line="360" w:lineRule="auto"/>
        <w:jc w:val="center"/>
        <w:rPr>
          <w:rFonts w:ascii="宋体" w:hAnsi="宋体" w:cs="宋体"/>
          <w:kern w:val="0"/>
          <w:sz w:val="24"/>
          <w:lang w:val="zh-CN"/>
        </w:rPr>
      </w:pPr>
      <w:r>
        <w:rPr>
          <w:rFonts w:hint="eastAsia" w:ascii="宋体" w:hAnsi="宋体" w:cs="宋体"/>
          <w:kern w:val="0"/>
          <w:sz w:val="24"/>
          <w:lang w:val="zh-CN"/>
        </w:rPr>
        <w:t>（11）竞争性磋商首次报价表…………………………………………所在页码</w:t>
      </w:r>
    </w:p>
    <w:p>
      <w:pPr>
        <w:spacing w:line="360" w:lineRule="auto"/>
        <w:jc w:val="center"/>
        <w:rPr>
          <w:rFonts w:ascii="宋体" w:hAnsi="宋体" w:cs="宋体"/>
          <w:kern w:val="0"/>
          <w:sz w:val="24"/>
          <w:lang w:val="zh-CN"/>
        </w:rPr>
      </w:pPr>
      <w:r>
        <w:rPr>
          <w:rFonts w:hint="eastAsia" w:ascii="宋体" w:hAnsi="宋体" w:cs="宋体"/>
          <w:kern w:val="0"/>
          <w:sz w:val="24"/>
          <w:lang w:val="zh-CN"/>
        </w:rPr>
        <w:t>（12）分项报价表………………………………………………………所在页码</w:t>
      </w:r>
    </w:p>
    <w:p>
      <w:pPr>
        <w:spacing w:line="360" w:lineRule="auto"/>
        <w:jc w:val="center"/>
        <w:rPr>
          <w:rFonts w:ascii="宋体" w:hAnsi="宋体" w:cs="宋体"/>
          <w:kern w:val="0"/>
          <w:sz w:val="24"/>
          <w:lang w:val="zh-CN"/>
        </w:rPr>
      </w:pPr>
      <w:r>
        <w:rPr>
          <w:rFonts w:hint="eastAsia" w:ascii="宋体" w:hAnsi="宋体" w:cs="宋体"/>
          <w:kern w:val="0"/>
          <w:sz w:val="24"/>
          <w:lang w:val="zh-CN"/>
        </w:rPr>
        <w:t>（13）技术规格响应表…………………………………………………所在页码</w:t>
      </w:r>
    </w:p>
    <w:p>
      <w:pPr>
        <w:spacing w:line="360" w:lineRule="auto"/>
        <w:jc w:val="center"/>
        <w:rPr>
          <w:rFonts w:ascii="宋体" w:hAnsi="宋体" w:cs="宋体"/>
          <w:kern w:val="0"/>
          <w:sz w:val="24"/>
          <w:lang w:val="zh-CN"/>
        </w:rPr>
      </w:pPr>
      <w:r>
        <w:rPr>
          <w:rFonts w:hint="eastAsia" w:ascii="宋体" w:hAnsi="宋体" w:cs="宋体"/>
          <w:kern w:val="0"/>
          <w:sz w:val="24"/>
          <w:lang w:val="zh-CN"/>
        </w:rPr>
        <w:t>（14）磋商产品相关资料………………………………………………所在页码</w:t>
      </w:r>
    </w:p>
    <w:p>
      <w:pPr>
        <w:spacing w:line="360" w:lineRule="auto"/>
        <w:jc w:val="center"/>
        <w:rPr>
          <w:rFonts w:ascii="宋体" w:hAnsi="宋体" w:cs="宋体"/>
          <w:kern w:val="0"/>
          <w:sz w:val="24"/>
          <w:lang w:val="zh-CN"/>
        </w:rPr>
      </w:pPr>
      <w:r>
        <w:rPr>
          <w:rFonts w:hint="eastAsia" w:ascii="宋体" w:hAnsi="宋体" w:cs="宋体"/>
          <w:kern w:val="0"/>
          <w:sz w:val="24"/>
          <w:lang w:val="zh-CN"/>
        </w:rPr>
        <w:t>（15）磋商供应商的类似业绩证明材料………………………………所在页码</w:t>
      </w:r>
    </w:p>
    <w:p>
      <w:pPr>
        <w:spacing w:line="360" w:lineRule="auto"/>
        <w:jc w:val="center"/>
        <w:rPr>
          <w:rFonts w:ascii="宋体" w:hAnsi="宋体" w:cs="宋体"/>
          <w:kern w:val="0"/>
          <w:sz w:val="24"/>
          <w:lang w:val="zh-CN"/>
        </w:rPr>
      </w:pPr>
      <w:r>
        <w:rPr>
          <w:rFonts w:hint="eastAsia" w:ascii="宋体" w:hAnsi="宋体" w:cs="宋体"/>
          <w:kern w:val="0"/>
          <w:sz w:val="24"/>
          <w:lang w:val="zh-CN"/>
        </w:rPr>
        <w:t>（16）享受政府采购政策优惠的证明资料……………………………所在页码</w:t>
      </w:r>
    </w:p>
    <w:p>
      <w:pPr>
        <w:spacing w:line="360" w:lineRule="auto"/>
        <w:jc w:val="center"/>
        <w:rPr>
          <w:rFonts w:ascii="宋体" w:hAnsi="宋体" w:cs="宋体"/>
          <w:kern w:val="0"/>
          <w:sz w:val="24"/>
          <w:lang w:val="zh-CN"/>
        </w:rPr>
      </w:pPr>
      <w:r>
        <w:rPr>
          <w:rFonts w:hint="eastAsia" w:ascii="宋体" w:hAnsi="宋体" w:cs="宋体"/>
          <w:kern w:val="0"/>
          <w:sz w:val="24"/>
          <w:lang w:val="zh-CN"/>
        </w:rPr>
        <w:t>（17）磋商供应商认为在其他方面有必要说明的事项………………所在页码</w:t>
      </w:r>
    </w:p>
    <w:p>
      <w:pPr>
        <w:pStyle w:val="9"/>
        <w:numPr>
          <w:ilvl w:val="0"/>
          <w:numId w:val="0"/>
        </w:numPr>
        <w:ind w:left="709" w:hanging="709"/>
        <w:rPr>
          <w:rFonts w:hAnsi="宋体"/>
          <w:sz w:val="24"/>
          <w:szCs w:val="24"/>
        </w:rPr>
      </w:pPr>
      <w:r>
        <w:rPr>
          <w:rFonts w:hAnsi="宋体"/>
          <w:b/>
          <w:bCs/>
          <w:sz w:val="24"/>
          <w:szCs w:val="24"/>
        </w:rPr>
        <w:br w:type="page"/>
      </w:r>
      <w:bookmarkStart w:id="105" w:name="_Toc27795"/>
      <w:r>
        <w:rPr>
          <w:rFonts w:hint="eastAsia" w:hAnsi="宋体"/>
          <w:b/>
          <w:sz w:val="24"/>
          <w:szCs w:val="24"/>
          <w:lang w:val="zh-CN"/>
        </w:rPr>
        <w:t>格式1、磋商函</w:t>
      </w:r>
      <w:bookmarkEnd w:id="105"/>
    </w:p>
    <w:p>
      <w:pPr>
        <w:adjustRightInd w:val="0"/>
        <w:spacing w:line="360" w:lineRule="auto"/>
        <w:jc w:val="center"/>
        <w:textAlignment w:val="baseline"/>
        <w:rPr>
          <w:rFonts w:ascii="宋体" w:hAnsi="宋体"/>
          <w:b/>
          <w:sz w:val="24"/>
        </w:rPr>
      </w:pPr>
      <w:r>
        <w:rPr>
          <w:rFonts w:hint="eastAsia" w:ascii="宋体" w:hAnsi="宋体"/>
          <w:b/>
          <w:sz w:val="24"/>
        </w:rPr>
        <w:t>磋 商 函</w:t>
      </w:r>
    </w:p>
    <w:p>
      <w:pPr>
        <w:adjustRightInd w:val="0"/>
        <w:spacing w:line="360" w:lineRule="auto"/>
        <w:ind w:left="482" w:hanging="482" w:hangingChars="200"/>
        <w:textAlignment w:val="baseline"/>
        <w:rPr>
          <w:rFonts w:ascii="宋体" w:hAnsi="宋体"/>
          <w:b/>
          <w:sz w:val="24"/>
        </w:rPr>
      </w:pPr>
      <w:r>
        <w:rPr>
          <w:rFonts w:hint="eastAsia" w:ascii="宋体" w:hAnsi="宋体"/>
          <w:b/>
          <w:sz w:val="24"/>
        </w:rPr>
        <w:t>致：</w:t>
      </w:r>
      <w:r>
        <w:rPr>
          <w:rFonts w:hint="eastAsia" w:ascii="宋体" w:hAnsi="宋体"/>
          <w:b/>
          <w:sz w:val="24"/>
          <w:u w:val="single"/>
        </w:rPr>
        <w:t>青海国焱工程项目管理有限公司：</w:t>
      </w:r>
    </w:p>
    <w:p>
      <w:pPr>
        <w:adjustRightInd w:val="0"/>
        <w:spacing w:line="360" w:lineRule="auto"/>
        <w:ind w:firstLine="480" w:firstLineChars="200"/>
        <w:textAlignment w:val="baseline"/>
        <w:rPr>
          <w:rFonts w:ascii="宋体" w:hAnsi="宋体"/>
          <w:sz w:val="24"/>
        </w:rPr>
      </w:pPr>
      <w:r>
        <w:rPr>
          <w:rFonts w:hint="eastAsia" w:ascii="宋体" w:hAnsi="宋体"/>
          <w:sz w:val="24"/>
        </w:rPr>
        <w:t>我们收到</w:t>
      </w:r>
      <w:r>
        <w:rPr>
          <w:rFonts w:hint="eastAsia" w:ascii="宋体" w:hAnsi="宋体" w:cs="宋体"/>
          <w:sz w:val="24"/>
          <w:u w:val="single"/>
          <w:lang w:val="zh-CN"/>
        </w:rPr>
        <w:t>青海省中医院干眼检测仪等设备采购项目</w:t>
      </w:r>
      <w:r>
        <w:rPr>
          <w:rFonts w:hint="eastAsia" w:ascii="宋体" w:hAnsi="宋体"/>
          <w:sz w:val="24"/>
          <w:u w:val="single"/>
        </w:rPr>
        <w:t>（</w:t>
      </w:r>
      <w:r>
        <w:rPr>
          <w:rFonts w:hint="eastAsia" w:ascii="宋体" w:hAnsi="宋体"/>
          <w:sz w:val="24"/>
          <w:u w:val="single"/>
          <w:lang w:eastAsia="zh-CN"/>
        </w:rPr>
        <w:t>青海国焱竞磋（货物）2025-084号</w:t>
      </w:r>
      <w:r>
        <w:rPr>
          <w:rFonts w:hint="eastAsia" w:ascii="宋体" w:hAnsi="宋体"/>
          <w:sz w:val="24"/>
          <w:u w:val="single"/>
        </w:rPr>
        <w:t>）磋</w:t>
      </w:r>
      <w:r>
        <w:rPr>
          <w:rFonts w:hint="eastAsia" w:ascii="宋体" w:hAnsi="宋体"/>
          <w:sz w:val="24"/>
        </w:rPr>
        <w:t>商文件，经研究，法定代表人（姓名、职务）正式授权（委托代理人姓名、职务）代表磋商供应商（磋商供应商名称、地址）提交磋商响应文件。</w:t>
      </w:r>
    </w:p>
    <w:p>
      <w:pPr>
        <w:adjustRightInd w:val="0"/>
        <w:spacing w:line="360" w:lineRule="auto"/>
        <w:ind w:firstLine="480" w:firstLineChars="200"/>
        <w:textAlignment w:val="baseline"/>
        <w:rPr>
          <w:rFonts w:ascii="宋体" w:hAnsi="宋体"/>
          <w:sz w:val="24"/>
        </w:rPr>
      </w:pPr>
      <w:r>
        <w:rPr>
          <w:rFonts w:hint="eastAsia" w:ascii="宋体" w:hAnsi="宋体"/>
          <w:sz w:val="24"/>
        </w:rPr>
        <w:t>据此函，签字代表宣布同意如下：</w:t>
      </w:r>
    </w:p>
    <w:p>
      <w:pPr>
        <w:adjustRightInd w:val="0"/>
        <w:spacing w:line="360" w:lineRule="auto"/>
        <w:ind w:firstLine="480" w:firstLineChars="200"/>
        <w:textAlignment w:val="baseline"/>
        <w:rPr>
          <w:rFonts w:ascii="宋体" w:hAnsi="宋体"/>
          <w:sz w:val="24"/>
        </w:rPr>
      </w:pPr>
      <w:r>
        <w:rPr>
          <w:rFonts w:hint="eastAsia" w:ascii="宋体" w:hAnsi="宋体"/>
          <w:sz w:val="24"/>
        </w:rPr>
        <w:t>1.我方已详阅磋商文件的全部内容，包括澄清、修改条款等有关附件，承诺对其完全理解并接受。</w:t>
      </w:r>
    </w:p>
    <w:p>
      <w:pPr>
        <w:adjustRightInd w:val="0"/>
        <w:spacing w:line="360" w:lineRule="auto"/>
        <w:ind w:firstLine="480" w:firstLineChars="200"/>
        <w:textAlignment w:val="baseline"/>
        <w:rPr>
          <w:rFonts w:ascii="宋体" w:hAnsi="宋体"/>
          <w:sz w:val="24"/>
        </w:rPr>
      </w:pPr>
      <w:r>
        <w:rPr>
          <w:rFonts w:hint="eastAsia" w:ascii="宋体" w:hAnsi="宋体"/>
          <w:sz w:val="24"/>
        </w:rPr>
        <w:t>2.磋商有效期自开标之日起</w:t>
      </w:r>
      <w:r>
        <w:rPr>
          <w:rFonts w:hint="eastAsia" w:ascii="宋体" w:hAnsi="宋体"/>
          <w:sz w:val="24"/>
          <w:u w:val="single"/>
        </w:rPr>
        <w:t xml:space="preserve"> </w:t>
      </w:r>
      <w:r>
        <w:rPr>
          <w:rFonts w:hint="eastAsia" w:hAnsi="宋体" w:cs="Arial"/>
          <w:color w:val="000000" w:themeColor="text1"/>
          <w:sz w:val="24"/>
          <w:u w:val="single"/>
          <w:lang w:val="en-US" w:eastAsia="zh-CN"/>
          <w14:textFill>
            <w14:solidFill>
              <w14:schemeClr w14:val="tx1"/>
            </w14:solidFill>
          </w14:textFill>
        </w:rPr>
        <w:t xml:space="preserve">      </w:t>
      </w:r>
      <w:r>
        <w:rPr>
          <w:rFonts w:hint="eastAsia" w:hAnsi="宋体" w:cs="Arial"/>
          <w:color w:val="000000" w:themeColor="text1"/>
          <w:sz w:val="24"/>
          <w:u w:val="single"/>
          <w14:textFill>
            <w14:solidFill>
              <w14:schemeClr w14:val="tx1"/>
            </w14:solidFill>
          </w14:textFill>
        </w:rPr>
        <w:t xml:space="preserve"> </w:t>
      </w:r>
      <w:r>
        <w:rPr>
          <w:rFonts w:hint="eastAsia" w:ascii="宋体" w:hAnsi="宋体"/>
          <w:sz w:val="24"/>
        </w:rPr>
        <w:t>内有效。如果在规定的开标时间后，我方在磋商有效期内撤回磋商或成交后不签约的，磋商保证金将被贵方没收。</w:t>
      </w:r>
    </w:p>
    <w:p>
      <w:pPr>
        <w:adjustRightInd w:val="0"/>
        <w:spacing w:line="360" w:lineRule="auto"/>
        <w:ind w:firstLine="480" w:firstLineChars="200"/>
        <w:textAlignment w:val="baseline"/>
        <w:rPr>
          <w:rFonts w:ascii="宋体" w:hAnsi="宋体"/>
          <w:sz w:val="24"/>
        </w:rPr>
      </w:pPr>
      <w:r>
        <w:rPr>
          <w:rFonts w:hint="eastAsia" w:ascii="宋体" w:hAnsi="宋体"/>
          <w:sz w:val="24"/>
        </w:rPr>
        <w:t>3.我方同意按照贵方要求提供与磋商有关的一切数据或资料，理解并接受贵方制定的评标办法。</w:t>
      </w:r>
    </w:p>
    <w:p>
      <w:pPr>
        <w:adjustRightInd w:val="0"/>
        <w:spacing w:line="360" w:lineRule="auto"/>
        <w:ind w:firstLine="480" w:firstLineChars="200"/>
        <w:textAlignment w:val="baseline"/>
        <w:rPr>
          <w:rFonts w:ascii="宋体" w:hAnsi="宋体"/>
          <w:sz w:val="24"/>
        </w:rPr>
      </w:pPr>
      <w:r>
        <w:rPr>
          <w:rFonts w:hint="eastAsia" w:ascii="宋体" w:hAnsi="宋体"/>
          <w:sz w:val="24"/>
        </w:rPr>
        <w:t>4.与本磋商有关的一切正式往来通讯请寄：</w:t>
      </w:r>
    </w:p>
    <w:p>
      <w:pPr>
        <w:adjustRightInd w:val="0"/>
        <w:spacing w:line="360" w:lineRule="auto"/>
        <w:ind w:firstLine="480" w:firstLineChars="200"/>
        <w:textAlignment w:val="baseline"/>
        <w:rPr>
          <w:rFonts w:ascii="宋体" w:hAnsi="宋体"/>
          <w:sz w:val="24"/>
        </w:rPr>
      </w:pPr>
    </w:p>
    <w:p>
      <w:pPr>
        <w:adjustRightInd w:val="0"/>
        <w:spacing w:line="360" w:lineRule="auto"/>
        <w:textAlignment w:val="baseline"/>
        <w:rPr>
          <w:rFonts w:ascii="宋体" w:hAnsi="宋体"/>
          <w:sz w:val="24"/>
        </w:rPr>
      </w:pPr>
      <w:bookmarkStart w:id="106" w:name="_Toc444715736"/>
      <w:r>
        <w:rPr>
          <w:rFonts w:hint="eastAsia" w:ascii="宋体" w:hAnsi="宋体"/>
          <w:sz w:val="24"/>
        </w:rPr>
        <w:t>地址：</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sz w:val="24"/>
        </w:rPr>
        <w:t xml:space="preserve">     邮编：</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p>
    <w:p>
      <w:pPr>
        <w:adjustRightInd w:val="0"/>
        <w:spacing w:line="360" w:lineRule="auto"/>
        <w:textAlignment w:val="baseline"/>
        <w:rPr>
          <w:rFonts w:ascii="宋体" w:hAnsi="宋体"/>
          <w:sz w:val="24"/>
        </w:rPr>
      </w:pPr>
    </w:p>
    <w:p>
      <w:pPr>
        <w:adjustRightInd w:val="0"/>
        <w:spacing w:line="360" w:lineRule="auto"/>
        <w:textAlignment w:val="baseline"/>
        <w:rPr>
          <w:rFonts w:ascii="宋体" w:hAnsi="宋体"/>
          <w:sz w:val="24"/>
        </w:rPr>
      </w:pPr>
      <w:r>
        <w:rPr>
          <w:rFonts w:hint="eastAsia" w:ascii="宋体" w:hAnsi="宋体"/>
          <w:sz w:val="24"/>
        </w:rPr>
        <w:t>电话：</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sz w:val="24"/>
        </w:rPr>
        <w:t xml:space="preserve">    传真：</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p>
    <w:p>
      <w:pPr>
        <w:adjustRightInd w:val="0"/>
        <w:spacing w:line="360" w:lineRule="auto"/>
        <w:textAlignment w:val="baseline"/>
        <w:rPr>
          <w:rFonts w:ascii="宋体" w:hAnsi="宋体"/>
          <w:sz w:val="24"/>
        </w:rPr>
      </w:pPr>
    </w:p>
    <w:p>
      <w:pPr>
        <w:adjustRightInd w:val="0"/>
        <w:spacing w:line="360" w:lineRule="auto"/>
        <w:textAlignment w:val="baseline"/>
        <w:rPr>
          <w:rFonts w:ascii="宋体" w:hAnsi="宋体"/>
          <w:bCs/>
          <w:sz w:val="24"/>
        </w:rPr>
      </w:pPr>
      <w:r>
        <w:rPr>
          <w:rFonts w:hint="eastAsia" w:ascii="宋体" w:hAnsi="宋体"/>
          <w:sz w:val="24"/>
        </w:rPr>
        <w:t>法定代表人姓名：</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sz w:val="24"/>
        </w:rPr>
        <w:t xml:space="preserve">       职务：</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p>
    <w:p>
      <w:pPr>
        <w:tabs>
          <w:tab w:val="left" w:pos="168"/>
        </w:tabs>
        <w:adjustRightInd w:val="0"/>
        <w:spacing w:line="360" w:lineRule="auto"/>
        <w:ind w:right="480"/>
        <w:jc w:val="right"/>
        <w:textAlignment w:val="baseline"/>
        <w:rPr>
          <w:rFonts w:ascii="宋体" w:hAnsi="宋体"/>
          <w:bCs/>
          <w:sz w:val="24"/>
        </w:rPr>
      </w:pPr>
    </w:p>
    <w:p>
      <w:pPr>
        <w:tabs>
          <w:tab w:val="left" w:pos="168"/>
        </w:tabs>
        <w:adjustRightInd w:val="0"/>
        <w:spacing w:line="360" w:lineRule="auto"/>
        <w:jc w:val="right"/>
        <w:textAlignment w:val="baseline"/>
        <w:rPr>
          <w:rFonts w:ascii="宋体" w:hAnsi="宋体"/>
          <w:bCs/>
          <w:sz w:val="24"/>
        </w:rPr>
      </w:pPr>
    </w:p>
    <w:p>
      <w:pPr>
        <w:tabs>
          <w:tab w:val="left" w:pos="168"/>
        </w:tabs>
        <w:adjustRightInd w:val="0"/>
        <w:spacing w:line="360" w:lineRule="auto"/>
        <w:jc w:val="right"/>
        <w:textAlignment w:val="baseline"/>
        <w:rPr>
          <w:rFonts w:ascii="宋体" w:hAnsi="宋体"/>
          <w:bCs/>
          <w:sz w:val="24"/>
        </w:rPr>
      </w:pPr>
    </w:p>
    <w:p>
      <w:pPr>
        <w:tabs>
          <w:tab w:val="left" w:pos="168"/>
        </w:tabs>
        <w:adjustRightInd w:val="0"/>
        <w:spacing w:line="360" w:lineRule="auto"/>
        <w:jc w:val="right"/>
        <w:textAlignment w:val="baseline"/>
        <w:rPr>
          <w:rFonts w:ascii="宋体" w:hAnsi="宋体"/>
          <w:bCs/>
          <w:sz w:val="24"/>
        </w:rPr>
      </w:pP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w:t>
      </w:r>
      <w:r>
        <w:rPr>
          <w:rFonts w:hint="eastAsia" w:ascii="宋体" w:hAnsi="宋体"/>
          <w:bCs/>
          <w:sz w:val="24"/>
          <w:lang w:val="en-US" w:eastAsia="zh-CN"/>
        </w:rPr>
        <w:t xml:space="preserve">      </w:t>
      </w:r>
      <w:r>
        <w:rPr>
          <w:rFonts w:hint="eastAsia" w:ascii="宋体" w:hAnsi="宋体"/>
          <w:bCs/>
          <w:sz w:val="24"/>
        </w:rPr>
        <w:t xml:space="preserve">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spacing w:line="360" w:lineRule="auto"/>
        <w:rPr>
          <w:rFonts w:ascii="宋体" w:hAnsi="宋体"/>
          <w:bCs/>
          <w:sz w:val="24"/>
        </w:rPr>
      </w:pPr>
      <w:r>
        <w:rPr>
          <w:rFonts w:ascii="宋体" w:hAnsi="宋体"/>
          <w:bCs/>
          <w:sz w:val="24"/>
        </w:rPr>
        <w:br w:type="page"/>
      </w:r>
    </w:p>
    <w:bookmarkEnd w:id="106"/>
    <w:p>
      <w:pPr>
        <w:pStyle w:val="9"/>
        <w:numPr>
          <w:ilvl w:val="0"/>
          <w:numId w:val="0"/>
        </w:numPr>
        <w:ind w:left="709" w:hanging="709"/>
        <w:rPr>
          <w:rFonts w:hint="eastAsia" w:hAnsi="宋体"/>
          <w:b/>
          <w:sz w:val="24"/>
          <w:szCs w:val="24"/>
          <w:lang w:val="zh-CN"/>
        </w:rPr>
      </w:pPr>
      <w:bookmarkStart w:id="107" w:name="_Toc5459"/>
      <w:r>
        <w:rPr>
          <w:rFonts w:hint="eastAsia" w:hAnsi="宋体"/>
          <w:b/>
          <w:sz w:val="24"/>
          <w:szCs w:val="24"/>
          <w:lang w:val="zh-CN"/>
        </w:rPr>
        <w:t>格式2、法定代表人证明书</w:t>
      </w:r>
      <w:bookmarkEnd w:id="107"/>
    </w:p>
    <w:p>
      <w:pPr>
        <w:spacing w:line="360" w:lineRule="auto"/>
        <w:rPr>
          <w:rFonts w:ascii="宋体" w:hAnsi="宋体"/>
          <w:sz w:val="24"/>
          <w:lang w:val="zh-CN"/>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法定代表人证明书</w:t>
      </w:r>
    </w:p>
    <w:p>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致：青海国焱工程项目管理有限公司</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u w:val="single"/>
          <w:lang w:val="zh-CN"/>
        </w:rPr>
        <w:t>（</w:t>
      </w:r>
      <w:r>
        <w:rPr>
          <w:rFonts w:hint="eastAsia" w:ascii="宋体" w:hAnsi="宋体"/>
          <w:sz w:val="24"/>
          <w:u w:val="single"/>
        </w:rPr>
        <w:t>法定代表人姓名</w:t>
      </w:r>
      <w:r>
        <w:rPr>
          <w:rFonts w:hint="eastAsia" w:ascii="宋体" w:hAnsi="宋体" w:cs="宋体"/>
          <w:kern w:val="0"/>
          <w:sz w:val="24"/>
          <w:u w:val="single"/>
          <w:lang w:val="zh-CN"/>
        </w:rPr>
        <w:t xml:space="preserve">）     </w:t>
      </w:r>
      <w:r>
        <w:rPr>
          <w:rFonts w:hint="eastAsia" w:ascii="宋体" w:hAnsi="宋体" w:cs="宋体"/>
          <w:kern w:val="0"/>
          <w:sz w:val="24"/>
          <w:lang w:val="zh-CN"/>
        </w:rPr>
        <w:t>现任我单位职务，为法定代表人，特此证明。</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法定代表人基本情况：</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性别：</w:t>
      </w:r>
      <w:r>
        <w:rPr>
          <w:rFonts w:hint="eastAsia" w:ascii="宋体" w:hAnsi="宋体" w:cs="宋体"/>
          <w:kern w:val="0"/>
          <w:sz w:val="24"/>
          <w:u w:val="single"/>
          <w:lang w:val="zh-CN"/>
        </w:rPr>
        <w:t xml:space="preserve">     </w:t>
      </w:r>
      <w:r>
        <w:rPr>
          <w:rFonts w:hint="eastAsia" w:ascii="宋体" w:hAnsi="宋体" w:cs="宋体"/>
          <w:kern w:val="0"/>
          <w:sz w:val="24"/>
          <w:lang w:val="zh-CN"/>
        </w:rPr>
        <w:t>年龄：</w:t>
      </w:r>
      <w:r>
        <w:rPr>
          <w:rFonts w:hint="eastAsia" w:ascii="宋体" w:hAnsi="宋体" w:cs="宋体"/>
          <w:kern w:val="0"/>
          <w:sz w:val="24"/>
          <w:u w:val="single"/>
          <w:lang w:val="zh-CN"/>
        </w:rPr>
        <w:t xml:space="preserve">     </w:t>
      </w:r>
      <w:r>
        <w:rPr>
          <w:rFonts w:hint="eastAsia" w:ascii="宋体" w:hAnsi="宋体" w:cs="宋体"/>
          <w:kern w:val="0"/>
          <w:sz w:val="24"/>
          <w:lang w:val="zh-CN"/>
        </w:rPr>
        <w:t xml:space="preserve"> 民族：</w:t>
      </w:r>
      <w:r>
        <w:rPr>
          <w:rFonts w:hint="eastAsia" w:ascii="宋体" w:hAnsi="宋体" w:cs="宋体"/>
          <w:kern w:val="0"/>
          <w:sz w:val="24"/>
          <w:u w:val="single"/>
          <w:lang w:val="zh-CN"/>
        </w:rPr>
        <w:t xml:space="preserve">     </w:t>
      </w:r>
    </w:p>
    <w:p>
      <w:pPr>
        <w:autoSpaceDE w:val="0"/>
        <w:autoSpaceDN w:val="0"/>
        <w:adjustRightInd w:val="0"/>
        <w:spacing w:line="360" w:lineRule="auto"/>
        <w:rPr>
          <w:rFonts w:hint="eastAsia" w:ascii="宋体" w:hAnsi="宋体" w:cs="宋体"/>
          <w:kern w:val="0"/>
          <w:sz w:val="24"/>
          <w:lang w:val="zh-CN"/>
        </w:rPr>
      </w:pPr>
    </w:p>
    <w:p>
      <w:pPr>
        <w:autoSpaceDE w:val="0"/>
        <w:autoSpaceDN w:val="0"/>
        <w:adjustRightInd w:val="0"/>
        <w:spacing w:line="360" w:lineRule="auto"/>
        <w:rPr>
          <w:rFonts w:ascii="宋体" w:hAnsi="宋体" w:cs="宋体"/>
          <w:kern w:val="0"/>
          <w:sz w:val="24"/>
          <w:u w:val="single"/>
          <w:lang w:val="zh-CN"/>
        </w:rPr>
      </w:pPr>
      <w:r>
        <w:rPr>
          <w:rFonts w:hint="eastAsia" w:ascii="宋体" w:hAnsi="宋体" w:cs="宋体"/>
          <w:kern w:val="0"/>
          <w:sz w:val="24"/>
          <w:lang w:val="zh-CN"/>
        </w:rPr>
        <w:t>地址：</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cs="宋体"/>
          <w:kern w:val="0"/>
          <w:sz w:val="24"/>
          <w:u w:val="single"/>
          <w:lang w:val="zh-CN"/>
        </w:rPr>
        <w:t xml:space="preserve">   </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身份证号码：</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cs="宋体"/>
          <w:kern w:val="0"/>
          <w:sz w:val="24"/>
          <w:u w:val="single"/>
          <w:lang w:val="zh-CN"/>
        </w:rPr>
        <w:t xml:space="preserve">   </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附：法定代表人第二代身份证双面扫描（或复印）件。</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tabs>
          <w:tab w:val="left" w:pos="168"/>
        </w:tabs>
        <w:adjustRightInd w:val="0"/>
        <w:spacing w:line="360" w:lineRule="auto"/>
        <w:textAlignment w:val="baseline"/>
        <w:rPr>
          <w:rFonts w:ascii="宋体" w:hAnsi="宋体"/>
          <w:bCs/>
          <w:sz w:val="24"/>
        </w:rPr>
      </w:pPr>
      <w:bookmarkStart w:id="108" w:name="_Toc16858"/>
      <w:bookmarkStart w:id="109" w:name="_Toc444715738"/>
    </w:p>
    <w:p>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 xml:space="preserve">磋商供应商：     </w:t>
      </w:r>
      <w:r>
        <w:rPr>
          <w:rFonts w:hint="eastAsia" w:ascii="宋体" w:hAnsi="宋体"/>
          <w:bCs/>
          <w:sz w:val="24"/>
          <w:lang w:val="en-US" w:eastAsia="zh-CN"/>
        </w:rPr>
        <w:t xml:space="preserve">    </w:t>
      </w:r>
      <w:r>
        <w:rPr>
          <w:rFonts w:hint="eastAsia" w:ascii="宋体" w:hAnsi="宋体"/>
          <w:bCs/>
          <w:sz w:val="24"/>
        </w:rPr>
        <w:t xml:space="preserve">        （公章）</w:t>
      </w:r>
    </w:p>
    <w:p>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法定代表人：                 （签字）</w:t>
      </w:r>
    </w:p>
    <w:p>
      <w:pPr>
        <w:tabs>
          <w:tab w:val="left" w:pos="168"/>
        </w:tabs>
        <w:adjustRightInd w:val="0"/>
        <w:spacing w:line="360" w:lineRule="auto"/>
        <w:ind w:right="480" w:firstLine="5040" w:firstLineChars="2100"/>
        <w:textAlignment w:val="baseline"/>
        <w:rPr>
          <w:rFonts w:ascii="宋体" w:hAnsi="宋体"/>
          <w:bCs/>
          <w:sz w:val="24"/>
        </w:rPr>
      </w:pPr>
      <w:r>
        <w:rPr>
          <w:rFonts w:hint="eastAsia" w:ascii="宋体" w:hAnsi="宋体"/>
          <w:bCs/>
          <w:sz w:val="24"/>
        </w:rPr>
        <w:t>日期：            年   月   日</w:t>
      </w:r>
    </w:p>
    <w:p>
      <w:pPr>
        <w:pStyle w:val="9"/>
        <w:numPr>
          <w:ilvl w:val="0"/>
          <w:numId w:val="0"/>
        </w:numPr>
        <w:ind w:left="709" w:hanging="709"/>
        <w:rPr>
          <w:rFonts w:hAnsi="宋体"/>
          <w:sz w:val="24"/>
          <w:szCs w:val="24"/>
        </w:rPr>
      </w:pPr>
      <w:r>
        <w:rPr>
          <w:rFonts w:hAnsi="宋体"/>
          <w:bCs/>
          <w:sz w:val="24"/>
          <w:szCs w:val="24"/>
        </w:rPr>
        <w:br w:type="page"/>
      </w:r>
      <w:bookmarkStart w:id="110" w:name="_Toc8757"/>
      <w:r>
        <w:rPr>
          <w:rFonts w:hint="eastAsia" w:hAnsi="宋体"/>
          <w:b/>
          <w:sz w:val="24"/>
          <w:szCs w:val="24"/>
          <w:lang w:val="zh-CN"/>
        </w:rPr>
        <w:t>格式3、法定代表人授权书</w:t>
      </w:r>
      <w:bookmarkEnd w:id="108"/>
      <w:bookmarkEnd w:id="109"/>
      <w:bookmarkEnd w:id="110"/>
    </w:p>
    <w:p>
      <w:pPr>
        <w:autoSpaceDE w:val="0"/>
        <w:autoSpaceDN w:val="0"/>
        <w:adjustRightInd w:val="0"/>
        <w:spacing w:line="360" w:lineRule="auto"/>
        <w:jc w:val="center"/>
        <w:rPr>
          <w:rFonts w:hint="eastAsia" w:ascii="宋体" w:hAnsi="宋体" w:cs="宋体"/>
          <w:b/>
          <w:bCs/>
          <w:kern w:val="0"/>
          <w:sz w:val="24"/>
          <w:lang w:val="zh-CN"/>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法定代表人授权书</w:t>
      </w:r>
    </w:p>
    <w:p>
      <w:pPr>
        <w:spacing w:line="360" w:lineRule="auto"/>
        <w:rPr>
          <w:rFonts w:ascii="宋体" w:hAnsi="宋体"/>
          <w:b/>
          <w:bCs/>
          <w:sz w:val="24"/>
        </w:rPr>
      </w:pPr>
      <w:r>
        <w:rPr>
          <w:rFonts w:hint="eastAsia" w:ascii="宋体" w:hAnsi="宋体"/>
          <w:b/>
          <w:bCs/>
          <w:sz w:val="24"/>
        </w:rPr>
        <w:t>致：青海国焱工程项目管理有限公司</w:t>
      </w:r>
    </w:p>
    <w:p>
      <w:pPr>
        <w:spacing w:line="360" w:lineRule="auto"/>
        <w:rPr>
          <w:rFonts w:ascii="宋体" w:hAnsi="宋体"/>
          <w:sz w:val="24"/>
          <w:u w:val="single"/>
        </w:rPr>
      </w:pPr>
    </w:p>
    <w:p>
      <w:pPr>
        <w:spacing w:line="360" w:lineRule="auto"/>
        <w:ind w:firstLine="480" w:firstLineChars="200"/>
        <w:rPr>
          <w:rFonts w:ascii="宋体" w:hAnsi="宋体"/>
          <w:sz w:val="24"/>
        </w:rPr>
      </w:pPr>
      <w:r>
        <w:rPr>
          <w:rFonts w:hint="eastAsia" w:ascii="宋体" w:hAnsi="宋体"/>
          <w:sz w:val="24"/>
          <w:u w:val="single"/>
        </w:rPr>
        <w:t>（磋商供应商名称）</w:t>
      </w:r>
      <w:r>
        <w:rPr>
          <w:rFonts w:hint="eastAsia" w:ascii="宋体" w:hAnsi="宋体"/>
          <w:sz w:val="24"/>
        </w:rPr>
        <w:t>系中华人民共和国合法企业，法定地址</w:t>
      </w:r>
      <w:r>
        <w:rPr>
          <w:rFonts w:hint="eastAsia" w:ascii="宋体" w:hAnsi="宋体"/>
          <w:sz w:val="24"/>
          <w:u w:val="single"/>
        </w:rPr>
        <w:t xml:space="preserve">                 </w:t>
      </w:r>
      <w:r>
        <w:rPr>
          <w:rFonts w:hint="eastAsia" w:ascii="宋体" w:hAnsi="宋体"/>
          <w:sz w:val="24"/>
        </w:rPr>
        <w:t>。</w:t>
      </w:r>
    </w:p>
    <w:p>
      <w:pPr>
        <w:spacing w:line="360" w:lineRule="auto"/>
        <w:ind w:firstLine="480" w:firstLineChars="200"/>
        <w:rPr>
          <w:rFonts w:ascii="宋体" w:hAnsi="宋体"/>
          <w:sz w:val="24"/>
        </w:rPr>
      </w:pPr>
      <w:r>
        <w:rPr>
          <w:rFonts w:hint="eastAsia" w:ascii="宋体" w:hAnsi="宋体"/>
          <w:sz w:val="24"/>
          <w:u w:val="single"/>
        </w:rPr>
        <w:t>（法定代表人姓名）</w:t>
      </w:r>
      <w:r>
        <w:rPr>
          <w:rFonts w:hint="eastAsia" w:ascii="宋体" w:hAnsi="宋体"/>
          <w:sz w:val="24"/>
        </w:rPr>
        <w:t>特授权</w:t>
      </w:r>
      <w:r>
        <w:rPr>
          <w:rFonts w:hint="eastAsia" w:ascii="宋体" w:hAnsi="宋体"/>
          <w:sz w:val="24"/>
          <w:u w:val="single"/>
        </w:rPr>
        <w:t>（被授权人姓名）</w:t>
      </w:r>
      <w:r>
        <w:rPr>
          <w:rFonts w:hint="eastAsia" w:ascii="宋体" w:hAnsi="宋体"/>
          <w:sz w:val="24"/>
        </w:rPr>
        <w:t>代表我单位全权办理项目的磋商、答疑等具体工作，并签署全部有关的文件、协议及合同。</w:t>
      </w:r>
    </w:p>
    <w:p>
      <w:pPr>
        <w:spacing w:line="360" w:lineRule="auto"/>
        <w:ind w:firstLine="480" w:firstLineChars="200"/>
        <w:rPr>
          <w:rFonts w:ascii="宋体" w:hAnsi="宋体"/>
          <w:sz w:val="24"/>
        </w:rPr>
      </w:pPr>
      <w:r>
        <w:rPr>
          <w:rFonts w:hint="eastAsia" w:ascii="宋体" w:hAnsi="宋体"/>
          <w:sz w:val="24"/>
        </w:rPr>
        <w:t>我单位对被授权人的签名负全部责任。</w:t>
      </w:r>
    </w:p>
    <w:p>
      <w:pPr>
        <w:spacing w:line="360" w:lineRule="auto"/>
        <w:ind w:firstLine="480" w:firstLineChars="200"/>
        <w:rPr>
          <w:rFonts w:ascii="宋体" w:hAnsi="宋体"/>
          <w:sz w:val="24"/>
        </w:rPr>
      </w:pPr>
      <w:r>
        <w:rPr>
          <w:rFonts w:hint="eastAsia" w:ascii="宋体" w:hAnsi="宋体"/>
          <w:sz w:val="24"/>
        </w:rPr>
        <w:t>在撤销授权的书面通知以前，本授权书一直有效。被授权人签署的所有文件（在授权书有效期内签署的）不因授权的撤销而失效。</w:t>
      </w:r>
    </w:p>
    <w:p>
      <w:pPr>
        <w:spacing w:line="360" w:lineRule="auto"/>
        <w:rPr>
          <w:rFonts w:ascii="宋体" w:hAnsi="宋体"/>
          <w:sz w:val="24"/>
        </w:rPr>
      </w:pPr>
    </w:p>
    <w:p>
      <w:pPr>
        <w:spacing w:line="360" w:lineRule="auto"/>
        <w:rPr>
          <w:rFonts w:hint="default" w:ascii="宋体" w:hAnsi="宋体" w:eastAsia="宋体"/>
          <w:sz w:val="24"/>
          <w:u w:val="single"/>
          <w:lang w:val="en-US" w:eastAsia="zh-CN"/>
        </w:rPr>
      </w:pPr>
      <w:r>
        <w:rPr>
          <w:rFonts w:ascii="宋体" w:hAnsi="宋体"/>
          <w:sz w:val="24"/>
        </w:rPr>
        <w:t>被授权人联系电话</w:t>
      </w:r>
      <w:r>
        <w:rPr>
          <w:rFonts w:hint="eastAsia" w:ascii="宋体" w:hAnsi="宋体"/>
          <w:sz w:val="24"/>
        </w:rPr>
        <w:t>：</w:t>
      </w:r>
      <w:r>
        <w:rPr>
          <w:rFonts w:hint="eastAsia" w:ascii="宋体" w:hAnsi="宋体"/>
          <w:sz w:val="24"/>
          <w:u w:val="single"/>
          <w:lang w:val="en-US" w:eastAsia="zh-CN"/>
        </w:rPr>
        <w:t xml:space="preserve">                   </w:t>
      </w:r>
    </w:p>
    <w:p>
      <w:pPr>
        <w:spacing w:line="360" w:lineRule="auto"/>
        <w:rPr>
          <w:rFonts w:hint="default" w:ascii="宋体" w:hAnsi="宋体" w:eastAsia="宋体"/>
          <w:sz w:val="24"/>
          <w:u w:val="single"/>
          <w:lang w:val="en-US" w:eastAsia="zh-CN"/>
        </w:rPr>
      </w:pPr>
      <w:r>
        <w:rPr>
          <w:rFonts w:hint="eastAsia" w:ascii="宋体" w:hAnsi="宋体"/>
          <w:sz w:val="24"/>
        </w:rPr>
        <w:t>被授权人（委托代理人）签名：</w:t>
      </w:r>
      <w:r>
        <w:rPr>
          <w:rFonts w:hint="eastAsia" w:ascii="宋体" w:hAnsi="宋体"/>
          <w:sz w:val="24"/>
          <w:u w:val="single"/>
        </w:rPr>
        <w:t xml:space="preserve">        </w:t>
      </w:r>
      <w:r>
        <w:rPr>
          <w:rFonts w:hint="eastAsia" w:ascii="宋体" w:hAnsi="宋体"/>
          <w:sz w:val="24"/>
        </w:rPr>
        <w:t xml:space="preserve">  授权人（法定代表人）签名：</w:t>
      </w:r>
      <w:r>
        <w:rPr>
          <w:rFonts w:hint="eastAsia" w:ascii="宋体" w:hAnsi="宋体"/>
          <w:sz w:val="24"/>
          <w:u w:val="single"/>
          <w:lang w:val="en-US" w:eastAsia="zh-CN"/>
        </w:rPr>
        <w:t xml:space="preserve">               </w:t>
      </w:r>
    </w:p>
    <w:p>
      <w:pPr>
        <w:spacing w:line="360" w:lineRule="auto"/>
        <w:rPr>
          <w:rFonts w:hint="default" w:ascii="宋体" w:hAnsi="宋体" w:eastAsia="宋体"/>
          <w:sz w:val="24"/>
          <w:u w:val="single"/>
          <w:lang w:val="en-US" w:eastAsia="zh-CN"/>
        </w:rPr>
      </w:pPr>
      <w:r>
        <w:rPr>
          <w:rFonts w:hint="eastAsia" w:ascii="宋体" w:hAnsi="宋体"/>
          <w:sz w:val="24"/>
        </w:rPr>
        <w:t>职务：</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lang w:val="en-US" w:eastAsia="zh-CN"/>
        </w:rPr>
        <w:t xml:space="preserve">                 </w:t>
      </w:r>
    </w:p>
    <w:p>
      <w:pPr>
        <w:spacing w:line="360" w:lineRule="auto"/>
        <w:rPr>
          <w:rFonts w:ascii="宋体" w:hAnsi="宋体"/>
          <w:sz w:val="24"/>
        </w:rPr>
      </w:pPr>
      <w:r>
        <w:rPr>
          <w:rFonts w:hint="eastAsia" w:ascii="宋体" w:hAnsi="宋体"/>
          <w:sz w:val="24"/>
        </w:rPr>
        <w:t>附：被授权人身份证正、反面扫描（或复印）件</w:t>
      </w:r>
      <w:r>
        <w:rPr>
          <w:rFonts w:hint="eastAsia" w:ascii="宋体" w:hAnsi="宋体" w:cs="宋体"/>
          <w:kern w:val="0"/>
          <w:sz w:val="24"/>
          <w:lang w:val="zh-CN"/>
        </w:rPr>
        <w:t>。</w:t>
      </w:r>
    </w:p>
    <w:p>
      <w:pPr>
        <w:tabs>
          <w:tab w:val="left" w:pos="168"/>
        </w:tabs>
        <w:adjustRightInd w:val="0"/>
        <w:spacing w:line="360" w:lineRule="auto"/>
        <w:textAlignment w:val="baseline"/>
        <w:rPr>
          <w:rFonts w:ascii="宋体" w:hAnsi="宋体"/>
          <w:bCs/>
          <w:sz w:val="24"/>
        </w:rPr>
      </w:pPr>
    </w:p>
    <w:p>
      <w:pPr>
        <w:tabs>
          <w:tab w:val="left" w:pos="168"/>
        </w:tabs>
        <w:adjustRightInd w:val="0"/>
        <w:spacing w:line="360" w:lineRule="auto"/>
        <w:textAlignment w:val="baseline"/>
        <w:rPr>
          <w:rFonts w:ascii="宋体" w:hAnsi="宋体"/>
          <w:bCs/>
          <w:sz w:val="24"/>
        </w:rPr>
      </w:pPr>
    </w:p>
    <w:p>
      <w:pPr>
        <w:tabs>
          <w:tab w:val="left" w:pos="168"/>
        </w:tabs>
        <w:adjustRightInd w:val="0"/>
        <w:spacing w:line="360" w:lineRule="auto"/>
        <w:textAlignment w:val="baseline"/>
        <w:rPr>
          <w:rFonts w:ascii="宋体" w:hAnsi="宋体"/>
          <w:bCs/>
          <w:sz w:val="24"/>
        </w:rPr>
      </w:pPr>
    </w:p>
    <w:p>
      <w:pPr>
        <w:tabs>
          <w:tab w:val="left" w:pos="168"/>
        </w:tabs>
        <w:adjustRightInd w:val="0"/>
        <w:spacing w:line="360" w:lineRule="auto"/>
        <w:textAlignment w:val="baseline"/>
        <w:rPr>
          <w:rFonts w:ascii="宋体" w:hAnsi="宋体"/>
          <w:bCs/>
          <w:sz w:val="24"/>
        </w:rPr>
      </w:pPr>
    </w:p>
    <w:p>
      <w:pPr>
        <w:tabs>
          <w:tab w:val="left" w:pos="168"/>
        </w:tabs>
        <w:adjustRightInd w:val="0"/>
        <w:spacing w:line="360" w:lineRule="auto"/>
        <w:textAlignment w:val="baseline"/>
        <w:rPr>
          <w:rFonts w:ascii="宋体" w:hAnsi="宋体"/>
          <w:bCs/>
          <w:sz w:val="24"/>
        </w:rPr>
      </w:pPr>
    </w:p>
    <w:p>
      <w:pPr>
        <w:tabs>
          <w:tab w:val="left" w:pos="168"/>
        </w:tabs>
        <w:adjustRightInd w:val="0"/>
        <w:spacing w:line="360" w:lineRule="auto"/>
        <w:textAlignment w:val="baseline"/>
        <w:rPr>
          <w:rFonts w:ascii="宋体" w:hAnsi="宋体"/>
          <w:bCs/>
          <w:sz w:val="24"/>
        </w:rPr>
      </w:pPr>
    </w:p>
    <w:p>
      <w:pPr>
        <w:tabs>
          <w:tab w:val="left" w:pos="168"/>
        </w:tabs>
        <w:adjustRightInd w:val="0"/>
        <w:spacing w:line="360" w:lineRule="auto"/>
        <w:textAlignment w:val="baseline"/>
        <w:rPr>
          <w:rFonts w:ascii="宋体" w:hAnsi="宋体"/>
          <w:bCs/>
          <w:sz w:val="24"/>
        </w:rPr>
      </w:pPr>
    </w:p>
    <w:p>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 xml:space="preserve">磋商供应商：    </w:t>
      </w:r>
      <w:r>
        <w:rPr>
          <w:rFonts w:hint="eastAsia" w:ascii="宋体" w:hAnsi="宋体"/>
          <w:bCs/>
          <w:sz w:val="24"/>
          <w:lang w:val="en-US" w:eastAsia="zh-CN"/>
        </w:rPr>
        <w:t xml:space="preserve">      </w:t>
      </w:r>
      <w:r>
        <w:rPr>
          <w:rFonts w:hint="eastAsia" w:ascii="宋体" w:hAnsi="宋体"/>
          <w:bCs/>
          <w:sz w:val="24"/>
        </w:rPr>
        <w:t xml:space="preserve">         （公章）</w:t>
      </w:r>
    </w:p>
    <w:p>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法定代表人：                   （签字）</w:t>
      </w:r>
    </w:p>
    <w:p>
      <w:pPr>
        <w:tabs>
          <w:tab w:val="left" w:pos="168"/>
        </w:tabs>
        <w:adjustRightInd w:val="0"/>
        <w:spacing w:line="360" w:lineRule="auto"/>
        <w:ind w:right="480" w:firstLine="5760" w:firstLineChars="2400"/>
        <w:textAlignment w:val="baseline"/>
        <w:rPr>
          <w:rFonts w:ascii="宋体" w:hAnsi="宋体"/>
          <w:bCs/>
          <w:sz w:val="24"/>
        </w:rPr>
      </w:pPr>
      <w:r>
        <w:rPr>
          <w:rFonts w:hint="eastAsia" w:ascii="宋体" w:hAnsi="宋体"/>
          <w:bCs/>
          <w:sz w:val="24"/>
        </w:rPr>
        <w:t>日期：            年   月   日</w:t>
      </w:r>
    </w:p>
    <w:p>
      <w:pPr>
        <w:pStyle w:val="9"/>
        <w:numPr>
          <w:ilvl w:val="0"/>
          <w:numId w:val="0"/>
        </w:numPr>
        <w:ind w:left="709" w:hanging="709"/>
        <w:rPr>
          <w:rFonts w:hAnsi="宋体"/>
          <w:sz w:val="24"/>
          <w:szCs w:val="24"/>
          <w:lang w:val="zh-CN"/>
        </w:rPr>
      </w:pPr>
      <w:r>
        <w:rPr>
          <w:rFonts w:hAnsi="宋体"/>
          <w:bCs/>
          <w:sz w:val="24"/>
          <w:szCs w:val="24"/>
        </w:rPr>
        <w:br w:type="page"/>
      </w:r>
      <w:bookmarkStart w:id="111" w:name="_Toc16156"/>
      <w:r>
        <w:rPr>
          <w:rFonts w:hint="eastAsia" w:hAnsi="宋体"/>
          <w:b/>
          <w:sz w:val="24"/>
          <w:szCs w:val="24"/>
          <w:lang w:val="zh-CN"/>
        </w:rPr>
        <w:t>格式4、磋商供应商承诺书</w:t>
      </w:r>
      <w:bookmarkEnd w:id="111"/>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磋商供应商承诺书</w:t>
      </w:r>
    </w:p>
    <w:p>
      <w:pPr>
        <w:spacing w:line="360" w:lineRule="auto"/>
        <w:rPr>
          <w:rFonts w:ascii="宋体" w:hAnsi="宋体"/>
          <w:b/>
          <w:bCs/>
          <w:sz w:val="24"/>
        </w:rPr>
      </w:pPr>
      <w:r>
        <w:rPr>
          <w:rFonts w:hint="eastAsia" w:ascii="宋体" w:hAnsi="宋体"/>
          <w:b/>
          <w:bCs/>
          <w:sz w:val="24"/>
        </w:rPr>
        <w:t>致：青海国焱工程项目管理有限公司</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关于贵方</w:t>
      </w:r>
      <w:r>
        <w:rPr>
          <w:rFonts w:hint="eastAsia" w:ascii="宋体" w:hAnsi="宋体"/>
          <w:sz w:val="24"/>
          <w:lang w:val="en-US" w:eastAsia="zh-CN"/>
        </w:rPr>
        <w:t xml:space="preserve">     </w:t>
      </w:r>
      <w:r>
        <w:rPr>
          <w:rFonts w:hint="eastAsia" w:ascii="宋体" w:hAnsi="宋体"/>
          <w:sz w:val="24"/>
        </w:rPr>
        <w:t>年  月  日</w:t>
      </w:r>
      <w:r>
        <w:rPr>
          <w:rFonts w:hint="eastAsia" w:ascii="宋体" w:hAnsi="宋体"/>
          <w:sz w:val="24"/>
          <w:u w:val="single"/>
        </w:rPr>
        <w:t>(项目名称)</w:t>
      </w:r>
      <w:r>
        <w:rPr>
          <w:rFonts w:hint="eastAsia" w:ascii="宋体" w:hAnsi="宋体"/>
          <w:sz w:val="24"/>
        </w:rPr>
        <w:t>采购项目，本签字人愿意参加磋商，提供采购项目参数及要求中要求的所有产品，并证实提交的所有资料是准确的和真实的。同时，我代表</w:t>
      </w:r>
      <w:r>
        <w:rPr>
          <w:rFonts w:hint="eastAsia" w:ascii="宋体" w:hAnsi="宋体"/>
          <w:sz w:val="24"/>
          <w:u w:val="single"/>
        </w:rPr>
        <w:t>（磋商供应商名称）</w:t>
      </w:r>
      <w:r>
        <w:rPr>
          <w:rFonts w:hint="eastAsia" w:ascii="宋体" w:hAnsi="宋体"/>
          <w:sz w:val="24"/>
        </w:rPr>
        <w:t>，在此作如下承诺：</w:t>
      </w:r>
    </w:p>
    <w:p>
      <w:pPr>
        <w:spacing w:line="360" w:lineRule="auto"/>
        <w:ind w:firstLine="480" w:firstLineChars="200"/>
        <w:rPr>
          <w:rFonts w:ascii="宋体" w:hAnsi="宋体"/>
          <w:sz w:val="24"/>
        </w:rPr>
      </w:pPr>
      <w:r>
        <w:rPr>
          <w:rFonts w:ascii="宋体" w:hAnsi="宋体"/>
          <w:sz w:val="24"/>
        </w:rPr>
        <w:t>1</w:t>
      </w:r>
      <w:r>
        <w:rPr>
          <w:rFonts w:hint="eastAsia" w:ascii="宋体" w:hAnsi="宋体"/>
          <w:sz w:val="24"/>
        </w:rPr>
        <w:t>、完全理解和接受磋商文件的一切规定和要求；</w:t>
      </w:r>
    </w:p>
    <w:p>
      <w:pPr>
        <w:spacing w:line="360" w:lineRule="auto"/>
        <w:ind w:firstLine="480" w:firstLineChars="200"/>
        <w:rPr>
          <w:rFonts w:ascii="宋体" w:hAnsi="宋体"/>
          <w:sz w:val="24"/>
        </w:rPr>
      </w:pPr>
      <w:r>
        <w:rPr>
          <w:rFonts w:ascii="宋体" w:hAnsi="宋体"/>
          <w:sz w:val="24"/>
        </w:rPr>
        <w:t>2</w:t>
      </w:r>
      <w:r>
        <w:rPr>
          <w:rFonts w:hint="eastAsia" w:ascii="宋体" w:hAnsi="宋体"/>
          <w:sz w:val="24"/>
        </w:rPr>
        <w:t>、若成交，我方将按照磋商文件的具体规定与采购单位签订合同，并且严格履行合同义务，按时交货，提供优质的产品和服务。如果在合同执行过程中，发现质量出现问题，我方一定尽快更换或保修，并承担相应的经济责任；</w:t>
      </w:r>
    </w:p>
    <w:p>
      <w:pPr>
        <w:spacing w:line="360" w:lineRule="auto"/>
        <w:ind w:firstLine="480" w:firstLineChars="200"/>
        <w:rPr>
          <w:rFonts w:ascii="宋体" w:hAnsi="宋体"/>
          <w:sz w:val="24"/>
        </w:rPr>
      </w:pPr>
      <w:r>
        <w:rPr>
          <w:rFonts w:ascii="宋体" w:hAnsi="宋体"/>
          <w:sz w:val="24"/>
        </w:rPr>
        <w:t>3</w:t>
      </w:r>
      <w:r>
        <w:rPr>
          <w:rFonts w:hint="eastAsia" w:ascii="宋体" w:hAnsi="宋体"/>
          <w:sz w:val="24"/>
        </w:rPr>
        <w:t>、在整个磋商过程中我方若有违规行为，贵方可按磋商文件之规定给予惩罚，我方完全接受。</w:t>
      </w:r>
    </w:p>
    <w:p>
      <w:pPr>
        <w:spacing w:line="360" w:lineRule="auto"/>
        <w:ind w:firstLine="480" w:firstLineChars="200"/>
        <w:rPr>
          <w:rFonts w:ascii="宋体" w:hAnsi="宋体"/>
          <w:sz w:val="24"/>
        </w:rPr>
      </w:pPr>
      <w:r>
        <w:rPr>
          <w:rFonts w:ascii="宋体" w:hAnsi="宋体"/>
          <w:sz w:val="24"/>
        </w:rPr>
        <w:t>4</w:t>
      </w:r>
      <w:r>
        <w:rPr>
          <w:rFonts w:hint="eastAsia" w:ascii="宋体" w:hAnsi="宋体"/>
          <w:sz w:val="24"/>
        </w:rPr>
        <w:t>、若成交，本承诺将成为合同不可分割的一部分，与合同具有同等的法律效力。</w:t>
      </w: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ind w:firstLine="480" w:firstLineChars="200"/>
        <w:textAlignment w:val="baseline"/>
        <w:rPr>
          <w:rFonts w:ascii="宋体" w:hAnsi="宋体"/>
          <w:bCs/>
          <w:sz w:val="24"/>
        </w:rPr>
      </w:pP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法定代表人或委托代理人：   </w:t>
      </w:r>
      <w:r>
        <w:rPr>
          <w:rFonts w:hint="eastAsia" w:ascii="宋体" w:hAnsi="宋体"/>
          <w:bCs/>
          <w:sz w:val="24"/>
          <w:lang w:val="en-US" w:eastAsia="zh-CN"/>
        </w:rPr>
        <w:t xml:space="preserve">      </w:t>
      </w:r>
      <w:r>
        <w:rPr>
          <w:rFonts w:hint="eastAsia" w:ascii="宋体" w:hAnsi="宋体"/>
          <w:bCs/>
          <w:sz w:val="24"/>
        </w:rPr>
        <w:t xml:space="preserve">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pStyle w:val="9"/>
        <w:numPr>
          <w:ilvl w:val="0"/>
          <w:numId w:val="0"/>
        </w:numPr>
        <w:ind w:left="709" w:hanging="709"/>
        <w:rPr>
          <w:rFonts w:hAnsi="宋体"/>
          <w:sz w:val="24"/>
          <w:szCs w:val="24"/>
          <w:lang w:val="zh-CN"/>
        </w:rPr>
      </w:pPr>
      <w:r>
        <w:rPr>
          <w:rFonts w:hAnsi="宋体"/>
          <w:bCs/>
          <w:sz w:val="24"/>
          <w:szCs w:val="24"/>
        </w:rPr>
        <w:br w:type="page"/>
      </w:r>
      <w:bookmarkStart w:id="112" w:name="_Toc21236"/>
      <w:r>
        <w:rPr>
          <w:rFonts w:hint="eastAsia" w:hAnsi="宋体"/>
          <w:b/>
          <w:sz w:val="24"/>
          <w:szCs w:val="24"/>
          <w:lang w:val="zh-CN"/>
        </w:rPr>
        <w:t>格式5、供应商诚信承诺书</w:t>
      </w:r>
      <w:bookmarkEnd w:id="112"/>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供应商诚信承诺书</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致：青海国焱工程项目管理有限公司</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为了诚实、客观、有序地参与青海省政府采购活动，愿就以下内容做出承诺：</w:t>
      </w:r>
    </w:p>
    <w:p>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一、自觉遵守各项法律、法规、规章、制度以及社会公德，维护廉洁环境，与同场竞争的供应商平等参加政府采购活动。</w:t>
      </w:r>
    </w:p>
    <w:p>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二、参加采购代理机构组织的政府采购活动时，严格按照磋商文件的规定和要求提供所需的相关材料，并对所提供的各类资料的真实性负责，不虚假应标，不虚列业绩。</w:t>
      </w:r>
    </w:p>
    <w:p>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三、尊重参与政府采购活动各相关方的合法行为，接受政府采购活动依法形成的意见、结果。</w:t>
      </w:r>
    </w:p>
    <w:p>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四、依法参加政府采购活动，不围标、串标，维护市场秩序，不提供“三无”产品、以次充好。</w:t>
      </w:r>
    </w:p>
    <w:p>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五、积极推动政府采购活动健康开展，对采购活动有疑问、异议时，按法律规定的程序实名（加盖单位章和法定代表人签名）反映情况，不恶意中伤、无事生非，以和谐、平等的心态参加政府采购活动。</w:t>
      </w:r>
    </w:p>
    <w:p>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六、认真履行成交人应承担的责任和义务，全面执行采购合同规定的各项内容，保质保量地按时提供采购物品。</w:t>
      </w:r>
    </w:p>
    <w:p>
      <w:pPr>
        <w:autoSpaceDE w:val="0"/>
        <w:autoSpaceDN w:val="0"/>
        <w:adjustRightIn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若本企业（单位）发生有悖于上述承诺的行为，愿意接受《中华人民共和国政府采购法》和《政府采购法实施条例》中对供应商的相关处理。</w:t>
      </w:r>
    </w:p>
    <w:p>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本承诺是采购项目磋商响应文件的组成部分。</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tabs>
          <w:tab w:val="left" w:pos="168"/>
        </w:tabs>
        <w:adjustRightInd w:val="0"/>
        <w:spacing w:line="360" w:lineRule="auto"/>
        <w:textAlignment w:val="baseline"/>
        <w:rPr>
          <w:rFonts w:ascii="宋体" w:hAnsi="宋体"/>
          <w:bCs/>
          <w:sz w:val="24"/>
        </w:rPr>
      </w:pPr>
      <w:bookmarkStart w:id="113" w:name="_Toc17097"/>
      <w:bookmarkStart w:id="114" w:name="_Toc444715739"/>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法定代表人或委托代理人：  </w:t>
      </w:r>
      <w:r>
        <w:rPr>
          <w:rFonts w:hint="eastAsia" w:ascii="宋体" w:hAnsi="宋体"/>
          <w:bCs/>
          <w:sz w:val="24"/>
          <w:lang w:val="en-US" w:eastAsia="zh-CN"/>
        </w:rPr>
        <w:t xml:space="preserve">      </w:t>
      </w:r>
      <w:r>
        <w:rPr>
          <w:rFonts w:hint="eastAsia" w:ascii="宋体" w:hAnsi="宋体"/>
          <w:bCs/>
          <w:sz w:val="24"/>
        </w:rPr>
        <w:t xml:space="preserve">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pStyle w:val="9"/>
        <w:numPr>
          <w:ilvl w:val="0"/>
          <w:numId w:val="0"/>
        </w:numPr>
        <w:ind w:left="709" w:hanging="709"/>
        <w:rPr>
          <w:rFonts w:hAnsi="宋体" w:cs="宋体"/>
          <w:sz w:val="24"/>
          <w:szCs w:val="24"/>
          <w:lang w:val="zh-CN"/>
        </w:rPr>
      </w:pPr>
      <w:r>
        <w:rPr>
          <w:rFonts w:hAnsi="宋体"/>
          <w:bCs/>
          <w:sz w:val="24"/>
          <w:szCs w:val="24"/>
        </w:rPr>
        <w:br w:type="page"/>
      </w:r>
      <w:bookmarkStart w:id="115" w:name="_Toc30772"/>
      <w:r>
        <w:rPr>
          <w:rFonts w:hint="eastAsia" w:hAnsi="宋体"/>
          <w:b/>
          <w:sz w:val="24"/>
          <w:szCs w:val="24"/>
          <w:lang w:val="zh-CN"/>
        </w:rPr>
        <w:t>格式6、资格证明材料</w:t>
      </w:r>
      <w:bookmarkEnd w:id="113"/>
      <w:bookmarkEnd w:id="114"/>
      <w:bookmarkEnd w:id="115"/>
    </w:p>
    <w:p>
      <w:pPr>
        <w:spacing w:line="360" w:lineRule="auto"/>
        <w:rPr>
          <w:rFonts w:ascii="宋体" w:hAnsi="宋体"/>
          <w:sz w:val="24"/>
          <w:lang w:val="zh-CN"/>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资格证明材料</w:t>
      </w:r>
    </w:p>
    <w:p>
      <w:pPr>
        <w:spacing w:line="360" w:lineRule="auto"/>
        <w:ind w:firstLine="424" w:firstLineChars="177"/>
        <w:rPr>
          <w:rFonts w:ascii="宋体" w:hAnsi="宋体" w:cs="Arial"/>
          <w:sz w:val="24"/>
        </w:rPr>
      </w:pPr>
      <w:r>
        <w:rPr>
          <w:rFonts w:ascii="宋体" w:hAnsi="宋体" w:cs="Arial"/>
          <w:sz w:val="24"/>
        </w:rPr>
        <w:t>资格证明材料包括：</w:t>
      </w:r>
    </w:p>
    <w:p>
      <w:pPr>
        <w:spacing w:line="360" w:lineRule="auto"/>
        <w:rPr>
          <w:rFonts w:ascii="宋体" w:hAnsi="宋体" w:cs="Arial"/>
          <w:sz w:val="24"/>
        </w:rPr>
      </w:pPr>
      <w:r>
        <w:rPr>
          <w:rFonts w:ascii="宋体" w:hAnsi="宋体" w:cs="Arial"/>
          <w:sz w:val="24"/>
        </w:rPr>
        <w:t>（1）单位法人营业执照、税务登记证、组织机构代码证；</w:t>
      </w:r>
    </w:p>
    <w:p>
      <w:pPr>
        <w:spacing w:line="360" w:lineRule="auto"/>
        <w:rPr>
          <w:rFonts w:ascii="宋体" w:hAnsi="宋体" w:cs="Arial"/>
          <w:sz w:val="24"/>
        </w:rPr>
      </w:pPr>
      <w:r>
        <w:rPr>
          <w:rFonts w:ascii="宋体" w:hAnsi="宋体" w:cs="Arial"/>
          <w:sz w:val="24"/>
        </w:rPr>
        <w:t>（2）磋商文件规定的有关资格证书、许可证书、认证等；</w:t>
      </w:r>
    </w:p>
    <w:p>
      <w:pPr>
        <w:spacing w:line="360" w:lineRule="auto"/>
        <w:rPr>
          <w:rFonts w:ascii="宋体" w:hAnsi="宋体" w:cs="Arial"/>
          <w:sz w:val="24"/>
        </w:rPr>
      </w:pPr>
      <w:r>
        <w:rPr>
          <w:rFonts w:ascii="宋体" w:hAnsi="宋体" w:cs="Arial"/>
          <w:sz w:val="24"/>
        </w:rPr>
        <w:t>（3）磋商供应商简介及获得相关证书证明文件；</w:t>
      </w:r>
    </w:p>
    <w:p>
      <w:pPr>
        <w:spacing w:line="360" w:lineRule="auto"/>
        <w:rPr>
          <w:rFonts w:ascii="宋体" w:hAnsi="宋体" w:cs="Arial"/>
          <w:sz w:val="24"/>
        </w:rPr>
      </w:pPr>
      <w:r>
        <w:rPr>
          <w:rFonts w:ascii="宋体" w:hAnsi="宋体" w:cs="Arial"/>
          <w:sz w:val="24"/>
        </w:rPr>
        <w:t>（4）磋商供应商认为有必要提供的其他资格证明文件。</w:t>
      </w:r>
    </w:p>
    <w:p>
      <w:pPr>
        <w:pStyle w:val="9"/>
        <w:numPr>
          <w:ilvl w:val="0"/>
          <w:numId w:val="0"/>
        </w:numPr>
        <w:ind w:left="709" w:hanging="709"/>
        <w:rPr>
          <w:rFonts w:hAnsi="宋体"/>
          <w:sz w:val="24"/>
          <w:szCs w:val="24"/>
          <w:lang w:val="zh-CN"/>
        </w:rPr>
      </w:pPr>
      <w:r>
        <w:rPr>
          <w:rFonts w:hAnsi="宋体" w:cs="宋体"/>
          <w:kern w:val="0"/>
          <w:sz w:val="24"/>
          <w:szCs w:val="24"/>
          <w:lang w:val="zh-CN"/>
        </w:rPr>
        <w:br w:type="page"/>
      </w:r>
      <w:bookmarkStart w:id="116" w:name="_Toc17611"/>
      <w:bookmarkStart w:id="117" w:name="_Toc20673"/>
      <w:bookmarkStart w:id="118" w:name="_Toc444715740"/>
      <w:r>
        <w:rPr>
          <w:rFonts w:hint="eastAsia" w:hAnsi="宋体"/>
          <w:b/>
          <w:sz w:val="24"/>
          <w:szCs w:val="24"/>
          <w:lang w:val="zh-CN"/>
        </w:rPr>
        <w:t>格式7、财务状况、缴纳税收和社会保障资金证明</w:t>
      </w:r>
      <w:bookmarkEnd w:id="116"/>
    </w:p>
    <w:p>
      <w:pPr>
        <w:spacing w:line="360" w:lineRule="auto"/>
        <w:rPr>
          <w:rFonts w:ascii="宋体" w:hAnsi="宋体"/>
          <w:sz w:val="24"/>
          <w:lang w:val="zh-CN"/>
        </w:rPr>
      </w:pPr>
    </w:p>
    <w:p>
      <w:pPr>
        <w:autoSpaceDE w:val="0"/>
        <w:autoSpaceDN w:val="0"/>
        <w:adjustRightInd w:val="0"/>
        <w:spacing w:line="360" w:lineRule="auto"/>
        <w:jc w:val="center"/>
        <w:rPr>
          <w:rFonts w:ascii="宋体" w:hAnsi="宋体" w:cs="宋体"/>
          <w:b/>
          <w:bCs/>
          <w:kern w:val="0"/>
          <w:sz w:val="24"/>
          <w:lang w:val="zh-CN"/>
        </w:rPr>
      </w:pPr>
      <w:r>
        <w:rPr>
          <w:rFonts w:ascii="宋体" w:hAnsi="宋体" w:cs="宋体"/>
          <w:b/>
          <w:bCs/>
          <w:kern w:val="0"/>
          <w:sz w:val="24"/>
          <w:lang w:val="zh-CN"/>
        </w:rPr>
        <w:t>财务状况、缴纳税收和社会保障资金证明</w:t>
      </w:r>
    </w:p>
    <w:p>
      <w:pPr>
        <w:autoSpaceDE w:val="0"/>
        <w:autoSpaceDN w:val="0"/>
        <w:spacing w:line="360" w:lineRule="auto"/>
        <w:rPr>
          <w:rFonts w:ascii="宋体" w:hAnsi="宋体" w:cs="Arial"/>
          <w:sz w:val="24"/>
          <w:lang w:val="zh-CN"/>
        </w:rPr>
      </w:pPr>
    </w:p>
    <w:p>
      <w:pPr>
        <w:spacing w:line="360" w:lineRule="auto"/>
        <w:ind w:firstLine="480" w:firstLineChars="200"/>
        <w:rPr>
          <w:rFonts w:ascii="宋体" w:hAnsi="宋体" w:cs="宋体"/>
          <w:sz w:val="24"/>
        </w:rPr>
      </w:pPr>
      <w:r>
        <w:rPr>
          <w:rFonts w:ascii="宋体" w:hAnsi="宋体" w:cs="宋体"/>
          <w:sz w:val="24"/>
        </w:rPr>
        <w:t>按照磋商文件第2.2款（1）中规定提供以下相关材料。</w:t>
      </w:r>
    </w:p>
    <w:p>
      <w:pPr>
        <w:pStyle w:val="47"/>
        <w:numPr>
          <w:ilvl w:val="1"/>
          <w:numId w:val="40"/>
        </w:numPr>
        <w:spacing w:line="360" w:lineRule="auto"/>
        <w:ind w:left="851" w:hanging="360" w:firstLineChars="0"/>
        <w:rPr>
          <w:rFonts w:ascii="宋体" w:hAnsi="宋体" w:cs="宋体"/>
          <w:sz w:val="24"/>
          <w:highlight w:val="none"/>
        </w:rPr>
      </w:pPr>
      <w:r>
        <w:rPr>
          <w:rFonts w:hint="eastAsia" w:ascii="宋体" w:hAnsi="宋体" w:cs="宋体"/>
          <w:kern w:val="0"/>
          <w:sz w:val="24"/>
          <w:lang w:val="zh-CN"/>
        </w:rPr>
        <w:t>磋商人基本开户银行近三个</w:t>
      </w:r>
      <w:r>
        <w:rPr>
          <w:rFonts w:hint="eastAsia" w:ascii="宋体" w:hAnsi="宋体" w:cs="宋体"/>
          <w:color w:val="auto"/>
          <w:kern w:val="0"/>
          <w:sz w:val="24"/>
          <w:lang w:val="zh-CN"/>
        </w:rPr>
        <w:t>月内出具的资信证明或经第三</w:t>
      </w:r>
      <w:r>
        <w:rPr>
          <w:rFonts w:hint="eastAsia" w:ascii="宋体" w:hAnsi="宋体" w:cs="宋体"/>
          <w:color w:val="auto"/>
          <w:kern w:val="0"/>
          <w:sz w:val="24"/>
          <w:highlight w:val="none"/>
          <w:lang w:val="zh-CN"/>
        </w:rPr>
        <w:t>方机构出具的</w:t>
      </w:r>
      <w:r>
        <w:rPr>
          <w:rFonts w:hint="eastAsia" w:ascii="宋体" w:hAnsi="宋体" w:cs="宋体"/>
          <w:color w:val="auto"/>
          <w:kern w:val="0"/>
          <w:sz w:val="24"/>
          <w:highlight w:val="none"/>
          <w:lang w:val="en-US" w:eastAsia="zh-CN"/>
        </w:rPr>
        <w:t>2023年度或2024年度</w:t>
      </w:r>
      <w:r>
        <w:rPr>
          <w:rFonts w:hint="eastAsia" w:ascii="宋体" w:hAnsi="宋体" w:cs="宋体"/>
          <w:color w:val="auto"/>
          <w:kern w:val="0"/>
          <w:sz w:val="24"/>
          <w:highlight w:val="none"/>
          <w:lang w:val="zh-CN"/>
        </w:rPr>
        <w:t>财务状况审计报告（扫</w:t>
      </w:r>
      <w:r>
        <w:rPr>
          <w:rFonts w:hint="eastAsia" w:ascii="宋体" w:hAnsi="宋体" w:cs="宋体"/>
          <w:kern w:val="0"/>
          <w:sz w:val="24"/>
          <w:highlight w:val="none"/>
          <w:lang w:val="zh-CN"/>
        </w:rPr>
        <w:t>描或复印件应全面、完整、清晰），包括资产负债表、现金流量表、利润表和财务（会计）报表附注</w:t>
      </w:r>
      <w:r>
        <w:rPr>
          <w:rFonts w:hint="eastAsia" w:ascii="宋体" w:hAnsi="宋体" w:cs="宋体"/>
          <w:kern w:val="0"/>
          <w:sz w:val="24"/>
          <w:highlight w:val="none"/>
        </w:rPr>
        <w:t>,</w:t>
      </w:r>
      <w:r>
        <w:rPr>
          <w:rFonts w:hint="eastAsia" w:ascii="宋体" w:hAnsi="宋体" w:cs="宋体"/>
          <w:kern w:val="0"/>
          <w:sz w:val="24"/>
          <w:highlight w:val="none"/>
          <w:lang w:val="zh-CN"/>
        </w:rPr>
        <w:t>并提供第三方机构的营业执照、执业证书。</w:t>
      </w:r>
    </w:p>
    <w:p>
      <w:pPr>
        <w:pStyle w:val="47"/>
        <w:numPr>
          <w:ilvl w:val="1"/>
          <w:numId w:val="40"/>
        </w:numPr>
        <w:spacing w:line="360" w:lineRule="auto"/>
        <w:ind w:left="851" w:hanging="360" w:firstLineChars="0"/>
        <w:rPr>
          <w:rFonts w:ascii="宋体" w:hAnsi="宋体" w:cs="宋体"/>
          <w:sz w:val="24"/>
        </w:rPr>
      </w:pPr>
      <w:r>
        <w:rPr>
          <w:rFonts w:hint="eastAsia" w:ascii="宋体" w:hAnsi="宋体" w:cs="宋体"/>
          <w:color w:val="auto"/>
          <w:kern w:val="0"/>
          <w:sz w:val="24"/>
          <w:highlight w:val="none"/>
          <w:lang w:val="zh-CN"/>
        </w:rPr>
        <w:t>近半年内任意</w:t>
      </w:r>
      <w:r>
        <w:rPr>
          <w:rFonts w:hint="eastAsia" w:ascii="宋体" w:hAnsi="宋体" w:cs="宋体"/>
          <w:color w:val="auto"/>
          <w:kern w:val="0"/>
          <w:sz w:val="24"/>
          <w:highlight w:val="none"/>
          <w:lang w:val="en-US" w:eastAsia="zh-CN"/>
        </w:rPr>
        <w:t>一</w:t>
      </w:r>
      <w:r>
        <w:rPr>
          <w:rFonts w:hint="eastAsia" w:ascii="宋体" w:hAnsi="宋体" w:cs="宋体"/>
          <w:color w:val="auto"/>
          <w:kern w:val="0"/>
          <w:sz w:val="24"/>
          <w:highlight w:val="none"/>
          <w:lang w:val="zh-CN"/>
        </w:rPr>
        <w:t>个月依法缴纳税收和社会保障资金记录的证</w:t>
      </w:r>
      <w:r>
        <w:rPr>
          <w:rFonts w:hint="eastAsia" w:ascii="宋体" w:hAnsi="宋体" w:cs="宋体"/>
          <w:color w:val="auto"/>
          <w:kern w:val="0"/>
          <w:sz w:val="24"/>
          <w:lang w:val="zh-CN"/>
        </w:rPr>
        <w:t>明材料；</w:t>
      </w:r>
      <w:r>
        <w:rPr>
          <w:rFonts w:hint="eastAsia" w:ascii="宋体" w:hAnsi="宋体" w:cs="宋体"/>
          <w:kern w:val="0"/>
          <w:sz w:val="24"/>
          <w:lang w:val="zh-CN"/>
        </w:rPr>
        <w:t>依法免税或不需要缴纳社会保障资金的投标人须提供相应文件证明其依法免税或不需要缴纳社会保障资金。</w:t>
      </w:r>
    </w:p>
    <w:p>
      <w:pPr>
        <w:pStyle w:val="47"/>
        <w:numPr>
          <w:ilvl w:val="1"/>
          <w:numId w:val="40"/>
        </w:numPr>
        <w:spacing w:line="360" w:lineRule="auto"/>
        <w:ind w:left="851" w:hanging="360" w:firstLineChars="0"/>
        <w:rPr>
          <w:rFonts w:ascii="宋体" w:hAnsi="宋体" w:cs="宋体"/>
          <w:sz w:val="24"/>
        </w:rPr>
      </w:pPr>
      <w:r>
        <w:rPr>
          <w:rFonts w:hint="eastAsia" w:ascii="宋体" w:hAnsi="宋体" w:cs="Arial"/>
          <w:sz w:val="24"/>
        </w:rPr>
        <w:t>扫描（或复印）件应全面、完整、清晰并加盖磋商供应商公章。</w:t>
      </w:r>
    </w:p>
    <w:p>
      <w:pPr>
        <w:pStyle w:val="9"/>
        <w:numPr>
          <w:ilvl w:val="0"/>
          <w:numId w:val="0"/>
        </w:numPr>
        <w:ind w:left="709" w:hanging="709"/>
        <w:rPr>
          <w:rFonts w:hAnsi="宋体"/>
          <w:sz w:val="24"/>
          <w:szCs w:val="24"/>
          <w:lang w:val="zh-CN"/>
        </w:rPr>
      </w:pPr>
      <w:r>
        <w:rPr>
          <w:rFonts w:hAnsi="宋体"/>
          <w:b/>
          <w:sz w:val="24"/>
          <w:szCs w:val="24"/>
          <w:lang w:val="zh-CN"/>
        </w:rPr>
        <w:br w:type="page"/>
      </w:r>
      <w:bookmarkStart w:id="119" w:name="_Toc19949"/>
      <w:r>
        <w:rPr>
          <w:rFonts w:hint="eastAsia" w:hAnsi="宋体"/>
          <w:b/>
          <w:sz w:val="24"/>
          <w:szCs w:val="24"/>
          <w:lang w:val="zh-CN"/>
        </w:rPr>
        <w:t>格式8、具备履行合同所必须的设备和专业技术能力证明</w:t>
      </w:r>
      <w:bookmarkEnd w:id="119"/>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具备履行合同所必须的设备和专业技术能力证明</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ind w:firstLine="480"/>
        <w:rPr>
          <w:rFonts w:ascii="宋体" w:hAnsi="宋体" w:cs="宋体"/>
          <w:color w:val="auto"/>
          <w:kern w:val="0"/>
          <w:sz w:val="24"/>
          <w:lang w:val="zh-CN"/>
        </w:rPr>
      </w:pPr>
      <w:bookmarkStart w:id="120" w:name="OLE_LINK26"/>
      <w:bookmarkStart w:id="121" w:name="OLE_LINK15"/>
      <w:r>
        <w:rPr>
          <w:rFonts w:ascii="宋体" w:hAnsi="宋体" w:cs="宋体"/>
          <w:kern w:val="0"/>
          <w:sz w:val="24"/>
          <w:lang w:val="zh-CN"/>
        </w:rPr>
        <w:t>为保证本项目合同的顺利履行，投标人必须具备履行合同的设备和专业技术能力，</w:t>
      </w:r>
      <w:r>
        <w:rPr>
          <w:rFonts w:hint="eastAsia" w:ascii="宋体" w:hAnsi="宋体" w:cs="宋体"/>
          <w:kern w:val="0"/>
          <w:sz w:val="24"/>
          <w:lang w:val="zh-CN"/>
        </w:rPr>
        <w:t>须提供履行合同的设备和专业技术能力的承诺函（格式自拟），</w:t>
      </w:r>
      <w:r>
        <w:rPr>
          <w:rFonts w:ascii="宋体" w:hAnsi="宋体" w:cs="宋体"/>
          <w:color w:val="auto"/>
          <w:kern w:val="0"/>
          <w:sz w:val="24"/>
          <w:lang w:val="zh-CN"/>
        </w:rPr>
        <w:t>须提供相关人员的证书</w:t>
      </w:r>
      <w:r>
        <w:rPr>
          <w:rFonts w:hint="eastAsia" w:ascii="宋体" w:hAnsi="宋体" w:cs="宋体"/>
          <w:color w:val="auto"/>
          <w:kern w:val="0"/>
          <w:sz w:val="24"/>
          <w:lang w:val="zh-CN"/>
        </w:rPr>
        <w:t>或</w:t>
      </w:r>
      <w:r>
        <w:rPr>
          <w:rFonts w:ascii="宋体" w:hAnsi="宋体" w:cs="宋体"/>
          <w:color w:val="auto"/>
          <w:kern w:val="0"/>
          <w:sz w:val="24"/>
          <w:lang w:val="zh-CN"/>
        </w:rPr>
        <w:t>用工合同等证明材料。</w:t>
      </w:r>
      <w:bookmarkEnd w:id="120"/>
    </w:p>
    <w:bookmarkEnd w:id="121"/>
    <w:p>
      <w:pPr>
        <w:pStyle w:val="9"/>
        <w:numPr>
          <w:ilvl w:val="0"/>
          <w:numId w:val="0"/>
        </w:numPr>
        <w:ind w:left="709" w:hanging="709"/>
        <w:rPr>
          <w:rFonts w:hAnsi="宋体" w:cs="宋体"/>
          <w:sz w:val="24"/>
          <w:szCs w:val="24"/>
          <w:lang w:val="zh-CN"/>
        </w:rPr>
      </w:pPr>
      <w:bookmarkStart w:id="169" w:name="_GoBack"/>
      <w:bookmarkEnd w:id="169"/>
      <w:r>
        <w:rPr>
          <w:rFonts w:hAnsi="宋体" w:cs="宋体"/>
          <w:kern w:val="0"/>
          <w:sz w:val="24"/>
          <w:szCs w:val="24"/>
          <w:lang w:val="zh-CN"/>
        </w:rPr>
        <w:br w:type="page"/>
      </w:r>
      <w:bookmarkStart w:id="122" w:name="_Toc14849"/>
      <w:r>
        <w:rPr>
          <w:rFonts w:hint="eastAsia" w:hAnsi="宋体"/>
          <w:b/>
          <w:sz w:val="24"/>
          <w:szCs w:val="24"/>
          <w:lang w:val="zh-CN"/>
        </w:rPr>
        <w:t>格式</w:t>
      </w:r>
      <w:bookmarkEnd w:id="117"/>
      <w:bookmarkEnd w:id="118"/>
      <w:r>
        <w:rPr>
          <w:rFonts w:hint="eastAsia" w:hAnsi="宋体"/>
          <w:b/>
          <w:sz w:val="24"/>
          <w:szCs w:val="24"/>
          <w:lang w:val="zh-CN"/>
        </w:rPr>
        <w:t>9、磋商保证金证明</w:t>
      </w:r>
      <w:bookmarkEnd w:id="122"/>
    </w:p>
    <w:p>
      <w:pPr>
        <w:spacing w:line="360" w:lineRule="auto"/>
        <w:rPr>
          <w:rFonts w:ascii="宋体" w:hAnsi="宋体" w:cs="宋体"/>
          <w:sz w:val="24"/>
          <w:lang w:val="zh-CN"/>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磋商保证金证明</w:t>
      </w:r>
    </w:p>
    <w:p>
      <w:pPr>
        <w:autoSpaceDE w:val="0"/>
        <w:autoSpaceDN w:val="0"/>
        <w:adjustRightInd w:val="0"/>
        <w:spacing w:line="360" w:lineRule="auto"/>
        <w:rPr>
          <w:rFonts w:ascii="宋体" w:hAnsi="宋体" w:cs="宋体"/>
          <w:b/>
          <w:bCs/>
          <w:kern w:val="0"/>
          <w:sz w:val="24"/>
          <w:lang w:val="zh-CN"/>
        </w:rPr>
      </w:pPr>
      <w:bookmarkStart w:id="123" w:name="_Toc325726048"/>
      <w:bookmarkEnd w:id="123"/>
    </w:p>
    <w:p>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致：青海国焱工程项目管理有限公司</w:t>
      </w:r>
    </w:p>
    <w:p>
      <w:pPr>
        <w:autoSpaceDE w:val="0"/>
        <w:autoSpaceDN w:val="0"/>
        <w:adjustRightInd w:val="0"/>
        <w:spacing w:line="360" w:lineRule="auto"/>
        <w:rPr>
          <w:rFonts w:ascii="宋体" w:hAnsi="宋体" w:cs="宋体"/>
          <w:b/>
          <w:bCs/>
          <w:kern w:val="0"/>
          <w:sz w:val="24"/>
          <w:lang w:val="zh-CN"/>
        </w:rPr>
      </w:pPr>
    </w:p>
    <w:p>
      <w:pPr>
        <w:autoSpaceDE w:val="0"/>
        <w:autoSpaceDN w:val="0"/>
        <w:adjustRightInd w:val="0"/>
        <w:spacing w:line="360" w:lineRule="auto"/>
        <w:ind w:firstLine="360"/>
        <w:rPr>
          <w:rFonts w:ascii="宋体" w:hAnsi="宋体" w:cs="宋体"/>
          <w:kern w:val="0"/>
          <w:sz w:val="24"/>
          <w:lang w:val="zh-CN"/>
        </w:rPr>
      </w:pPr>
      <w:r>
        <w:rPr>
          <w:rFonts w:hint="eastAsia" w:ascii="宋体" w:hAnsi="宋体" w:cs="宋体"/>
          <w:kern w:val="0"/>
          <w:sz w:val="24"/>
          <w:lang w:val="zh-CN"/>
        </w:rPr>
        <w:t>我方为（项目名称：            ）项目（采购编号为：           ）递交保证金人民币（大写：人民币          元）已于  年  月   日以基本户转账方式汇入你方账户。</w:t>
      </w:r>
    </w:p>
    <w:p>
      <w:pPr>
        <w:autoSpaceDE w:val="0"/>
        <w:autoSpaceDN w:val="0"/>
        <w:adjustRightInd w:val="0"/>
        <w:spacing w:line="360" w:lineRule="auto"/>
        <w:ind w:firstLine="360"/>
        <w:rPr>
          <w:rFonts w:ascii="宋体" w:hAnsi="宋体" w:cs="宋体"/>
          <w:bCs/>
          <w:kern w:val="0"/>
          <w:sz w:val="24"/>
          <w:lang w:val="zh-CN"/>
        </w:rPr>
      </w:pPr>
      <w:r>
        <w:rPr>
          <w:rFonts w:hint="eastAsia" w:ascii="宋体" w:hAnsi="宋体" w:cs="宋体"/>
          <w:bCs/>
          <w:kern w:val="0"/>
          <w:sz w:val="24"/>
          <w:lang w:val="zh-CN"/>
        </w:rPr>
        <w:t>附件：保证金交款证明及开户许可证复印件（加盖磋商供应商公章）</w:t>
      </w:r>
    </w:p>
    <w:p>
      <w:pPr>
        <w:autoSpaceDE w:val="0"/>
        <w:autoSpaceDN w:val="0"/>
        <w:adjustRightInd w:val="0"/>
        <w:spacing w:line="360" w:lineRule="auto"/>
        <w:ind w:firstLine="360"/>
        <w:rPr>
          <w:rFonts w:ascii="宋体" w:hAnsi="宋体" w:cs="宋体"/>
          <w:kern w:val="0"/>
          <w:sz w:val="24"/>
          <w:lang w:val="zh-CN"/>
        </w:rPr>
      </w:pPr>
      <w:r>
        <w:rPr>
          <w:rFonts w:hint="eastAsia" w:ascii="宋体" w:hAnsi="宋体" w:cs="宋体"/>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adjustRightInd w:val="0"/>
        <w:spacing w:line="360" w:lineRule="auto"/>
        <w:ind w:firstLine="360"/>
        <w:rPr>
          <w:rFonts w:ascii="宋体" w:hAnsi="宋体" w:cs="宋体"/>
          <w:kern w:val="0"/>
          <w:sz w:val="24"/>
          <w:lang w:val="zh-CN"/>
        </w:rPr>
      </w:pPr>
      <w:r>
        <w:rPr>
          <w:rFonts w:hint="eastAsia" w:ascii="宋体" w:hAnsi="宋体" w:cs="宋体"/>
          <w:kern w:val="0"/>
          <w:sz w:val="24"/>
          <w:lang w:val="zh-CN"/>
        </w:rPr>
        <w:t>户    名：</w:t>
      </w:r>
    </w:p>
    <w:p>
      <w:pPr>
        <w:autoSpaceDE w:val="0"/>
        <w:autoSpaceDN w:val="0"/>
        <w:adjustRightInd w:val="0"/>
        <w:spacing w:line="360" w:lineRule="auto"/>
        <w:ind w:firstLine="360"/>
        <w:rPr>
          <w:rFonts w:ascii="宋体" w:hAnsi="宋体" w:cs="宋体"/>
          <w:kern w:val="0"/>
          <w:sz w:val="24"/>
          <w:lang w:val="zh-CN"/>
        </w:rPr>
      </w:pPr>
      <w:r>
        <w:rPr>
          <w:rFonts w:hint="eastAsia" w:ascii="宋体" w:hAnsi="宋体" w:cs="宋体"/>
          <w:kern w:val="0"/>
          <w:sz w:val="24"/>
          <w:lang w:val="zh-CN"/>
        </w:rPr>
        <w:t>开户银行：</w:t>
      </w:r>
    </w:p>
    <w:p>
      <w:pPr>
        <w:autoSpaceDE w:val="0"/>
        <w:autoSpaceDN w:val="0"/>
        <w:adjustRightInd w:val="0"/>
        <w:spacing w:line="360" w:lineRule="auto"/>
        <w:ind w:firstLine="360"/>
        <w:rPr>
          <w:rFonts w:ascii="宋体" w:hAnsi="宋体" w:cs="宋体"/>
          <w:kern w:val="0"/>
          <w:sz w:val="24"/>
          <w:lang w:val="zh-CN"/>
        </w:rPr>
      </w:pPr>
      <w:r>
        <w:rPr>
          <w:rFonts w:hint="eastAsia" w:ascii="宋体" w:hAnsi="宋体" w:cs="宋体"/>
          <w:kern w:val="0"/>
          <w:sz w:val="24"/>
          <w:lang w:val="zh-CN"/>
        </w:rPr>
        <w:t>开户帐号：</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rPr>
          <w:rFonts w:ascii="宋体" w:hAnsi="宋体" w:cs="宋体"/>
          <w:kern w:val="0"/>
          <w:sz w:val="24"/>
          <w:lang w:val="zh-CN"/>
        </w:rPr>
      </w:pP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法定代表人或委托代理人：     </w:t>
      </w:r>
      <w:r>
        <w:rPr>
          <w:rFonts w:hint="eastAsia" w:ascii="宋体" w:hAnsi="宋体"/>
          <w:bCs/>
          <w:sz w:val="24"/>
          <w:lang w:val="en-US" w:eastAsia="zh-CN"/>
        </w:rPr>
        <w:t xml:space="preserve">      </w:t>
      </w:r>
      <w:r>
        <w:rPr>
          <w:rFonts w:hint="eastAsia" w:ascii="宋体" w:hAnsi="宋体"/>
          <w:bCs/>
          <w:sz w:val="24"/>
        </w:rPr>
        <w:t xml:space="preserve">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spacing w:line="360" w:lineRule="auto"/>
        <w:rPr>
          <w:rFonts w:ascii="宋体" w:hAnsi="宋体"/>
          <w:sz w:val="24"/>
          <w:lang w:val="zh-CN"/>
        </w:rPr>
      </w:pPr>
    </w:p>
    <w:p>
      <w:pPr>
        <w:pStyle w:val="9"/>
        <w:numPr>
          <w:ilvl w:val="0"/>
          <w:numId w:val="0"/>
        </w:numPr>
        <w:ind w:left="709" w:hanging="709"/>
        <w:rPr>
          <w:rFonts w:hAnsi="宋体" w:cs="宋体"/>
          <w:sz w:val="24"/>
          <w:szCs w:val="24"/>
        </w:rPr>
      </w:pPr>
      <w:r>
        <w:rPr>
          <w:rFonts w:hAnsi="宋体" w:cs="宋体"/>
          <w:kern w:val="0"/>
          <w:sz w:val="24"/>
          <w:szCs w:val="24"/>
          <w:lang w:val="zh-CN"/>
        </w:rPr>
        <w:br w:type="page"/>
      </w:r>
      <w:bookmarkStart w:id="124" w:name="_Toc444715741"/>
      <w:bookmarkStart w:id="125" w:name="_Toc428180589"/>
      <w:bookmarkStart w:id="126" w:name="_Toc21450"/>
      <w:bookmarkStart w:id="127" w:name="_Toc8903"/>
      <w:r>
        <w:rPr>
          <w:rFonts w:hint="eastAsia" w:hAnsi="宋体"/>
          <w:b/>
          <w:sz w:val="24"/>
          <w:szCs w:val="24"/>
          <w:lang w:val="zh-CN"/>
        </w:rPr>
        <w:t>格式10、无重大违法记录声明</w:t>
      </w:r>
      <w:bookmarkEnd w:id="124"/>
      <w:bookmarkEnd w:id="125"/>
      <w:bookmarkEnd w:id="126"/>
      <w:bookmarkEnd w:id="127"/>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无重大违法记录声明</w:t>
      </w:r>
    </w:p>
    <w:p>
      <w:pPr>
        <w:autoSpaceDE w:val="0"/>
        <w:autoSpaceDN w:val="0"/>
        <w:adjustRightInd w:val="0"/>
        <w:spacing w:line="360" w:lineRule="auto"/>
        <w:rPr>
          <w:rFonts w:ascii="宋体" w:hAnsi="宋体" w:cs="宋体"/>
          <w:kern w:val="0"/>
          <w:sz w:val="24"/>
          <w:lang w:val="zh-CN"/>
        </w:rPr>
      </w:pPr>
    </w:p>
    <w:p>
      <w:pPr>
        <w:spacing w:line="360" w:lineRule="auto"/>
        <w:ind w:firstLine="426" w:firstLineChars="177"/>
        <w:rPr>
          <w:rFonts w:ascii="宋体" w:hAnsi="宋体" w:cs="Arial"/>
          <w:sz w:val="24"/>
        </w:rPr>
      </w:pPr>
      <w:r>
        <w:rPr>
          <w:rFonts w:hint="eastAsia" w:ascii="宋体" w:hAnsi="宋体" w:cs="宋体"/>
          <w:b/>
          <w:bCs/>
          <w:kern w:val="0"/>
          <w:sz w:val="24"/>
          <w:lang w:val="zh-CN"/>
        </w:rPr>
        <w:t>致：青海国焱工程项目管理有限公司</w:t>
      </w:r>
    </w:p>
    <w:p>
      <w:pPr>
        <w:spacing w:line="360" w:lineRule="auto"/>
        <w:ind w:firstLine="424" w:firstLineChars="177"/>
        <w:rPr>
          <w:rFonts w:ascii="宋体" w:hAnsi="宋体" w:cs="Arial"/>
          <w:sz w:val="24"/>
        </w:rPr>
      </w:pPr>
      <w:r>
        <w:rPr>
          <w:rFonts w:ascii="宋体" w:hAnsi="宋体" w:cs="Arial"/>
          <w:sz w:val="24"/>
        </w:rPr>
        <w:t>（</w:t>
      </w:r>
      <w:r>
        <w:rPr>
          <w:rFonts w:hint="eastAsia" w:ascii="宋体" w:hAnsi="宋体" w:cs="Arial"/>
          <w:sz w:val="24"/>
        </w:rPr>
        <w:t>磋商</w:t>
      </w:r>
      <w:r>
        <w:rPr>
          <w:rFonts w:ascii="宋体" w:hAnsi="宋体" w:cs="Arial"/>
          <w:sz w:val="24"/>
        </w:rPr>
        <w:t>供应商名称）郑重声明，我方参加本项目</w:t>
      </w:r>
      <w:r>
        <w:rPr>
          <w:rFonts w:hint="eastAsia" w:ascii="宋体" w:hAnsi="宋体" w:cs="Arial"/>
          <w:sz w:val="24"/>
        </w:rPr>
        <w:t>竞磋</w:t>
      </w:r>
      <w:r>
        <w:rPr>
          <w:rFonts w:ascii="宋体" w:hAnsi="宋体" w:cs="Arial"/>
          <w:sz w:val="24"/>
        </w:rPr>
        <w:t>活动前三年内无重大违法活动记录，符合《中华人民共和国政府采购法》规定的供应商资格条件。我方对此声明负全部法律责任。</w:t>
      </w: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r>
        <w:rPr>
          <w:rFonts w:ascii="宋体" w:hAnsi="宋体" w:cs="Arial"/>
          <w:sz w:val="24"/>
        </w:rPr>
        <w:t>特此声明。</w:t>
      </w: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color w:val="000000" w:themeColor="text1"/>
          <w:sz w:val="24"/>
          <w14:textFill>
            <w14:solidFill>
              <w14:schemeClr w14:val="tx1"/>
            </w14:solidFill>
          </w14:textFill>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spacing w:line="360" w:lineRule="auto"/>
        <w:ind w:firstLine="424" w:firstLineChars="177"/>
        <w:rPr>
          <w:rFonts w:ascii="宋体" w:hAnsi="宋体" w:cs="Arial"/>
          <w:sz w:val="24"/>
        </w:rPr>
      </w:pPr>
    </w:p>
    <w:p>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lang w:eastAsia="zh-CN"/>
        </w:rPr>
        <w:t>磋商供应商</w:t>
      </w:r>
      <w:r>
        <w:rPr>
          <w:rFonts w:hint="eastAsia" w:ascii="宋体" w:hAnsi="宋体"/>
          <w:bCs/>
          <w:sz w:val="24"/>
        </w:rPr>
        <w:t xml:space="preserve">：   </w:t>
      </w:r>
      <w:r>
        <w:rPr>
          <w:rFonts w:hint="eastAsia" w:ascii="宋体" w:hAnsi="宋体"/>
          <w:bCs/>
          <w:sz w:val="24"/>
          <w:lang w:val="en-US" w:eastAsia="zh-CN"/>
        </w:rPr>
        <w:t xml:space="preserve">      </w:t>
      </w:r>
      <w:r>
        <w:rPr>
          <w:rFonts w:hint="eastAsia" w:ascii="宋体" w:hAnsi="宋体"/>
          <w:bCs/>
          <w:sz w:val="24"/>
        </w:rPr>
        <w:t xml:space="preserve">          （公章）</w:t>
      </w:r>
    </w:p>
    <w:p>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pPr>
        <w:spacing w:line="360" w:lineRule="auto"/>
        <w:ind w:firstLine="424" w:firstLineChars="177"/>
        <w:rPr>
          <w:rFonts w:ascii="宋体" w:hAnsi="宋体" w:cs="Arial"/>
          <w:sz w:val="24"/>
        </w:rPr>
      </w:pPr>
      <w:r>
        <w:rPr>
          <w:rFonts w:hint="eastAsia" w:ascii="宋体" w:hAnsi="宋体"/>
          <w:bCs/>
          <w:sz w:val="24"/>
        </w:rPr>
        <w:t xml:space="preserve">                                      日期：                  年   月   日</w:t>
      </w:r>
    </w:p>
    <w:p>
      <w:pPr>
        <w:spacing w:line="360" w:lineRule="auto"/>
        <w:rPr>
          <w:rFonts w:ascii="宋体" w:hAnsi="宋体"/>
          <w:b/>
          <w:sz w:val="24"/>
          <w:lang w:val="zh-CN"/>
        </w:rPr>
      </w:pPr>
      <w:r>
        <w:rPr>
          <w:rFonts w:ascii="宋体" w:hAnsi="宋体" w:cs="宋体"/>
          <w:kern w:val="0"/>
          <w:sz w:val="24"/>
          <w:lang w:val="zh-CN"/>
        </w:rPr>
        <w:br w:type="page"/>
      </w:r>
    </w:p>
    <w:p>
      <w:pPr>
        <w:pStyle w:val="9"/>
        <w:numPr>
          <w:ilvl w:val="0"/>
          <w:numId w:val="0"/>
        </w:numPr>
        <w:ind w:left="709" w:hanging="709"/>
        <w:rPr>
          <w:rFonts w:hAnsi="宋体"/>
          <w:sz w:val="24"/>
          <w:szCs w:val="24"/>
          <w:lang w:val="zh-CN"/>
        </w:rPr>
      </w:pPr>
      <w:bookmarkStart w:id="128" w:name="_Toc22306"/>
      <w:r>
        <w:rPr>
          <w:rFonts w:hint="eastAsia" w:hAnsi="宋体"/>
          <w:b/>
          <w:sz w:val="24"/>
          <w:szCs w:val="24"/>
          <w:lang w:val="zh-CN"/>
        </w:rPr>
        <w:t>格式11、</w:t>
      </w:r>
      <w:bookmarkStart w:id="129" w:name="_Toc487036155"/>
      <w:r>
        <w:rPr>
          <w:rFonts w:hint="eastAsia" w:hAnsi="宋体"/>
          <w:b/>
          <w:sz w:val="24"/>
          <w:szCs w:val="24"/>
        </w:rPr>
        <w:t>竞争性磋商首次报价表</w:t>
      </w:r>
      <w:bookmarkEnd w:id="128"/>
      <w:bookmarkEnd w:id="129"/>
    </w:p>
    <w:p>
      <w:pPr>
        <w:autoSpaceDE w:val="0"/>
        <w:autoSpaceDN w:val="0"/>
        <w:adjustRightInd w:val="0"/>
        <w:spacing w:line="360" w:lineRule="auto"/>
        <w:jc w:val="center"/>
        <w:rPr>
          <w:rFonts w:ascii="宋体" w:hAnsi="宋体"/>
          <w:b/>
          <w:sz w:val="24"/>
        </w:rPr>
      </w:pPr>
      <w:r>
        <w:rPr>
          <w:rFonts w:hint="eastAsia" w:ascii="宋体" w:hAnsi="宋体"/>
          <w:b/>
          <w:sz w:val="24"/>
        </w:rPr>
        <w:t>竞争性磋商首次报价表</w:t>
      </w:r>
    </w:p>
    <w:p>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采购项目名称:  </w:t>
      </w:r>
    </w:p>
    <w:p>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采购项目编号：</w:t>
      </w:r>
    </w:p>
    <w:p>
      <w:pPr>
        <w:autoSpaceDE w:val="0"/>
        <w:autoSpaceDN w:val="0"/>
        <w:spacing w:line="360" w:lineRule="auto"/>
        <w:rPr>
          <w:rFonts w:ascii="宋体" w:hAnsi="宋体" w:cs="宋体"/>
          <w:b/>
          <w:bCs/>
          <w:sz w:val="24"/>
          <w:lang w:val="zh-CN"/>
        </w:rPr>
      </w:pPr>
      <w:r>
        <w:rPr>
          <w:rFonts w:hint="eastAsia" w:ascii="宋体" w:hAnsi="宋体" w:cs="宋体"/>
          <w:b/>
          <w:bCs/>
          <w:sz w:val="24"/>
          <w:lang w:val="zh-CN"/>
        </w:rPr>
        <w:t>磋商供应商名称：</w:t>
      </w:r>
    </w:p>
    <w:p>
      <w:pPr>
        <w:autoSpaceDE w:val="0"/>
        <w:autoSpaceDN w:val="0"/>
        <w:spacing w:line="360" w:lineRule="auto"/>
        <w:jc w:val="right"/>
        <w:rPr>
          <w:rFonts w:ascii="宋体" w:hAnsi="宋体" w:cs="宋体"/>
          <w:b/>
          <w:bCs/>
          <w:kern w:val="0"/>
          <w:sz w:val="24"/>
          <w:lang w:val="zh-CN"/>
        </w:rPr>
      </w:pPr>
    </w:p>
    <w:p>
      <w:pPr>
        <w:autoSpaceDE w:val="0"/>
        <w:autoSpaceDN w:val="0"/>
        <w:spacing w:line="360" w:lineRule="auto"/>
        <w:jc w:val="right"/>
        <w:rPr>
          <w:rFonts w:ascii="宋体" w:hAnsi="宋体" w:cs="宋体"/>
          <w:bCs/>
          <w:kern w:val="0"/>
          <w:sz w:val="24"/>
          <w:lang w:val="zh-CN"/>
        </w:rPr>
      </w:pPr>
      <w:r>
        <w:rPr>
          <w:rFonts w:hint="eastAsia" w:ascii="宋体" w:hAnsi="宋体" w:cs="宋体"/>
          <w:bCs/>
          <w:kern w:val="0"/>
          <w:sz w:val="24"/>
          <w:lang w:val="zh-CN"/>
        </w:rPr>
        <w:t>单位：人民币（元）</w:t>
      </w:r>
    </w:p>
    <w:tbl>
      <w:tblPr>
        <w:tblStyle w:val="35"/>
        <w:tblW w:w="9968" w:type="dxa"/>
        <w:jc w:val="center"/>
        <w:tblLayout w:type="fixed"/>
        <w:tblCellMar>
          <w:top w:w="0" w:type="dxa"/>
          <w:left w:w="108" w:type="dxa"/>
          <w:bottom w:w="0" w:type="dxa"/>
          <w:right w:w="108" w:type="dxa"/>
        </w:tblCellMar>
      </w:tblPr>
      <w:tblGrid>
        <w:gridCol w:w="3516"/>
        <w:gridCol w:w="2829"/>
        <w:gridCol w:w="2016"/>
        <w:gridCol w:w="1607"/>
      </w:tblGrid>
      <w:tr>
        <w:tblPrEx>
          <w:tblCellMar>
            <w:top w:w="0" w:type="dxa"/>
            <w:left w:w="108" w:type="dxa"/>
            <w:bottom w:w="0" w:type="dxa"/>
            <w:right w:w="108" w:type="dxa"/>
          </w:tblCellMar>
        </w:tblPrEx>
        <w:trPr>
          <w:trHeight w:val="699" w:hRule="atLeast"/>
          <w:jc w:val="center"/>
        </w:trPr>
        <w:tc>
          <w:tcPr>
            <w:tcW w:w="351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r>
              <w:rPr>
                <w:rFonts w:ascii="宋体" w:hAnsi="宋体" w:cs="Arial"/>
                <w:bCs/>
                <w:sz w:val="24"/>
                <w:lang w:val="zh-CN"/>
              </w:rPr>
              <w:t>项目名称</w:t>
            </w: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ind w:firstLine="482"/>
              <w:rPr>
                <w:rFonts w:ascii="宋体" w:hAnsi="宋体" w:cs="Arial"/>
                <w:sz w:val="24"/>
                <w:lang w:val="zh-CN"/>
              </w:rPr>
            </w:pPr>
            <w:r>
              <w:rPr>
                <w:rFonts w:hint="eastAsia" w:ascii="宋体" w:hAnsi="宋体" w:cs="Arial"/>
                <w:bCs/>
                <w:sz w:val="24"/>
                <w:lang w:val="zh-CN"/>
              </w:rPr>
              <w:t>磋商首次</w:t>
            </w:r>
            <w:r>
              <w:rPr>
                <w:rFonts w:ascii="宋体" w:hAnsi="宋体" w:cs="Arial"/>
                <w:bCs/>
                <w:sz w:val="24"/>
                <w:lang w:val="zh-CN"/>
              </w:rPr>
              <w:t>报价</w:t>
            </w:r>
          </w:p>
        </w:tc>
        <w:tc>
          <w:tcPr>
            <w:tcW w:w="2016" w:type="dxa"/>
            <w:tcBorders>
              <w:top w:val="single" w:color="000000" w:sz="6" w:space="0"/>
              <w:left w:val="single" w:color="000000" w:sz="6" w:space="0"/>
              <w:bottom w:val="single" w:color="000000" w:sz="6" w:space="0"/>
              <w:right w:val="single" w:color="auto" w:sz="4" w:space="0"/>
            </w:tcBorders>
            <w:shd w:val="clear" w:color="000000" w:fill="FFFFFF"/>
            <w:vAlign w:val="center"/>
          </w:tcPr>
          <w:p>
            <w:pPr>
              <w:autoSpaceDE w:val="0"/>
              <w:autoSpaceDN w:val="0"/>
              <w:spacing w:line="360" w:lineRule="auto"/>
              <w:jc w:val="center"/>
              <w:rPr>
                <w:rFonts w:ascii="宋体" w:hAnsi="宋体" w:cs="Arial"/>
                <w:bCs/>
                <w:sz w:val="24"/>
                <w:lang w:val="zh-CN"/>
              </w:rPr>
            </w:pPr>
            <w:r>
              <w:rPr>
                <w:rFonts w:ascii="宋体" w:hAnsi="宋体" w:cs="Arial"/>
                <w:bCs/>
                <w:sz w:val="24"/>
                <w:lang w:val="zh-CN"/>
              </w:rPr>
              <w:t>交货期</w:t>
            </w:r>
          </w:p>
        </w:tc>
        <w:tc>
          <w:tcPr>
            <w:tcW w:w="160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r>
              <w:rPr>
                <w:rFonts w:ascii="宋体" w:hAnsi="宋体" w:cs="Arial"/>
                <w:bCs/>
                <w:sz w:val="24"/>
                <w:lang w:val="zh-CN"/>
              </w:rPr>
              <w:t>备注</w:t>
            </w:r>
          </w:p>
        </w:tc>
      </w:tr>
      <w:tr>
        <w:tblPrEx>
          <w:tblCellMar>
            <w:top w:w="0" w:type="dxa"/>
            <w:left w:w="108" w:type="dxa"/>
            <w:bottom w:w="0" w:type="dxa"/>
            <w:right w:w="108" w:type="dxa"/>
          </w:tblCellMar>
        </w:tblPrEx>
        <w:trPr>
          <w:trHeight w:val="993" w:hRule="atLeast"/>
          <w:jc w:val="center"/>
        </w:trPr>
        <w:tc>
          <w:tcPr>
            <w:tcW w:w="3516" w:type="dxa"/>
            <w:vMerge w:val="restart"/>
            <w:tcBorders>
              <w:top w:val="single" w:color="000000" w:sz="6" w:space="0"/>
              <w:left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Arial"/>
                <w:sz w:val="24"/>
                <w:lang w:val="zh-CN"/>
              </w:rPr>
            </w:pPr>
            <w:r>
              <w:rPr>
                <w:rFonts w:ascii="宋体" w:hAnsi="宋体" w:cs="Arial"/>
                <w:bCs/>
                <w:sz w:val="24"/>
                <w:lang w:val="zh-CN"/>
              </w:rPr>
              <w:t>大写：</w:t>
            </w:r>
          </w:p>
        </w:tc>
        <w:tc>
          <w:tcPr>
            <w:tcW w:w="2016" w:type="dxa"/>
            <w:vMerge w:val="restart"/>
            <w:tcBorders>
              <w:top w:val="single" w:color="000000" w:sz="6" w:space="0"/>
              <w:left w:val="single" w:color="000000" w:sz="6" w:space="0"/>
              <w:bottom w:val="single" w:color="000000" w:sz="6" w:space="0"/>
              <w:right w:val="single" w:color="auto" w:sz="4" w:space="0"/>
            </w:tcBorders>
            <w:shd w:val="clear" w:color="000000" w:fill="FFFFFF"/>
            <w:vAlign w:val="center"/>
          </w:tcPr>
          <w:p>
            <w:pPr>
              <w:autoSpaceDE w:val="0"/>
              <w:autoSpaceDN w:val="0"/>
              <w:spacing w:line="360" w:lineRule="auto"/>
              <w:ind w:firstLine="197"/>
              <w:jc w:val="center"/>
              <w:rPr>
                <w:rFonts w:ascii="宋体" w:hAnsi="宋体" w:cs="Arial"/>
                <w:sz w:val="24"/>
                <w:lang w:val="zh-CN"/>
              </w:rPr>
            </w:pPr>
          </w:p>
        </w:tc>
        <w:tc>
          <w:tcPr>
            <w:tcW w:w="1607" w:type="dxa"/>
            <w:vMerge w:val="restart"/>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r>
      <w:tr>
        <w:tblPrEx>
          <w:tblCellMar>
            <w:top w:w="0" w:type="dxa"/>
            <w:left w:w="108" w:type="dxa"/>
            <w:bottom w:w="0" w:type="dxa"/>
            <w:right w:w="108" w:type="dxa"/>
          </w:tblCellMar>
        </w:tblPrEx>
        <w:trPr>
          <w:trHeight w:val="845" w:hRule="atLeast"/>
          <w:jc w:val="center"/>
        </w:trPr>
        <w:tc>
          <w:tcPr>
            <w:tcW w:w="3516" w:type="dxa"/>
            <w:vMerge w:val="continue"/>
            <w:tcBorders>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Arial"/>
                <w:sz w:val="24"/>
                <w:lang w:val="zh-CN"/>
              </w:rPr>
            </w:pPr>
            <w:r>
              <w:rPr>
                <w:rFonts w:ascii="宋体" w:hAnsi="宋体" w:cs="Arial"/>
                <w:bCs/>
                <w:sz w:val="24"/>
                <w:lang w:val="zh-CN"/>
              </w:rPr>
              <w:t>小写：</w:t>
            </w:r>
          </w:p>
        </w:tc>
        <w:tc>
          <w:tcPr>
            <w:tcW w:w="2016" w:type="dxa"/>
            <w:vMerge w:val="continue"/>
            <w:tcBorders>
              <w:top w:val="single" w:color="000000" w:sz="6" w:space="0"/>
              <w:left w:val="single" w:color="000000" w:sz="6" w:space="0"/>
              <w:bottom w:val="single" w:color="000000" w:sz="6" w:space="0"/>
              <w:right w:val="single" w:color="auto" w:sz="4" w:space="0"/>
            </w:tcBorders>
            <w:shd w:val="clear" w:color="000000" w:fill="FFFFFF"/>
            <w:vAlign w:val="center"/>
          </w:tcPr>
          <w:p>
            <w:pPr>
              <w:autoSpaceDE w:val="0"/>
              <w:autoSpaceDN w:val="0"/>
              <w:spacing w:line="360" w:lineRule="auto"/>
              <w:jc w:val="center"/>
              <w:rPr>
                <w:rFonts w:ascii="宋体" w:hAnsi="宋体" w:cs="Arial"/>
                <w:sz w:val="24"/>
                <w:lang w:val="zh-CN"/>
              </w:rPr>
            </w:pPr>
          </w:p>
        </w:tc>
        <w:tc>
          <w:tcPr>
            <w:tcW w:w="1607" w:type="dxa"/>
            <w:vMerge w:val="continue"/>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r>
    </w:tbl>
    <w:p>
      <w:pPr>
        <w:spacing w:line="360" w:lineRule="auto"/>
        <w:ind w:firstLine="465" w:firstLineChars="193"/>
        <w:rPr>
          <w:rFonts w:ascii="宋体" w:hAnsi="宋体" w:cs="Arial"/>
          <w:b/>
          <w:sz w:val="24"/>
          <w:lang w:val="zh-CN"/>
        </w:rPr>
      </w:pPr>
      <w:r>
        <w:rPr>
          <w:rFonts w:ascii="宋体" w:hAnsi="宋体" w:cs="Arial"/>
          <w:b/>
          <w:bCs/>
          <w:sz w:val="24"/>
          <w:lang w:val="zh-CN"/>
        </w:rPr>
        <w:t>注：</w:t>
      </w:r>
      <w:r>
        <w:rPr>
          <w:rFonts w:ascii="宋体" w:hAnsi="宋体" w:cs="Arial"/>
          <w:b/>
          <w:sz w:val="24"/>
          <w:lang w:val="zh-CN"/>
        </w:rPr>
        <w:t>1</w:t>
      </w:r>
      <w:r>
        <w:rPr>
          <w:rFonts w:hint="eastAsia" w:ascii="宋体" w:hAnsi="宋体" w:cs="Arial"/>
          <w:b/>
          <w:sz w:val="24"/>
          <w:lang w:val="zh-CN"/>
        </w:rPr>
        <w:t>、</w:t>
      </w:r>
      <w:r>
        <w:rPr>
          <w:rFonts w:ascii="宋体" w:hAnsi="宋体" w:cs="Arial"/>
          <w:b/>
          <w:sz w:val="24"/>
          <w:lang w:val="zh-CN"/>
        </w:rPr>
        <w:t>填写此表时不得改变表格形式（可按所投包增加行）。</w:t>
      </w:r>
    </w:p>
    <w:p>
      <w:pPr>
        <w:spacing w:line="360" w:lineRule="auto"/>
        <w:ind w:firstLine="465" w:firstLineChars="193"/>
        <w:rPr>
          <w:rFonts w:ascii="宋体" w:hAnsi="宋体" w:cs="Arial"/>
          <w:b/>
          <w:sz w:val="24"/>
          <w:lang w:val="zh-CN"/>
        </w:rPr>
      </w:pPr>
      <w:r>
        <w:rPr>
          <w:rFonts w:ascii="宋体" w:hAnsi="宋体" w:cs="Arial"/>
          <w:b/>
          <w:sz w:val="24"/>
          <w:lang w:val="zh-CN"/>
        </w:rPr>
        <w:t>2</w:t>
      </w:r>
      <w:r>
        <w:rPr>
          <w:rFonts w:hint="eastAsia" w:ascii="宋体" w:hAnsi="宋体" w:cs="Arial"/>
          <w:b/>
          <w:sz w:val="24"/>
          <w:lang w:val="zh-CN"/>
        </w:rPr>
        <w:t>、“</w:t>
      </w:r>
      <w:r>
        <w:rPr>
          <w:rFonts w:ascii="宋体" w:hAnsi="宋体" w:cs="Arial"/>
          <w:b/>
          <w:sz w:val="24"/>
          <w:lang w:val="zh-CN"/>
        </w:rPr>
        <w:t>磋商报价</w:t>
      </w:r>
      <w:r>
        <w:rPr>
          <w:rFonts w:hint="eastAsia" w:ascii="宋体" w:hAnsi="宋体" w:cs="Arial"/>
          <w:b/>
          <w:sz w:val="24"/>
          <w:lang w:val="zh-CN"/>
        </w:rPr>
        <w:t>”</w:t>
      </w:r>
      <w:r>
        <w:rPr>
          <w:rFonts w:ascii="宋体" w:hAnsi="宋体" w:cs="Arial"/>
          <w:b/>
          <w:sz w:val="24"/>
          <w:lang w:val="zh-CN"/>
        </w:rPr>
        <w:t>为磋商总价。</w:t>
      </w:r>
      <w:r>
        <w:rPr>
          <w:rFonts w:hint="eastAsia" w:ascii="宋体" w:hAnsi="宋体" w:cs="Arial"/>
          <w:b/>
          <w:sz w:val="24"/>
          <w:lang w:val="zh-CN"/>
        </w:rPr>
        <w:t>磋商报价必须包括：产品费、检验费、手续费、保险费、售后服务费、税金、招标代理费以及其他不可预见费等全部费用。</w:t>
      </w:r>
    </w:p>
    <w:p>
      <w:pPr>
        <w:spacing w:line="360" w:lineRule="auto"/>
        <w:ind w:firstLine="465" w:firstLineChars="193"/>
        <w:rPr>
          <w:rFonts w:ascii="宋体" w:hAnsi="宋体" w:cs="宋体"/>
          <w:b/>
          <w:bCs/>
          <w:kern w:val="0"/>
          <w:sz w:val="24"/>
          <w:lang w:val="zh-CN"/>
        </w:rPr>
      </w:pPr>
      <w:r>
        <w:rPr>
          <w:rFonts w:ascii="宋体" w:hAnsi="宋体" w:cs="Arial"/>
          <w:b/>
          <w:sz w:val="24"/>
          <w:lang w:val="zh-CN"/>
        </w:rPr>
        <w:t>3</w:t>
      </w:r>
      <w:r>
        <w:rPr>
          <w:rFonts w:hint="eastAsia" w:ascii="宋体" w:hAnsi="宋体" w:cs="Arial"/>
          <w:b/>
          <w:sz w:val="24"/>
          <w:lang w:val="zh-CN"/>
        </w:rPr>
        <w:t>、“</w:t>
      </w:r>
      <w:r>
        <w:rPr>
          <w:rFonts w:ascii="宋体" w:hAnsi="宋体" w:cs="Arial"/>
          <w:b/>
          <w:sz w:val="24"/>
          <w:lang w:val="zh-CN"/>
        </w:rPr>
        <w:t>交货</w:t>
      </w:r>
      <w:r>
        <w:rPr>
          <w:rFonts w:hint="eastAsia" w:ascii="宋体" w:hAnsi="宋体" w:cs="Arial"/>
          <w:b/>
          <w:sz w:val="24"/>
          <w:lang w:val="zh-CN"/>
        </w:rPr>
        <w:t>期”是指产品能够交付使用的具体时间。</w:t>
      </w:r>
    </w:p>
    <w:p>
      <w:pPr>
        <w:spacing w:line="360" w:lineRule="auto"/>
        <w:ind w:firstLine="465" w:firstLineChars="193"/>
        <w:rPr>
          <w:rFonts w:ascii="宋体" w:hAnsi="宋体" w:cs="Arial"/>
          <w:b/>
          <w:sz w:val="24"/>
          <w:lang w:val="zh-CN"/>
        </w:rPr>
      </w:pPr>
      <w:r>
        <w:rPr>
          <w:rFonts w:ascii="宋体" w:hAnsi="宋体" w:cs="Arial"/>
          <w:b/>
          <w:sz w:val="24"/>
          <w:lang w:val="zh-CN"/>
        </w:rPr>
        <w:t>4</w:t>
      </w:r>
      <w:r>
        <w:rPr>
          <w:rFonts w:hint="eastAsia" w:ascii="宋体" w:hAnsi="宋体" w:cs="Arial"/>
          <w:b/>
          <w:sz w:val="24"/>
          <w:lang w:val="zh-CN"/>
        </w:rPr>
        <w:t>、</w:t>
      </w:r>
      <w:r>
        <w:rPr>
          <w:rFonts w:ascii="宋体" w:hAnsi="宋体" w:cs="Arial"/>
          <w:b/>
          <w:sz w:val="24"/>
          <w:lang w:val="zh-CN"/>
        </w:rPr>
        <w:t>磋商报价不能有两个或两个以上的报价方案。</w:t>
      </w:r>
    </w:p>
    <w:p>
      <w:pPr>
        <w:spacing w:line="360" w:lineRule="auto"/>
        <w:ind w:firstLine="465" w:firstLineChars="193"/>
        <w:rPr>
          <w:rFonts w:ascii="宋体" w:hAnsi="宋体" w:cs="宋体"/>
          <w:b/>
          <w:bCs/>
          <w:kern w:val="0"/>
          <w:sz w:val="24"/>
          <w:lang w:val="zh-CN"/>
        </w:rPr>
      </w:pPr>
    </w:p>
    <w:p>
      <w:pPr>
        <w:spacing w:line="360" w:lineRule="auto"/>
        <w:rPr>
          <w:rFonts w:ascii="宋体" w:hAnsi="宋体" w:cs="宋体"/>
          <w:b/>
          <w:bCs/>
          <w:kern w:val="0"/>
          <w:sz w:val="24"/>
          <w:lang w:val="zh-CN"/>
        </w:rPr>
      </w:pPr>
    </w:p>
    <w:p>
      <w:pPr>
        <w:spacing w:line="360" w:lineRule="auto"/>
        <w:ind w:firstLine="465" w:firstLineChars="193"/>
        <w:rPr>
          <w:rFonts w:ascii="宋体" w:hAnsi="宋体" w:cs="宋体"/>
          <w:b/>
          <w:bCs/>
          <w:kern w:val="0"/>
          <w:sz w:val="24"/>
          <w:lang w:val="zh-CN"/>
        </w:rPr>
      </w:pPr>
    </w:p>
    <w:p>
      <w:pPr>
        <w:spacing w:line="360" w:lineRule="auto"/>
        <w:ind w:firstLine="465" w:firstLineChars="193"/>
        <w:rPr>
          <w:rFonts w:ascii="宋体" w:hAnsi="宋体" w:cs="宋体"/>
          <w:b/>
          <w:bCs/>
          <w:kern w:val="0"/>
          <w:sz w:val="24"/>
          <w:lang w:val="zh-CN"/>
        </w:rPr>
      </w:pPr>
    </w:p>
    <w:p>
      <w:pPr>
        <w:spacing w:line="360" w:lineRule="auto"/>
        <w:ind w:firstLine="465" w:firstLineChars="193"/>
        <w:rPr>
          <w:rFonts w:ascii="宋体" w:hAnsi="宋体" w:cs="宋体"/>
          <w:b/>
          <w:bCs/>
          <w:kern w:val="0"/>
          <w:sz w:val="24"/>
          <w:lang w:val="zh-CN"/>
        </w:rPr>
      </w:pP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磋商供应商：        </w:t>
      </w:r>
      <w:r>
        <w:rPr>
          <w:rFonts w:hint="eastAsia" w:ascii="宋体" w:hAnsi="宋体"/>
          <w:bCs/>
          <w:sz w:val="24"/>
          <w:lang w:val="en-US" w:eastAsia="zh-CN"/>
        </w:rPr>
        <w:t xml:space="preserve">   </w:t>
      </w:r>
      <w:r>
        <w:rPr>
          <w:rFonts w:hint="eastAsia" w:ascii="宋体" w:hAnsi="宋体"/>
          <w:bCs/>
          <w:sz w:val="24"/>
        </w:rPr>
        <w:t xml:space="preserve">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pStyle w:val="9"/>
        <w:numPr>
          <w:ilvl w:val="0"/>
          <w:numId w:val="0"/>
        </w:numPr>
        <w:ind w:left="709" w:hanging="709"/>
        <w:rPr>
          <w:rFonts w:hAnsi="宋体"/>
          <w:sz w:val="24"/>
          <w:szCs w:val="24"/>
          <w:lang w:val="zh-CN"/>
        </w:rPr>
      </w:pPr>
      <w:r>
        <w:rPr>
          <w:rFonts w:hAnsi="宋体"/>
          <w:bCs/>
          <w:sz w:val="24"/>
          <w:szCs w:val="24"/>
        </w:rPr>
        <w:br w:type="page"/>
      </w:r>
      <w:bookmarkStart w:id="130" w:name="_Toc19712"/>
      <w:r>
        <w:rPr>
          <w:rFonts w:hint="eastAsia" w:hAnsi="宋体"/>
          <w:b/>
          <w:sz w:val="24"/>
          <w:szCs w:val="24"/>
          <w:lang w:val="zh-CN"/>
        </w:rPr>
        <w:t>格式12、分项报价表</w:t>
      </w:r>
      <w:bookmarkEnd w:id="130"/>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分项报价表</w:t>
      </w:r>
    </w:p>
    <w:p>
      <w:pPr>
        <w:spacing w:line="360" w:lineRule="auto"/>
        <w:rPr>
          <w:rFonts w:ascii="宋体" w:hAnsi="宋体" w:cs="宋体"/>
          <w:b/>
          <w:bCs/>
          <w:kern w:val="0"/>
          <w:sz w:val="24"/>
          <w:lang w:val="zh-CN"/>
        </w:rPr>
      </w:pPr>
      <w:r>
        <w:rPr>
          <w:rFonts w:hint="eastAsia" w:ascii="宋体" w:hAnsi="宋体" w:cs="宋体"/>
          <w:b/>
          <w:bCs/>
          <w:kern w:val="0"/>
          <w:sz w:val="24"/>
          <w:lang w:val="zh-CN"/>
        </w:rPr>
        <w:t xml:space="preserve">采购项目名称:  </w:t>
      </w:r>
    </w:p>
    <w:p>
      <w:pPr>
        <w:spacing w:line="360" w:lineRule="auto"/>
        <w:rPr>
          <w:rFonts w:ascii="宋体" w:hAnsi="宋体" w:cs="宋体"/>
          <w:b/>
          <w:bCs/>
          <w:kern w:val="0"/>
          <w:sz w:val="24"/>
          <w:lang w:val="zh-CN"/>
        </w:rPr>
      </w:pPr>
      <w:r>
        <w:rPr>
          <w:rFonts w:hint="eastAsia" w:ascii="宋体" w:hAnsi="宋体" w:cs="宋体"/>
          <w:b/>
          <w:bCs/>
          <w:kern w:val="0"/>
          <w:sz w:val="24"/>
          <w:lang w:val="zh-CN"/>
        </w:rPr>
        <w:t>采购项目编号：</w:t>
      </w:r>
    </w:p>
    <w:p>
      <w:pPr>
        <w:spacing w:line="360" w:lineRule="auto"/>
        <w:jc w:val="right"/>
        <w:rPr>
          <w:rFonts w:ascii="宋体" w:hAnsi="宋体"/>
          <w:sz w:val="24"/>
          <w:lang w:val="zh-CN"/>
        </w:rPr>
      </w:pPr>
      <w:r>
        <w:rPr>
          <w:rFonts w:ascii="宋体" w:hAnsi="宋体" w:cs="宋体"/>
          <w:bCs/>
          <w:kern w:val="0"/>
          <w:sz w:val="24"/>
          <w:lang w:val="zh-CN"/>
        </w:rPr>
        <w:t>单位</w:t>
      </w:r>
      <w:r>
        <w:rPr>
          <w:rFonts w:hint="eastAsia" w:ascii="宋体" w:hAnsi="宋体" w:cs="宋体"/>
          <w:bCs/>
          <w:kern w:val="0"/>
          <w:sz w:val="24"/>
          <w:lang w:val="zh-CN"/>
        </w:rPr>
        <w:t>：</w:t>
      </w:r>
      <w:r>
        <w:rPr>
          <w:rFonts w:ascii="宋体" w:hAnsi="宋体" w:cs="宋体"/>
          <w:bCs/>
          <w:kern w:val="0"/>
          <w:sz w:val="24"/>
          <w:lang w:val="zh-CN"/>
        </w:rPr>
        <w:t>人民币</w:t>
      </w:r>
      <w:r>
        <w:rPr>
          <w:rFonts w:hint="eastAsia" w:ascii="宋体" w:hAnsi="宋体" w:cs="宋体"/>
          <w:bCs/>
          <w:kern w:val="0"/>
          <w:sz w:val="24"/>
          <w:lang w:val="zh-CN"/>
        </w:rPr>
        <w:t>（</w:t>
      </w:r>
      <w:r>
        <w:rPr>
          <w:rFonts w:ascii="宋体" w:hAnsi="宋体" w:cs="宋体"/>
          <w:bCs/>
          <w:kern w:val="0"/>
          <w:sz w:val="24"/>
          <w:lang w:val="zh-CN"/>
        </w:rPr>
        <w:t>元</w:t>
      </w:r>
      <w:r>
        <w:rPr>
          <w:rFonts w:hint="eastAsia" w:ascii="宋体" w:hAnsi="宋体" w:cs="宋体"/>
          <w:bCs/>
          <w:kern w:val="0"/>
          <w:sz w:val="24"/>
          <w:lang w:val="zh-CN"/>
        </w:rPr>
        <w:t>）</w:t>
      </w:r>
    </w:p>
    <w:tbl>
      <w:tblPr>
        <w:tblStyle w:val="35"/>
        <w:tblW w:w="9808" w:type="dxa"/>
        <w:jc w:val="center"/>
        <w:tblLayout w:type="fixed"/>
        <w:tblCellMar>
          <w:top w:w="0" w:type="dxa"/>
          <w:left w:w="28" w:type="dxa"/>
          <w:bottom w:w="0" w:type="dxa"/>
          <w:right w:w="28" w:type="dxa"/>
        </w:tblCellMar>
      </w:tblPr>
      <w:tblGrid>
        <w:gridCol w:w="713"/>
        <w:gridCol w:w="1666"/>
        <w:gridCol w:w="1030"/>
        <w:gridCol w:w="1157"/>
        <w:gridCol w:w="1338"/>
        <w:gridCol w:w="1208"/>
        <w:gridCol w:w="804"/>
        <w:gridCol w:w="947"/>
        <w:gridCol w:w="945"/>
      </w:tblGrid>
      <w:tr>
        <w:tblPrEx>
          <w:tblCellMar>
            <w:top w:w="0" w:type="dxa"/>
            <w:left w:w="28" w:type="dxa"/>
            <w:bottom w:w="0" w:type="dxa"/>
            <w:right w:w="28" w:type="dxa"/>
          </w:tblCellMar>
        </w:tblPrEx>
        <w:trPr>
          <w:trHeight w:val="529" w:hRule="atLeast"/>
          <w:jc w:val="center"/>
        </w:trPr>
        <w:tc>
          <w:tcPr>
            <w:tcW w:w="713" w:type="dxa"/>
            <w:tcBorders>
              <w:top w:val="single" w:color="000000" w:sz="8"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序号</w:t>
            </w:r>
          </w:p>
        </w:tc>
        <w:tc>
          <w:tcPr>
            <w:tcW w:w="1666"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产品名称</w:t>
            </w:r>
          </w:p>
        </w:tc>
        <w:tc>
          <w:tcPr>
            <w:tcW w:w="1030"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品牌</w:t>
            </w:r>
          </w:p>
        </w:tc>
        <w:tc>
          <w:tcPr>
            <w:tcW w:w="1157"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规格</w:t>
            </w:r>
          </w:p>
          <w:p>
            <w:pPr>
              <w:spacing w:line="360" w:lineRule="auto"/>
              <w:jc w:val="center"/>
              <w:rPr>
                <w:rFonts w:ascii="宋体" w:hAnsi="宋体"/>
                <w:sz w:val="24"/>
                <w:lang w:val="zh-CN"/>
              </w:rPr>
            </w:pPr>
            <w:r>
              <w:rPr>
                <w:rFonts w:hint="eastAsia" w:ascii="宋体" w:hAnsi="宋体"/>
                <w:sz w:val="24"/>
                <w:lang w:val="zh-CN"/>
              </w:rPr>
              <w:t>型号</w:t>
            </w:r>
          </w:p>
        </w:tc>
        <w:tc>
          <w:tcPr>
            <w:tcW w:w="1338"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生产厂家</w:t>
            </w:r>
          </w:p>
        </w:tc>
        <w:tc>
          <w:tcPr>
            <w:tcW w:w="1208"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hint="default" w:ascii="宋体" w:hAnsi="宋体" w:eastAsia="宋体"/>
                <w:sz w:val="24"/>
                <w:lang w:val="en-US" w:eastAsia="zh-CN"/>
              </w:rPr>
            </w:pPr>
            <w:r>
              <w:rPr>
                <w:rFonts w:hint="eastAsia" w:ascii="宋体" w:hAnsi="宋体"/>
                <w:sz w:val="24"/>
                <w:lang w:val="zh-CN"/>
              </w:rPr>
              <w:t>数量</w:t>
            </w:r>
            <w:r>
              <w:rPr>
                <w:rFonts w:hint="eastAsia" w:ascii="宋体" w:hAnsi="宋体"/>
                <w:sz w:val="24"/>
                <w:lang w:val="en-US" w:eastAsia="zh-CN"/>
              </w:rPr>
              <w:t>及单位</w:t>
            </w:r>
          </w:p>
        </w:tc>
        <w:tc>
          <w:tcPr>
            <w:tcW w:w="804"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单价</w:t>
            </w:r>
          </w:p>
        </w:tc>
        <w:tc>
          <w:tcPr>
            <w:tcW w:w="947"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合计</w:t>
            </w:r>
          </w:p>
        </w:tc>
        <w:tc>
          <w:tcPr>
            <w:tcW w:w="945" w:type="dxa"/>
            <w:tcBorders>
              <w:top w:val="single" w:color="000000" w:sz="8"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备注</w:t>
            </w: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1</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2</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3</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4</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1067" w:hRule="atLeast"/>
          <w:jc w:val="center"/>
        </w:trPr>
        <w:tc>
          <w:tcPr>
            <w:tcW w:w="9808" w:type="dxa"/>
            <w:gridSpan w:val="9"/>
            <w:tcBorders>
              <w:top w:val="single" w:color="000000" w:sz="6" w:space="0"/>
              <w:left w:val="single" w:color="000000" w:sz="8" w:space="0"/>
              <w:bottom w:val="single" w:color="000000" w:sz="6" w:space="0"/>
              <w:right w:val="single" w:color="000000" w:sz="8" w:space="0"/>
            </w:tcBorders>
            <w:shd w:val="clear" w:color="000000" w:fill="FFFFFF"/>
            <w:vAlign w:val="center"/>
          </w:tcPr>
          <w:p>
            <w:pPr>
              <w:spacing w:line="360" w:lineRule="auto"/>
              <w:rPr>
                <w:rFonts w:ascii="宋体" w:hAnsi="宋体"/>
                <w:sz w:val="24"/>
                <w:lang w:val="zh-CN"/>
              </w:rPr>
            </w:pPr>
            <w:r>
              <w:rPr>
                <w:rFonts w:hint="eastAsia" w:ascii="宋体" w:hAnsi="宋体"/>
                <w:sz w:val="24"/>
                <w:lang w:val="zh-CN"/>
              </w:rPr>
              <w:t>优惠承诺及其他：</w:t>
            </w:r>
          </w:p>
          <w:p>
            <w:pPr>
              <w:spacing w:line="360" w:lineRule="auto"/>
              <w:rPr>
                <w:rFonts w:ascii="宋体" w:hAnsi="宋体"/>
                <w:sz w:val="24"/>
                <w:lang w:val="zh-CN"/>
              </w:rPr>
            </w:pPr>
          </w:p>
        </w:tc>
      </w:tr>
      <w:tr>
        <w:tblPrEx>
          <w:tblCellMar>
            <w:top w:w="0" w:type="dxa"/>
            <w:left w:w="28" w:type="dxa"/>
            <w:bottom w:w="0" w:type="dxa"/>
            <w:right w:w="28" w:type="dxa"/>
          </w:tblCellMar>
        </w:tblPrEx>
        <w:trPr>
          <w:trHeight w:val="1038" w:hRule="atLeast"/>
          <w:jc w:val="center"/>
        </w:trPr>
        <w:tc>
          <w:tcPr>
            <w:tcW w:w="2379" w:type="dxa"/>
            <w:gridSpan w:val="2"/>
            <w:tcBorders>
              <w:top w:val="single" w:color="000000" w:sz="6" w:space="0"/>
              <w:left w:val="single" w:color="000000" w:sz="8" w:space="0"/>
              <w:bottom w:val="single" w:color="000000" w:sz="8" w:space="0"/>
              <w:right w:val="single" w:color="000000" w:sz="6" w:space="0"/>
            </w:tcBorders>
            <w:shd w:val="clear" w:color="000000" w:fill="FFFFFF"/>
            <w:vAlign w:val="center"/>
          </w:tcPr>
          <w:p>
            <w:pPr>
              <w:spacing w:line="360" w:lineRule="auto"/>
              <w:rPr>
                <w:rFonts w:ascii="宋体" w:hAnsi="宋体"/>
                <w:sz w:val="24"/>
                <w:lang w:val="zh-CN"/>
              </w:rPr>
            </w:pPr>
            <w:r>
              <w:rPr>
                <w:rFonts w:hint="eastAsia" w:ascii="宋体" w:hAnsi="宋体"/>
                <w:sz w:val="24"/>
                <w:lang w:val="zh-CN"/>
              </w:rPr>
              <w:t>投标总价</w:t>
            </w:r>
          </w:p>
        </w:tc>
        <w:tc>
          <w:tcPr>
            <w:tcW w:w="7429" w:type="dxa"/>
            <w:gridSpan w:val="7"/>
            <w:tcBorders>
              <w:top w:val="single" w:color="000000" w:sz="6" w:space="0"/>
              <w:left w:val="single" w:color="000000" w:sz="6" w:space="0"/>
              <w:bottom w:val="single" w:color="000000" w:sz="8" w:space="0"/>
              <w:right w:val="single" w:color="000000" w:sz="8" w:space="0"/>
            </w:tcBorders>
            <w:shd w:val="clear" w:color="000000" w:fill="FFFFFF"/>
            <w:vAlign w:val="center"/>
          </w:tcPr>
          <w:p>
            <w:pPr>
              <w:spacing w:line="360" w:lineRule="auto"/>
              <w:rPr>
                <w:rFonts w:ascii="宋体" w:hAnsi="宋体"/>
                <w:sz w:val="24"/>
                <w:lang w:val="zh-CN"/>
              </w:rPr>
            </w:pPr>
            <w:r>
              <w:rPr>
                <w:rFonts w:hint="eastAsia" w:ascii="宋体" w:hAnsi="宋体"/>
                <w:sz w:val="24"/>
                <w:lang w:val="zh-CN"/>
              </w:rPr>
              <w:t>小写：</w:t>
            </w:r>
          </w:p>
          <w:p>
            <w:pPr>
              <w:spacing w:line="360" w:lineRule="auto"/>
              <w:rPr>
                <w:rFonts w:ascii="宋体" w:hAnsi="宋体"/>
                <w:sz w:val="24"/>
                <w:lang w:val="zh-CN"/>
              </w:rPr>
            </w:pPr>
          </w:p>
          <w:p>
            <w:pPr>
              <w:spacing w:line="360" w:lineRule="auto"/>
              <w:rPr>
                <w:rFonts w:ascii="宋体" w:hAnsi="宋体"/>
                <w:sz w:val="24"/>
                <w:lang w:val="zh-CN"/>
              </w:rPr>
            </w:pPr>
            <w:r>
              <w:rPr>
                <w:rFonts w:hint="eastAsia" w:ascii="宋体" w:hAnsi="宋体"/>
                <w:sz w:val="24"/>
                <w:lang w:val="zh-CN"/>
              </w:rPr>
              <w:t>大写：</w:t>
            </w:r>
          </w:p>
        </w:tc>
      </w:tr>
    </w:tbl>
    <w:p>
      <w:pPr>
        <w:autoSpaceDE w:val="0"/>
        <w:autoSpaceDN w:val="0"/>
        <w:spacing w:line="360" w:lineRule="auto"/>
        <w:rPr>
          <w:rFonts w:ascii="宋体" w:hAnsi="宋体" w:cs="Arial"/>
          <w:b/>
          <w:bCs/>
          <w:sz w:val="24"/>
          <w:lang w:val="zh-CN"/>
        </w:rPr>
      </w:pPr>
      <w:r>
        <w:rPr>
          <w:rFonts w:ascii="宋体" w:hAnsi="宋体" w:cs="Arial"/>
          <w:b/>
          <w:bCs/>
          <w:sz w:val="24"/>
          <w:lang w:val="zh-CN"/>
        </w:rPr>
        <w:t>注：1、本表应依照</w:t>
      </w:r>
      <w:r>
        <w:rPr>
          <w:rFonts w:hint="eastAsia" w:ascii="宋体" w:hAnsi="宋体" w:cs="Arial"/>
          <w:b/>
          <w:bCs/>
          <w:sz w:val="24"/>
          <w:lang w:val="zh-CN"/>
        </w:rPr>
        <w:t>采购项目参数及要求</w:t>
      </w:r>
      <w:r>
        <w:rPr>
          <w:rFonts w:ascii="宋体" w:hAnsi="宋体" w:cs="Arial"/>
          <w:b/>
          <w:bCs/>
          <w:sz w:val="24"/>
          <w:lang w:val="zh-CN"/>
        </w:rPr>
        <w:t>中的产品序号按顺序逐项填写，不得遗漏。</w:t>
      </w:r>
    </w:p>
    <w:p>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2</w:t>
      </w:r>
      <w:r>
        <w:rPr>
          <w:rFonts w:hint="eastAsia" w:ascii="宋体" w:hAnsi="宋体" w:cs="Arial"/>
          <w:b/>
          <w:bCs/>
          <w:sz w:val="24"/>
          <w:lang w:val="zh-CN"/>
        </w:rPr>
        <w:t>、“分项报价</w:t>
      </w:r>
      <w:r>
        <w:rPr>
          <w:rFonts w:ascii="宋体" w:hAnsi="宋体" w:cs="Arial"/>
          <w:b/>
          <w:bCs/>
          <w:sz w:val="24"/>
          <w:lang w:val="zh-CN"/>
        </w:rPr>
        <w:t>表</w:t>
      </w:r>
      <w:r>
        <w:rPr>
          <w:rFonts w:hint="eastAsia" w:ascii="宋体" w:hAnsi="宋体" w:cs="Arial"/>
          <w:b/>
          <w:bCs/>
          <w:sz w:val="24"/>
          <w:lang w:val="zh-CN"/>
        </w:rPr>
        <w:t>”</w:t>
      </w:r>
      <w:r>
        <w:rPr>
          <w:rFonts w:ascii="宋体" w:hAnsi="宋体" w:cs="Arial"/>
          <w:b/>
          <w:bCs/>
          <w:sz w:val="24"/>
          <w:lang w:val="zh-CN"/>
        </w:rPr>
        <w:t>须为打印版，手写无效。</w:t>
      </w:r>
    </w:p>
    <w:p>
      <w:pPr>
        <w:spacing w:line="360" w:lineRule="auto"/>
        <w:rPr>
          <w:rFonts w:ascii="宋体" w:hAnsi="宋体"/>
          <w:sz w:val="24"/>
          <w:lang w:val="zh-CN"/>
        </w:rPr>
      </w:pPr>
    </w:p>
    <w:p>
      <w:pPr>
        <w:spacing w:line="360" w:lineRule="auto"/>
        <w:rPr>
          <w:rFonts w:ascii="宋体" w:hAnsi="宋体"/>
          <w:sz w:val="24"/>
          <w:lang w:val="zh-CN"/>
        </w:rPr>
      </w:pPr>
    </w:p>
    <w:p>
      <w:pPr>
        <w:spacing w:line="360" w:lineRule="auto"/>
        <w:rPr>
          <w:rFonts w:ascii="宋体" w:hAnsi="宋体"/>
          <w:sz w:val="24"/>
          <w:lang w:val="zh-CN"/>
        </w:rPr>
      </w:pPr>
    </w:p>
    <w:p>
      <w:pPr>
        <w:spacing w:line="360" w:lineRule="auto"/>
        <w:rPr>
          <w:rFonts w:ascii="宋体" w:hAnsi="宋体"/>
          <w:sz w:val="24"/>
          <w:lang w:val="zh-CN"/>
        </w:rPr>
      </w:pP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lang w:eastAsia="zh-CN"/>
        </w:rPr>
        <w:t>磋商供应商</w:t>
      </w:r>
      <w:r>
        <w:rPr>
          <w:rFonts w:hint="eastAsia" w:ascii="宋体" w:hAnsi="宋体"/>
          <w:bCs/>
          <w:sz w:val="24"/>
        </w:rPr>
        <w:t>：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法定代表人或委托代理人：  </w:t>
      </w:r>
      <w:r>
        <w:rPr>
          <w:rFonts w:hint="eastAsia" w:ascii="宋体" w:hAnsi="宋体"/>
          <w:bCs/>
          <w:sz w:val="24"/>
          <w:lang w:val="en-US" w:eastAsia="zh-CN"/>
        </w:rPr>
        <w:t xml:space="preserve">      </w:t>
      </w:r>
      <w:r>
        <w:rPr>
          <w:rFonts w:hint="eastAsia" w:ascii="宋体" w:hAnsi="宋体"/>
          <w:bCs/>
          <w:sz w:val="24"/>
        </w:rPr>
        <w:t xml:space="preserve">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pStyle w:val="9"/>
        <w:numPr>
          <w:ilvl w:val="0"/>
          <w:numId w:val="0"/>
        </w:numPr>
        <w:ind w:left="709" w:hanging="709"/>
        <w:rPr>
          <w:rFonts w:hAnsi="宋体" w:cs="宋体"/>
          <w:sz w:val="24"/>
          <w:szCs w:val="24"/>
        </w:rPr>
      </w:pPr>
      <w:r>
        <w:rPr>
          <w:rFonts w:hAnsi="宋体"/>
          <w:bCs/>
          <w:sz w:val="24"/>
          <w:szCs w:val="24"/>
        </w:rPr>
        <w:br w:type="page"/>
      </w:r>
      <w:bookmarkStart w:id="131" w:name="_Toc21960"/>
      <w:r>
        <w:rPr>
          <w:rFonts w:hint="eastAsia" w:hAnsi="宋体"/>
          <w:b/>
          <w:sz w:val="24"/>
          <w:szCs w:val="24"/>
          <w:lang w:val="zh-CN"/>
        </w:rPr>
        <w:t>格式13、技术规格响应表</w:t>
      </w:r>
      <w:bookmarkEnd w:id="131"/>
    </w:p>
    <w:p>
      <w:pPr>
        <w:autoSpaceDE w:val="0"/>
        <w:autoSpaceDN w:val="0"/>
        <w:adjustRightInd w:val="0"/>
        <w:spacing w:line="360" w:lineRule="auto"/>
        <w:jc w:val="center"/>
        <w:rPr>
          <w:rFonts w:ascii="宋体" w:hAnsi="宋体" w:cs="宋体"/>
          <w:b/>
          <w:bCs/>
          <w:kern w:val="0"/>
          <w:sz w:val="24"/>
          <w:lang w:val="zh-CN"/>
        </w:rPr>
      </w:pPr>
      <w:bookmarkStart w:id="132" w:name="_Toc20510"/>
      <w:bookmarkStart w:id="133" w:name="_Toc444715742"/>
      <w:bookmarkStart w:id="134" w:name="_Toc25742"/>
      <w:r>
        <w:rPr>
          <w:rFonts w:hint="eastAsia" w:ascii="宋体" w:hAnsi="宋体" w:cs="宋体"/>
          <w:b/>
          <w:bCs/>
          <w:kern w:val="0"/>
          <w:sz w:val="24"/>
          <w:lang w:val="zh-CN"/>
        </w:rPr>
        <w:t>技术规格响应表</w:t>
      </w:r>
    </w:p>
    <w:p>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采购项目名称:</w:t>
      </w:r>
    </w:p>
    <w:p>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采购项目编号：</w:t>
      </w:r>
    </w:p>
    <w:tbl>
      <w:tblPr>
        <w:tblStyle w:val="35"/>
        <w:tblW w:w="105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766"/>
        <w:gridCol w:w="1833"/>
        <w:gridCol w:w="888"/>
        <w:gridCol w:w="713"/>
        <w:gridCol w:w="812"/>
        <w:gridCol w:w="1738"/>
        <w:gridCol w:w="1625"/>
        <w:gridCol w:w="712"/>
        <w:gridCol w:w="7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jc w:val="center"/>
        </w:trPr>
        <w:tc>
          <w:tcPr>
            <w:tcW w:w="752" w:type="dxa"/>
            <w:vMerge w:val="restart"/>
            <w:vAlign w:val="center"/>
          </w:tcPr>
          <w:p>
            <w:pPr>
              <w:spacing w:line="360" w:lineRule="auto"/>
              <w:jc w:val="center"/>
              <w:rPr>
                <w:rFonts w:ascii="宋体" w:hAnsi="宋体"/>
                <w:sz w:val="24"/>
              </w:rPr>
            </w:pPr>
            <w:r>
              <w:rPr>
                <w:rFonts w:hint="eastAsia" w:ascii="宋体" w:hAnsi="宋体"/>
                <w:sz w:val="24"/>
              </w:rPr>
              <w:t>序号</w:t>
            </w:r>
          </w:p>
        </w:tc>
        <w:tc>
          <w:tcPr>
            <w:tcW w:w="3487" w:type="dxa"/>
            <w:gridSpan w:val="3"/>
            <w:vAlign w:val="center"/>
          </w:tcPr>
          <w:p>
            <w:pPr>
              <w:spacing w:line="360" w:lineRule="auto"/>
              <w:jc w:val="center"/>
              <w:rPr>
                <w:rFonts w:ascii="宋体" w:hAnsi="宋体"/>
                <w:sz w:val="24"/>
              </w:rPr>
            </w:pPr>
            <w:r>
              <w:rPr>
                <w:rFonts w:hint="eastAsia" w:ascii="宋体" w:hAnsi="宋体" w:cs="仿宋_GB2312"/>
                <w:sz w:val="24"/>
              </w:rPr>
              <w:t>采购需求技术参数、指标</w:t>
            </w:r>
          </w:p>
        </w:tc>
        <w:tc>
          <w:tcPr>
            <w:tcW w:w="5600" w:type="dxa"/>
            <w:gridSpan w:val="5"/>
            <w:vAlign w:val="center"/>
          </w:tcPr>
          <w:p>
            <w:pPr>
              <w:spacing w:line="360" w:lineRule="auto"/>
              <w:jc w:val="center"/>
              <w:rPr>
                <w:rFonts w:ascii="宋体" w:hAnsi="宋体"/>
                <w:sz w:val="24"/>
              </w:rPr>
            </w:pPr>
            <w:r>
              <w:rPr>
                <w:rFonts w:hint="eastAsia" w:ascii="宋体" w:hAnsi="宋体"/>
                <w:sz w:val="24"/>
              </w:rPr>
              <w:t>投标产品技术参数、指标</w:t>
            </w:r>
          </w:p>
        </w:tc>
        <w:tc>
          <w:tcPr>
            <w:tcW w:w="739" w:type="dxa"/>
            <w:vMerge w:val="restart"/>
            <w:vAlign w:val="center"/>
          </w:tcPr>
          <w:p>
            <w:pPr>
              <w:spacing w:line="360" w:lineRule="auto"/>
              <w:rPr>
                <w:rFonts w:ascii="宋体" w:hAnsi="宋体"/>
                <w:sz w:val="24"/>
              </w:rPr>
            </w:pPr>
            <w:r>
              <w:rPr>
                <w:rFonts w:hint="eastAsia" w:ascii="宋体" w:hAnsi="宋体"/>
                <w:sz w:val="24"/>
              </w:rPr>
              <w:t>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752" w:type="dxa"/>
            <w:vMerge w:val="continue"/>
            <w:vAlign w:val="center"/>
          </w:tcPr>
          <w:p>
            <w:pPr>
              <w:spacing w:line="360" w:lineRule="auto"/>
              <w:jc w:val="center"/>
              <w:rPr>
                <w:rFonts w:ascii="宋体" w:hAnsi="宋体"/>
                <w:sz w:val="24"/>
              </w:rPr>
            </w:pPr>
          </w:p>
        </w:tc>
        <w:tc>
          <w:tcPr>
            <w:tcW w:w="766" w:type="dxa"/>
            <w:vAlign w:val="center"/>
          </w:tcPr>
          <w:p>
            <w:pPr>
              <w:spacing w:line="360" w:lineRule="auto"/>
              <w:jc w:val="center"/>
              <w:rPr>
                <w:rFonts w:ascii="宋体" w:hAnsi="宋体" w:cs="仿宋_GB2312"/>
                <w:sz w:val="24"/>
              </w:rPr>
            </w:pPr>
            <w:r>
              <w:rPr>
                <w:rFonts w:hint="eastAsia" w:ascii="宋体" w:hAnsi="宋体" w:cs="仿宋_GB2312"/>
                <w:sz w:val="24"/>
              </w:rPr>
              <w:t>名称</w:t>
            </w:r>
          </w:p>
        </w:tc>
        <w:tc>
          <w:tcPr>
            <w:tcW w:w="1833" w:type="dxa"/>
            <w:vAlign w:val="center"/>
          </w:tcPr>
          <w:p>
            <w:pPr>
              <w:spacing w:line="360" w:lineRule="auto"/>
              <w:jc w:val="center"/>
              <w:rPr>
                <w:rFonts w:ascii="宋体" w:hAnsi="宋体" w:cs="仿宋_GB2312"/>
                <w:sz w:val="24"/>
              </w:rPr>
            </w:pPr>
            <w:r>
              <w:rPr>
                <w:rFonts w:hint="eastAsia" w:ascii="宋体" w:hAnsi="宋体" w:cs="仿宋_GB2312"/>
                <w:sz w:val="24"/>
              </w:rPr>
              <w:t>技术参数及配置</w:t>
            </w:r>
          </w:p>
        </w:tc>
        <w:tc>
          <w:tcPr>
            <w:tcW w:w="888" w:type="dxa"/>
            <w:vAlign w:val="center"/>
          </w:tcPr>
          <w:p>
            <w:pPr>
              <w:spacing w:line="360" w:lineRule="auto"/>
              <w:jc w:val="center"/>
              <w:rPr>
                <w:rFonts w:hint="default" w:ascii="宋体" w:hAnsi="宋体" w:eastAsia="宋体" w:cs="仿宋_GB2312"/>
                <w:sz w:val="24"/>
                <w:lang w:val="en-US" w:eastAsia="zh-CN"/>
              </w:rPr>
            </w:pPr>
            <w:bookmarkStart w:id="135" w:name="OLE_LINK5"/>
            <w:r>
              <w:rPr>
                <w:rFonts w:hint="eastAsia" w:ascii="宋体" w:hAnsi="宋体" w:cs="仿宋_GB2312"/>
                <w:sz w:val="24"/>
              </w:rPr>
              <w:t>数量</w:t>
            </w:r>
            <w:r>
              <w:rPr>
                <w:rFonts w:hint="eastAsia" w:ascii="宋体" w:hAnsi="宋体" w:cs="仿宋_GB2312"/>
                <w:sz w:val="24"/>
                <w:lang w:val="en-US" w:eastAsia="zh-CN"/>
              </w:rPr>
              <w:t>及单位</w:t>
            </w:r>
            <w:bookmarkEnd w:id="135"/>
          </w:p>
        </w:tc>
        <w:tc>
          <w:tcPr>
            <w:tcW w:w="713" w:type="dxa"/>
            <w:vAlign w:val="center"/>
          </w:tcPr>
          <w:p>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名称</w:t>
            </w:r>
          </w:p>
        </w:tc>
        <w:tc>
          <w:tcPr>
            <w:tcW w:w="812" w:type="dxa"/>
            <w:vAlign w:val="center"/>
          </w:tcPr>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品牌</w:t>
            </w:r>
          </w:p>
        </w:tc>
        <w:tc>
          <w:tcPr>
            <w:tcW w:w="1738" w:type="dxa"/>
            <w:vAlign w:val="center"/>
          </w:tcPr>
          <w:p>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规格型号、产地</w:t>
            </w:r>
          </w:p>
        </w:tc>
        <w:tc>
          <w:tcPr>
            <w:tcW w:w="1625" w:type="dxa"/>
            <w:vAlign w:val="center"/>
          </w:tcPr>
          <w:p>
            <w:pPr>
              <w:spacing w:line="360" w:lineRule="auto"/>
              <w:jc w:val="center"/>
              <w:rPr>
                <w:rFonts w:ascii="宋体" w:hAnsi="宋体"/>
                <w:sz w:val="24"/>
              </w:rPr>
            </w:pPr>
            <w:r>
              <w:rPr>
                <w:rFonts w:hint="eastAsia" w:ascii="宋体" w:hAnsi="宋体"/>
                <w:sz w:val="24"/>
              </w:rPr>
              <w:t>技术参数及配置</w:t>
            </w:r>
          </w:p>
        </w:tc>
        <w:tc>
          <w:tcPr>
            <w:tcW w:w="712" w:type="dxa"/>
            <w:vAlign w:val="center"/>
          </w:tcPr>
          <w:p>
            <w:pPr>
              <w:spacing w:line="360" w:lineRule="auto"/>
              <w:jc w:val="center"/>
              <w:rPr>
                <w:rFonts w:ascii="宋体" w:hAnsi="宋体"/>
                <w:sz w:val="24"/>
              </w:rPr>
            </w:pPr>
            <w:r>
              <w:rPr>
                <w:rFonts w:hint="eastAsia" w:ascii="宋体" w:hAnsi="宋体" w:cs="仿宋_GB2312"/>
                <w:sz w:val="24"/>
              </w:rPr>
              <w:t>数量</w:t>
            </w:r>
            <w:r>
              <w:rPr>
                <w:rFonts w:hint="eastAsia" w:ascii="宋体" w:hAnsi="宋体" w:cs="仿宋_GB2312"/>
                <w:sz w:val="24"/>
                <w:lang w:val="en-US" w:eastAsia="zh-CN"/>
              </w:rPr>
              <w:t>及单位</w:t>
            </w:r>
          </w:p>
        </w:tc>
        <w:tc>
          <w:tcPr>
            <w:tcW w:w="739" w:type="dxa"/>
            <w:vMerge w:val="continue"/>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jc w:val="center"/>
        </w:trPr>
        <w:tc>
          <w:tcPr>
            <w:tcW w:w="752" w:type="dxa"/>
            <w:vAlign w:val="center"/>
          </w:tcPr>
          <w:p>
            <w:pPr>
              <w:tabs>
                <w:tab w:val="left" w:pos="3327"/>
              </w:tabs>
              <w:spacing w:line="360" w:lineRule="auto"/>
              <w:jc w:val="center"/>
              <w:rPr>
                <w:rFonts w:ascii="宋体" w:hAnsi="宋体"/>
                <w:sz w:val="24"/>
              </w:rPr>
            </w:pPr>
            <w:r>
              <w:rPr>
                <w:rFonts w:hint="eastAsia" w:ascii="宋体" w:hAnsi="宋体"/>
                <w:sz w:val="24"/>
              </w:rPr>
              <w:t>1</w:t>
            </w:r>
          </w:p>
        </w:tc>
        <w:tc>
          <w:tcPr>
            <w:tcW w:w="766" w:type="dxa"/>
            <w:vAlign w:val="center"/>
          </w:tcPr>
          <w:p>
            <w:pPr>
              <w:tabs>
                <w:tab w:val="left" w:pos="3327"/>
              </w:tabs>
              <w:spacing w:line="360" w:lineRule="auto"/>
              <w:rPr>
                <w:rFonts w:ascii="宋体" w:hAnsi="宋体"/>
                <w:sz w:val="24"/>
              </w:rPr>
            </w:pPr>
          </w:p>
        </w:tc>
        <w:tc>
          <w:tcPr>
            <w:tcW w:w="1833" w:type="dxa"/>
            <w:vAlign w:val="center"/>
          </w:tcPr>
          <w:p>
            <w:pPr>
              <w:tabs>
                <w:tab w:val="left" w:pos="3327"/>
              </w:tabs>
              <w:spacing w:line="360" w:lineRule="auto"/>
              <w:rPr>
                <w:rFonts w:ascii="宋体" w:hAnsi="宋体"/>
                <w:sz w:val="24"/>
              </w:rPr>
            </w:pPr>
          </w:p>
        </w:tc>
        <w:tc>
          <w:tcPr>
            <w:tcW w:w="888" w:type="dxa"/>
            <w:vAlign w:val="center"/>
          </w:tcPr>
          <w:p>
            <w:pPr>
              <w:tabs>
                <w:tab w:val="left" w:pos="3327"/>
              </w:tabs>
              <w:spacing w:line="360" w:lineRule="auto"/>
              <w:rPr>
                <w:rFonts w:ascii="宋体" w:hAnsi="宋体"/>
                <w:sz w:val="24"/>
              </w:rPr>
            </w:pPr>
          </w:p>
        </w:tc>
        <w:tc>
          <w:tcPr>
            <w:tcW w:w="713" w:type="dxa"/>
            <w:vAlign w:val="center"/>
          </w:tcPr>
          <w:p>
            <w:pPr>
              <w:tabs>
                <w:tab w:val="left" w:pos="3327"/>
              </w:tabs>
              <w:spacing w:line="360" w:lineRule="auto"/>
              <w:rPr>
                <w:rFonts w:ascii="宋体" w:hAnsi="宋体"/>
                <w:sz w:val="24"/>
              </w:rPr>
            </w:pPr>
          </w:p>
        </w:tc>
        <w:tc>
          <w:tcPr>
            <w:tcW w:w="812" w:type="dxa"/>
            <w:vAlign w:val="center"/>
          </w:tcPr>
          <w:p>
            <w:pPr>
              <w:tabs>
                <w:tab w:val="left" w:pos="3327"/>
              </w:tabs>
              <w:spacing w:line="360" w:lineRule="auto"/>
              <w:rPr>
                <w:rFonts w:ascii="宋体" w:hAnsi="宋体"/>
                <w:color w:val="00B0F0"/>
                <w:sz w:val="24"/>
              </w:rPr>
            </w:pPr>
          </w:p>
        </w:tc>
        <w:tc>
          <w:tcPr>
            <w:tcW w:w="1738" w:type="dxa"/>
            <w:vAlign w:val="center"/>
          </w:tcPr>
          <w:p>
            <w:pPr>
              <w:tabs>
                <w:tab w:val="left" w:pos="3327"/>
              </w:tabs>
              <w:spacing w:line="360" w:lineRule="auto"/>
              <w:rPr>
                <w:rFonts w:ascii="宋体" w:hAnsi="宋体"/>
                <w:color w:val="FF0000"/>
                <w:sz w:val="24"/>
              </w:rPr>
            </w:pPr>
          </w:p>
        </w:tc>
        <w:tc>
          <w:tcPr>
            <w:tcW w:w="1625" w:type="dxa"/>
            <w:vAlign w:val="center"/>
          </w:tcPr>
          <w:p>
            <w:pPr>
              <w:tabs>
                <w:tab w:val="left" w:pos="3327"/>
              </w:tabs>
              <w:spacing w:line="360" w:lineRule="auto"/>
              <w:rPr>
                <w:rFonts w:ascii="宋体" w:hAnsi="宋体"/>
                <w:sz w:val="24"/>
              </w:rPr>
            </w:pPr>
          </w:p>
        </w:tc>
        <w:tc>
          <w:tcPr>
            <w:tcW w:w="712" w:type="dxa"/>
            <w:vAlign w:val="center"/>
          </w:tcPr>
          <w:p>
            <w:pPr>
              <w:tabs>
                <w:tab w:val="left" w:pos="3327"/>
              </w:tabs>
              <w:spacing w:line="360" w:lineRule="auto"/>
              <w:rPr>
                <w:rFonts w:ascii="宋体" w:hAnsi="宋体"/>
                <w:sz w:val="24"/>
              </w:rPr>
            </w:pPr>
          </w:p>
        </w:tc>
        <w:tc>
          <w:tcPr>
            <w:tcW w:w="739"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5" w:hRule="atLeast"/>
          <w:jc w:val="center"/>
        </w:trPr>
        <w:tc>
          <w:tcPr>
            <w:tcW w:w="752" w:type="dxa"/>
            <w:vAlign w:val="center"/>
          </w:tcPr>
          <w:p>
            <w:pPr>
              <w:tabs>
                <w:tab w:val="left" w:pos="3327"/>
              </w:tabs>
              <w:spacing w:line="360" w:lineRule="auto"/>
              <w:jc w:val="center"/>
              <w:rPr>
                <w:rFonts w:ascii="宋体" w:hAnsi="宋体"/>
                <w:sz w:val="24"/>
              </w:rPr>
            </w:pPr>
            <w:r>
              <w:rPr>
                <w:rFonts w:hint="eastAsia" w:ascii="宋体" w:hAnsi="宋体"/>
                <w:sz w:val="24"/>
              </w:rPr>
              <w:t>2</w:t>
            </w:r>
          </w:p>
        </w:tc>
        <w:tc>
          <w:tcPr>
            <w:tcW w:w="766" w:type="dxa"/>
            <w:vAlign w:val="center"/>
          </w:tcPr>
          <w:p>
            <w:pPr>
              <w:tabs>
                <w:tab w:val="left" w:pos="3327"/>
              </w:tabs>
              <w:spacing w:line="360" w:lineRule="auto"/>
              <w:rPr>
                <w:rFonts w:ascii="宋体" w:hAnsi="宋体"/>
                <w:sz w:val="24"/>
              </w:rPr>
            </w:pPr>
          </w:p>
        </w:tc>
        <w:tc>
          <w:tcPr>
            <w:tcW w:w="1833" w:type="dxa"/>
            <w:vAlign w:val="center"/>
          </w:tcPr>
          <w:p>
            <w:pPr>
              <w:tabs>
                <w:tab w:val="left" w:pos="3327"/>
              </w:tabs>
              <w:spacing w:line="360" w:lineRule="auto"/>
              <w:rPr>
                <w:rFonts w:ascii="宋体" w:hAnsi="宋体"/>
                <w:sz w:val="24"/>
              </w:rPr>
            </w:pPr>
          </w:p>
        </w:tc>
        <w:tc>
          <w:tcPr>
            <w:tcW w:w="888" w:type="dxa"/>
            <w:vAlign w:val="center"/>
          </w:tcPr>
          <w:p>
            <w:pPr>
              <w:tabs>
                <w:tab w:val="left" w:pos="3327"/>
              </w:tabs>
              <w:spacing w:line="360" w:lineRule="auto"/>
              <w:rPr>
                <w:rFonts w:ascii="宋体" w:hAnsi="宋体"/>
                <w:sz w:val="24"/>
              </w:rPr>
            </w:pPr>
          </w:p>
        </w:tc>
        <w:tc>
          <w:tcPr>
            <w:tcW w:w="713" w:type="dxa"/>
            <w:vAlign w:val="center"/>
          </w:tcPr>
          <w:p>
            <w:pPr>
              <w:tabs>
                <w:tab w:val="left" w:pos="3327"/>
              </w:tabs>
              <w:spacing w:line="360" w:lineRule="auto"/>
              <w:rPr>
                <w:rFonts w:ascii="宋体" w:hAnsi="宋体"/>
                <w:sz w:val="24"/>
              </w:rPr>
            </w:pPr>
          </w:p>
        </w:tc>
        <w:tc>
          <w:tcPr>
            <w:tcW w:w="812" w:type="dxa"/>
            <w:vAlign w:val="center"/>
          </w:tcPr>
          <w:p>
            <w:pPr>
              <w:tabs>
                <w:tab w:val="left" w:pos="3327"/>
              </w:tabs>
              <w:spacing w:line="360" w:lineRule="auto"/>
              <w:rPr>
                <w:rFonts w:ascii="宋体" w:hAnsi="宋体"/>
                <w:color w:val="00B0F0"/>
                <w:sz w:val="24"/>
              </w:rPr>
            </w:pPr>
          </w:p>
        </w:tc>
        <w:tc>
          <w:tcPr>
            <w:tcW w:w="1738" w:type="dxa"/>
            <w:vAlign w:val="center"/>
          </w:tcPr>
          <w:p>
            <w:pPr>
              <w:tabs>
                <w:tab w:val="left" w:pos="3327"/>
              </w:tabs>
              <w:spacing w:line="360" w:lineRule="auto"/>
              <w:rPr>
                <w:rFonts w:ascii="宋体" w:hAnsi="宋体"/>
                <w:color w:val="FF0000"/>
                <w:sz w:val="24"/>
              </w:rPr>
            </w:pPr>
          </w:p>
        </w:tc>
        <w:tc>
          <w:tcPr>
            <w:tcW w:w="1625" w:type="dxa"/>
            <w:vAlign w:val="center"/>
          </w:tcPr>
          <w:p>
            <w:pPr>
              <w:tabs>
                <w:tab w:val="left" w:pos="3327"/>
              </w:tabs>
              <w:spacing w:line="360" w:lineRule="auto"/>
              <w:rPr>
                <w:rFonts w:ascii="宋体" w:hAnsi="宋体"/>
                <w:sz w:val="24"/>
              </w:rPr>
            </w:pPr>
          </w:p>
        </w:tc>
        <w:tc>
          <w:tcPr>
            <w:tcW w:w="712" w:type="dxa"/>
            <w:vAlign w:val="center"/>
          </w:tcPr>
          <w:p>
            <w:pPr>
              <w:tabs>
                <w:tab w:val="left" w:pos="3327"/>
              </w:tabs>
              <w:spacing w:line="360" w:lineRule="auto"/>
              <w:rPr>
                <w:rFonts w:ascii="宋体" w:hAnsi="宋体"/>
                <w:sz w:val="24"/>
              </w:rPr>
            </w:pPr>
          </w:p>
        </w:tc>
        <w:tc>
          <w:tcPr>
            <w:tcW w:w="739"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jc w:val="center"/>
        </w:trPr>
        <w:tc>
          <w:tcPr>
            <w:tcW w:w="752" w:type="dxa"/>
            <w:vAlign w:val="center"/>
          </w:tcPr>
          <w:p>
            <w:pPr>
              <w:tabs>
                <w:tab w:val="left" w:pos="3327"/>
              </w:tabs>
              <w:spacing w:line="360" w:lineRule="auto"/>
              <w:jc w:val="center"/>
              <w:rPr>
                <w:rFonts w:ascii="宋体" w:hAnsi="宋体"/>
                <w:sz w:val="24"/>
              </w:rPr>
            </w:pPr>
            <w:r>
              <w:rPr>
                <w:rFonts w:hint="eastAsia" w:ascii="宋体" w:hAnsi="宋体"/>
                <w:sz w:val="24"/>
              </w:rPr>
              <w:t>3</w:t>
            </w:r>
          </w:p>
        </w:tc>
        <w:tc>
          <w:tcPr>
            <w:tcW w:w="766" w:type="dxa"/>
            <w:vAlign w:val="center"/>
          </w:tcPr>
          <w:p>
            <w:pPr>
              <w:tabs>
                <w:tab w:val="left" w:pos="3327"/>
              </w:tabs>
              <w:spacing w:line="360" w:lineRule="auto"/>
              <w:rPr>
                <w:rFonts w:ascii="宋体" w:hAnsi="宋体"/>
                <w:sz w:val="24"/>
              </w:rPr>
            </w:pPr>
          </w:p>
        </w:tc>
        <w:tc>
          <w:tcPr>
            <w:tcW w:w="1833" w:type="dxa"/>
            <w:vAlign w:val="center"/>
          </w:tcPr>
          <w:p>
            <w:pPr>
              <w:tabs>
                <w:tab w:val="left" w:pos="3327"/>
              </w:tabs>
              <w:spacing w:line="360" w:lineRule="auto"/>
              <w:rPr>
                <w:rFonts w:ascii="宋体" w:hAnsi="宋体"/>
                <w:sz w:val="24"/>
              </w:rPr>
            </w:pPr>
          </w:p>
        </w:tc>
        <w:tc>
          <w:tcPr>
            <w:tcW w:w="888" w:type="dxa"/>
            <w:vAlign w:val="center"/>
          </w:tcPr>
          <w:p>
            <w:pPr>
              <w:tabs>
                <w:tab w:val="left" w:pos="3327"/>
              </w:tabs>
              <w:spacing w:line="360" w:lineRule="auto"/>
              <w:rPr>
                <w:rFonts w:ascii="宋体" w:hAnsi="宋体"/>
                <w:sz w:val="24"/>
              </w:rPr>
            </w:pPr>
          </w:p>
        </w:tc>
        <w:tc>
          <w:tcPr>
            <w:tcW w:w="713" w:type="dxa"/>
            <w:vAlign w:val="center"/>
          </w:tcPr>
          <w:p>
            <w:pPr>
              <w:tabs>
                <w:tab w:val="left" w:pos="3327"/>
              </w:tabs>
              <w:spacing w:line="360" w:lineRule="auto"/>
              <w:rPr>
                <w:rFonts w:ascii="宋体" w:hAnsi="宋体"/>
                <w:sz w:val="24"/>
              </w:rPr>
            </w:pPr>
          </w:p>
        </w:tc>
        <w:tc>
          <w:tcPr>
            <w:tcW w:w="812" w:type="dxa"/>
            <w:vAlign w:val="center"/>
          </w:tcPr>
          <w:p>
            <w:pPr>
              <w:tabs>
                <w:tab w:val="left" w:pos="3327"/>
              </w:tabs>
              <w:spacing w:line="360" w:lineRule="auto"/>
              <w:rPr>
                <w:rFonts w:ascii="宋体" w:hAnsi="宋体"/>
                <w:color w:val="00B0F0"/>
                <w:sz w:val="24"/>
              </w:rPr>
            </w:pPr>
          </w:p>
        </w:tc>
        <w:tc>
          <w:tcPr>
            <w:tcW w:w="1738" w:type="dxa"/>
            <w:vAlign w:val="center"/>
          </w:tcPr>
          <w:p>
            <w:pPr>
              <w:tabs>
                <w:tab w:val="left" w:pos="3327"/>
              </w:tabs>
              <w:spacing w:line="360" w:lineRule="auto"/>
              <w:rPr>
                <w:rFonts w:ascii="宋体" w:hAnsi="宋体"/>
                <w:color w:val="FF0000"/>
                <w:sz w:val="24"/>
              </w:rPr>
            </w:pPr>
          </w:p>
        </w:tc>
        <w:tc>
          <w:tcPr>
            <w:tcW w:w="1625" w:type="dxa"/>
            <w:vAlign w:val="center"/>
          </w:tcPr>
          <w:p>
            <w:pPr>
              <w:tabs>
                <w:tab w:val="left" w:pos="3327"/>
              </w:tabs>
              <w:spacing w:line="360" w:lineRule="auto"/>
              <w:rPr>
                <w:rFonts w:ascii="宋体" w:hAnsi="宋体"/>
                <w:sz w:val="24"/>
              </w:rPr>
            </w:pPr>
          </w:p>
        </w:tc>
        <w:tc>
          <w:tcPr>
            <w:tcW w:w="712" w:type="dxa"/>
            <w:vAlign w:val="center"/>
          </w:tcPr>
          <w:p>
            <w:pPr>
              <w:tabs>
                <w:tab w:val="left" w:pos="3327"/>
              </w:tabs>
              <w:spacing w:line="360" w:lineRule="auto"/>
              <w:rPr>
                <w:rFonts w:ascii="宋体" w:hAnsi="宋体"/>
                <w:sz w:val="24"/>
              </w:rPr>
            </w:pPr>
          </w:p>
        </w:tc>
        <w:tc>
          <w:tcPr>
            <w:tcW w:w="739"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752" w:type="dxa"/>
            <w:vAlign w:val="center"/>
          </w:tcPr>
          <w:p>
            <w:pPr>
              <w:tabs>
                <w:tab w:val="left" w:pos="3327"/>
              </w:tabs>
              <w:spacing w:line="360" w:lineRule="auto"/>
              <w:jc w:val="center"/>
              <w:rPr>
                <w:rFonts w:ascii="宋体" w:hAnsi="宋体"/>
                <w:sz w:val="24"/>
              </w:rPr>
            </w:pPr>
            <w:r>
              <w:rPr>
                <w:rFonts w:hint="eastAsia" w:ascii="宋体" w:hAnsi="宋体"/>
                <w:sz w:val="24"/>
              </w:rPr>
              <w:t>4</w:t>
            </w:r>
          </w:p>
        </w:tc>
        <w:tc>
          <w:tcPr>
            <w:tcW w:w="766" w:type="dxa"/>
            <w:vAlign w:val="center"/>
          </w:tcPr>
          <w:p>
            <w:pPr>
              <w:tabs>
                <w:tab w:val="left" w:pos="3327"/>
              </w:tabs>
              <w:spacing w:line="360" w:lineRule="auto"/>
              <w:rPr>
                <w:rFonts w:ascii="宋体" w:hAnsi="宋体"/>
                <w:sz w:val="24"/>
              </w:rPr>
            </w:pPr>
          </w:p>
        </w:tc>
        <w:tc>
          <w:tcPr>
            <w:tcW w:w="1833" w:type="dxa"/>
            <w:vAlign w:val="center"/>
          </w:tcPr>
          <w:p>
            <w:pPr>
              <w:tabs>
                <w:tab w:val="left" w:pos="3327"/>
              </w:tabs>
              <w:spacing w:line="360" w:lineRule="auto"/>
              <w:rPr>
                <w:rFonts w:ascii="宋体" w:hAnsi="宋体"/>
                <w:sz w:val="24"/>
              </w:rPr>
            </w:pPr>
          </w:p>
        </w:tc>
        <w:tc>
          <w:tcPr>
            <w:tcW w:w="888" w:type="dxa"/>
            <w:vAlign w:val="center"/>
          </w:tcPr>
          <w:p>
            <w:pPr>
              <w:tabs>
                <w:tab w:val="left" w:pos="3327"/>
              </w:tabs>
              <w:spacing w:line="360" w:lineRule="auto"/>
              <w:rPr>
                <w:rFonts w:ascii="宋体" w:hAnsi="宋体"/>
                <w:sz w:val="24"/>
              </w:rPr>
            </w:pPr>
          </w:p>
        </w:tc>
        <w:tc>
          <w:tcPr>
            <w:tcW w:w="713" w:type="dxa"/>
            <w:vAlign w:val="center"/>
          </w:tcPr>
          <w:p>
            <w:pPr>
              <w:tabs>
                <w:tab w:val="left" w:pos="3327"/>
              </w:tabs>
              <w:spacing w:line="360" w:lineRule="auto"/>
              <w:rPr>
                <w:rFonts w:ascii="宋体" w:hAnsi="宋体"/>
                <w:sz w:val="24"/>
              </w:rPr>
            </w:pPr>
          </w:p>
        </w:tc>
        <w:tc>
          <w:tcPr>
            <w:tcW w:w="812" w:type="dxa"/>
            <w:vAlign w:val="center"/>
          </w:tcPr>
          <w:p>
            <w:pPr>
              <w:tabs>
                <w:tab w:val="left" w:pos="3327"/>
              </w:tabs>
              <w:spacing w:line="360" w:lineRule="auto"/>
              <w:rPr>
                <w:rFonts w:ascii="宋体" w:hAnsi="宋体"/>
                <w:color w:val="00B0F0"/>
                <w:sz w:val="24"/>
              </w:rPr>
            </w:pPr>
          </w:p>
        </w:tc>
        <w:tc>
          <w:tcPr>
            <w:tcW w:w="1738" w:type="dxa"/>
            <w:vAlign w:val="center"/>
          </w:tcPr>
          <w:p>
            <w:pPr>
              <w:tabs>
                <w:tab w:val="left" w:pos="3327"/>
              </w:tabs>
              <w:spacing w:line="360" w:lineRule="auto"/>
              <w:rPr>
                <w:rFonts w:ascii="宋体" w:hAnsi="宋体"/>
                <w:color w:val="FF0000"/>
                <w:sz w:val="24"/>
              </w:rPr>
            </w:pPr>
          </w:p>
        </w:tc>
        <w:tc>
          <w:tcPr>
            <w:tcW w:w="1625" w:type="dxa"/>
            <w:vAlign w:val="center"/>
          </w:tcPr>
          <w:p>
            <w:pPr>
              <w:tabs>
                <w:tab w:val="left" w:pos="3327"/>
              </w:tabs>
              <w:spacing w:line="360" w:lineRule="auto"/>
              <w:rPr>
                <w:rFonts w:ascii="宋体" w:hAnsi="宋体"/>
                <w:sz w:val="24"/>
              </w:rPr>
            </w:pPr>
          </w:p>
        </w:tc>
        <w:tc>
          <w:tcPr>
            <w:tcW w:w="712" w:type="dxa"/>
            <w:vAlign w:val="center"/>
          </w:tcPr>
          <w:p>
            <w:pPr>
              <w:tabs>
                <w:tab w:val="left" w:pos="3327"/>
              </w:tabs>
              <w:spacing w:line="360" w:lineRule="auto"/>
              <w:rPr>
                <w:rFonts w:ascii="宋体" w:hAnsi="宋体"/>
                <w:sz w:val="24"/>
              </w:rPr>
            </w:pPr>
          </w:p>
        </w:tc>
        <w:tc>
          <w:tcPr>
            <w:tcW w:w="739"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 w:hRule="atLeast"/>
          <w:jc w:val="center"/>
        </w:trPr>
        <w:tc>
          <w:tcPr>
            <w:tcW w:w="752" w:type="dxa"/>
            <w:vAlign w:val="center"/>
          </w:tcPr>
          <w:p>
            <w:pPr>
              <w:tabs>
                <w:tab w:val="left" w:pos="3327"/>
              </w:tabs>
              <w:spacing w:line="360" w:lineRule="auto"/>
              <w:jc w:val="center"/>
              <w:rPr>
                <w:rFonts w:ascii="宋体" w:hAnsi="宋体"/>
                <w:sz w:val="24"/>
              </w:rPr>
            </w:pPr>
            <w:r>
              <w:rPr>
                <w:rFonts w:hint="eastAsia" w:ascii="宋体" w:hAnsi="宋体"/>
                <w:sz w:val="24"/>
              </w:rPr>
              <w:t>……</w:t>
            </w:r>
          </w:p>
        </w:tc>
        <w:tc>
          <w:tcPr>
            <w:tcW w:w="766" w:type="dxa"/>
            <w:vAlign w:val="center"/>
          </w:tcPr>
          <w:p>
            <w:pPr>
              <w:tabs>
                <w:tab w:val="left" w:pos="3327"/>
              </w:tabs>
              <w:spacing w:line="360" w:lineRule="auto"/>
              <w:rPr>
                <w:rFonts w:ascii="宋体" w:hAnsi="宋体"/>
                <w:sz w:val="24"/>
              </w:rPr>
            </w:pPr>
          </w:p>
        </w:tc>
        <w:tc>
          <w:tcPr>
            <w:tcW w:w="1833" w:type="dxa"/>
            <w:vAlign w:val="center"/>
          </w:tcPr>
          <w:p>
            <w:pPr>
              <w:tabs>
                <w:tab w:val="left" w:pos="3327"/>
              </w:tabs>
              <w:spacing w:line="360" w:lineRule="auto"/>
              <w:rPr>
                <w:rFonts w:ascii="宋体" w:hAnsi="宋体"/>
                <w:sz w:val="24"/>
              </w:rPr>
            </w:pPr>
          </w:p>
        </w:tc>
        <w:tc>
          <w:tcPr>
            <w:tcW w:w="888" w:type="dxa"/>
            <w:vAlign w:val="center"/>
          </w:tcPr>
          <w:p>
            <w:pPr>
              <w:tabs>
                <w:tab w:val="left" w:pos="3327"/>
              </w:tabs>
              <w:spacing w:line="360" w:lineRule="auto"/>
              <w:rPr>
                <w:rFonts w:ascii="宋体" w:hAnsi="宋体"/>
                <w:sz w:val="24"/>
              </w:rPr>
            </w:pPr>
          </w:p>
        </w:tc>
        <w:tc>
          <w:tcPr>
            <w:tcW w:w="713" w:type="dxa"/>
            <w:vAlign w:val="center"/>
          </w:tcPr>
          <w:p>
            <w:pPr>
              <w:tabs>
                <w:tab w:val="left" w:pos="3327"/>
              </w:tabs>
              <w:spacing w:line="360" w:lineRule="auto"/>
              <w:rPr>
                <w:rFonts w:ascii="宋体" w:hAnsi="宋体"/>
                <w:sz w:val="24"/>
              </w:rPr>
            </w:pPr>
          </w:p>
        </w:tc>
        <w:tc>
          <w:tcPr>
            <w:tcW w:w="812" w:type="dxa"/>
            <w:vAlign w:val="center"/>
          </w:tcPr>
          <w:p>
            <w:pPr>
              <w:tabs>
                <w:tab w:val="left" w:pos="3327"/>
              </w:tabs>
              <w:spacing w:line="360" w:lineRule="auto"/>
              <w:rPr>
                <w:rFonts w:ascii="宋体" w:hAnsi="宋体"/>
                <w:color w:val="00B0F0"/>
                <w:sz w:val="24"/>
              </w:rPr>
            </w:pPr>
          </w:p>
        </w:tc>
        <w:tc>
          <w:tcPr>
            <w:tcW w:w="1738" w:type="dxa"/>
            <w:vAlign w:val="center"/>
          </w:tcPr>
          <w:p>
            <w:pPr>
              <w:tabs>
                <w:tab w:val="left" w:pos="3327"/>
              </w:tabs>
              <w:spacing w:line="360" w:lineRule="auto"/>
              <w:rPr>
                <w:rFonts w:ascii="宋体" w:hAnsi="宋体"/>
                <w:color w:val="FF0000"/>
                <w:sz w:val="24"/>
              </w:rPr>
            </w:pPr>
          </w:p>
        </w:tc>
        <w:tc>
          <w:tcPr>
            <w:tcW w:w="1625" w:type="dxa"/>
            <w:vAlign w:val="center"/>
          </w:tcPr>
          <w:p>
            <w:pPr>
              <w:tabs>
                <w:tab w:val="left" w:pos="3327"/>
              </w:tabs>
              <w:spacing w:line="360" w:lineRule="auto"/>
              <w:rPr>
                <w:rFonts w:ascii="宋体" w:hAnsi="宋体"/>
                <w:sz w:val="24"/>
              </w:rPr>
            </w:pPr>
          </w:p>
        </w:tc>
        <w:tc>
          <w:tcPr>
            <w:tcW w:w="712" w:type="dxa"/>
            <w:vAlign w:val="center"/>
          </w:tcPr>
          <w:p>
            <w:pPr>
              <w:tabs>
                <w:tab w:val="left" w:pos="3327"/>
              </w:tabs>
              <w:spacing w:line="360" w:lineRule="auto"/>
              <w:rPr>
                <w:rFonts w:ascii="宋体" w:hAnsi="宋体"/>
                <w:sz w:val="24"/>
              </w:rPr>
            </w:pPr>
          </w:p>
        </w:tc>
        <w:tc>
          <w:tcPr>
            <w:tcW w:w="739" w:type="dxa"/>
            <w:vAlign w:val="center"/>
          </w:tcPr>
          <w:p>
            <w:pPr>
              <w:spacing w:line="360" w:lineRule="auto"/>
              <w:jc w:val="center"/>
              <w:rPr>
                <w:rFonts w:ascii="宋体" w:hAnsi="宋体"/>
                <w:sz w:val="24"/>
              </w:rPr>
            </w:pPr>
          </w:p>
        </w:tc>
      </w:tr>
    </w:tbl>
    <w:p>
      <w:pPr>
        <w:autoSpaceDE w:val="0"/>
        <w:autoSpaceDN w:val="0"/>
        <w:spacing w:line="360" w:lineRule="auto"/>
        <w:rPr>
          <w:rFonts w:ascii="宋体" w:hAnsi="宋体" w:cs="Arial"/>
          <w:b/>
          <w:bCs/>
          <w:sz w:val="24"/>
          <w:lang w:val="zh-CN"/>
        </w:rPr>
      </w:pPr>
      <w:r>
        <w:rPr>
          <w:rFonts w:ascii="宋体" w:hAnsi="宋体" w:cs="Arial"/>
          <w:b/>
          <w:bCs/>
          <w:sz w:val="24"/>
          <w:lang w:val="zh-CN"/>
        </w:rPr>
        <w:t>注：1</w:t>
      </w:r>
      <w:r>
        <w:rPr>
          <w:rFonts w:hint="eastAsia" w:ascii="宋体" w:hAnsi="宋体" w:cs="Arial"/>
          <w:b/>
          <w:bCs/>
          <w:sz w:val="24"/>
          <w:lang w:val="zh-CN"/>
        </w:rPr>
        <w:t>、</w:t>
      </w:r>
      <w:r>
        <w:rPr>
          <w:rFonts w:ascii="宋体" w:hAnsi="宋体" w:cs="Arial"/>
          <w:b/>
          <w:bCs/>
          <w:sz w:val="24"/>
          <w:lang w:val="zh-CN"/>
        </w:rPr>
        <w:t>本表应按照</w:t>
      </w:r>
      <w:r>
        <w:rPr>
          <w:rFonts w:hint="eastAsia" w:ascii="宋体" w:hAnsi="宋体" w:cs="Arial"/>
          <w:b/>
          <w:bCs/>
          <w:sz w:val="24"/>
          <w:lang w:val="zh-CN"/>
        </w:rPr>
        <w:t>采购项目参数及要求</w:t>
      </w:r>
      <w:r>
        <w:rPr>
          <w:rFonts w:ascii="宋体" w:hAnsi="宋体" w:cs="Arial"/>
          <w:b/>
          <w:bCs/>
          <w:sz w:val="24"/>
          <w:lang w:val="zh-CN"/>
        </w:rPr>
        <w:t>中产品序号的指标逐项填写，不得遗漏。</w:t>
      </w:r>
    </w:p>
    <w:p>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2</w:t>
      </w:r>
      <w:r>
        <w:rPr>
          <w:rFonts w:hint="eastAsia" w:ascii="宋体" w:hAnsi="宋体" w:cs="Arial"/>
          <w:b/>
          <w:bCs/>
          <w:sz w:val="24"/>
          <w:lang w:val="zh-CN"/>
        </w:rPr>
        <w:t>、“投标产品技术参数、指标”必须与投标文件中提供的产品检测报告、彩页等证明材料的实质性响应情况相一致。若在评标环节发现该项与投标文件中提供的产品检测报告（或厂家公开发布的资料参数）等证明材料的实质性响应情况不一致或直接复制磋商文件“采购需求技术参数、指标”内容的，按无效投标处理。</w:t>
      </w:r>
    </w:p>
    <w:p>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3</w:t>
      </w:r>
      <w:r>
        <w:rPr>
          <w:rFonts w:hint="eastAsia" w:ascii="宋体" w:hAnsi="宋体" w:cs="Arial"/>
          <w:b/>
          <w:bCs/>
          <w:sz w:val="24"/>
          <w:lang w:val="zh-CN"/>
        </w:rPr>
        <w:t>、磋商供应商响应采购需求应具体、明确，应以招标项目参数要求为基本投标要求，对超出或不满足招标项目参数要求的指标需列出“</w:t>
      </w:r>
      <w:r>
        <w:rPr>
          <w:rFonts w:ascii="宋体" w:hAnsi="宋体" w:cs="Arial"/>
          <w:b/>
          <w:bCs/>
          <w:sz w:val="24"/>
          <w:lang w:val="zh-CN"/>
        </w:rPr>
        <w:t>+</w:t>
      </w:r>
      <w:r>
        <w:rPr>
          <w:rFonts w:hint="eastAsia" w:ascii="宋体" w:hAnsi="宋体" w:cs="Arial"/>
          <w:b/>
          <w:bCs/>
          <w:sz w:val="24"/>
          <w:lang w:val="zh-CN"/>
        </w:rPr>
        <w:t>、</w:t>
      </w:r>
      <w:r>
        <w:rPr>
          <w:rFonts w:ascii="宋体" w:hAnsi="宋体" w:cs="Arial"/>
          <w:b/>
          <w:bCs/>
          <w:sz w:val="24"/>
          <w:lang w:val="zh-CN"/>
        </w:rPr>
        <w:t>-</w:t>
      </w:r>
      <w:r>
        <w:rPr>
          <w:rFonts w:hint="eastAsia" w:ascii="宋体" w:hAnsi="宋体" w:cs="Arial"/>
          <w:b/>
          <w:bCs/>
          <w:sz w:val="24"/>
          <w:lang w:val="zh-CN"/>
        </w:rPr>
        <w:t>”偏差，并做出详细说明；如果只注明“</w:t>
      </w:r>
      <w:r>
        <w:rPr>
          <w:rFonts w:ascii="宋体" w:hAnsi="宋体" w:cs="Arial"/>
          <w:b/>
          <w:bCs/>
          <w:sz w:val="24"/>
          <w:lang w:val="zh-CN"/>
        </w:rPr>
        <w:t>+</w:t>
      </w:r>
      <w:r>
        <w:rPr>
          <w:rFonts w:hint="eastAsia" w:ascii="宋体" w:hAnsi="宋体" w:cs="Arial"/>
          <w:b/>
          <w:bCs/>
          <w:sz w:val="24"/>
          <w:lang w:val="zh-CN"/>
        </w:rPr>
        <w:t>”、“</w:t>
      </w:r>
      <w:r>
        <w:rPr>
          <w:rFonts w:ascii="宋体" w:hAnsi="宋体" w:cs="Arial"/>
          <w:b/>
          <w:bCs/>
          <w:sz w:val="24"/>
          <w:lang w:val="zh-CN"/>
        </w:rPr>
        <w:t>-</w:t>
      </w:r>
      <w:r>
        <w:rPr>
          <w:rFonts w:hint="eastAsia" w:ascii="宋体" w:hAnsi="宋体" w:cs="Arial"/>
          <w:b/>
          <w:bCs/>
          <w:sz w:val="24"/>
          <w:lang w:val="zh-CN"/>
        </w:rPr>
        <w:t>”或未填写，将视为该项指标不响应。</w:t>
      </w:r>
    </w:p>
    <w:p>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4</w:t>
      </w:r>
      <w:r>
        <w:rPr>
          <w:rFonts w:hint="eastAsia" w:ascii="宋体" w:hAnsi="宋体" w:cs="Arial"/>
          <w:b/>
          <w:bCs/>
          <w:sz w:val="24"/>
          <w:lang w:val="zh-CN"/>
        </w:rPr>
        <w:t>、磋商供应商应按投标产品实际情况填写，不得照抄、复制磋商文件技术参数要求。</w:t>
      </w:r>
    </w:p>
    <w:p>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5</w:t>
      </w:r>
      <w:r>
        <w:rPr>
          <w:rFonts w:hint="eastAsia" w:ascii="宋体" w:hAnsi="宋体" w:cs="Arial"/>
          <w:b/>
          <w:bCs/>
          <w:sz w:val="24"/>
          <w:lang w:val="zh-CN"/>
        </w:rPr>
        <w:t>、磋商供应商响应采购需求应具体、明确，含糊不清、不确切或伪造、编造证明材料的，按照实质性不响应处理。对伪造、编造证明材料的，将报送采购监管部门查处。</w:t>
      </w:r>
    </w:p>
    <w:p>
      <w:pPr>
        <w:autoSpaceDE w:val="0"/>
        <w:autoSpaceDN w:val="0"/>
        <w:adjustRightInd w:val="0"/>
        <w:spacing w:line="360" w:lineRule="auto"/>
        <w:rPr>
          <w:rFonts w:ascii="宋体" w:hAnsi="宋体" w:cs="宋体"/>
          <w:b/>
          <w:bCs/>
          <w:kern w:val="0"/>
          <w:sz w:val="24"/>
          <w:lang w:val="zh-CN"/>
        </w:rPr>
      </w:pPr>
    </w:p>
    <w:p>
      <w:pPr>
        <w:tabs>
          <w:tab w:val="left" w:pos="168"/>
        </w:tabs>
        <w:adjustRightInd w:val="0"/>
        <w:spacing w:line="360" w:lineRule="auto"/>
        <w:textAlignment w:val="baseline"/>
        <w:rPr>
          <w:rFonts w:ascii="宋体" w:hAnsi="宋体"/>
          <w:bCs/>
          <w:sz w:val="24"/>
        </w:rPr>
      </w:pP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lang w:eastAsia="zh-CN"/>
        </w:rPr>
        <w:t>磋商供应商</w:t>
      </w:r>
      <w:r>
        <w:rPr>
          <w:rFonts w:hint="eastAsia" w:ascii="宋体" w:hAnsi="宋体"/>
          <w:bCs/>
          <w:sz w:val="24"/>
        </w:rPr>
        <w:t>：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法定代表人或委托代理人： </w:t>
      </w:r>
      <w:r>
        <w:rPr>
          <w:rFonts w:hint="eastAsia" w:ascii="宋体" w:hAnsi="宋体"/>
          <w:bCs/>
          <w:sz w:val="24"/>
          <w:lang w:val="en-US" w:eastAsia="zh-CN"/>
        </w:rPr>
        <w:t xml:space="preserve">      </w:t>
      </w:r>
      <w:r>
        <w:rPr>
          <w:rFonts w:hint="eastAsia" w:ascii="宋体" w:hAnsi="宋体"/>
          <w:bCs/>
          <w:sz w:val="24"/>
        </w:rPr>
        <w:t xml:space="preserve">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pStyle w:val="9"/>
        <w:numPr>
          <w:ilvl w:val="0"/>
          <w:numId w:val="0"/>
        </w:numPr>
        <w:rPr>
          <w:rFonts w:hAnsi="宋体" w:cs="宋体"/>
          <w:bCs/>
          <w:sz w:val="24"/>
          <w:szCs w:val="24"/>
        </w:rPr>
      </w:pPr>
      <w:r>
        <w:rPr>
          <w:rFonts w:hAnsi="宋体"/>
          <w:bCs/>
          <w:sz w:val="24"/>
          <w:szCs w:val="24"/>
        </w:rPr>
        <w:br w:type="page"/>
      </w:r>
      <w:bookmarkStart w:id="136" w:name="_Toc21174"/>
      <w:r>
        <w:rPr>
          <w:rFonts w:hint="eastAsia" w:hAnsi="宋体"/>
          <w:b/>
          <w:sz w:val="24"/>
          <w:szCs w:val="24"/>
          <w:lang w:val="zh-CN"/>
        </w:rPr>
        <w:t>格式14、磋商产品相关资料</w:t>
      </w:r>
      <w:bookmarkEnd w:id="136"/>
    </w:p>
    <w:p>
      <w:pPr>
        <w:spacing w:line="360" w:lineRule="auto"/>
        <w:rPr>
          <w:rFonts w:ascii="宋体" w:hAnsi="宋体"/>
          <w:b/>
          <w:bCs/>
          <w:kern w:val="28"/>
          <w:sz w:val="24"/>
          <w:lang w:val="zh-CN"/>
        </w:rPr>
      </w:pPr>
    </w:p>
    <w:p>
      <w:pPr>
        <w:autoSpaceDE w:val="0"/>
        <w:autoSpaceDN w:val="0"/>
        <w:adjustRightInd w:val="0"/>
        <w:spacing w:line="360" w:lineRule="auto"/>
        <w:jc w:val="center"/>
        <w:rPr>
          <w:rFonts w:ascii="宋体" w:hAnsi="宋体" w:cs="Arial"/>
          <w:bCs/>
          <w:sz w:val="24"/>
          <w:lang w:val="zh-CN"/>
        </w:rPr>
      </w:pPr>
      <w:r>
        <w:rPr>
          <w:rFonts w:hint="eastAsia" w:ascii="宋体" w:hAnsi="宋体" w:cs="宋体"/>
          <w:b/>
          <w:bCs/>
          <w:kern w:val="0"/>
          <w:sz w:val="24"/>
          <w:lang w:val="zh-CN"/>
        </w:rPr>
        <w:t>磋商</w:t>
      </w:r>
      <w:r>
        <w:rPr>
          <w:rFonts w:ascii="宋体" w:hAnsi="宋体" w:cs="宋体"/>
          <w:b/>
          <w:bCs/>
          <w:kern w:val="0"/>
          <w:sz w:val="24"/>
          <w:lang w:val="zh-CN"/>
        </w:rPr>
        <w:t>产品相关资料</w:t>
      </w:r>
    </w:p>
    <w:p>
      <w:pPr>
        <w:spacing w:line="360" w:lineRule="auto"/>
        <w:ind w:firstLine="424" w:firstLineChars="177"/>
        <w:rPr>
          <w:rFonts w:ascii="宋体" w:hAnsi="宋体"/>
          <w:b/>
          <w:sz w:val="24"/>
          <w:lang w:val="zh-CN"/>
        </w:rPr>
      </w:pPr>
      <w:r>
        <w:rPr>
          <w:rFonts w:hint="eastAsia" w:ascii="宋体" w:hAnsi="宋体" w:cs="Arial"/>
          <w:sz w:val="24"/>
        </w:rPr>
        <w:t>根据采购项目内容，磋商时提供国家认可的质监机构出具的磋商产品的产品材料的检验报告（或彩页）或证明技术参数响应的相关资料（或厂家公开发布的资料参数）或相关认证等资料。</w:t>
      </w:r>
      <w:bookmarkEnd w:id="132"/>
      <w:bookmarkEnd w:id="133"/>
      <w:bookmarkEnd w:id="134"/>
    </w:p>
    <w:p>
      <w:pPr>
        <w:pStyle w:val="9"/>
        <w:numPr>
          <w:ilvl w:val="0"/>
          <w:numId w:val="0"/>
        </w:numPr>
        <w:ind w:left="709" w:hanging="709"/>
        <w:rPr>
          <w:rFonts w:hAnsi="宋体" w:cs="宋体"/>
          <w:sz w:val="24"/>
          <w:szCs w:val="24"/>
        </w:rPr>
      </w:pPr>
      <w:r>
        <w:rPr>
          <w:rFonts w:hAnsi="宋体"/>
          <w:bCs/>
          <w:sz w:val="24"/>
          <w:szCs w:val="24"/>
        </w:rPr>
        <w:br w:type="page"/>
      </w:r>
      <w:bookmarkStart w:id="137" w:name="_Toc21190"/>
      <w:r>
        <w:rPr>
          <w:rFonts w:hint="eastAsia" w:hAnsi="宋体"/>
          <w:b/>
          <w:sz w:val="24"/>
          <w:szCs w:val="24"/>
          <w:lang w:val="zh-CN"/>
        </w:rPr>
        <w:t>格式15、磋商供应商的类似业绩证明材料</w:t>
      </w:r>
      <w:bookmarkEnd w:id="137"/>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磋商供应商的类似业绩证明材料</w:t>
      </w:r>
    </w:p>
    <w:p>
      <w:pPr>
        <w:autoSpaceDE w:val="0"/>
        <w:autoSpaceDN w:val="0"/>
        <w:adjustRightInd w:val="0"/>
        <w:spacing w:line="360" w:lineRule="auto"/>
        <w:rPr>
          <w:rFonts w:ascii="宋体" w:hAnsi="宋体" w:cs="宋体"/>
          <w:kern w:val="0"/>
          <w:sz w:val="24"/>
          <w:lang w:val="zh-CN"/>
        </w:rPr>
      </w:pPr>
    </w:p>
    <w:p>
      <w:pPr>
        <w:autoSpaceDE w:val="0"/>
        <w:autoSpaceDN w:val="0"/>
        <w:adjustRightInd w:val="0"/>
        <w:spacing w:line="360" w:lineRule="auto"/>
        <w:ind w:firstLine="840" w:firstLineChars="350"/>
        <w:rPr>
          <w:rFonts w:ascii="宋体" w:hAnsi="宋体" w:cs="宋体"/>
          <w:kern w:val="0"/>
          <w:sz w:val="24"/>
          <w:lang w:val="zh-CN"/>
        </w:rPr>
      </w:pPr>
      <w:r>
        <w:rPr>
          <w:rFonts w:hint="eastAsia" w:ascii="宋体" w:hAnsi="宋体" w:cs="宋体"/>
          <w:kern w:val="0"/>
          <w:sz w:val="24"/>
          <w:lang w:val="zh-CN"/>
        </w:rPr>
        <w:t>根据评分表要求提供相应的业绩证明材料</w:t>
      </w:r>
      <w:r>
        <w:rPr>
          <w:rFonts w:ascii="宋体" w:hAnsi="宋体" w:cs="宋体"/>
          <w:kern w:val="0"/>
          <w:sz w:val="24"/>
          <w:lang w:val="zh-CN"/>
        </w:rPr>
        <w:t>。</w:t>
      </w:r>
    </w:p>
    <w:p>
      <w:pPr>
        <w:pStyle w:val="9"/>
        <w:numPr>
          <w:ilvl w:val="0"/>
          <w:numId w:val="0"/>
        </w:numPr>
        <w:ind w:left="709" w:hanging="709"/>
        <w:rPr>
          <w:rFonts w:hAnsi="宋体"/>
          <w:b/>
          <w:sz w:val="24"/>
          <w:szCs w:val="24"/>
          <w:lang w:val="zh-CN"/>
        </w:rPr>
      </w:pPr>
      <w:r>
        <w:rPr>
          <w:rFonts w:hAnsi="宋体"/>
          <w:bCs/>
          <w:sz w:val="24"/>
          <w:szCs w:val="24"/>
        </w:rPr>
        <w:br w:type="page"/>
      </w:r>
      <w:bookmarkStart w:id="138" w:name="_Toc30714"/>
      <w:r>
        <w:rPr>
          <w:rFonts w:hint="eastAsia" w:hAnsi="宋体"/>
          <w:b/>
          <w:sz w:val="24"/>
          <w:szCs w:val="24"/>
          <w:lang w:val="zh-CN"/>
        </w:rPr>
        <w:t>格式16、享受政府采购政策优惠的证明资料</w:t>
      </w:r>
      <w:bookmarkEnd w:id="138"/>
    </w:p>
    <w:p>
      <w:pPr>
        <w:spacing w:line="360" w:lineRule="auto"/>
        <w:rPr>
          <w:rFonts w:ascii="宋体" w:hAnsi="宋体"/>
          <w:sz w:val="24"/>
          <w:lang w:val="zh-CN"/>
        </w:rPr>
      </w:pPr>
    </w:p>
    <w:p>
      <w:pPr>
        <w:autoSpaceDE w:val="0"/>
        <w:autoSpaceDN w:val="0"/>
        <w:spacing w:line="360" w:lineRule="auto"/>
        <w:jc w:val="center"/>
        <w:rPr>
          <w:b/>
          <w:bCs/>
          <w:kern w:val="0"/>
          <w:sz w:val="28"/>
          <w:szCs w:val="28"/>
        </w:rPr>
      </w:pPr>
      <w:bookmarkStart w:id="139" w:name="_Toc25276"/>
    </w:p>
    <w:p>
      <w:pPr>
        <w:autoSpaceDE w:val="0"/>
        <w:autoSpaceDN w:val="0"/>
        <w:spacing w:line="360" w:lineRule="auto"/>
        <w:jc w:val="center"/>
        <w:rPr>
          <w:b/>
          <w:bCs/>
          <w:kern w:val="0"/>
          <w:sz w:val="28"/>
          <w:szCs w:val="28"/>
        </w:rPr>
      </w:pPr>
      <w:r>
        <w:rPr>
          <w:rFonts w:hint="eastAsia"/>
          <w:b/>
          <w:bCs/>
          <w:kern w:val="0"/>
          <w:sz w:val="28"/>
          <w:szCs w:val="28"/>
        </w:rPr>
        <w:t>节能产品、环境标志产品证明材料</w:t>
      </w:r>
      <w:bookmarkEnd w:id="139"/>
    </w:p>
    <w:p>
      <w:pPr>
        <w:autoSpaceDE w:val="0"/>
        <w:autoSpaceDN w:val="0"/>
        <w:spacing w:line="360" w:lineRule="auto"/>
        <w:jc w:val="center"/>
        <w:rPr>
          <w:b/>
          <w:bCs/>
          <w:kern w:val="0"/>
          <w:sz w:val="28"/>
          <w:szCs w:val="28"/>
        </w:rPr>
      </w:pPr>
    </w:p>
    <w:p>
      <w:pPr>
        <w:autoSpaceDE w:val="0"/>
        <w:autoSpaceDN w:val="0"/>
        <w:spacing w:line="360" w:lineRule="auto"/>
        <w:ind w:firstLine="480" w:firstLineChars="200"/>
        <w:rPr>
          <w:rFonts w:ascii="宋体" w:hAnsi="宋体" w:cs="宋体"/>
          <w:kern w:val="0"/>
          <w:sz w:val="24"/>
          <w:lang w:val="zh-CN"/>
        </w:rPr>
      </w:pPr>
      <w:r>
        <w:rPr>
          <w:rFonts w:hint="eastAsia" w:ascii="宋体" w:hAnsi="宋体" w:cs="仿宋"/>
          <w:kern w:val="0"/>
          <w:sz w:val="24"/>
        </w:rPr>
        <w:t>产品属于品目清单范围的，实施政府优先采购和强制采购。供应商应提供国家确定的认证机构出具的、处于有效期之内的节能产品、环境标志产品认证证书，并加盖供应商单位公章。</w:t>
      </w: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rPr>
          <w:rFonts w:ascii="宋体" w:hAnsi="宋体" w:cs="宋体"/>
          <w:kern w:val="0"/>
          <w:sz w:val="24"/>
          <w:lang w:val="zh-CN"/>
        </w:rPr>
      </w:pPr>
    </w:p>
    <w:p>
      <w:pPr>
        <w:autoSpaceDE w:val="0"/>
        <w:autoSpaceDN w:val="0"/>
        <w:spacing w:line="360" w:lineRule="auto"/>
        <w:jc w:val="right"/>
        <w:rPr>
          <w:rFonts w:ascii="宋体" w:hAnsi="宋体"/>
          <w:bCs/>
          <w:sz w:val="24"/>
        </w:rPr>
      </w:pPr>
    </w:p>
    <w:p>
      <w:pPr>
        <w:autoSpaceDE w:val="0"/>
        <w:autoSpaceDN w:val="0"/>
        <w:spacing w:line="360" w:lineRule="auto"/>
        <w:jc w:val="right"/>
        <w:rPr>
          <w:rFonts w:ascii="宋体" w:hAnsi="宋体"/>
          <w:bCs/>
          <w:sz w:val="24"/>
        </w:rPr>
      </w:pPr>
    </w:p>
    <w:p>
      <w:pPr>
        <w:autoSpaceDE w:val="0"/>
        <w:autoSpaceDN w:val="0"/>
        <w:spacing w:line="360" w:lineRule="auto"/>
        <w:jc w:val="right"/>
        <w:rPr>
          <w:rFonts w:ascii="宋体" w:hAnsi="宋体" w:cs="宋体"/>
          <w:b/>
          <w:bCs/>
          <w:kern w:val="0"/>
          <w:sz w:val="24"/>
          <w:lang w:val="zh-CN"/>
        </w:rPr>
      </w:pPr>
    </w:p>
    <w:p>
      <w:pPr>
        <w:autoSpaceDE w:val="0"/>
        <w:autoSpaceDN w:val="0"/>
        <w:spacing w:line="360" w:lineRule="auto"/>
        <w:jc w:val="center"/>
        <w:rPr>
          <w:b/>
          <w:bCs/>
          <w:kern w:val="0"/>
          <w:sz w:val="36"/>
          <w:szCs w:val="36"/>
          <w:lang w:val="zh-CN"/>
        </w:rPr>
      </w:pPr>
      <w:r>
        <w:rPr>
          <w:rFonts w:hAnsi="宋体"/>
          <w:sz w:val="24"/>
          <w:lang w:val="zh-CN"/>
        </w:rPr>
        <w:br w:type="page"/>
      </w:r>
      <w:r>
        <w:rPr>
          <w:rFonts w:hint="eastAsia"/>
          <w:b/>
          <w:bCs/>
          <w:kern w:val="0"/>
          <w:sz w:val="28"/>
          <w:szCs w:val="28"/>
        </w:rPr>
        <w:t>中小</w:t>
      </w:r>
      <w:r>
        <w:rPr>
          <w:b/>
          <w:bCs/>
          <w:kern w:val="0"/>
          <w:sz w:val="28"/>
          <w:szCs w:val="28"/>
          <w:lang w:val="zh-CN"/>
        </w:rPr>
        <w:t>企业声明函</w:t>
      </w:r>
    </w:p>
    <w:p>
      <w:pPr>
        <w:autoSpaceDE w:val="0"/>
        <w:autoSpaceDN w:val="0"/>
        <w:spacing w:line="360" w:lineRule="auto"/>
        <w:rPr>
          <w:kern w:val="0"/>
          <w:sz w:val="28"/>
          <w:szCs w:val="28"/>
          <w:lang w:val="zh-CN"/>
        </w:rPr>
      </w:pPr>
    </w:p>
    <w:p>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本公司（联合体）郑重声明，根据《政府采购促进中小企业发展管理办法》（财库</w:t>
      </w:r>
      <w:r>
        <w:rPr>
          <w:rFonts w:hint="eastAsia" w:ascii="宋体" w:hAnsi="宋体" w:cs="宋体"/>
          <w:kern w:val="0"/>
          <w:sz w:val="24"/>
        </w:rPr>
        <w:t>﹝</w:t>
      </w:r>
      <w:r>
        <w:rPr>
          <w:rFonts w:ascii="宋体" w:hAnsi="宋体" w:cs="仿宋"/>
          <w:kern w:val="0"/>
          <w:sz w:val="24"/>
        </w:rPr>
        <w:t>2020</w:t>
      </w:r>
      <w:r>
        <w:rPr>
          <w:rFonts w:hint="eastAsia" w:ascii="宋体" w:hAnsi="宋体" w:cs="宋体"/>
          <w:kern w:val="0"/>
          <w:sz w:val="24"/>
        </w:rPr>
        <w:t>﹞</w:t>
      </w:r>
      <w:r>
        <w:rPr>
          <w:rFonts w:ascii="宋体" w:hAnsi="宋体" w:cs="仿宋"/>
          <w:kern w:val="0"/>
          <w:sz w:val="24"/>
        </w:rPr>
        <w:t xml:space="preserve">46 </w:t>
      </w:r>
      <w:r>
        <w:rPr>
          <w:rFonts w:hint="eastAsia" w:ascii="宋体" w:hAnsi="宋体" w:cs="仿宋"/>
          <w:kern w:val="0"/>
          <w:sz w:val="24"/>
        </w:rPr>
        <w:t>号）的规定，本公司（联合体）参加</w:t>
      </w:r>
      <w:r>
        <w:rPr>
          <w:rFonts w:hint="eastAsia" w:ascii="宋体" w:hAnsi="宋体" w:cs="仿宋"/>
          <w:kern w:val="0"/>
          <w:sz w:val="24"/>
          <w:u w:val="single"/>
        </w:rPr>
        <w:t>（单位名称）</w:t>
      </w:r>
      <w:r>
        <w:rPr>
          <w:rFonts w:hint="eastAsia" w:ascii="宋体" w:hAnsi="宋体" w:cs="仿宋"/>
          <w:kern w:val="0"/>
          <w:sz w:val="24"/>
        </w:rPr>
        <w:t>的</w:t>
      </w:r>
      <w:r>
        <w:rPr>
          <w:rFonts w:hint="eastAsia" w:ascii="宋体" w:hAnsi="宋体" w:cs="仿宋"/>
          <w:kern w:val="0"/>
          <w:sz w:val="24"/>
          <w:u w:val="single"/>
        </w:rPr>
        <w:t>（项目名称）</w:t>
      </w:r>
      <w:r>
        <w:rPr>
          <w:rFonts w:hint="eastAsia" w:ascii="宋体" w:hAnsi="宋体" w:cs="仿宋"/>
          <w:kern w:val="0"/>
          <w:sz w:val="24"/>
        </w:rPr>
        <w:t>采购活动，提供的货物全部由符合政策要求的中小企业制造。相关企业（含联合体中的中小企业、签订分包意向协议的中小企业）的具体情况如下：</w:t>
      </w:r>
    </w:p>
    <w:p>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w:t>
      </w:r>
      <w:r>
        <w:rPr>
          <w:rFonts w:ascii="宋体" w:hAnsi="宋体" w:cs="仿宋"/>
          <w:kern w:val="0"/>
          <w:sz w:val="24"/>
        </w:rPr>
        <w:t xml:space="preserve">1. </w:t>
      </w:r>
      <w:r>
        <w:rPr>
          <w:rFonts w:hint="eastAsia" w:ascii="宋体" w:hAnsi="宋体" w:cs="仿宋"/>
          <w:kern w:val="0"/>
          <w:sz w:val="24"/>
          <w:u w:val="single"/>
        </w:rPr>
        <w:t>（标的名称）</w:t>
      </w:r>
      <w:r>
        <w:rPr>
          <w:rFonts w:ascii="宋体" w:hAnsi="宋体" w:cs="仿宋"/>
          <w:kern w:val="0"/>
          <w:sz w:val="24"/>
          <w:u w:val="single"/>
        </w:rPr>
        <w:t xml:space="preserve"> </w:t>
      </w:r>
      <w:r>
        <w:rPr>
          <w:rFonts w:hint="eastAsia" w:ascii="宋体" w:hAnsi="宋体" w:cs="仿宋"/>
          <w:kern w:val="0"/>
          <w:sz w:val="24"/>
        </w:rPr>
        <w:t>，属于</w:t>
      </w:r>
      <w:r>
        <w:rPr>
          <w:rFonts w:hint="eastAsia" w:ascii="宋体" w:hAnsi="宋体" w:cs="仿宋"/>
          <w:kern w:val="0"/>
          <w:sz w:val="24"/>
          <w:u w:val="single"/>
        </w:rPr>
        <w:t>（采购文件中明确的所属行业）</w:t>
      </w:r>
      <w:r>
        <w:rPr>
          <w:rFonts w:hint="eastAsia" w:ascii="宋体" w:hAnsi="宋体" w:cs="仿宋"/>
          <w:kern w:val="0"/>
          <w:sz w:val="24"/>
        </w:rPr>
        <w:t>行业；制造商为</w:t>
      </w:r>
      <w:r>
        <w:rPr>
          <w:rFonts w:hint="eastAsia" w:ascii="宋体" w:hAnsi="宋体" w:cs="仿宋"/>
          <w:kern w:val="0"/>
          <w:sz w:val="24"/>
          <w:u w:val="single"/>
        </w:rPr>
        <w:t>（企业名称）</w:t>
      </w:r>
      <w:r>
        <w:rPr>
          <w:rFonts w:hint="eastAsia" w:ascii="宋体" w:hAnsi="宋体" w:cs="仿宋"/>
          <w:kern w:val="0"/>
          <w:sz w:val="24"/>
        </w:rPr>
        <w:t>，从业人员</w:t>
      </w:r>
      <w:r>
        <w:rPr>
          <w:rFonts w:hint="eastAsia" w:ascii="宋体" w:hAnsi="宋体" w:cs="仿宋"/>
          <w:kern w:val="0"/>
          <w:sz w:val="24"/>
          <w:u w:val="single"/>
        </w:rPr>
        <w:t xml:space="preserve">       </w:t>
      </w:r>
      <w:r>
        <w:rPr>
          <w:rFonts w:hint="eastAsia" w:ascii="宋体" w:hAnsi="宋体" w:cs="仿宋"/>
          <w:kern w:val="0"/>
          <w:sz w:val="24"/>
        </w:rPr>
        <w:t>人，营业收入为</w:t>
      </w:r>
      <w:r>
        <w:rPr>
          <w:rFonts w:hint="eastAsia" w:ascii="宋体" w:hAnsi="宋体" w:cs="仿宋"/>
          <w:kern w:val="0"/>
          <w:sz w:val="24"/>
          <w:u w:val="single"/>
        </w:rPr>
        <w:t xml:space="preserve">    </w:t>
      </w:r>
      <w:r>
        <w:rPr>
          <w:rFonts w:hint="eastAsia" w:ascii="宋体" w:hAnsi="宋体" w:cs="仿宋"/>
          <w:kern w:val="0"/>
          <w:sz w:val="24"/>
        </w:rPr>
        <w:t>万元，资产总额为</w:t>
      </w:r>
      <w:r>
        <w:rPr>
          <w:rFonts w:hint="eastAsia" w:ascii="宋体" w:hAnsi="宋体" w:cs="仿宋"/>
          <w:kern w:val="0"/>
          <w:sz w:val="24"/>
          <w:u w:val="single"/>
        </w:rPr>
        <w:t xml:space="preserve">   </w:t>
      </w:r>
      <w:r>
        <w:rPr>
          <w:rFonts w:hint="eastAsia" w:ascii="宋体" w:hAnsi="宋体" w:cs="仿宋"/>
          <w:kern w:val="0"/>
          <w:sz w:val="24"/>
        </w:rPr>
        <w:t>万元，属于</w:t>
      </w:r>
      <w:r>
        <w:rPr>
          <w:rFonts w:hint="eastAsia" w:ascii="宋体" w:hAnsi="宋体" w:cs="仿宋"/>
          <w:kern w:val="0"/>
          <w:sz w:val="24"/>
          <w:u w:val="single"/>
        </w:rPr>
        <w:t>（中型企业、小型企业、微型企业）</w:t>
      </w:r>
      <w:r>
        <w:rPr>
          <w:rFonts w:hint="eastAsia" w:ascii="宋体" w:hAnsi="宋体" w:cs="仿宋"/>
          <w:kern w:val="0"/>
          <w:sz w:val="24"/>
        </w:rPr>
        <w:t>；</w:t>
      </w:r>
    </w:p>
    <w:p>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w:t>
      </w:r>
      <w:r>
        <w:rPr>
          <w:rFonts w:ascii="宋体" w:hAnsi="宋体" w:cs="仿宋"/>
          <w:kern w:val="0"/>
          <w:sz w:val="24"/>
        </w:rPr>
        <w:t xml:space="preserve">2. </w:t>
      </w:r>
      <w:r>
        <w:rPr>
          <w:rFonts w:hint="eastAsia" w:ascii="宋体" w:hAnsi="宋体" w:cs="仿宋"/>
          <w:kern w:val="0"/>
          <w:sz w:val="24"/>
          <w:u w:val="single"/>
        </w:rPr>
        <w:t>（标的名称）</w:t>
      </w:r>
      <w:r>
        <w:rPr>
          <w:rFonts w:ascii="宋体" w:hAnsi="宋体" w:cs="仿宋"/>
          <w:kern w:val="0"/>
          <w:sz w:val="24"/>
          <w:u w:val="single"/>
        </w:rPr>
        <w:t xml:space="preserve"> </w:t>
      </w:r>
      <w:r>
        <w:rPr>
          <w:rFonts w:hint="eastAsia" w:ascii="宋体" w:hAnsi="宋体" w:cs="仿宋"/>
          <w:kern w:val="0"/>
          <w:sz w:val="24"/>
        </w:rPr>
        <w:t>，属于</w:t>
      </w:r>
      <w:r>
        <w:rPr>
          <w:rFonts w:hint="eastAsia" w:ascii="宋体" w:hAnsi="宋体" w:cs="仿宋"/>
          <w:kern w:val="0"/>
          <w:sz w:val="24"/>
          <w:u w:val="single"/>
        </w:rPr>
        <w:t>（采购文件中明确的所属行业）</w:t>
      </w:r>
      <w:r>
        <w:rPr>
          <w:rFonts w:hint="eastAsia" w:ascii="宋体" w:hAnsi="宋体" w:cs="仿宋"/>
          <w:kern w:val="0"/>
          <w:sz w:val="24"/>
        </w:rPr>
        <w:t>行业；制造商为</w:t>
      </w:r>
      <w:r>
        <w:rPr>
          <w:rFonts w:hint="eastAsia" w:ascii="宋体" w:hAnsi="宋体" w:cs="仿宋"/>
          <w:kern w:val="0"/>
          <w:sz w:val="24"/>
          <w:u w:val="single"/>
        </w:rPr>
        <w:t>（企业名称）</w:t>
      </w:r>
      <w:r>
        <w:rPr>
          <w:rFonts w:hint="eastAsia" w:ascii="宋体" w:hAnsi="宋体" w:cs="仿宋"/>
          <w:kern w:val="0"/>
          <w:sz w:val="24"/>
        </w:rPr>
        <w:t>，从业人员</w:t>
      </w:r>
      <w:r>
        <w:rPr>
          <w:rFonts w:hint="eastAsia" w:ascii="宋体" w:hAnsi="宋体" w:cs="仿宋"/>
          <w:kern w:val="0"/>
          <w:sz w:val="24"/>
          <w:u w:val="single"/>
        </w:rPr>
        <w:t xml:space="preserve">       </w:t>
      </w:r>
      <w:r>
        <w:rPr>
          <w:rFonts w:hint="eastAsia" w:ascii="宋体" w:hAnsi="宋体" w:cs="仿宋"/>
          <w:kern w:val="0"/>
          <w:sz w:val="24"/>
        </w:rPr>
        <w:t>人，营业收入为</w:t>
      </w:r>
      <w:r>
        <w:rPr>
          <w:rFonts w:hint="eastAsia" w:ascii="宋体" w:hAnsi="宋体" w:cs="仿宋"/>
          <w:kern w:val="0"/>
          <w:sz w:val="24"/>
          <w:u w:val="single"/>
        </w:rPr>
        <w:t xml:space="preserve">    </w:t>
      </w:r>
      <w:r>
        <w:rPr>
          <w:rFonts w:hint="eastAsia" w:ascii="宋体" w:hAnsi="宋体" w:cs="仿宋"/>
          <w:kern w:val="0"/>
          <w:sz w:val="24"/>
        </w:rPr>
        <w:t>万元，资产总额为</w:t>
      </w:r>
      <w:r>
        <w:rPr>
          <w:rFonts w:hint="eastAsia" w:ascii="宋体" w:hAnsi="宋体" w:cs="仿宋"/>
          <w:kern w:val="0"/>
          <w:sz w:val="24"/>
          <w:u w:val="single"/>
        </w:rPr>
        <w:t xml:space="preserve">    </w:t>
      </w:r>
      <w:r>
        <w:rPr>
          <w:rFonts w:hint="eastAsia" w:ascii="宋体" w:hAnsi="宋体" w:cs="仿宋"/>
          <w:kern w:val="0"/>
          <w:sz w:val="24"/>
        </w:rPr>
        <w:t>万元，属于</w:t>
      </w:r>
      <w:r>
        <w:rPr>
          <w:rFonts w:hint="eastAsia" w:ascii="宋体" w:hAnsi="宋体" w:cs="仿宋"/>
          <w:kern w:val="0"/>
          <w:sz w:val="24"/>
          <w:u w:val="single"/>
        </w:rPr>
        <w:t>（中型企业、小型企业、微型企业）</w:t>
      </w:r>
      <w:r>
        <w:rPr>
          <w:rFonts w:hint="eastAsia" w:ascii="宋体" w:hAnsi="宋体" w:cs="仿宋"/>
          <w:kern w:val="0"/>
          <w:sz w:val="24"/>
        </w:rPr>
        <w:t>；</w:t>
      </w:r>
    </w:p>
    <w:p>
      <w:pPr>
        <w:autoSpaceDE w:val="0"/>
        <w:autoSpaceDN w:val="0"/>
        <w:adjustRightInd w:val="0"/>
        <w:spacing w:line="360" w:lineRule="auto"/>
        <w:rPr>
          <w:rFonts w:ascii="宋体" w:hAnsi="宋体" w:cs="仿宋"/>
          <w:kern w:val="0"/>
          <w:sz w:val="24"/>
        </w:rPr>
      </w:pPr>
      <w:r>
        <w:rPr>
          <w:rFonts w:hint="eastAsia" w:ascii="宋体" w:hAnsi="宋体" w:cs="仿宋"/>
          <w:kern w:val="0"/>
          <w:sz w:val="24"/>
        </w:rPr>
        <w:t>……</w:t>
      </w:r>
    </w:p>
    <w:p>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以上企业，不属于大企业的分支机构，不存在控股股东为大企业的情形，也不存在与大企业的负责人为同一人的情形。</w:t>
      </w:r>
    </w:p>
    <w:p>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本企业对上述声明内容的真实性负责。如有虚假，将依法承担相应责任。</w:t>
      </w:r>
    </w:p>
    <w:p>
      <w:pPr>
        <w:autoSpaceDE w:val="0"/>
        <w:autoSpaceDN w:val="0"/>
        <w:adjustRightInd w:val="0"/>
        <w:spacing w:line="360" w:lineRule="auto"/>
        <w:ind w:firstLine="723" w:firstLineChars="300"/>
        <w:rPr>
          <w:b/>
          <w:sz w:val="24"/>
        </w:rPr>
      </w:pPr>
      <w:r>
        <w:rPr>
          <w:b/>
          <w:sz w:val="24"/>
        </w:rPr>
        <w:t>注：</w:t>
      </w:r>
      <w:r>
        <w:rPr>
          <w:rFonts w:hint="eastAsia"/>
          <w:b/>
          <w:sz w:val="24"/>
          <w:lang w:val="en-US" w:eastAsia="zh-CN"/>
        </w:rPr>
        <w:t>1、</w:t>
      </w:r>
      <w:r>
        <w:rPr>
          <w:b/>
          <w:sz w:val="24"/>
        </w:rPr>
        <w:t>若无此项内容，可不提供此函。</w:t>
      </w:r>
    </w:p>
    <w:p>
      <w:pPr>
        <w:autoSpaceDE w:val="0"/>
        <w:autoSpaceDN w:val="0"/>
        <w:adjustRightInd w:val="0"/>
        <w:spacing w:line="360" w:lineRule="auto"/>
        <w:ind w:firstLine="1205" w:firstLineChars="500"/>
        <w:rPr>
          <w:b/>
          <w:color w:val="auto"/>
          <w:sz w:val="24"/>
        </w:rPr>
      </w:pPr>
      <w:r>
        <w:rPr>
          <w:rFonts w:hint="eastAsia"/>
          <w:b/>
          <w:color w:val="auto"/>
          <w:sz w:val="24"/>
          <w:lang w:val="en-US" w:eastAsia="zh-CN"/>
        </w:rPr>
        <w:t>2、</w:t>
      </w:r>
      <w:r>
        <w:rPr>
          <w:rFonts w:hint="eastAsia"/>
          <w:b/>
          <w:color w:val="auto"/>
          <w:sz w:val="24"/>
        </w:rPr>
        <w:t>本项目的所属行业为</w:t>
      </w:r>
      <w:r>
        <w:rPr>
          <w:rFonts w:hint="eastAsia"/>
          <w:b/>
          <w:color w:val="auto"/>
          <w:sz w:val="24"/>
          <w:lang w:eastAsia="zh-CN"/>
        </w:rPr>
        <w:t>工</w:t>
      </w:r>
      <w:r>
        <w:rPr>
          <w:rFonts w:hint="eastAsia"/>
          <w:b/>
          <w:color w:val="auto"/>
          <w:sz w:val="24"/>
        </w:rPr>
        <w:t>业</w:t>
      </w:r>
      <w:r>
        <w:rPr>
          <w:b/>
          <w:color w:val="auto"/>
          <w:sz w:val="24"/>
        </w:rPr>
        <w:t>。</w:t>
      </w:r>
    </w:p>
    <w:p>
      <w:pPr>
        <w:autoSpaceDE w:val="0"/>
        <w:autoSpaceDN w:val="0"/>
        <w:adjustRightInd w:val="0"/>
        <w:spacing w:line="360" w:lineRule="auto"/>
        <w:jc w:val="right"/>
        <w:rPr>
          <w:rFonts w:ascii="宋体" w:hAnsi="宋体" w:cs="仿宋"/>
          <w:kern w:val="0"/>
          <w:sz w:val="24"/>
        </w:rPr>
      </w:pPr>
    </w:p>
    <w:p>
      <w:pPr>
        <w:autoSpaceDE w:val="0"/>
        <w:autoSpaceDN w:val="0"/>
        <w:adjustRightInd w:val="0"/>
        <w:spacing w:line="360" w:lineRule="auto"/>
        <w:jc w:val="right"/>
        <w:rPr>
          <w:rFonts w:ascii="宋体" w:hAnsi="宋体" w:cs="仿宋"/>
          <w:kern w:val="0"/>
          <w:sz w:val="24"/>
        </w:rPr>
      </w:pPr>
    </w:p>
    <w:p>
      <w:pPr>
        <w:autoSpaceDE w:val="0"/>
        <w:autoSpaceDN w:val="0"/>
        <w:adjustRightInd w:val="0"/>
        <w:spacing w:line="360" w:lineRule="auto"/>
        <w:jc w:val="right"/>
        <w:rPr>
          <w:rFonts w:ascii="宋体" w:hAnsi="宋体" w:cs="仿宋"/>
          <w:kern w:val="0"/>
          <w:sz w:val="24"/>
        </w:rPr>
      </w:pPr>
    </w:p>
    <w:p>
      <w:pPr>
        <w:autoSpaceDE w:val="0"/>
        <w:autoSpaceDN w:val="0"/>
        <w:adjustRightInd w:val="0"/>
        <w:spacing w:line="360" w:lineRule="auto"/>
        <w:rPr>
          <w:rFonts w:ascii="宋体" w:hAnsi="宋体" w:cs="仿宋"/>
          <w:kern w:val="0"/>
          <w:sz w:val="24"/>
        </w:rPr>
      </w:pPr>
    </w:p>
    <w:p>
      <w:pPr>
        <w:autoSpaceDE w:val="0"/>
        <w:autoSpaceDN w:val="0"/>
        <w:adjustRightInd w:val="0"/>
        <w:spacing w:line="360" w:lineRule="auto"/>
        <w:jc w:val="center"/>
        <w:rPr>
          <w:rFonts w:ascii="宋体" w:hAnsi="宋体" w:cs="仿宋"/>
          <w:kern w:val="0"/>
          <w:sz w:val="24"/>
        </w:rPr>
      </w:pPr>
      <w:r>
        <w:rPr>
          <w:rFonts w:hint="eastAsia" w:ascii="宋体" w:hAnsi="宋体" w:cs="仿宋"/>
          <w:kern w:val="0"/>
          <w:sz w:val="24"/>
        </w:rPr>
        <w:t xml:space="preserve">                                             企业名称（盖章）：   </w:t>
      </w:r>
    </w:p>
    <w:p>
      <w:pPr>
        <w:autoSpaceDE w:val="0"/>
        <w:autoSpaceDN w:val="0"/>
        <w:adjustRightInd w:val="0"/>
        <w:spacing w:line="360" w:lineRule="auto"/>
        <w:jc w:val="center"/>
        <w:rPr>
          <w:rFonts w:ascii="宋体" w:hAnsi="宋体" w:cs="仿宋"/>
          <w:kern w:val="0"/>
          <w:sz w:val="24"/>
        </w:rPr>
      </w:pPr>
      <w:r>
        <w:rPr>
          <w:rFonts w:hint="eastAsia" w:ascii="宋体" w:hAnsi="宋体" w:cs="仿宋"/>
          <w:kern w:val="0"/>
          <w:sz w:val="24"/>
        </w:rPr>
        <w:t xml:space="preserve">                                                         日期：</w:t>
      </w:r>
    </w:p>
    <w:p>
      <w:pPr>
        <w:autoSpaceDE w:val="0"/>
        <w:autoSpaceDN w:val="0"/>
        <w:adjustRightInd w:val="0"/>
        <w:spacing w:line="360" w:lineRule="auto"/>
        <w:jc w:val="right"/>
        <w:rPr>
          <w:rFonts w:ascii="宋体" w:hAnsi="宋体" w:cs="仿宋"/>
          <w:kern w:val="0"/>
          <w:sz w:val="24"/>
        </w:rPr>
      </w:pPr>
    </w:p>
    <w:p>
      <w:pPr>
        <w:spacing w:line="360" w:lineRule="auto"/>
        <w:rPr>
          <w:sz w:val="24"/>
        </w:rPr>
      </w:pPr>
      <w:r>
        <w:rPr>
          <w:rFonts w:hint="eastAsia" w:ascii="宋体" w:cs="宋体"/>
          <w:kern w:val="0"/>
          <w:sz w:val="24"/>
        </w:rPr>
        <w:t>从业人员、营业收入、资产总额填报上一年度数据，无上一年度数据的新成立企业可不填报。</w:t>
      </w:r>
    </w:p>
    <w:p>
      <w:pPr>
        <w:spacing w:line="480" w:lineRule="auto"/>
        <w:jc w:val="right"/>
        <w:rPr>
          <w:b/>
          <w:bCs/>
          <w:kern w:val="0"/>
        </w:rPr>
      </w:pPr>
    </w:p>
    <w:p>
      <w:pPr>
        <w:adjustRightInd w:val="0"/>
        <w:snapToGrid w:val="0"/>
        <w:spacing w:line="440" w:lineRule="exact"/>
        <w:ind w:left="6114" w:hanging="6114" w:hangingChars="2900"/>
        <w:jc w:val="center"/>
        <w:rPr>
          <w:b/>
          <w:bCs/>
          <w:kern w:val="0"/>
          <w:lang w:val="zh-CN"/>
        </w:rPr>
      </w:pPr>
    </w:p>
    <w:p>
      <w:pPr>
        <w:autoSpaceDE w:val="0"/>
        <w:autoSpaceDN w:val="0"/>
        <w:spacing w:line="360" w:lineRule="auto"/>
        <w:jc w:val="center"/>
        <w:rPr>
          <w:b/>
          <w:bCs/>
          <w:kern w:val="0"/>
          <w:sz w:val="28"/>
          <w:szCs w:val="28"/>
        </w:rPr>
      </w:pPr>
      <w:r>
        <w:rPr>
          <w:sz w:val="30"/>
          <w:szCs w:val="30"/>
        </w:rPr>
        <w:br w:type="page"/>
      </w:r>
      <w:bookmarkStart w:id="140" w:name="_Toc30801"/>
      <w:bookmarkStart w:id="141" w:name="_Toc9477"/>
      <w:r>
        <w:rPr>
          <w:rFonts w:hint="eastAsia"/>
          <w:b/>
          <w:bCs/>
          <w:kern w:val="0"/>
          <w:sz w:val="28"/>
          <w:szCs w:val="28"/>
        </w:rPr>
        <w:t>监狱企业证明资料</w:t>
      </w:r>
      <w:bookmarkEnd w:id="140"/>
      <w:bookmarkEnd w:id="141"/>
    </w:p>
    <w:p>
      <w:pPr>
        <w:autoSpaceDE w:val="0"/>
        <w:autoSpaceDN w:val="0"/>
        <w:spacing w:line="360" w:lineRule="auto"/>
        <w:jc w:val="center"/>
        <w:rPr>
          <w:rFonts w:ascii="楷体" w:hAnsi="楷体" w:eastAsia="楷体" w:cs="楷体"/>
          <w:sz w:val="32"/>
          <w:szCs w:val="32"/>
        </w:rPr>
      </w:pPr>
    </w:p>
    <w:p>
      <w:pPr>
        <w:adjustRightInd w:val="0"/>
        <w:snapToGrid w:val="0"/>
        <w:spacing w:line="560" w:lineRule="exact"/>
        <w:jc w:val="center"/>
        <w:rPr>
          <w:rFonts w:ascii="仿宋_GB2312" w:hAnsi="仿宋_GB2312" w:eastAsia="仿宋_GB2312" w:cs="仿宋_GB2312"/>
          <w:sz w:val="32"/>
          <w:szCs w:val="32"/>
        </w:rPr>
      </w:pPr>
      <w:bookmarkStart w:id="142" w:name="_Toc28022_WPSOffice_Level3"/>
      <w:bookmarkStart w:id="143" w:name="_Toc25903_WPSOffice_Level3"/>
      <w:r>
        <w:rPr>
          <w:rFonts w:hint="eastAsia" w:ascii="仿宋_GB2312" w:hAnsi="仿宋_GB2312" w:eastAsia="仿宋_GB2312" w:cs="仿宋_GB2312"/>
          <w:b/>
          <w:spacing w:val="6"/>
          <w:sz w:val="32"/>
          <w:szCs w:val="32"/>
        </w:rPr>
        <w:t>(不属于监狱企业的无需提供)</w:t>
      </w:r>
      <w:bookmarkEnd w:id="142"/>
      <w:bookmarkEnd w:id="143"/>
    </w:p>
    <w:p>
      <w:pPr>
        <w:adjustRightInd w:val="0"/>
        <w:snapToGrid w:val="0"/>
        <w:spacing w:line="560" w:lineRule="exact"/>
        <w:ind w:firstLine="480" w:firstLineChars="200"/>
        <w:rPr>
          <w:rFonts w:ascii="宋体" w:hAnsi="宋体" w:cs="仿宋"/>
          <w:kern w:val="0"/>
          <w:sz w:val="24"/>
        </w:rPr>
      </w:pPr>
      <w:r>
        <w:rPr>
          <w:rFonts w:hint="eastAsia" w:ascii="宋体" w:hAnsi="宋体" w:cs="仿宋"/>
          <w:kern w:val="0"/>
          <w:sz w:val="24"/>
        </w:rPr>
        <w:t>备注：按《财政部司法部关于政府采购支持监狱企业发展有关问题的通知》(财库〔2014〕68号)文件规定提供证明文件（复印件）。</w:t>
      </w:r>
    </w:p>
    <w:p>
      <w:pPr>
        <w:spacing w:before="120" w:beforeLines="50" w:line="560" w:lineRule="exact"/>
        <w:ind w:firstLine="480" w:firstLineChars="200"/>
        <w:jc w:val="right"/>
        <w:rPr>
          <w:rFonts w:ascii="宋体" w:hAnsi="宋体" w:cs="仿宋"/>
          <w:kern w:val="0"/>
          <w:sz w:val="24"/>
        </w:rPr>
      </w:pPr>
      <w:r>
        <w:rPr>
          <w:rFonts w:hint="eastAsia" w:ascii="宋体" w:hAnsi="宋体" w:cs="仿宋"/>
          <w:kern w:val="0"/>
          <w:sz w:val="24"/>
        </w:rPr>
        <w:t xml:space="preserve">                 </w:t>
      </w:r>
      <w:bookmarkStart w:id="144" w:name="_Toc22071_WPSOffice_Level3"/>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p>
    <w:p>
      <w:pPr>
        <w:spacing w:before="120" w:beforeLines="50" w:line="560" w:lineRule="exact"/>
        <w:ind w:firstLine="480" w:firstLineChars="200"/>
        <w:jc w:val="right"/>
        <w:rPr>
          <w:rFonts w:ascii="宋体" w:hAnsi="宋体" w:cs="仿宋"/>
          <w:kern w:val="0"/>
          <w:sz w:val="24"/>
        </w:rPr>
      </w:pPr>
      <w:r>
        <w:rPr>
          <w:rFonts w:hint="eastAsia" w:ascii="宋体" w:hAnsi="宋体" w:cs="仿宋"/>
          <w:kern w:val="0"/>
          <w:sz w:val="24"/>
        </w:rPr>
        <w:t xml:space="preserve">单位名称：   </w:t>
      </w:r>
      <w:r>
        <w:rPr>
          <w:rFonts w:hint="eastAsia" w:ascii="宋体" w:hAnsi="宋体" w:cs="仿宋"/>
          <w:kern w:val="0"/>
          <w:sz w:val="24"/>
          <w:lang w:val="en-US" w:eastAsia="zh-CN"/>
        </w:rPr>
        <w:t xml:space="preserve">      </w:t>
      </w:r>
      <w:r>
        <w:rPr>
          <w:rFonts w:hint="eastAsia" w:ascii="宋体" w:hAnsi="宋体" w:cs="仿宋"/>
          <w:kern w:val="0"/>
          <w:sz w:val="24"/>
        </w:rPr>
        <w:t xml:space="preserve">    （公章）</w:t>
      </w:r>
      <w:bookmarkEnd w:id="144"/>
    </w:p>
    <w:p>
      <w:pPr>
        <w:spacing w:before="120" w:beforeLines="50" w:line="560" w:lineRule="exact"/>
        <w:ind w:firstLine="480" w:firstLineChars="200"/>
        <w:jc w:val="right"/>
        <w:rPr>
          <w:rFonts w:ascii="宋体" w:hAnsi="宋体" w:cs="仿宋"/>
          <w:kern w:val="0"/>
          <w:sz w:val="24"/>
        </w:rPr>
      </w:pPr>
      <w:r>
        <w:rPr>
          <w:rFonts w:hint="eastAsia" w:ascii="宋体" w:hAnsi="宋体" w:cs="仿宋"/>
          <w:kern w:val="0"/>
          <w:sz w:val="24"/>
        </w:rPr>
        <w:t xml:space="preserve">        </w:t>
      </w:r>
      <w:bookmarkStart w:id="145" w:name="_Toc11539_WPSOffice_Level3"/>
      <w:r>
        <w:rPr>
          <w:rFonts w:hint="eastAsia" w:ascii="宋体" w:hAnsi="宋体" w:cs="仿宋"/>
          <w:kern w:val="0"/>
          <w:sz w:val="24"/>
        </w:rPr>
        <w:t>法定代表人或委托代理人：       （签字或盖章）</w:t>
      </w:r>
      <w:bookmarkEnd w:id="145"/>
    </w:p>
    <w:p>
      <w:pPr>
        <w:spacing w:before="120" w:beforeLines="50" w:line="560" w:lineRule="exact"/>
        <w:ind w:firstLine="640" w:firstLineChars="200"/>
        <w:jc w:val="center"/>
        <w:rPr>
          <w:rFonts w:ascii="宋体" w:hAnsi="宋体" w:cs="仿宋"/>
          <w:kern w:val="0"/>
          <w:sz w:val="24"/>
        </w:rPr>
      </w:pPr>
      <w:r>
        <w:rPr>
          <w:rFonts w:hint="eastAsia" w:ascii="仿宋_GB2312" w:hAnsi="仿宋_GB2312" w:eastAsia="仿宋_GB2312" w:cs="仿宋_GB2312"/>
          <w:bCs/>
          <w:color w:val="000000"/>
          <w:sz w:val="32"/>
          <w:szCs w:val="32"/>
        </w:rPr>
        <w:t xml:space="preserve">                                    </w:t>
      </w:r>
      <w:bookmarkStart w:id="146" w:name="_Toc3285_WPSOffice_Level3"/>
      <w:r>
        <w:rPr>
          <w:rFonts w:hint="eastAsia" w:ascii="宋体" w:hAnsi="宋体" w:cs="仿宋"/>
          <w:kern w:val="0"/>
          <w:sz w:val="24"/>
        </w:rPr>
        <w:t>年   月  日</w:t>
      </w:r>
      <w:bookmarkEnd w:id="146"/>
    </w:p>
    <w:p>
      <w:pPr>
        <w:pStyle w:val="32"/>
        <w:jc w:val="both"/>
        <w:rPr>
          <w:rFonts w:ascii="Times New Roman" w:hAnsi="Times New Roman"/>
          <w:sz w:val="30"/>
          <w:szCs w:val="30"/>
        </w:rPr>
      </w:pPr>
    </w:p>
    <w:p/>
    <w:p>
      <w:pPr>
        <w:autoSpaceDE w:val="0"/>
        <w:autoSpaceDN w:val="0"/>
        <w:spacing w:line="360" w:lineRule="auto"/>
        <w:jc w:val="center"/>
        <w:rPr>
          <w:b/>
          <w:bCs/>
          <w:kern w:val="0"/>
          <w:sz w:val="28"/>
          <w:szCs w:val="28"/>
        </w:rPr>
      </w:pPr>
      <w:r>
        <w:rPr>
          <w:b/>
          <w:bCs/>
          <w:kern w:val="0"/>
          <w:sz w:val="28"/>
          <w:szCs w:val="28"/>
          <w:lang w:val="zh-CN"/>
        </w:rPr>
        <w:br w:type="page"/>
      </w:r>
      <w:r>
        <w:rPr>
          <w:b/>
          <w:bCs/>
          <w:kern w:val="0"/>
          <w:sz w:val="28"/>
          <w:szCs w:val="28"/>
        </w:rPr>
        <w:t>残疾人福利性单位声明函</w:t>
      </w:r>
    </w:p>
    <w:p>
      <w:pPr>
        <w:spacing w:after="120" w:afterLines="50"/>
        <w:rPr>
          <w:bCs/>
        </w:rPr>
      </w:pPr>
    </w:p>
    <w:p>
      <w:pPr>
        <w:adjustRightInd w:val="0"/>
        <w:snapToGrid w:val="0"/>
        <w:spacing w:line="440" w:lineRule="exact"/>
        <w:ind w:left="6987" w:hanging="6987" w:hangingChars="2900"/>
        <w:rPr>
          <w:b/>
          <w:bCs/>
          <w:kern w:val="0"/>
          <w:sz w:val="24"/>
          <w:lang w:val="zh-CN"/>
        </w:rPr>
      </w:pPr>
      <w:r>
        <w:rPr>
          <w:b/>
          <w:bCs/>
          <w:kern w:val="0"/>
          <w:sz w:val="24"/>
          <w:lang w:val="zh-CN"/>
        </w:rPr>
        <w:t>致：青海国焱工程项目管理有限公司</w:t>
      </w:r>
    </w:p>
    <w:p>
      <w:pPr>
        <w:spacing w:line="360" w:lineRule="auto"/>
        <w:ind w:firstLine="480"/>
      </w:pPr>
    </w:p>
    <w:p>
      <w:pPr>
        <w:adjustRightInd w:val="0"/>
        <w:snapToGrid w:val="0"/>
        <w:spacing w:line="440" w:lineRule="exact"/>
        <w:ind w:left="-4" w:leftChars="-2" w:firstLine="480" w:firstLineChars="200"/>
        <w:rPr>
          <w:sz w:val="24"/>
        </w:rPr>
      </w:pPr>
      <w:r>
        <w:rPr>
          <w:sz w:val="24"/>
        </w:rPr>
        <w:t>本单位郑重声明，根据《财政部、民政部、中国残疾人联合会关于促进残疾人就业政府采购政策的通知》（财库〔2017〕141号）的规定，本单位为符合条件的残疾人福利性单位，本单位在职职工人数为       人，安置的残疾人人数      人。且本单位参加______单位的______项目采购活动提供本单位制造的货物（由本单位承担工程/提供服务），或者提供其他残疾人福利性单位制造的货物（不包括使用非残疾人福利性单位注册商标的货物）。</w:t>
      </w:r>
    </w:p>
    <w:p>
      <w:pPr>
        <w:adjustRightInd w:val="0"/>
        <w:snapToGrid w:val="0"/>
        <w:spacing w:line="440" w:lineRule="exact"/>
        <w:ind w:left="-4" w:leftChars="-2" w:firstLine="480" w:firstLineChars="200"/>
        <w:rPr>
          <w:sz w:val="24"/>
        </w:rPr>
      </w:pPr>
      <w:r>
        <w:rPr>
          <w:sz w:val="24"/>
        </w:rPr>
        <w:t>本单位对上述声明的真实性负责。如有虚假，将依法承担相应责任。</w:t>
      </w:r>
    </w:p>
    <w:p>
      <w:pPr>
        <w:adjustRightInd w:val="0"/>
        <w:snapToGrid w:val="0"/>
        <w:spacing w:line="440" w:lineRule="exact"/>
        <w:ind w:left="-4" w:leftChars="-2" w:firstLine="480" w:firstLineChars="200"/>
        <w:rPr>
          <w:sz w:val="24"/>
        </w:rPr>
      </w:pPr>
    </w:p>
    <w:p>
      <w:pPr>
        <w:adjustRightInd w:val="0"/>
        <w:snapToGrid w:val="0"/>
        <w:spacing w:line="440" w:lineRule="exact"/>
        <w:ind w:left="-4" w:leftChars="-2" w:firstLine="480" w:firstLineChars="200"/>
        <w:rPr>
          <w:sz w:val="24"/>
        </w:rPr>
      </w:pPr>
      <w:r>
        <w:rPr>
          <w:sz w:val="24"/>
        </w:rPr>
        <w:t>注：若无此项内容，可不提供此函。</w:t>
      </w: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spacing w:line="360" w:lineRule="auto"/>
        <w:ind w:firstLine="480"/>
      </w:pPr>
    </w:p>
    <w:p>
      <w:pPr>
        <w:autoSpaceDE w:val="0"/>
        <w:autoSpaceDN w:val="0"/>
        <w:spacing w:line="360" w:lineRule="auto"/>
        <w:jc w:val="right"/>
        <w:rPr>
          <w:bCs/>
          <w:sz w:val="24"/>
          <w:szCs w:val="28"/>
        </w:rPr>
      </w:pPr>
      <w:r>
        <w:rPr>
          <w:b/>
        </w:rPr>
        <w:t xml:space="preserve">                                </w:t>
      </w:r>
      <w:r>
        <w:rPr>
          <w:bCs/>
          <w:sz w:val="24"/>
          <w:szCs w:val="28"/>
        </w:rPr>
        <w:t xml:space="preserve">企业名称：   </w:t>
      </w:r>
      <w:r>
        <w:rPr>
          <w:rFonts w:hint="eastAsia"/>
          <w:bCs/>
          <w:sz w:val="24"/>
          <w:szCs w:val="28"/>
          <w:lang w:val="en-US" w:eastAsia="zh-CN"/>
        </w:rPr>
        <w:t xml:space="preserve">      </w:t>
      </w:r>
      <w:r>
        <w:rPr>
          <w:bCs/>
          <w:sz w:val="24"/>
          <w:szCs w:val="28"/>
        </w:rPr>
        <w:t xml:space="preserve">    （公章）</w:t>
      </w:r>
    </w:p>
    <w:p>
      <w:pPr>
        <w:autoSpaceDE w:val="0"/>
        <w:autoSpaceDN w:val="0"/>
        <w:spacing w:line="360" w:lineRule="auto"/>
        <w:jc w:val="right"/>
        <w:rPr>
          <w:bCs/>
          <w:sz w:val="24"/>
          <w:szCs w:val="28"/>
        </w:rPr>
      </w:pPr>
      <w:r>
        <w:rPr>
          <w:bCs/>
          <w:sz w:val="24"/>
          <w:szCs w:val="28"/>
        </w:rPr>
        <w:t xml:space="preserve">       企业法定代表人：       （签字或盖章）</w:t>
      </w:r>
    </w:p>
    <w:p>
      <w:pPr>
        <w:autoSpaceDE w:val="0"/>
        <w:autoSpaceDN w:val="0"/>
        <w:spacing w:line="360" w:lineRule="auto"/>
        <w:jc w:val="right"/>
        <w:rPr>
          <w:bCs/>
          <w:sz w:val="24"/>
          <w:szCs w:val="28"/>
        </w:rPr>
      </w:pPr>
      <w:r>
        <w:rPr>
          <w:bCs/>
          <w:sz w:val="24"/>
          <w:szCs w:val="28"/>
        </w:rPr>
        <w:t xml:space="preserve">                                                              年   月  日</w:t>
      </w:r>
    </w:p>
    <w:p>
      <w:pPr>
        <w:spacing w:line="360" w:lineRule="auto"/>
        <w:ind w:firstLine="480"/>
        <w:rPr>
          <w:rFonts w:ascii="宋体" w:hAnsi="宋体" w:cs="宋体"/>
          <w:sz w:val="24"/>
        </w:rPr>
      </w:pPr>
    </w:p>
    <w:p>
      <w:pPr>
        <w:spacing w:line="360" w:lineRule="auto"/>
        <w:ind w:firstLine="480"/>
        <w:rPr>
          <w:rFonts w:ascii="宋体" w:hAnsi="宋体" w:cs="宋体"/>
          <w:sz w:val="24"/>
        </w:rPr>
      </w:pPr>
    </w:p>
    <w:p>
      <w:pPr>
        <w:pStyle w:val="9"/>
        <w:numPr>
          <w:ilvl w:val="0"/>
          <w:numId w:val="0"/>
        </w:numPr>
        <w:rPr>
          <w:rFonts w:hAnsi="宋体" w:cs="宋体"/>
          <w:sz w:val="24"/>
          <w:szCs w:val="24"/>
        </w:rPr>
      </w:pPr>
      <w:r>
        <w:rPr>
          <w:rFonts w:hAnsi="宋体"/>
          <w:bCs/>
          <w:sz w:val="24"/>
          <w:szCs w:val="24"/>
        </w:rPr>
        <w:br w:type="page"/>
      </w:r>
      <w:bookmarkStart w:id="147" w:name="_Toc14949"/>
      <w:bookmarkStart w:id="148" w:name="_Toc31287"/>
      <w:r>
        <w:rPr>
          <w:rFonts w:hint="eastAsia" w:hAnsi="宋体"/>
          <w:b/>
          <w:sz w:val="24"/>
          <w:szCs w:val="24"/>
          <w:lang w:val="zh-CN"/>
        </w:rPr>
        <w:t>格式17、磋商供应商认为在其他方面有必要说明的事项</w:t>
      </w:r>
      <w:bookmarkEnd w:id="147"/>
      <w:bookmarkEnd w:id="148"/>
    </w:p>
    <w:p>
      <w:pPr>
        <w:autoSpaceDE w:val="0"/>
        <w:autoSpaceDN w:val="0"/>
        <w:adjustRightInd w:val="0"/>
        <w:spacing w:line="360" w:lineRule="auto"/>
        <w:rPr>
          <w:rFonts w:ascii="宋体" w:hAnsi="宋体" w:cs="宋体"/>
          <w:kern w:val="0"/>
          <w:sz w:val="24"/>
          <w:lang w:val="zh-CN"/>
        </w:rPr>
      </w:pPr>
    </w:p>
    <w:p>
      <w:pPr>
        <w:pStyle w:val="20"/>
        <w:spacing w:line="360" w:lineRule="auto"/>
        <w:jc w:val="center"/>
        <w:rPr>
          <w:rFonts w:hAnsi="宋体" w:cs="宋体"/>
          <w:b/>
          <w:bCs/>
          <w:sz w:val="24"/>
          <w:szCs w:val="24"/>
          <w:lang w:val="zh-CN"/>
        </w:rPr>
      </w:pPr>
      <w:r>
        <w:rPr>
          <w:rFonts w:hint="eastAsia" w:hAnsi="宋体" w:cs="宋体"/>
          <w:b/>
          <w:bCs/>
          <w:sz w:val="24"/>
          <w:szCs w:val="24"/>
          <w:lang w:val="zh-CN"/>
        </w:rPr>
        <w:t>磋商供应商认为在其他方面有必要说明的事项</w:t>
      </w:r>
    </w:p>
    <w:p>
      <w:pPr>
        <w:autoSpaceDE w:val="0"/>
        <w:autoSpaceDN w:val="0"/>
        <w:adjustRightInd w:val="0"/>
        <w:spacing w:line="360" w:lineRule="auto"/>
        <w:rPr>
          <w:rFonts w:ascii="宋体" w:hAnsi="宋体" w:cs="宋体"/>
          <w:kern w:val="0"/>
          <w:sz w:val="24"/>
          <w:lang w:val="zh-CN"/>
        </w:rPr>
      </w:pPr>
    </w:p>
    <w:p>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磋商供应商在参加本项目磋商中根据磋商文件的要求认为需要说明的事项。如没有说明事项，此项可忽略。（格式可自定）</w:t>
      </w:r>
    </w:p>
    <w:p>
      <w:pPr>
        <w:pStyle w:val="9"/>
        <w:numPr>
          <w:ilvl w:val="0"/>
          <w:numId w:val="0"/>
        </w:numPr>
        <w:ind w:left="709" w:hanging="709"/>
        <w:rPr>
          <w:rFonts w:hAnsi="宋体"/>
          <w:b/>
          <w:sz w:val="24"/>
          <w:szCs w:val="24"/>
          <w:lang w:val="zh-CN"/>
        </w:rPr>
      </w:pPr>
      <w:r>
        <w:rPr>
          <w:rFonts w:hAnsi="宋体"/>
          <w:bCs/>
          <w:sz w:val="24"/>
          <w:szCs w:val="24"/>
        </w:rPr>
        <w:br w:type="page"/>
      </w:r>
      <w:bookmarkStart w:id="149" w:name="_Toc13950"/>
      <w:r>
        <w:rPr>
          <w:rFonts w:hAnsi="宋体"/>
          <w:b/>
          <w:sz w:val="24"/>
          <w:szCs w:val="24"/>
          <w:lang w:val="zh-CN"/>
        </w:rPr>
        <w:t>格式</w:t>
      </w:r>
      <w:r>
        <w:rPr>
          <w:rFonts w:hint="eastAsia" w:hAnsi="宋体"/>
          <w:b/>
          <w:sz w:val="24"/>
          <w:szCs w:val="24"/>
          <w:lang w:val="zh-CN"/>
        </w:rPr>
        <w:t>18、</w:t>
      </w:r>
      <w:bookmarkEnd w:id="149"/>
      <w:r>
        <w:rPr>
          <w:rFonts w:hint="eastAsia" w:hAnsi="宋体"/>
          <w:b/>
          <w:sz w:val="24"/>
          <w:szCs w:val="24"/>
          <w:lang w:val="zh-CN"/>
        </w:rPr>
        <w:t>磋商最终报价表</w:t>
      </w:r>
      <w:r>
        <w:rPr>
          <w:rFonts w:hint="eastAsia" w:hAnsi="宋体"/>
          <w:b/>
          <w:sz w:val="24"/>
          <w:szCs w:val="24"/>
          <w:lang w:val="en-US" w:eastAsia="zh-CN"/>
        </w:rPr>
        <w:t>及</w:t>
      </w:r>
      <w:r>
        <w:rPr>
          <w:rFonts w:hint="eastAsia" w:ascii="宋体" w:hAnsi="宋体"/>
          <w:b/>
          <w:sz w:val="24"/>
        </w:rPr>
        <w:t>最终</w:t>
      </w:r>
      <w:r>
        <w:rPr>
          <w:rFonts w:hint="eastAsia" w:ascii="宋体" w:hAnsi="宋体" w:cs="宋体"/>
          <w:b/>
          <w:bCs/>
          <w:kern w:val="0"/>
          <w:sz w:val="24"/>
          <w:lang w:val="zh-CN"/>
        </w:rPr>
        <w:t>分项报价</w:t>
      </w:r>
      <w:r>
        <w:rPr>
          <w:rFonts w:hint="eastAsia" w:hAnsi="宋体" w:cs="宋体"/>
          <w:b/>
          <w:bCs/>
          <w:kern w:val="0"/>
          <w:sz w:val="24"/>
          <w:lang w:val="en-US" w:eastAsia="zh-CN"/>
        </w:rPr>
        <w:t>表</w:t>
      </w:r>
      <w:r>
        <w:rPr>
          <w:rFonts w:hint="eastAsia" w:hAnsi="宋体"/>
          <w:b/>
          <w:sz w:val="24"/>
          <w:szCs w:val="24"/>
        </w:rPr>
        <w:t>（单独提交）</w:t>
      </w:r>
    </w:p>
    <w:p>
      <w:pPr>
        <w:spacing w:line="360" w:lineRule="auto"/>
        <w:jc w:val="center"/>
        <w:rPr>
          <w:rFonts w:hint="eastAsia" w:ascii="宋体" w:hAnsi="宋体"/>
          <w:b/>
          <w:sz w:val="24"/>
        </w:rPr>
      </w:pPr>
    </w:p>
    <w:p>
      <w:pPr>
        <w:spacing w:line="360" w:lineRule="auto"/>
        <w:jc w:val="center"/>
        <w:rPr>
          <w:rFonts w:hint="eastAsia" w:ascii="宋体" w:hAnsi="宋体"/>
          <w:b/>
          <w:sz w:val="24"/>
        </w:rPr>
      </w:pPr>
      <w:r>
        <w:rPr>
          <w:rFonts w:hint="eastAsia" w:ascii="宋体" w:hAnsi="宋体"/>
          <w:b/>
          <w:sz w:val="24"/>
        </w:rPr>
        <w:t>磋商最终报价表</w:t>
      </w:r>
    </w:p>
    <w:p>
      <w:pPr>
        <w:pStyle w:val="2"/>
        <w:rPr>
          <w:rFonts w:hint="eastAsia" w:ascii="宋体" w:hAnsi="宋体"/>
          <w:b/>
          <w:sz w:val="24"/>
        </w:rPr>
      </w:pPr>
    </w:p>
    <w:p>
      <w:pPr>
        <w:pStyle w:val="3"/>
        <w:rPr>
          <w:rFonts w:hint="eastAsia"/>
        </w:rPr>
      </w:pPr>
    </w:p>
    <w:tbl>
      <w:tblPr>
        <w:tblStyle w:val="35"/>
        <w:tblW w:w="9968" w:type="dxa"/>
        <w:jc w:val="center"/>
        <w:tblLayout w:type="fixed"/>
        <w:tblCellMar>
          <w:top w:w="0" w:type="dxa"/>
          <w:left w:w="108" w:type="dxa"/>
          <w:bottom w:w="0" w:type="dxa"/>
          <w:right w:w="108" w:type="dxa"/>
        </w:tblCellMar>
      </w:tblPr>
      <w:tblGrid>
        <w:gridCol w:w="3458"/>
        <w:gridCol w:w="2951"/>
        <w:gridCol w:w="2313"/>
        <w:gridCol w:w="1246"/>
      </w:tblGrid>
      <w:tr>
        <w:tblPrEx>
          <w:tblCellMar>
            <w:top w:w="0" w:type="dxa"/>
            <w:left w:w="108" w:type="dxa"/>
            <w:bottom w:w="0" w:type="dxa"/>
            <w:right w:w="108" w:type="dxa"/>
          </w:tblCellMar>
        </w:tblPrEx>
        <w:trPr>
          <w:trHeight w:val="699" w:hRule="atLeast"/>
          <w:jc w:val="center"/>
        </w:trPr>
        <w:tc>
          <w:tcPr>
            <w:tcW w:w="345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r>
              <w:rPr>
                <w:rFonts w:ascii="宋体" w:hAnsi="宋体" w:cs="Arial"/>
                <w:bCs/>
                <w:sz w:val="24"/>
                <w:lang w:val="zh-CN"/>
              </w:rPr>
              <w:t>项目名称</w:t>
            </w: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ind w:firstLine="482"/>
              <w:jc w:val="center"/>
              <w:rPr>
                <w:rFonts w:ascii="宋体" w:hAnsi="宋体" w:cs="Arial"/>
                <w:sz w:val="24"/>
                <w:lang w:val="zh-CN"/>
              </w:rPr>
            </w:pPr>
            <w:r>
              <w:rPr>
                <w:rFonts w:ascii="宋体" w:hAnsi="宋体" w:cs="Arial"/>
                <w:bCs/>
                <w:sz w:val="24"/>
                <w:lang w:val="zh-CN"/>
              </w:rPr>
              <w:t>投标报价</w:t>
            </w:r>
          </w:p>
        </w:tc>
        <w:tc>
          <w:tcPr>
            <w:tcW w:w="2313" w:type="dxa"/>
            <w:tcBorders>
              <w:top w:val="single" w:color="000000" w:sz="6" w:space="0"/>
              <w:left w:val="single" w:color="000000" w:sz="6" w:space="0"/>
              <w:bottom w:val="single" w:color="000000" w:sz="6" w:space="0"/>
              <w:right w:val="single" w:color="auto" w:sz="4" w:space="0"/>
            </w:tcBorders>
            <w:shd w:val="clear" w:color="000000" w:fill="FFFFFF"/>
            <w:vAlign w:val="center"/>
          </w:tcPr>
          <w:p>
            <w:pPr>
              <w:autoSpaceDE w:val="0"/>
              <w:autoSpaceDN w:val="0"/>
              <w:spacing w:line="360" w:lineRule="auto"/>
              <w:jc w:val="center"/>
              <w:rPr>
                <w:rFonts w:ascii="宋体" w:hAnsi="宋体" w:cs="Arial"/>
                <w:bCs/>
                <w:sz w:val="24"/>
                <w:lang w:val="zh-CN"/>
              </w:rPr>
            </w:pPr>
            <w:r>
              <w:rPr>
                <w:rFonts w:ascii="宋体" w:hAnsi="宋体" w:cs="Arial"/>
                <w:bCs/>
                <w:sz w:val="24"/>
                <w:lang w:val="zh-CN"/>
              </w:rPr>
              <w:t>交货期</w:t>
            </w:r>
          </w:p>
        </w:tc>
        <w:tc>
          <w:tcPr>
            <w:tcW w:w="124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r>
              <w:rPr>
                <w:rFonts w:ascii="宋体" w:hAnsi="宋体" w:cs="Arial"/>
                <w:bCs/>
                <w:sz w:val="24"/>
                <w:lang w:val="zh-CN"/>
              </w:rPr>
              <w:t>备注</w:t>
            </w:r>
          </w:p>
        </w:tc>
      </w:tr>
      <w:tr>
        <w:tblPrEx>
          <w:tblCellMar>
            <w:top w:w="0" w:type="dxa"/>
            <w:left w:w="108" w:type="dxa"/>
            <w:bottom w:w="0" w:type="dxa"/>
            <w:right w:w="108" w:type="dxa"/>
          </w:tblCellMar>
        </w:tblPrEx>
        <w:trPr>
          <w:trHeight w:val="749" w:hRule="atLeast"/>
          <w:jc w:val="center"/>
        </w:trPr>
        <w:tc>
          <w:tcPr>
            <w:tcW w:w="3458" w:type="dxa"/>
            <w:vMerge w:val="restart"/>
            <w:tcBorders>
              <w:top w:val="single" w:color="000000" w:sz="6" w:space="0"/>
              <w:left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Arial"/>
                <w:sz w:val="24"/>
                <w:lang w:val="zh-CN"/>
              </w:rPr>
            </w:pPr>
            <w:r>
              <w:rPr>
                <w:rFonts w:ascii="宋体" w:hAnsi="宋体" w:cs="Arial"/>
                <w:bCs/>
                <w:sz w:val="24"/>
                <w:lang w:val="zh-CN"/>
              </w:rPr>
              <w:t>大写：</w:t>
            </w:r>
          </w:p>
        </w:tc>
        <w:tc>
          <w:tcPr>
            <w:tcW w:w="2313" w:type="dxa"/>
            <w:vMerge w:val="restart"/>
            <w:tcBorders>
              <w:top w:val="single" w:color="000000" w:sz="6" w:space="0"/>
              <w:left w:val="single" w:color="000000" w:sz="6" w:space="0"/>
              <w:bottom w:val="single" w:color="000000" w:sz="6" w:space="0"/>
              <w:right w:val="single" w:color="auto" w:sz="4" w:space="0"/>
            </w:tcBorders>
            <w:shd w:val="clear" w:color="000000" w:fill="FFFFFF"/>
            <w:vAlign w:val="center"/>
          </w:tcPr>
          <w:p>
            <w:pPr>
              <w:autoSpaceDE w:val="0"/>
              <w:autoSpaceDN w:val="0"/>
              <w:spacing w:line="360" w:lineRule="auto"/>
              <w:ind w:firstLine="197"/>
              <w:jc w:val="center"/>
              <w:rPr>
                <w:rFonts w:ascii="宋体" w:hAnsi="宋体" w:cs="Arial"/>
                <w:sz w:val="24"/>
                <w:lang w:val="zh-CN"/>
              </w:rPr>
            </w:pPr>
          </w:p>
        </w:tc>
        <w:tc>
          <w:tcPr>
            <w:tcW w:w="1246" w:type="dxa"/>
            <w:vMerge w:val="restart"/>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r>
      <w:tr>
        <w:tblPrEx>
          <w:tblCellMar>
            <w:top w:w="0" w:type="dxa"/>
            <w:left w:w="108" w:type="dxa"/>
            <w:bottom w:w="0" w:type="dxa"/>
            <w:right w:w="108" w:type="dxa"/>
          </w:tblCellMar>
        </w:tblPrEx>
        <w:trPr>
          <w:trHeight w:val="1026" w:hRule="atLeast"/>
          <w:jc w:val="center"/>
        </w:trPr>
        <w:tc>
          <w:tcPr>
            <w:tcW w:w="3458" w:type="dxa"/>
            <w:vMerge w:val="continue"/>
            <w:tcBorders>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rPr>
                <w:rFonts w:ascii="宋体" w:hAnsi="宋体" w:cs="Arial"/>
                <w:sz w:val="24"/>
                <w:lang w:val="zh-CN"/>
              </w:rPr>
            </w:pPr>
            <w:r>
              <w:rPr>
                <w:rFonts w:ascii="宋体" w:hAnsi="宋体" w:cs="Arial"/>
                <w:bCs/>
                <w:sz w:val="24"/>
                <w:lang w:val="zh-CN"/>
              </w:rPr>
              <w:t>小写：</w:t>
            </w:r>
          </w:p>
        </w:tc>
        <w:tc>
          <w:tcPr>
            <w:tcW w:w="2313" w:type="dxa"/>
            <w:vMerge w:val="continue"/>
            <w:tcBorders>
              <w:top w:val="single" w:color="000000" w:sz="6" w:space="0"/>
              <w:left w:val="single" w:color="000000" w:sz="6" w:space="0"/>
              <w:bottom w:val="single" w:color="000000" w:sz="6" w:space="0"/>
              <w:right w:val="single" w:color="auto" w:sz="4" w:space="0"/>
            </w:tcBorders>
            <w:shd w:val="clear" w:color="000000" w:fill="FFFFFF"/>
            <w:vAlign w:val="center"/>
          </w:tcPr>
          <w:p>
            <w:pPr>
              <w:autoSpaceDE w:val="0"/>
              <w:autoSpaceDN w:val="0"/>
              <w:spacing w:line="360" w:lineRule="auto"/>
              <w:jc w:val="center"/>
              <w:rPr>
                <w:rFonts w:ascii="宋体" w:hAnsi="宋体" w:cs="Arial"/>
                <w:sz w:val="24"/>
                <w:lang w:val="zh-CN"/>
              </w:rPr>
            </w:pPr>
          </w:p>
        </w:tc>
        <w:tc>
          <w:tcPr>
            <w:tcW w:w="1246" w:type="dxa"/>
            <w:vMerge w:val="continue"/>
            <w:tcBorders>
              <w:top w:val="single" w:color="000000" w:sz="6" w:space="0"/>
              <w:left w:val="single" w:color="000000" w:sz="6" w:space="0"/>
              <w:bottom w:val="single" w:color="000000" w:sz="6" w:space="0"/>
              <w:right w:val="single" w:color="000000" w:sz="6" w:space="0"/>
            </w:tcBorders>
            <w:shd w:val="clear" w:color="000000" w:fill="FFFFFF"/>
            <w:vAlign w:val="center"/>
          </w:tcPr>
          <w:p>
            <w:pPr>
              <w:autoSpaceDE w:val="0"/>
              <w:autoSpaceDN w:val="0"/>
              <w:spacing w:line="360" w:lineRule="auto"/>
              <w:jc w:val="center"/>
              <w:rPr>
                <w:rFonts w:ascii="宋体" w:hAnsi="宋体" w:cs="Arial"/>
                <w:sz w:val="24"/>
                <w:lang w:val="zh-CN"/>
              </w:rPr>
            </w:pPr>
          </w:p>
        </w:tc>
      </w:tr>
    </w:tbl>
    <w:p>
      <w:pPr>
        <w:pStyle w:val="2"/>
      </w:pPr>
    </w:p>
    <w:p>
      <w:pPr>
        <w:spacing w:line="360" w:lineRule="auto"/>
        <w:ind w:firstLine="482" w:firstLineChars="200"/>
        <w:rPr>
          <w:rFonts w:ascii="宋体" w:hAnsi="宋体"/>
          <w:b/>
          <w:sz w:val="24"/>
        </w:rPr>
      </w:pPr>
      <w:r>
        <w:rPr>
          <w:rFonts w:hint="eastAsia" w:ascii="宋体" w:hAnsi="宋体"/>
          <w:b/>
          <w:sz w:val="24"/>
        </w:rPr>
        <w:t>注</w:t>
      </w:r>
      <w:r>
        <w:rPr>
          <w:rFonts w:ascii="宋体" w:hAnsi="宋体"/>
          <w:b/>
          <w:sz w:val="24"/>
        </w:rPr>
        <w:t>：</w:t>
      </w:r>
      <w:r>
        <w:rPr>
          <w:rFonts w:hint="eastAsia" w:ascii="宋体" w:hAnsi="宋体"/>
          <w:b/>
          <w:sz w:val="24"/>
        </w:rPr>
        <w:t>此表不需填写在磋商响应文件中。在磋商期间，由磋商小组确定合格的磋商供应商线上提交，</w:t>
      </w:r>
      <w:r>
        <w:rPr>
          <w:rFonts w:ascii="宋体" w:hAnsi="宋体"/>
          <w:b/>
          <w:sz w:val="24"/>
        </w:rPr>
        <w:t>磋商供应商须在固定电脑设备前登陆等待磋商最终报价，磋商供应商</w:t>
      </w:r>
      <w:r>
        <w:rPr>
          <w:rFonts w:hint="eastAsia" w:ascii="宋体" w:hAnsi="宋体"/>
          <w:b/>
          <w:sz w:val="24"/>
        </w:rPr>
        <w:t>须在规定的时间内完成。</w:t>
      </w:r>
    </w:p>
    <w:p>
      <w:pPr>
        <w:tabs>
          <w:tab w:val="left" w:pos="168"/>
        </w:tabs>
        <w:adjustRightInd w:val="0"/>
        <w:spacing w:line="360" w:lineRule="auto"/>
        <w:textAlignment w:val="baseline"/>
        <w:rPr>
          <w:rFonts w:ascii="宋体" w:hAnsi="宋体"/>
          <w:b/>
          <w:bCs/>
          <w:sz w:val="24"/>
        </w:rPr>
      </w:pPr>
    </w:p>
    <w:p>
      <w:pPr>
        <w:tabs>
          <w:tab w:val="left" w:pos="168"/>
        </w:tabs>
        <w:adjustRightInd w:val="0"/>
        <w:spacing w:line="360" w:lineRule="auto"/>
        <w:textAlignment w:val="baseline"/>
        <w:rPr>
          <w:rFonts w:ascii="宋体" w:hAnsi="宋体"/>
          <w:b/>
          <w:bCs/>
          <w:sz w:val="24"/>
        </w:rPr>
      </w:pPr>
    </w:p>
    <w:p>
      <w:pPr>
        <w:tabs>
          <w:tab w:val="left" w:pos="168"/>
        </w:tabs>
        <w:adjustRightInd w:val="0"/>
        <w:spacing w:line="360" w:lineRule="auto"/>
        <w:textAlignment w:val="baseline"/>
        <w:rPr>
          <w:rFonts w:hint="eastAsia" w:ascii="宋体" w:hAnsi="宋体" w:eastAsia="宋体"/>
          <w:b/>
          <w:bCs/>
          <w:sz w:val="24"/>
          <w:lang w:val="en-US" w:eastAsia="zh-CN"/>
        </w:rPr>
      </w:pPr>
      <w:r>
        <w:rPr>
          <w:rFonts w:hint="eastAsia" w:ascii="宋体" w:hAnsi="宋体"/>
          <w:b/>
          <w:bCs/>
          <w:sz w:val="24"/>
          <w:lang w:val="en-US" w:eastAsia="zh-CN"/>
        </w:rPr>
        <w:t xml:space="preserve"> </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磋商供应商：    </w:t>
      </w:r>
      <w:r>
        <w:rPr>
          <w:rFonts w:hint="eastAsia" w:ascii="宋体" w:hAnsi="宋体"/>
          <w:bCs/>
          <w:sz w:val="24"/>
          <w:lang w:val="en-US" w:eastAsia="zh-CN"/>
        </w:rPr>
        <w:t xml:space="preserve">   </w:t>
      </w:r>
      <w:r>
        <w:rPr>
          <w:rFonts w:hint="eastAsia" w:ascii="宋体" w:hAnsi="宋体"/>
          <w:bCs/>
          <w:sz w:val="24"/>
        </w:rPr>
        <w:t xml:space="preserve">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pPr>
        <w:rPr>
          <w:rFonts w:hint="eastAsia" w:ascii="宋体" w:hAnsi="宋体" w:cs="宋体"/>
          <w:b/>
          <w:bCs/>
          <w:kern w:val="0"/>
          <w:sz w:val="24"/>
          <w:lang w:val="zh-CN"/>
        </w:rPr>
      </w:pPr>
    </w:p>
    <w:p>
      <w:pPr>
        <w:autoSpaceDE w:val="0"/>
        <w:autoSpaceDN w:val="0"/>
        <w:adjustRightInd w:val="0"/>
        <w:spacing w:line="360" w:lineRule="auto"/>
        <w:jc w:val="center"/>
        <w:rPr>
          <w:rFonts w:hint="eastAsia" w:ascii="宋体" w:hAnsi="宋体"/>
          <w:b/>
          <w:sz w:val="24"/>
        </w:rPr>
      </w:pPr>
    </w:p>
    <w:p>
      <w:pPr>
        <w:rPr>
          <w:rFonts w:hint="eastAsia" w:ascii="宋体" w:hAnsi="宋体"/>
          <w:b/>
          <w:sz w:val="24"/>
        </w:rPr>
      </w:pPr>
      <w:r>
        <w:rPr>
          <w:rFonts w:hint="eastAsia" w:ascii="宋体" w:hAnsi="宋体"/>
          <w:b/>
          <w:sz w:val="24"/>
        </w:rPr>
        <w:br w:type="page"/>
      </w:r>
    </w:p>
    <w:p>
      <w:pPr>
        <w:autoSpaceDE w:val="0"/>
        <w:autoSpaceDN w:val="0"/>
        <w:adjustRightInd w:val="0"/>
        <w:spacing w:line="360" w:lineRule="auto"/>
        <w:jc w:val="center"/>
        <w:rPr>
          <w:rFonts w:hint="eastAsia" w:ascii="宋体" w:hAnsi="宋体"/>
          <w:b/>
          <w:sz w:val="24"/>
        </w:rPr>
      </w:pP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b/>
          <w:sz w:val="24"/>
        </w:rPr>
        <w:t>最终</w:t>
      </w:r>
      <w:r>
        <w:rPr>
          <w:rFonts w:hint="eastAsia" w:ascii="宋体" w:hAnsi="宋体" w:cs="宋体"/>
          <w:b/>
          <w:bCs/>
          <w:kern w:val="0"/>
          <w:sz w:val="24"/>
          <w:lang w:val="zh-CN"/>
        </w:rPr>
        <w:t>分项报价表</w:t>
      </w:r>
    </w:p>
    <w:p>
      <w:pPr>
        <w:spacing w:line="360" w:lineRule="auto"/>
        <w:rPr>
          <w:rFonts w:ascii="宋体" w:hAnsi="宋体" w:cs="宋体"/>
          <w:b/>
          <w:bCs/>
          <w:kern w:val="0"/>
          <w:sz w:val="24"/>
          <w:lang w:val="zh-CN"/>
        </w:rPr>
      </w:pPr>
      <w:r>
        <w:rPr>
          <w:rFonts w:hint="eastAsia" w:ascii="宋体" w:hAnsi="宋体" w:cs="宋体"/>
          <w:b/>
          <w:bCs/>
          <w:kern w:val="0"/>
          <w:sz w:val="24"/>
          <w:lang w:val="zh-CN"/>
        </w:rPr>
        <w:t xml:space="preserve">采购项目名称:  </w:t>
      </w:r>
      <w:r>
        <w:rPr>
          <w:rFonts w:hint="eastAsia" w:ascii="宋体" w:hAnsi="宋体" w:cs="宋体"/>
          <w:b/>
          <w:bCs/>
          <w:kern w:val="0"/>
          <w:sz w:val="24"/>
          <w:lang w:val="en-US" w:eastAsia="zh-CN"/>
        </w:rPr>
        <w:t xml:space="preserve">                                            </w:t>
      </w:r>
      <w:r>
        <w:rPr>
          <w:rFonts w:hint="eastAsia" w:ascii="宋体" w:hAnsi="宋体" w:cs="宋体"/>
          <w:b/>
          <w:bCs/>
          <w:kern w:val="0"/>
          <w:sz w:val="24"/>
          <w:lang w:val="zh-CN"/>
        </w:rPr>
        <w:t>采购项目编号：</w:t>
      </w:r>
    </w:p>
    <w:p>
      <w:pPr>
        <w:spacing w:line="360" w:lineRule="auto"/>
        <w:jc w:val="right"/>
        <w:rPr>
          <w:rFonts w:ascii="宋体" w:hAnsi="宋体"/>
          <w:sz w:val="24"/>
          <w:lang w:val="zh-CN"/>
        </w:rPr>
      </w:pPr>
      <w:r>
        <w:rPr>
          <w:rFonts w:ascii="宋体" w:hAnsi="宋体" w:cs="宋体"/>
          <w:bCs/>
          <w:kern w:val="0"/>
          <w:sz w:val="24"/>
          <w:lang w:val="zh-CN"/>
        </w:rPr>
        <w:t>单位</w:t>
      </w:r>
      <w:r>
        <w:rPr>
          <w:rFonts w:hint="eastAsia" w:ascii="宋体" w:hAnsi="宋体" w:cs="宋体"/>
          <w:bCs/>
          <w:kern w:val="0"/>
          <w:sz w:val="24"/>
          <w:lang w:val="zh-CN"/>
        </w:rPr>
        <w:t>：</w:t>
      </w:r>
      <w:r>
        <w:rPr>
          <w:rFonts w:ascii="宋体" w:hAnsi="宋体" w:cs="宋体"/>
          <w:bCs/>
          <w:kern w:val="0"/>
          <w:sz w:val="24"/>
          <w:lang w:val="zh-CN"/>
        </w:rPr>
        <w:t>人民币</w:t>
      </w:r>
      <w:r>
        <w:rPr>
          <w:rFonts w:hint="eastAsia" w:ascii="宋体" w:hAnsi="宋体" w:cs="宋体"/>
          <w:bCs/>
          <w:kern w:val="0"/>
          <w:sz w:val="24"/>
          <w:lang w:val="zh-CN"/>
        </w:rPr>
        <w:t>（</w:t>
      </w:r>
      <w:r>
        <w:rPr>
          <w:rFonts w:ascii="宋体" w:hAnsi="宋体" w:cs="宋体"/>
          <w:bCs/>
          <w:kern w:val="0"/>
          <w:sz w:val="24"/>
          <w:lang w:val="zh-CN"/>
        </w:rPr>
        <w:t>元</w:t>
      </w:r>
      <w:r>
        <w:rPr>
          <w:rFonts w:hint="eastAsia" w:ascii="宋体" w:hAnsi="宋体" w:cs="宋体"/>
          <w:bCs/>
          <w:kern w:val="0"/>
          <w:sz w:val="24"/>
          <w:lang w:val="zh-CN"/>
        </w:rPr>
        <w:t>）</w:t>
      </w:r>
    </w:p>
    <w:tbl>
      <w:tblPr>
        <w:tblStyle w:val="35"/>
        <w:tblW w:w="9808" w:type="dxa"/>
        <w:jc w:val="center"/>
        <w:tblLayout w:type="fixed"/>
        <w:tblCellMar>
          <w:top w:w="0" w:type="dxa"/>
          <w:left w:w="28" w:type="dxa"/>
          <w:bottom w:w="0" w:type="dxa"/>
          <w:right w:w="28" w:type="dxa"/>
        </w:tblCellMar>
      </w:tblPr>
      <w:tblGrid>
        <w:gridCol w:w="713"/>
        <w:gridCol w:w="1666"/>
        <w:gridCol w:w="1030"/>
        <w:gridCol w:w="1157"/>
        <w:gridCol w:w="1338"/>
        <w:gridCol w:w="1208"/>
        <w:gridCol w:w="804"/>
        <w:gridCol w:w="947"/>
        <w:gridCol w:w="945"/>
      </w:tblGrid>
      <w:tr>
        <w:tblPrEx>
          <w:tblCellMar>
            <w:top w:w="0" w:type="dxa"/>
            <w:left w:w="28" w:type="dxa"/>
            <w:bottom w:w="0" w:type="dxa"/>
            <w:right w:w="28" w:type="dxa"/>
          </w:tblCellMar>
        </w:tblPrEx>
        <w:trPr>
          <w:trHeight w:val="529" w:hRule="atLeast"/>
          <w:jc w:val="center"/>
        </w:trPr>
        <w:tc>
          <w:tcPr>
            <w:tcW w:w="713" w:type="dxa"/>
            <w:tcBorders>
              <w:top w:val="single" w:color="000000" w:sz="8"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序号</w:t>
            </w:r>
          </w:p>
        </w:tc>
        <w:tc>
          <w:tcPr>
            <w:tcW w:w="1666"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产品名称</w:t>
            </w:r>
          </w:p>
        </w:tc>
        <w:tc>
          <w:tcPr>
            <w:tcW w:w="1030"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品牌</w:t>
            </w:r>
          </w:p>
        </w:tc>
        <w:tc>
          <w:tcPr>
            <w:tcW w:w="1157"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规格</w:t>
            </w:r>
          </w:p>
          <w:p>
            <w:pPr>
              <w:spacing w:line="360" w:lineRule="auto"/>
              <w:jc w:val="center"/>
              <w:rPr>
                <w:rFonts w:ascii="宋体" w:hAnsi="宋体"/>
                <w:sz w:val="24"/>
                <w:lang w:val="zh-CN"/>
              </w:rPr>
            </w:pPr>
            <w:r>
              <w:rPr>
                <w:rFonts w:hint="eastAsia" w:ascii="宋体" w:hAnsi="宋体"/>
                <w:sz w:val="24"/>
                <w:lang w:val="zh-CN"/>
              </w:rPr>
              <w:t>型号</w:t>
            </w:r>
          </w:p>
        </w:tc>
        <w:tc>
          <w:tcPr>
            <w:tcW w:w="1338"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生产厂家</w:t>
            </w:r>
          </w:p>
        </w:tc>
        <w:tc>
          <w:tcPr>
            <w:tcW w:w="1208"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数量</w:t>
            </w:r>
          </w:p>
        </w:tc>
        <w:tc>
          <w:tcPr>
            <w:tcW w:w="804"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单价</w:t>
            </w:r>
          </w:p>
        </w:tc>
        <w:tc>
          <w:tcPr>
            <w:tcW w:w="947" w:type="dxa"/>
            <w:tcBorders>
              <w:top w:val="single" w:color="000000" w:sz="8"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合计</w:t>
            </w:r>
          </w:p>
        </w:tc>
        <w:tc>
          <w:tcPr>
            <w:tcW w:w="945" w:type="dxa"/>
            <w:tcBorders>
              <w:top w:val="single" w:color="000000" w:sz="8"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r>
              <w:rPr>
                <w:rFonts w:hint="eastAsia" w:ascii="宋体" w:hAnsi="宋体"/>
                <w:sz w:val="24"/>
                <w:lang w:val="zh-CN"/>
              </w:rPr>
              <w:t>备注</w:t>
            </w: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1</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2</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3</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4</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r>
              <w:rPr>
                <w:rFonts w:ascii="宋体" w:hAnsi="宋体"/>
                <w:sz w:val="24"/>
                <w:lang w:val="zh-CN"/>
              </w:rPr>
              <w:t>…</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pPr>
              <w:spacing w:line="360" w:lineRule="auto"/>
              <w:jc w:val="center"/>
              <w:rPr>
                <w:rFonts w:ascii="宋体" w:hAnsi="宋体"/>
                <w:sz w:val="24"/>
                <w:lang w:val="zh-CN"/>
              </w:rPr>
            </w:pPr>
          </w:p>
        </w:tc>
      </w:tr>
      <w:tr>
        <w:tblPrEx>
          <w:tblCellMar>
            <w:top w:w="0" w:type="dxa"/>
            <w:left w:w="28" w:type="dxa"/>
            <w:bottom w:w="0" w:type="dxa"/>
            <w:right w:w="28" w:type="dxa"/>
          </w:tblCellMar>
        </w:tblPrEx>
        <w:trPr>
          <w:trHeight w:val="1067" w:hRule="atLeast"/>
          <w:jc w:val="center"/>
        </w:trPr>
        <w:tc>
          <w:tcPr>
            <w:tcW w:w="9808" w:type="dxa"/>
            <w:gridSpan w:val="9"/>
            <w:tcBorders>
              <w:top w:val="single" w:color="000000" w:sz="6" w:space="0"/>
              <w:left w:val="single" w:color="000000" w:sz="8" w:space="0"/>
              <w:bottom w:val="single" w:color="000000" w:sz="6" w:space="0"/>
              <w:right w:val="single" w:color="000000" w:sz="8" w:space="0"/>
            </w:tcBorders>
            <w:shd w:val="clear" w:color="000000" w:fill="FFFFFF"/>
            <w:vAlign w:val="center"/>
          </w:tcPr>
          <w:p>
            <w:pPr>
              <w:spacing w:line="360" w:lineRule="auto"/>
              <w:rPr>
                <w:rFonts w:ascii="宋体" w:hAnsi="宋体"/>
                <w:sz w:val="24"/>
                <w:lang w:val="zh-CN"/>
              </w:rPr>
            </w:pPr>
            <w:r>
              <w:rPr>
                <w:rFonts w:hint="eastAsia" w:ascii="宋体" w:hAnsi="宋体"/>
                <w:sz w:val="24"/>
                <w:lang w:val="zh-CN"/>
              </w:rPr>
              <w:t>优惠承诺及其他：</w:t>
            </w:r>
          </w:p>
          <w:p>
            <w:pPr>
              <w:spacing w:line="360" w:lineRule="auto"/>
              <w:rPr>
                <w:rFonts w:ascii="宋体" w:hAnsi="宋体"/>
                <w:sz w:val="24"/>
                <w:lang w:val="zh-CN"/>
              </w:rPr>
            </w:pPr>
          </w:p>
        </w:tc>
      </w:tr>
      <w:tr>
        <w:tblPrEx>
          <w:tblCellMar>
            <w:top w:w="0" w:type="dxa"/>
            <w:left w:w="28" w:type="dxa"/>
            <w:bottom w:w="0" w:type="dxa"/>
            <w:right w:w="28" w:type="dxa"/>
          </w:tblCellMar>
        </w:tblPrEx>
        <w:trPr>
          <w:trHeight w:val="1038" w:hRule="atLeast"/>
          <w:jc w:val="center"/>
        </w:trPr>
        <w:tc>
          <w:tcPr>
            <w:tcW w:w="2379" w:type="dxa"/>
            <w:gridSpan w:val="2"/>
            <w:tcBorders>
              <w:top w:val="single" w:color="000000" w:sz="6" w:space="0"/>
              <w:left w:val="single" w:color="000000" w:sz="8" w:space="0"/>
              <w:bottom w:val="single" w:color="000000" w:sz="8" w:space="0"/>
              <w:right w:val="single" w:color="000000" w:sz="6" w:space="0"/>
            </w:tcBorders>
            <w:shd w:val="clear" w:color="000000" w:fill="FFFFFF"/>
            <w:vAlign w:val="center"/>
          </w:tcPr>
          <w:p>
            <w:pPr>
              <w:spacing w:line="360" w:lineRule="auto"/>
              <w:rPr>
                <w:rFonts w:ascii="宋体" w:hAnsi="宋体"/>
                <w:sz w:val="24"/>
                <w:lang w:val="zh-CN"/>
              </w:rPr>
            </w:pPr>
            <w:r>
              <w:rPr>
                <w:rFonts w:hint="eastAsia" w:ascii="宋体" w:hAnsi="宋体"/>
                <w:sz w:val="24"/>
                <w:lang w:val="zh-CN"/>
              </w:rPr>
              <w:t>投标总价</w:t>
            </w:r>
          </w:p>
        </w:tc>
        <w:tc>
          <w:tcPr>
            <w:tcW w:w="7429" w:type="dxa"/>
            <w:gridSpan w:val="7"/>
            <w:tcBorders>
              <w:top w:val="single" w:color="000000" w:sz="6" w:space="0"/>
              <w:left w:val="single" w:color="000000" w:sz="6" w:space="0"/>
              <w:bottom w:val="single" w:color="000000" w:sz="8" w:space="0"/>
              <w:right w:val="single" w:color="000000" w:sz="8" w:space="0"/>
            </w:tcBorders>
            <w:shd w:val="clear" w:color="000000" w:fill="FFFFFF"/>
            <w:vAlign w:val="center"/>
          </w:tcPr>
          <w:p>
            <w:pPr>
              <w:spacing w:line="360" w:lineRule="auto"/>
              <w:rPr>
                <w:rFonts w:ascii="宋体" w:hAnsi="宋体"/>
                <w:sz w:val="24"/>
                <w:lang w:val="zh-CN"/>
              </w:rPr>
            </w:pPr>
            <w:r>
              <w:rPr>
                <w:rFonts w:hint="eastAsia" w:ascii="宋体" w:hAnsi="宋体"/>
                <w:sz w:val="24"/>
                <w:lang w:val="zh-CN"/>
              </w:rPr>
              <w:t>小写：</w:t>
            </w:r>
          </w:p>
          <w:p>
            <w:pPr>
              <w:spacing w:line="360" w:lineRule="auto"/>
              <w:rPr>
                <w:rFonts w:ascii="宋体" w:hAnsi="宋体"/>
                <w:sz w:val="24"/>
                <w:lang w:val="zh-CN"/>
              </w:rPr>
            </w:pPr>
          </w:p>
          <w:p>
            <w:pPr>
              <w:spacing w:line="360" w:lineRule="auto"/>
              <w:rPr>
                <w:rFonts w:ascii="宋体" w:hAnsi="宋体"/>
                <w:sz w:val="24"/>
                <w:lang w:val="zh-CN"/>
              </w:rPr>
            </w:pPr>
            <w:r>
              <w:rPr>
                <w:rFonts w:hint="eastAsia" w:ascii="宋体" w:hAnsi="宋体"/>
                <w:sz w:val="24"/>
                <w:lang w:val="zh-CN"/>
              </w:rPr>
              <w:t>大写：</w:t>
            </w:r>
          </w:p>
        </w:tc>
      </w:tr>
    </w:tbl>
    <w:p>
      <w:pPr>
        <w:autoSpaceDE w:val="0"/>
        <w:autoSpaceDN w:val="0"/>
        <w:spacing w:line="360" w:lineRule="auto"/>
        <w:ind w:firstLine="482" w:firstLineChars="200"/>
        <w:rPr>
          <w:rFonts w:hint="eastAsia" w:ascii="宋体" w:hAnsi="宋体" w:eastAsia="宋体" w:cs="Arial"/>
          <w:b/>
          <w:bCs/>
          <w:sz w:val="24"/>
          <w:highlight w:val="none"/>
          <w:lang w:val="zh-CN" w:eastAsia="zh-CN"/>
        </w:rPr>
      </w:pPr>
      <w:r>
        <w:rPr>
          <w:rFonts w:ascii="宋体" w:hAnsi="宋体" w:cs="Arial"/>
          <w:b/>
          <w:bCs/>
          <w:sz w:val="24"/>
          <w:highlight w:val="none"/>
          <w:lang w:val="zh-CN"/>
        </w:rPr>
        <w:t>注：</w:t>
      </w:r>
      <w:r>
        <w:rPr>
          <w:rFonts w:hint="eastAsia" w:ascii="宋体" w:hAnsi="宋体"/>
          <w:b/>
          <w:sz w:val="24"/>
          <w:highlight w:val="none"/>
        </w:rPr>
        <w:t>此表不需填写在磋商响应文件中。在磋商期间，由磋商小组确定合格的磋商供应商线上提交，</w:t>
      </w:r>
      <w:r>
        <w:rPr>
          <w:rFonts w:ascii="宋体" w:hAnsi="宋体"/>
          <w:b/>
          <w:sz w:val="24"/>
          <w:highlight w:val="none"/>
        </w:rPr>
        <w:t>磋商供应商须在固定电脑设备前登陆等待磋商最终报价</w:t>
      </w:r>
      <w:r>
        <w:rPr>
          <w:rFonts w:hint="eastAsia" w:ascii="宋体" w:hAnsi="宋体"/>
          <w:b/>
          <w:sz w:val="24"/>
          <w:highlight w:val="none"/>
          <w:lang w:eastAsia="zh-CN"/>
        </w:rPr>
        <w:t>，</w:t>
      </w:r>
      <w:r>
        <w:rPr>
          <w:rFonts w:ascii="宋体" w:hAnsi="宋体"/>
          <w:b/>
          <w:sz w:val="24"/>
          <w:highlight w:val="none"/>
        </w:rPr>
        <w:t>磋商供应商</w:t>
      </w:r>
      <w:r>
        <w:rPr>
          <w:rFonts w:hint="eastAsia" w:ascii="宋体" w:hAnsi="宋体"/>
          <w:b/>
          <w:sz w:val="24"/>
          <w:highlight w:val="none"/>
        </w:rPr>
        <w:t>须在规定的时间内</w:t>
      </w:r>
      <w:r>
        <w:rPr>
          <w:rFonts w:hint="eastAsia" w:ascii="宋体" w:hAnsi="宋体"/>
          <w:b/>
          <w:sz w:val="24"/>
          <w:highlight w:val="none"/>
          <w:lang w:eastAsia="zh-CN"/>
        </w:rPr>
        <w:t>，</w:t>
      </w:r>
      <w:r>
        <w:rPr>
          <w:rFonts w:hint="eastAsia" w:ascii="宋体" w:hAnsi="宋体"/>
          <w:b/>
          <w:sz w:val="24"/>
          <w:highlight w:val="none"/>
          <w:lang w:val="en-US" w:eastAsia="zh-CN"/>
        </w:rPr>
        <w:t>将最终</w:t>
      </w:r>
      <w:r>
        <w:rPr>
          <w:rFonts w:hint="eastAsia" w:ascii="宋体" w:hAnsi="宋体" w:cs="宋体"/>
          <w:b/>
          <w:bCs/>
          <w:kern w:val="0"/>
          <w:sz w:val="24"/>
          <w:highlight w:val="none"/>
          <w:lang w:val="zh-CN"/>
        </w:rPr>
        <w:t>分项报价表</w:t>
      </w:r>
      <w:r>
        <w:rPr>
          <w:rFonts w:hint="eastAsia" w:ascii="宋体" w:hAnsi="宋体" w:cs="宋体"/>
          <w:b/>
          <w:bCs/>
          <w:kern w:val="0"/>
          <w:sz w:val="24"/>
          <w:highlight w:val="none"/>
          <w:lang w:val="en-US" w:eastAsia="zh-CN"/>
        </w:rPr>
        <w:t>以附件形式上传</w:t>
      </w:r>
      <w:r>
        <w:rPr>
          <w:rFonts w:ascii="宋体" w:hAnsi="宋体"/>
          <w:b/>
          <w:sz w:val="24"/>
          <w:highlight w:val="none"/>
        </w:rPr>
        <w:t>，</w:t>
      </w:r>
      <w:r>
        <w:rPr>
          <w:rFonts w:hint="eastAsia" w:ascii="宋体" w:hAnsi="宋体"/>
          <w:b/>
          <w:sz w:val="24"/>
          <w:highlight w:val="none"/>
        </w:rPr>
        <w:t>各分项报价不得超过</w:t>
      </w:r>
      <w:r>
        <w:rPr>
          <w:rFonts w:hint="eastAsia" w:ascii="宋体" w:hAnsi="宋体"/>
          <w:b/>
          <w:sz w:val="24"/>
          <w:highlight w:val="none"/>
          <w:lang w:val="en-US" w:eastAsia="zh-CN"/>
        </w:rPr>
        <w:t>各</w:t>
      </w:r>
      <w:r>
        <w:rPr>
          <w:rFonts w:hint="eastAsia" w:ascii="宋体" w:hAnsi="宋体"/>
          <w:b/>
          <w:sz w:val="24"/>
          <w:highlight w:val="none"/>
        </w:rPr>
        <w:t>分项最高限价</w:t>
      </w:r>
      <w:r>
        <w:rPr>
          <w:rFonts w:hint="eastAsia" w:ascii="宋体" w:hAnsi="宋体"/>
          <w:b/>
          <w:sz w:val="24"/>
          <w:highlight w:val="none"/>
          <w:lang w:eastAsia="zh-CN"/>
        </w:rPr>
        <w:t>。</w:t>
      </w:r>
    </w:p>
    <w:p>
      <w:pPr>
        <w:spacing w:line="360" w:lineRule="auto"/>
        <w:rPr>
          <w:rFonts w:ascii="宋体" w:hAnsi="宋体"/>
          <w:sz w:val="24"/>
          <w:lang w:val="zh-CN"/>
        </w:rPr>
      </w:pPr>
    </w:p>
    <w:p>
      <w:pPr>
        <w:spacing w:line="360" w:lineRule="auto"/>
        <w:rPr>
          <w:rFonts w:ascii="宋体" w:hAnsi="宋体"/>
          <w:sz w:val="24"/>
          <w:lang w:val="zh-CN"/>
        </w:rPr>
      </w:pPr>
    </w:p>
    <w:p>
      <w:pPr>
        <w:spacing w:line="360" w:lineRule="auto"/>
        <w:rPr>
          <w:rFonts w:ascii="宋体" w:hAnsi="宋体"/>
          <w:sz w:val="24"/>
          <w:lang w:val="zh-CN"/>
        </w:rPr>
      </w:pPr>
    </w:p>
    <w:p>
      <w:pPr>
        <w:spacing w:line="360" w:lineRule="auto"/>
        <w:rPr>
          <w:rFonts w:ascii="宋体" w:hAnsi="宋体"/>
          <w:sz w:val="24"/>
          <w:lang w:val="zh-CN"/>
        </w:rPr>
      </w:pP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 xml:space="preserve">法定代表人或委托代理人：    </w:t>
      </w:r>
      <w:r>
        <w:rPr>
          <w:rFonts w:hint="eastAsia" w:ascii="宋体" w:hAnsi="宋体"/>
          <w:bCs/>
          <w:sz w:val="24"/>
          <w:lang w:val="en-US" w:eastAsia="zh-CN"/>
        </w:rPr>
        <w:t xml:space="preserve">      </w:t>
      </w:r>
      <w:r>
        <w:rPr>
          <w:rFonts w:hint="eastAsia" w:ascii="宋体" w:hAnsi="宋体"/>
          <w:bCs/>
          <w:sz w:val="24"/>
        </w:rPr>
        <w:t xml:space="preserve">   （签字）</w:t>
      </w:r>
    </w:p>
    <w:p>
      <w:pPr>
        <w:tabs>
          <w:tab w:val="left" w:pos="168"/>
        </w:tabs>
        <w:adjustRightInd w:val="0"/>
        <w:spacing w:line="360" w:lineRule="auto"/>
        <w:jc w:val="right"/>
        <w:textAlignment w:val="baseline"/>
        <w:rPr>
          <w:rFonts w:ascii="宋体" w:hAnsi="宋体"/>
          <w:b/>
          <w:bCs/>
          <w:sz w:val="24"/>
        </w:rPr>
      </w:pPr>
      <w:r>
        <w:rPr>
          <w:rFonts w:hint="eastAsia" w:ascii="宋体" w:hAnsi="宋体"/>
          <w:bCs/>
          <w:sz w:val="24"/>
        </w:rPr>
        <w:t>日期：    年   月   日</w:t>
      </w:r>
    </w:p>
    <w:p>
      <w:pPr>
        <w:tabs>
          <w:tab w:val="left" w:pos="168"/>
        </w:tabs>
        <w:adjustRightInd w:val="0"/>
        <w:spacing w:line="360" w:lineRule="auto"/>
        <w:jc w:val="right"/>
        <w:textAlignment w:val="baseline"/>
        <w:rPr>
          <w:rFonts w:ascii="宋体" w:hAnsi="宋体"/>
          <w:bCs/>
          <w:sz w:val="24"/>
        </w:rPr>
      </w:pPr>
    </w:p>
    <w:p>
      <w:pPr>
        <w:tabs>
          <w:tab w:val="left" w:pos="168"/>
        </w:tabs>
        <w:adjustRightInd w:val="0"/>
        <w:spacing w:line="360" w:lineRule="auto"/>
        <w:textAlignment w:val="baseline"/>
        <w:rPr>
          <w:rFonts w:ascii="宋体" w:hAnsi="宋体"/>
          <w:b/>
          <w:bCs/>
          <w:sz w:val="24"/>
        </w:rPr>
      </w:pPr>
    </w:p>
    <w:p>
      <w:pPr>
        <w:pStyle w:val="26"/>
        <w:spacing w:before="0" w:after="0" w:line="360" w:lineRule="auto"/>
        <w:rPr>
          <w:rFonts w:ascii="宋体" w:hAnsi="宋体"/>
          <w:sz w:val="48"/>
          <w:szCs w:val="48"/>
        </w:rPr>
      </w:pPr>
      <w:bookmarkStart w:id="150" w:name="_Toc11224"/>
      <w:bookmarkStart w:id="151" w:name="_Toc29404"/>
      <w:bookmarkStart w:id="152" w:name="_Toc444715745"/>
      <w:r>
        <w:rPr>
          <w:rFonts w:hint="eastAsia" w:ascii="宋体" w:hAnsi="宋体"/>
          <w:sz w:val="48"/>
          <w:szCs w:val="48"/>
        </w:rPr>
        <w:t>第六部分  采购项目要求及技术参数</w:t>
      </w:r>
      <w:bookmarkEnd w:id="150"/>
      <w:bookmarkEnd w:id="151"/>
      <w:bookmarkEnd w:id="152"/>
    </w:p>
    <w:p>
      <w:pPr>
        <w:pStyle w:val="9"/>
        <w:keepNext/>
        <w:keepLines/>
        <w:numPr>
          <w:ilvl w:val="0"/>
          <w:numId w:val="0"/>
        </w:numPr>
        <w:tabs>
          <w:tab w:val="clear" w:pos="425"/>
        </w:tabs>
        <w:snapToGrid/>
        <w:ind w:left="567" w:hanging="567"/>
        <w:rPr>
          <w:rFonts w:hAnsi="宋体"/>
          <w:b/>
          <w:bCs/>
          <w:kern w:val="0"/>
          <w:sz w:val="24"/>
          <w:szCs w:val="24"/>
        </w:rPr>
      </w:pPr>
      <w:bookmarkStart w:id="153" w:name="_Toc428180595"/>
      <w:bookmarkStart w:id="154" w:name="_Toc13260"/>
      <w:r>
        <w:rPr>
          <w:rFonts w:hint="eastAsia" w:hAnsi="宋体"/>
          <w:b/>
          <w:bCs/>
          <w:kern w:val="0"/>
          <w:sz w:val="24"/>
          <w:szCs w:val="24"/>
        </w:rPr>
        <w:t>一、磋商要求</w:t>
      </w:r>
      <w:bookmarkEnd w:id="153"/>
      <w:bookmarkEnd w:id="154"/>
    </w:p>
    <w:p>
      <w:pPr>
        <w:adjustRightInd w:val="0"/>
        <w:snapToGrid w:val="0"/>
        <w:spacing w:line="360" w:lineRule="auto"/>
        <w:ind w:left="425" w:hanging="425"/>
        <w:rPr>
          <w:rFonts w:ascii="宋体" w:hAnsi="宋体"/>
          <w:kern w:val="0"/>
          <w:sz w:val="24"/>
        </w:rPr>
      </w:pPr>
      <w:bookmarkStart w:id="155" w:name="_Toc428180596"/>
      <w:r>
        <w:rPr>
          <w:rFonts w:ascii="宋体" w:hAnsi="宋体"/>
          <w:kern w:val="0"/>
          <w:sz w:val="24"/>
        </w:rPr>
        <w:t>1.</w:t>
      </w:r>
      <w:r>
        <w:rPr>
          <w:rFonts w:hint="eastAsia" w:ascii="宋体" w:hAnsi="宋体"/>
          <w:kern w:val="0"/>
          <w:sz w:val="24"/>
        </w:rPr>
        <w:t>磋商说明</w:t>
      </w:r>
      <w:bookmarkEnd w:id="155"/>
    </w:p>
    <w:p>
      <w:pPr>
        <w:autoSpaceDE w:val="0"/>
        <w:autoSpaceDN w:val="0"/>
        <w:adjustRightInd w:val="0"/>
        <w:spacing w:line="360" w:lineRule="auto"/>
        <w:ind w:firstLine="480" w:firstLineChars="200"/>
        <w:rPr>
          <w:rFonts w:ascii="宋体" w:hAnsi="宋体" w:cs="宋体"/>
          <w:kern w:val="0"/>
          <w:sz w:val="24"/>
          <w:lang w:val="zh-CN"/>
        </w:rPr>
      </w:pPr>
      <w:r>
        <w:rPr>
          <w:rFonts w:ascii="宋体" w:hAnsi="宋体" w:cs="宋体"/>
          <w:kern w:val="0"/>
          <w:sz w:val="24"/>
          <w:lang w:val="zh-CN"/>
        </w:rPr>
        <w:t>1.1.</w:t>
      </w:r>
      <w:r>
        <w:rPr>
          <w:rFonts w:hint="eastAsia" w:ascii="宋体" w:hAnsi="宋体" w:cs="宋体"/>
          <w:kern w:val="0"/>
          <w:sz w:val="24"/>
          <w:lang w:val="zh-CN"/>
        </w:rPr>
        <w:t>磋商供应商可以按照磋商文件的规定磋商，但必须对所投包号中的所有内容作为一个整体进行磋商，不能拆分或少报。否则，磋商无效。</w:t>
      </w:r>
    </w:p>
    <w:p>
      <w:pPr>
        <w:autoSpaceDE w:val="0"/>
        <w:autoSpaceDN w:val="0"/>
        <w:adjustRightInd w:val="0"/>
        <w:spacing w:line="360" w:lineRule="auto"/>
        <w:ind w:firstLine="480" w:firstLineChars="200"/>
        <w:rPr>
          <w:rFonts w:ascii="宋体" w:hAnsi="宋体" w:cs="宋体"/>
          <w:kern w:val="0"/>
          <w:sz w:val="24"/>
          <w:lang w:val="zh-CN"/>
        </w:rPr>
      </w:pPr>
      <w:r>
        <w:rPr>
          <w:rFonts w:ascii="宋体" w:hAnsi="宋体" w:cs="宋体"/>
          <w:kern w:val="0"/>
          <w:sz w:val="24"/>
          <w:lang w:val="zh-CN"/>
        </w:rPr>
        <w:t>1.2.</w:t>
      </w:r>
      <w:r>
        <w:rPr>
          <w:rFonts w:hint="eastAsia" w:ascii="宋体" w:hAnsi="宋体" w:cs="宋体"/>
          <w:kern w:val="0"/>
          <w:sz w:val="24"/>
          <w:lang w:val="zh-CN"/>
        </w:rPr>
        <w:t>磋商报价应包括</w:t>
      </w:r>
      <w:r>
        <w:rPr>
          <w:rFonts w:hint="eastAsia" w:ascii="宋体" w:hAnsi="宋体"/>
          <w:sz w:val="24"/>
        </w:rPr>
        <w:t>产品费、检验费、手续费、保险费、售后服务费、税金、招标代理费以及其他不可预见费等全部费用（说明：具体内容应根据项目特点实事求是的填写）</w:t>
      </w:r>
      <w:r>
        <w:rPr>
          <w:rFonts w:hint="eastAsia" w:ascii="宋体" w:hAnsi="宋体" w:cs="宋体"/>
          <w:kern w:val="0"/>
          <w:sz w:val="24"/>
          <w:lang w:val="zh-CN"/>
        </w:rPr>
        <w:t>。若磋商报价不能完全包括上述内容，该磋商将被认为非实质性响应。</w:t>
      </w:r>
    </w:p>
    <w:p>
      <w:pPr>
        <w:autoSpaceDE w:val="0"/>
        <w:autoSpaceDN w:val="0"/>
        <w:adjustRightInd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ascii="宋体" w:hAnsi="宋体" w:cs="宋体"/>
          <w:kern w:val="0"/>
          <w:sz w:val="24"/>
          <w:lang w:val="zh-CN"/>
        </w:rPr>
        <w:t>1.3.</w:t>
      </w:r>
      <w:r>
        <w:rPr>
          <w:rFonts w:hint="eastAsia" w:ascii="宋体" w:hAnsi="宋体" w:cs="宋体"/>
          <w:kern w:val="0"/>
          <w:sz w:val="24"/>
          <w:lang w:val="zh-CN"/>
        </w:rPr>
        <w:t>磋商供应商必须如实填写</w:t>
      </w:r>
      <w:r>
        <w:rPr>
          <w:rFonts w:ascii="宋体" w:hAnsi="宋体" w:cs="宋体"/>
          <w:kern w:val="0"/>
          <w:sz w:val="24"/>
          <w:lang w:val="zh-CN"/>
        </w:rPr>
        <w:t>“</w:t>
      </w:r>
      <w:r>
        <w:rPr>
          <w:rFonts w:hint="eastAsia" w:ascii="宋体" w:hAnsi="宋体" w:cs="宋体"/>
          <w:kern w:val="0"/>
          <w:sz w:val="24"/>
          <w:lang w:val="zh-CN"/>
        </w:rPr>
        <w:t>技术规格响应表</w:t>
      </w:r>
      <w:r>
        <w:rPr>
          <w:rFonts w:ascii="宋体" w:hAnsi="宋体" w:cs="宋体"/>
          <w:kern w:val="0"/>
          <w:sz w:val="24"/>
          <w:lang w:val="zh-CN"/>
        </w:rPr>
        <w:t>”</w:t>
      </w:r>
      <w:r>
        <w:rPr>
          <w:rFonts w:hint="eastAsia" w:ascii="宋体" w:hAnsi="宋体" w:cs="宋体"/>
          <w:kern w:val="0"/>
          <w:sz w:val="24"/>
          <w:lang w:val="zh-CN"/>
        </w:rPr>
        <w:t>，在</w:t>
      </w:r>
      <w:r>
        <w:rPr>
          <w:rFonts w:ascii="宋体" w:hAnsi="宋体" w:cs="宋体"/>
          <w:kern w:val="0"/>
          <w:sz w:val="24"/>
          <w:lang w:val="zh-CN"/>
        </w:rPr>
        <w:t>“</w:t>
      </w:r>
      <w:r>
        <w:rPr>
          <w:rFonts w:hint="eastAsia" w:ascii="宋体" w:hAnsi="宋体" w:cs="宋体"/>
          <w:kern w:val="0"/>
          <w:sz w:val="24"/>
          <w:lang w:val="zh-CN"/>
        </w:rPr>
        <w:t>磋商产品技术参数、指标</w:t>
      </w:r>
      <w:r>
        <w:rPr>
          <w:rFonts w:ascii="宋体" w:hAnsi="宋体" w:cs="宋体"/>
          <w:kern w:val="0"/>
          <w:sz w:val="24"/>
          <w:lang w:val="zh-CN"/>
        </w:rPr>
        <w:t>”</w:t>
      </w:r>
      <w:r>
        <w:rPr>
          <w:rFonts w:hint="eastAsia" w:ascii="宋体" w:hAnsi="宋体" w:cs="宋体"/>
          <w:kern w:val="0"/>
          <w:sz w:val="24"/>
          <w:lang w:val="zh-CN"/>
        </w:rPr>
        <w:t>栏中列出所投产品的具体规格型号和具体技术参数、指标；以招标人需求为最低指标要求，磋商供应商对超</w:t>
      </w:r>
      <w:r>
        <w:rPr>
          <w:rFonts w:hint="eastAsia" w:ascii="宋体" w:hAnsi="宋体" w:cs="宋体"/>
          <w:color w:val="000000" w:themeColor="text1"/>
          <w:kern w:val="0"/>
          <w:sz w:val="24"/>
          <w:lang w:val="zh-CN"/>
          <w14:textFill>
            <w14:solidFill>
              <w14:schemeClr w14:val="tx1"/>
            </w14:solidFill>
          </w14:textFill>
        </w:rPr>
        <w:t>出或不满足最低指标要求的指标需列出</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偏差。如果与磋商响应文件中提供的产品检测报告等证明材料中的实质性响应情况不一致或直接复制磋商文件</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采购需求技术参数、指标</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内容的，按无效磋商处理。</w:t>
      </w:r>
    </w:p>
    <w:p>
      <w:pPr>
        <w:autoSpaceDE w:val="0"/>
        <w:autoSpaceDN w:val="0"/>
        <w:adjustRightInd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zh-CN"/>
          <w14:textFill>
            <w14:solidFill>
              <w14:schemeClr w14:val="tx1"/>
            </w14:solidFill>
          </w14:textFill>
        </w:rPr>
        <w:t>4交货时间、地点：按采购单位指定的时间、地点交货并安装交付使用。</w:t>
      </w:r>
    </w:p>
    <w:p>
      <w:pPr>
        <w:adjustRightInd w:val="0"/>
        <w:snapToGrid w:val="0"/>
        <w:spacing w:line="360" w:lineRule="auto"/>
        <w:ind w:left="425" w:hanging="425"/>
        <w:rPr>
          <w:rFonts w:ascii="宋体" w:hAnsi="宋体"/>
          <w:color w:val="000000" w:themeColor="text1"/>
          <w:kern w:val="0"/>
          <w:sz w:val="24"/>
          <w14:textFill>
            <w14:solidFill>
              <w14:schemeClr w14:val="tx1"/>
            </w14:solidFill>
          </w14:textFill>
        </w:rPr>
      </w:pPr>
      <w:bookmarkStart w:id="156" w:name="_Toc428180597"/>
      <w:r>
        <w:rPr>
          <w:rFonts w:ascii="宋体" w:hAnsi="宋体"/>
          <w:color w:val="000000" w:themeColor="text1"/>
          <w:kern w:val="0"/>
          <w:sz w:val="24"/>
          <w14:textFill>
            <w14:solidFill>
              <w14:schemeClr w14:val="tx1"/>
            </w14:solidFill>
          </w14:textFill>
        </w:rPr>
        <w:t>2.</w:t>
      </w:r>
      <w:r>
        <w:rPr>
          <w:rFonts w:hint="eastAsia" w:ascii="宋体" w:hAnsi="宋体"/>
          <w:color w:val="000000" w:themeColor="text1"/>
          <w:kern w:val="0"/>
          <w:sz w:val="24"/>
          <w14:textFill>
            <w14:solidFill>
              <w14:schemeClr w14:val="tx1"/>
            </w14:solidFill>
          </w14:textFill>
        </w:rPr>
        <w:t>报价说明</w:t>
      </w:r>
      <w:bookmarkEnd w:id="156"/>
    </w:p>
    <w:p>
      <w:pPr>
        <w:autoSpaceDE w:val="0"/>
        <w:autoSpaceDN w:val="0"/>
        <w:adjustRightIn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本次磋商文件中规定的采购预算额度为磋商最高限价，</w:t>
      </w:r>
      <w:r>
        <w:rPr>
          <w:rFonts w:hint="eastAsia" w:ascii="宋体" w:hAnsi="宋体" w:cs="宋体"/>
          <w:kern w:val="0"/>
          <w:sz w:val="24"/>
          <w:highlight w:val="none"/>
          <w:lang w:val="zh-CN"/>
        </w:rPr>
        <w:t>每项</w:t>
      </w:r>
      <w:r>
        <w:rPr>
          <w:rFonts w:hint="eastAsia" w:ascii="宋体" w:hAnsi="宋体" w:cs="宋体"/>
          <w:kern w:val="0"/>
          <w:sz w:val="24"/>
          <w:highlight w:val="none"/>
          <w:lang w:val="zh-CN" w:eastAsia="zh-CN"/>
        </w:rPr>
        <w:t>采购</w:t>
      </w:r>
      <w:r>
        <w:rPr>
          <w:rFonts w:hint="eastAsia" w:ascii="宋体" w:hAnsi="宋体" w:cs="宋体"/>
          <w:kern w:val="0"/>
          <w:sz w:val="24"/>
          <w:highlight w:val="none"/>
          <w:lang w:val="zh-CN"/>
        </w:rPr>
        <w:t>内容其单价都不得超过其对应的预算单价限价，</w:t>
      </w:r>
      <w:r>
        <w:rPr>
          <w:rFonts w:hint="eastAsia" w:ascii="宋体" w:hAnsi="宋体" w:cs="宋体"/>
          <w:color w:val="000000" w:themeColor="text1"/>
          <w:kern w:val="0"/>
          <w:sz w:val="24"/>
          <w:highlight w:val="none"/>
          <w:lang w:val="zh-CN"/>
          <w14:textFill>
            <w14:solidFill>
              <w14:schemeClr w14:val="tx1"/>
            </w14:solidFill>
          </w14:textFill>
        </w:rPr>
        <w:t>磋商供应商</w:t>
      </w:r>
      <w:r>
        <w:rPr>
          <w:rFonts w:hint="eastAsia" w:ascii="宋体" w:hAnsi="宋体" w:cs="宋体"/>
          <w:kern w:val="0"/>
          <w:sz w:val="24"/>
          <w:highlight w:val="none"/>
          <w:lang w:val="zh-CN"/>
        </w:rPr>
        <w:t>的磋商报价不得超出此额度；否则，</w:t>
      </w:r>
      <w:r>
        <w:rPr>
          <w:rFonts w:hint="eastAsia" w:ascii="宋体" w:hAnsi="宋体" w:cs="宋体"/>
          <w:color w:val="000000" w:themeColor="text1"/>
          <w:kern w:val="0"/>
          <w:sz w:val="24"/>
          <w:highlight w:val="none"/>
          <w:lang w:val="zh-CN"/>
          <w14:textFill>
            <w14:solidFill>
              <w14:schemeClr w14:val="tx1"/>
            </w14:solidFill>
          </w14:textFill>
        </w:rPr>
        <w:t>磋商无效。</w:t>
      </w:r>
    </w:p>
    <w:p>
      <w:pPr>
        <w:adjustRightInd w:val="0"/>
        <w:snapToGrid w:val="0"/>
        <w:spacing w:line="360" w:lineRule="auto"/>
        <w:ind w:left="425" w:hanging="425"/>
        <w:rPr>
          <w:rFonts w:ascii="宋体" w:hAnsi="宋体"/>
          <w:color w:val="000000" w:themeColor="text1"/>
          <w:kern w:val="0"/>
          <w:sz w:val="24"/>
          <w14:textFill>
            <w14:solidFill>
              <w14:schemeClr w14:val="tx1"/>
            </w14:solidFill>
          </w14:textFill>
        </w:rPr>
      </w:pPr>
      <w:bookmarkStart w:id="157" w:name="_Toc428180599"/>
      <w:r>
        <w:rPr>
          <w:rFonts w:hint="eastAsia" w:ascii="宋体" w:hAnsi="宋体"/>
          <w:color w:val="000000" w:themeColor="text1"/>
          <w:kern w:val="0"/>
          <w:sz w:val="24"/>
          <w14:textFill>
            <w14:solidFill>
              <w14:schemeClr w14:val="tx1"/>
            </w14:solidFill>
          </w14:textFill>
        </w:rPr>
        <w:t>3</w:t>
      </w:r>
      <w:r>
        <w:rPr>
          <w:rFonts w:ascii="宋体" w:hAnsi="宋体"/>
          <w:color w:val="000000" w:themeColor="text1"/>
          <w:kern w:val="0"/>
          <w:sz w:val="24"/>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商务要求</w:t>
      </w:r>
      <w:bookmarkEnd w:id="157"/>
    </w:p>
    <w:p>
      <w:pPr>
        <w:spacing w:line="360" w:lineRule="auto"/>
        <w:ind w:firstLine="240" w:firstLineChars="100"/>
        <w:rPr>
          <w:rFonts w:ascii="宋体" w:hAnsi="宋体"/>
          <w:color w:val="auto"/>
          <w:sz w:val="24"/>
        </w:rPr>
      </w:pPr>
      <w:bookmarkStart w:id="158" w:name="_Toc488673674"/>
      <w:r>
        <w:rPr>
          <w:rFonts w:hint="eastAsia" w:ascii="宋体" w:hAnsi="宋体" w:cs="宋体"/>
          <w:color w:val="auto"/>
          <w:kern w:val="0"/>
          <w:sz w:val="24"/>
          <w:lang w:val="zh-CN"/>
        </w:rPr>
        <w:t>3</w:t>
      </w:r>
      <w:r>
        <w:rPr>
          <w:rFonts w:ascii="宋体" w:hAnsi="宋体" w:cs="宋体"/>
          <w:color w:val="auto"/>
          <w:kern w:val="0"/>
          <w:sz w:val="24"/>
          <w:lang w:val="zh-CN"/>
        </w:rPr>
        <w:t>.1.</w:t>
      </w:r>
      <w:r>
        <w:rPr>
          <w:rFonts w:hint="eastAsia" w:ascii="宋体" w:hAnsi="宋体" w:cs="宋体"/>
          <w:color w:val="auto"/>
          <w:kern w:val="0"/>
          <w:sz w:val="24"/>
          <w:lang w:val="zh-CN"/>
        </w:rPr>
        <w:t>交货期：</w:t>
      </w:r>
      <w:bookmarkEnd w:id="158"/>
      <w:bookmarkStart w:id="159" w:name="OLE_LINK8"/>
      <w:bookmarkStart w:id="160" w:name="_Toc488673675"/>
      <w:r>
        <w:rPr>
          <w:rFonts w:hint="eastAsia" w:ascii="宋体" w:hAnsi="宋体" w:cs="宋体"/>
          <w:color w:val="auto"/>
          <w:kern w:val="0"/>
          <w:sz w:val="24"/>
          <w:lang w:val="zh-CN"/>
        </w:rPr>
        <w:t>合同签订后30</w:t>
      </w:r>
      <w:r>
        <w:rPr>
          <w:rFonts w:hint="eastAsia" w:ascii="宋体" w:hAnsi="宋体" w:cs="宋体"/>
          <w:color w:val="auto"/>
          <w:kern w:val="0"/>
          <w:sz w:val="24"/>
          <w:lang w:val="en-US" w:eastAsia="zh-CN"/>
        </w:rPr>
        <w:t>个</w:t>
      </w:r>
      <w:r>
        <w:rPr>
          <w:rFonts w:hint="eastAsia" w:ascii="宋体" w:hAnsi="宋体" w:cs="宋体"/>
          <w:color w:val="auto"/>
          <w:kern w:val="0"/>
          <w:sz w:val="24"/>
          <w:lang w:val="zh-CN"/>
        </w:rPr>
        <w:t>工作日</w:t>
      </w:r>
      <w:bookmarkEnd w:id="159"/>
      <w:r>
        <w:rPr>
          <w:rFonts w:hint="eastAsia" w:ascii="宋体" w:hAnsi="宋体"/>
          <w:color w:val="auto"/>
          <w:sz w:val="24"/>
        </w:rPr>
        <w:t>；</w:t>
      </w:r>
    </w:p>
    <w:p>
      <w:pPr>
        <w:spacing w:line="360" w:lineRule="auto"/>
        <w:ind w:firstLine="240" w:firstLineChars="100"/>
        <w:rPr>
          <w:rFonts w:ascii="宋体" w:hAnsi="宋体"/>
          <w:color w:val="auto"/>
          <w:sz w:val="24"/>
        </w:rPr>
      </w:pPr>
      <w:r>
        <w:rPr>
          <w:rFonts w:hint="eastAsia" w:ascii="宋体" w:hAnsi="宋体"/>
          <w:color w:val="auto"/>
          <w:sz w:val="24"/>
        </w:rPr>
        <w:t>3</w:t>
      </w:r>
      <w:r>
        <w:rPr>
          <w:rFonts w:ascii="宋体" w:hAnsi="宋体"/>
          <w:color w:val="auto"/>
          <w:sz w:val="24"/>
        </w:rPr>
        <w:t>.2.</w:t>
      </w:r>
      <w:r>
        <w:rPr>
          <w:rFonts w:hint="eastAsia" w:ascii="宋体" w:hAnsi="宋体"/>
          <w:color w:val="auto"/>
          <w:sz w:val="24"/>
        </w:rPr>
        <w:t>交货地点：</w:t>
      </w:r>
      <w:bookmarkEnd w:id="160"/>
      <w:r>
        <w:rPr>
          <w:rFonts w:hint="eastAsia" w:ascii="宋体" w:hAnsi="宋体"/>
          <w:color w:val="auto"/>
          <w:sz w:val="24"/>
          <w:lang w:eastAsia="zh-CN"/>
        </w:rPr>
        <w:t>青海省中医院</w:t>
      </w:r>
      <w:r>
        <w:rPr>
          <w:rFonts w:hint="eastAsia" w:ascii="宋体" w:hAnsi="宋体"/>
          <w:color w:val="auto"/>
          <w:sz w:val="24"/>
        </w:rPr>
        <w:t>；</w:t>
      </w:r>
    </w:p>
    <w:p>
      <w:pPr>
        <w:spacing w:line="360" w:lineRule="auto"/>
        <w:ind w:firstLine="240" w:firstLineChars="100"/>
        <w:rPr>
          <w:rFonts w:ascii="宋体" w:hAnsi="宋体"/>
          <w:color w:val="auto"/>
          <w:sz w:val="24"/>
        </w:rPr>
      </w:pPr>
      <w:r>
        <w:rPr>
          <w:rFonts w:hint="eastAsia" w:ascii="宋体" w:hAnsi="宋体"/>
          <w:color w:val="auto"/>
          <w:sz w:val="24"/>
        </w:rPr>
        <w:t>3.3.质保期：</w:t>
      </w:r>
      <w:r>
        <w:rPr>
          <w:rFonts w:hint="eastAsia" w:ascii="宋体" w:hAnsi="宋体"/>
          <w:color w:val="auto"/>
          <w:sz w:val="24"/>
          <w:lang w:val="en-US" w:eastAsia="zh-CN"/>
        </w:rPr>
        <w:t>2</w:t>
      </w:r>
      <w:r>
        <w:rPr>
          <w:rFonts w:hint="eastAsia" w:ascii="宋体" w:hAnsi="宋体"/>
          <w:color w:val="auto"/>
          <w:sz w:val="24"/>
        </w:rPr>
        <w:t>年；</w:t>
      </w:r>
    </w:p>
    <w:p>
      <w:pPr>
        <w:spacing w:line="360" w:lineRule="auto"/>
        <w:ind w:firstLine="240" w:firstLineChars="100"/>
        <w:rPr>
          <w:rFonts w:hint="eastAsia" w:hAnsi="宋体"/>
          <w:b/>
          <w:bCs/>
          <w:kern w:val="0"/>
          <w:sz w:val="24"/>
          <w:szCs w:val="24"/>
        </w:rPr>
      </w:pPr>
      <w:bookmarkStart w:id="161" w:name="_Toc488673676"/>
      <w:r>
        <w:rPr>
          <w:rFonts w:hint="eastAsia" w:ascii="宋体" w:hAnsi="宋体"/>
          <w:color w:val="000000" w:themeColor="text1"/>
          <w:sz w:val="24"/>
          <w14:textFill>
            <w14:solidFill>
              <w14:schemeClr w14:val="tx1"/>
            </w14:solidFill>
          </w14:textFill>
        </w:rPr>
        <w:t>3.4.付款方式：</w:t>
      </w:r>
      <w:bookmarkEnd w:id="161"/>
      <w:bookmarkStart w:id="162" w:name="_Toc459377899"/>
      <w:bookmarkStart w:id="163" w:name="_Toc480468113"/>
      <w:bookmarkStart w:id="164" w:name="_Hlk486599483"/>
      <w:r>
        <w:rPr>
          <w:rFonts w:ascii="宋体" w:hAnsi="宋体"/>
          <w:color w:val="000000" w:themeColor="text1"/>
          <w:sz w:val="24"/>
          <w14:textFill>
            <w14:solidFill>
              <w14:schemeClr w14:val="tx1"/>
            </w14:solidFill>
          </w14:textFill>
        </w:rPr>
        <w:t>详见“第</w:t>
      </w:r>
      <w:r>
        <w:rPr>
          <w:rFonts w:hint="eastAsia" w:ascii="宋体" w:hAnsi="宋体"/>
          <w:color w:val="000000" w:themeColor="text1"/>
          <w:sz w:val="24"/>
          <w14:textFill>
            <w14:solidFill>
              <w14:schemeClr w14:val="tx1"/>
            </w14:solidFill>
          </w14:textFill>
        </w:rPr>
        <w:t>四</w:t>
      </w:r>
      <w:r>
        <w:rPr>
          <w:rFonts w:ascii="宋体" w:hAnsi="宋体"/>
          <w:color w:val="000000" w:themeColor="text1"/>
          <w:sz w:val="24"/>
          <w14:textFill>
            <w14:solidFill>
              <w14:schemeClr w14:val="tx1"/>
            </w14:solidFill>
          </w14:textFill>
        </w:rPr>
        <w:t>部分青海省政府采购项目合同书范本”中“四、付款方式”的规定。</w:t>
      </w:r>
      <w:r>
        <w:rPr>
          <w:rFonts w:hint="eastAsia" w:ascii="宋体" w:hAnsi="宋体" w:cs="宋体"/>
          <w:color w:val="000000" w:themeColor="text1"/>
          <w:kern w:val="0"/>
          <w:sz w:val="22"/>
          <w:szCs w:val="22"/>
          <w14:textFill>
            <w14:solidFill>
              <w14:schemeClr w14:val="tx1"/>
            </w14:solidFill>
          </w14:textFill>
        </w:rPr>
        <w:br w:type="textWrapping"/>
      </w:r>
      <w:r>
        <w:rPr>
          <w:rFonts w:hint="eastAsia" w:hAnsi="宋体"/>
          <w:b/>
          <w:bCs/>
          <w:kern w:val="0"/>
          <w:sz w:val="24"/>
          <w:szCs w:val="24"/>
        </w:rPr>
        <w:t>二、</w:t>
      </w:r>
      <w:bookmarkStart w:id="165" w:name="_Hlk497464497"/>
      <w:r>
        <w:rPr>
          <w:rFonts w:hint="eastAsia" w:hAnsi="宋体"/>
          <w:b/>
          <w:bCs/>
          <w:kern w:val="0"/>
          <w:sz w:val="24"/>
          <w:szCs w:val="24"/>
        </w:rPr>
        <w:t>采购项目参数及要求</w:t>
      </w:r>
      <w:bookmarkEnd w:id="162"/>
      <w:bookmarkEnd w:id="163"/>
      <w:bookmarkEnd w:id="164"/>
      <w:bookmarkEnd w:id="165"/>
    </w:p>
    <w:p>
      <w:pPr>
        <w:pStyle w:val="2"/>
        <w:rPr>
          <w:rFonts w:hint="eastAsia" w:hAnsi="宋体"/>
          <w:b/>
          <w:bCs/>
          <w:kern w:val="0"/>
          <w:sz w:val="24"/>
          <w:szCs w:val="24"/>
        </w:rPr>
      </w:pPr>
    </w:p>
    <w:p>
      <w:pPr>
        <w:pStyle w:val="16"/>
        <w:rPr>
          <w:rFonts w:hint="eastAsia" w:hAnsi="宋体"/>
          <w:b/>
          <w:bCs/>
          <w:kern w:val="0"/>
          <w:sz w:val="24"/>
          <w:szCs w:val="24"/>
        </w:rPr>
      </w:pPr>
    </w:p>
    <w:p>
      <w:pPr>
        <w:pStyle w:val="17"/>
        <w:rPr>
          <w:rFonts w:hint="eastAsia" w:hAnsi="宋体"/>
          <w:b/>
          <w:bCs/>
          <w:kern w:val="0"/>
          <w:sz w:val="24"/>
          <w:szCs w:val="24"/>
        </w:rPr>
      </w:pPr>
    </w:p>
    <w:p>
      <w:pPr>
        <w:rPr>
          <w:rFonts w:hint="eastAsia" w:hAnsi="宋体"/>
          <w:b/>
          <w:bCs/>
          <w:kern w:val="0"/>
          <w:sz w:val="24"/>
          <w:szCs w:val="24"/>
        </w:rPr>
      </w:pPr>
    </w:p>
    <w:p>
      <w:pPr>
        <w:pStyle w:val="2"/>
        <w:rPr>
          <w:rFonts w:hint="eastAsia" w:hAnsi="宋体"/>
          <w:b/>
          <w:bCs/>
          <w:kern w:val="0"/>
          <w:sz w:val="24"/>
          <w:szCs w:val="24"/>
        </w:rPr>
      </w:pPr>
    </w:p>
    <w:p>
      <w:pPr>
        <w:pStyle w:val="16"/>
        <w:rPr>
          <w:rFonts w:hint="eastAsia" w:hAnsi="宋体"/>
          <w:b/>
          <w:bCs/>
          <w:kern w:val="0"/>
          <w:sz w:val="24"/>
          <w:szCs w:val="24"/>
        </w:rPr>
      </w:pPr>
    </w:p>
    <w:p>
      <w:pPr>
        <w:rPr>
          <w:rFonts w:hint="eastAsia"/>
        </w:rPr>
      </w:pPr>
    </w:p>
    <w:p>
      <w:pPr>
        <w:pStyle w:val="16"/>
        <w:ind w:left="0" w:leftChars="0" w:firstLine="0" w:firstLineChars="0"/>
        <w:jc w:val="center"/>
        <w:rPr>
          <w:rFonts w:hint="default" w:eastAsia="宋体"/>
          <w:lang w:val="en-US" w:eastAsia="zh-CN"/>
        </w:rPr>
      </w:pPr>
      <w:bookmarkStart w:id="166" w:name="OLE_LINK3"/>
      <w:r>
        <w:rPr>
          <w:rFonts w:hint="eastAsia"/>
          <w:b/>
          <w:bCs/>
          <w:kern w:val="0"/>
          <w:sz w:val="24"/>
          <w:szCs w:val="24"/>
          <w:lang w:val="en-US" w:eastAsia="zh-CN"/>
        </w:rPr>
        <w:t>（1）采购一览表</w:t>
      </w:r>
    </w:p>
    <w:tbl>
      <w:tblPr>
        <w:tblStyle w:val="35"/>
        <w:tblW w:w="98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0"/>
        <w:gridCol w:w="2500"/>
        <w:gridCol w:w="2262"/>
        <w:gridCol w:w="795"/>
        <w:gridCol w:w="843"/>
        <w:gridCol w:w="1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1730" w:type="dxa"/>
            <w:noWrap/>
            <w:vAlign w:val="center"/>
          </w:tcPr>
          <w:p>
            <w:pPr>
              <w:widowControl/>
              <w:jc w:val="center"/>
              <w:rPr>
                <w:rFonts w:ascii="宋体" w:hAnsi="宋体" w:cs="宋体"/>
                <w:b/>
                <w:bCs/>
                <w:sz w:val="21"/>
                <w:szCs w:val="21"/>
                <w:lang w:val="zh-CN"/>
              </w:rPr>
            </w:pPr>
            <w:bookmarkStart w:id="167" w:name="_Hlk181430194"/>
            <w:r>
              <w:rPr>
                <w:rFonts w:hint="eastAsia" w:ascii="宋体" w:hAnsi="宋体" w:cs="宋体"/>
                <w:b/>
                <w:bCs/>
                <w:sz w:val="21"/>
                <w:szCs w:val="21"/>
                <w:lang w:val="zh-CN"/>
              </w:rPr>
              <w:t>最高限价</w:t>
            </w:r>
          </w:p>
          <w:p>
            <w:pPr>
              <w:widowControl/>
              <w:jc w:val="center"/>
              <w:rPr>
                <w:rFonts w:ascii="宋体" w:hAnsi="宋体" w:cs="宋体"/>
                <w:b/>
                <w:bCs/>
                <w:kern w:val="0"/>
                <w:sz w:val="21"/>
                <w:szCs w:val="21"/>
              </w:rPr>
            </w:pPr>
            <w:r>
              <w:rPr>
                <w:rFonts w:hint="eastAsia" w:ascii="宋体" w:hAnsi="宋体" w:cs="宋体"/>
                <w:b/>
                <w:bCs/>
                <w:kern w:val="0"/>
                <w:sz w:val="21"/>
                <w:szCs w:val="21"/>
              </w:rPr>
              <w:t>（万元）</w:t>
            </w:r>
          </w:p>
        </w:tc>
        <w:tc>
          <w:tcPr>
            <w:tcW w:w="2500" w:type="dxa"/>
            <w:noWrap/>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采购内容</w:t>
            </w:r>
          </w:p>
        </w:tc>
        <w:tc>
          <w:tcPr>
            <w:tcW w:w="2262" w:type="dxa"/>
            <w:noWrap/>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单价</w:t>
            </w:r>
            <w:r>
              <w:rPr>
                <w:rFonts w:hint="eastAsia" w:ascii="宋体" w:hAnsi="宋体" w:cs="宋体"/>
                <w:b/>
                <w:bCs/>
                <w:sz w:val="21"/>
                <w:szCs w:val="21"/>
              </w:rPr>
              <w:t>限价</w:t>
            </w:r>
          </w:p>
          <w:p>
            <w:pPr>
              <w:widowControl/>
              <w:jc w:val="center"/>
              <w:rPr>
                <w:rFonts w:ascii="宋体" w:hAnsi="宋体" w:cs="宋体"/>
                <w:b/>
                <w:bCs/>
                <w:sz w:val="21"/>
                <w:szCs w:val="21"/>
              </w:rPr>
            </w:pPr>
            <w:r>
              <w:rPr>
                <w:rFonts w:hint="eastAsia" w:ascii="宋体" w:hAnsi="宋体" w:cs="宋体"/>
                <w:b/>
                <w:bCs/>
                <w:kern w:val="0"/>
                <w:sz w:val="21"/>
                <w:szCs w:val="21"/>
              </w:rPr>
              <w:t>（万元）</w:t>
            </w:r>
          </w:p>
        </w:tc>
        <w:tc>
          <w:tcPr>
            <w:tcW w:w="795" w:type="dxa"/>
            <w:noWrap/>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数量</w:t>
            </w:r>
          </w:p>
        </w:tc>
        <w:tc>
          <w:tcPr>
            <w:tcW w:w="843" w:type="dxa"/>
            <w:noWrap/>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单位</w:t>
            </w:r>
          </w:p>
        </w:tc>
        <w:tc>
          <w:tcPr>
            <w:tcW w:w="1752" w:type="dxa"/>
            <w:noWrap/>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小计最高限价（万元）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730" w:type="dxa"/>
            <w:vMerge w:val="restart"/>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66.73</w:t>
            </w:r>
            <w:r>
              <w:rPr>
                <w:rFonts w:hint="eastAsia" w:ascii="宋体" w:hAnsi="宋体" w:eastAsia="宋体" w:cs="宋体"/>
                <w:b w:val="0"/>
                <w:bCs w:val="0"/>
                <w:color w:val="auto"/>
                <w:sz w:val="24"/>
                <w:lang w:eastAsia="zh-CN"/>
              </w:rPr>
              <w:t>万元</w:t>
            </w:r>
          </w:p>
        </w:tc>
        <w:tc>
          <w:tcPr>
            <w:tcW w:w="2500" w:type="dxa"/>
            <w:noWrap/>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eastAsia="zh-CN"/>
              </w:rPr>
              <w:t>干眼检测仪</w:t>
            </w:r>
          </w:p>
        </w:tc>
        <w:tc>
          <w:tcPr>
            <w:tcW w:w="2262" w:type="dxa"/>
            <w:noWrap/>
            <w:vAlign w:val="center"/>
          </w:tcPr>
          <w:p>
            <w:pPr>
              <w:widowControl/>
              <w:jc w:val="center"/>
              <w:textAlignment w:val="center"/>
              <w:rPr>
                <w:rFonts w:hint="default"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41.3</w:t>
            </w:r>
            <w:r>
              <w:rPr>
                <w:rFonts w:hint="eastAsia" w:ascii="宋体" w:hAnsi="宋体" w:cs="宋体"/>
                <w:b w:val="0"/>
                <w:bCs w:val="0"/>
                <w:color w:val="auto"/>
                <w:sz w:val="24"/>
                <w:lang w:val="en-US" w:eastAsia="zh-CN"/>
              </w:rPr>
              <w:t>万元</w:t>
            </w:r>
          </w:p>
        </w:tc>
        <w:tc>
          <w:tcPr>
            <w:tcW w:w="795"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1</w:t>
            </w:r>
          </w:p>
        </w:tc>
        <w:tc>
          <w:tcPr>
            <w:tcW w:w="843" w:type="dxa"/>
            <w:vAlign w:val="center"/>
          </w:tcPr>
          <w:p>
            <w:pPr>
              <w:widowControl/>
              <w:jc w:val="center"/>
              <w:textAlignment w:val="center"/>
              <w:rPr>
                <w:rFonts w:hint="default"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台</w:t>
            </w:r>
          </w:p>
        </w:tc>
        <w:tc>
          <w:tcPr>
            <w:tcW w:w="1752"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41.3</w:t>
            </w:r>
            <w:r>
              <w:rPr>
                <w:rFonts w:hint="eastAsia" w:ascii="宋体" w:hAnsi="宋体" w:cs="宋体"/>
                <w:b w:val="0"/>
                <w:bCs w:val="0"/>
                <w:color w:val="auto"/>
                <w:sz w:val="24"/>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730" w:type="dxa"/>
            <w:vMerge w:val="continue"/>
            <w:vAlign w:val="center"/>
          </w:tcPr>
          <w:p>
            <w:pPr>
              <w:widowControl/>
              <w:jc w:val="center"/>
              <w:textAlignment w:val="center"/>
              <w:rPr>
                <w:rFonts w:ascii="宋体" w:hAnsi="宋体" w:cs="宋体"/>
                <w:kern w:val="0"/>
                <w:sz w:val="21"/>
                <w:szCs w:val="21"/>
                <w:lang w:bidi="ar"/>
              </w:rPr>
            </w:pPr>
          </w:p>
        </w:tc>
        <w:tc>
          <w:tcPr>
            <w:tcW w:w="2500" w:type="dxa"/>
            <w:noWrap/>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eastAsia="zh-CN"/>
              </w:rPr>
              <w:t>数码裂隙灯显微镜</w:t>
            </w:r>
          </w:p>
        </w:tc>
        <w:tc>
          <w:tcPr>
            <w:tcW w:w="2262" w:type="dxa"/>
            <w:noWrap/>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24.95</w:t>
            </w:r>
            <w:r>
              <w:rPr>
                <w:rFonts w:hint="eastAsia" w:ascii="宋体" w:hAnsi="宋体" w:cs="宋体"/>
                <w:b w:val="0"/>
                <w:bCs w:val="0"/>
                <w:color w:val="auto"/>
                <w:sz w:val="24"/>
                <w:lang w:val="en-US" w:eastAsia="zh-CN"/>
              </w:rPr>
              <w:t>万元</w:t>
            </w:r>
          </w:p>
        </w:tc>
        <w:tc>
          <w:tcPr>
            <w:tcW w:w="795"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1</w:t>
            </w:r>
          </w:p>
        </w:tc>
        <w:tc>
          <w:tcPr>
            <w:tcW w:w="843"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台</w:t>
            </w:r>
          </w:p>
        </w:tc>
        <w:tc>
          <w:tcPr>
            <w:tcW w:w="1752"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24.95</w:t>
            </w:r>
            <w:r>
              <w:rPr>
                <w:rFonts w:hint="eastAsia" w:ascii="宋体" w:hAnsi="宋体" w:cs="宋体"/>
                <w:b w:val="0"/>
                <w:bCs w:val="0"/>
                <w:color w:val="auto"/>
                <w:sz w:val="24"/>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730" w:type="dxa"/>
            <w:vMerge w:val="continue"/>
            <w:vAlign w:val="center"/>
          </w:tcPr>
          <w:p>
            <w:pPr>
              <w:widowControl/>
              <w:jc w:val="center"/>
              <w:textAlignment w:val="center"/>
              <w:rPr>
                <w:rFonts w:ascii="宋体" w:hAnsi="宋体" w:cs="宋体"/>
                <w:kern w:val="0"/>
                <w:sz w:val="21"/>
                <w:szCs w:val="21"/>
                <w:lang w:bidi="ar"/>
              </w:rPr>
            </w:pPr>
          </w:p>
        </w:tc>
        <w:tc>
          <w:tcPr>
            <w:tcW w:w="2500" w:type="dxa"/>
            <w:noWrap/>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eastAsia="zh-CN"/>
              </w:rPr>
              <w:t>直接检眼镜</w:t>
            </w:r>
          </w:p>
        </w:tc>
        <w:tc>
          <w:tcPr>
            <w:tcW w:w="2262" w:type="dxa"/>
            <w:noWrap/>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0.24</w:t>
            </w:r>
            <w:r>
              <w:rPr>
                <w:rFonts w:hint="eastAsia" w:ascii="宋体" w:hAnsi="宋体" w:cs="宋体"/>
                <w:b w:val="0"/>
                <w:bCs w:val="0"/>
                <w:color w:val="auto"/>
                <w:sz w:val="24"/>
                <w:lang w:val="en-US" w:eastAsia="zh-CN"/>
              </w:rPr>
              <w:t>万元</w:t>
            </w:r>
          </w:p>
        </w:tc>
        <w:tc>
          <w:tcPr>
            <w:tcW w:w="795"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2</w:t>
            </w:r>
          </w:p>
        </w:tc>
        <w:tc>
          <w:tcPr>
            <w:tcW w:w="843"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台</w:t>
            </w:r>
          </w:p>
        </w:tc>
        <w:tc>
          <w:tcPr>
            <w:tcW w:w="1752" w:type="dxa"/>
            <w:vAlign w:val="center"/>
          </w:tcPr>
          <w:p>
            <w:pPr>
              <w:widowControl/>
              <w:jc w:val="center"/>
              <w:textAlignment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0.48</w:t>
            </w:r>
            <w:r>
              <w:rPr>
                <w:rFonts w:hint="eastAsia" w:ascii="宋体" w:hAnsi="宋体" w:cs="宋体"/>
                <w:b w:val="0"/>
                <w:bCs w:val="0"/>
                <w:color w:val="auto"/>
                <w:sz w:val="24"/>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730" w:type="dxa"/>
            <w:vMerge w:val="continue"/>
            <w:vAlign w:val="center"/>
          </w:tcPr>
          <w:p>
            <w:pPr>
              <w:widowControl/>
              <w:jc w:val="center"/>
              <w:textAlignment w:val="center"/>
              <w:rPr>
                <w:rFonts w:ascii="宋体" w:hAnsi="宋体" w:cs="宋体"/>
                <w:kern w:val="0"/>
                <w:sz w:val="21"/>
                <w:szCs w:val="21"/>
                <w:lang w:bidi="ar"/>
              </w:rPr>
            </w:pPr>
          </w:p>
        </w:tc>
        <w:tc>
          <w:tcPr>
            <w:tcW w:w="8152" w:type="dxa"/>
            <w:gridSpan w:val="5"/>
            <w:noWrap/>
            <w:vAlign w:val="center"/>
          </w:tcPr>
          <w:p>
            <w:pPr>
              <w:widowControl/>
              <w:jc w:val="center"/>
              <w:textAlignment w:val="center"/>
              <w:rPr>
                <w:rFonts w:hint="eastAsia" w:ascii="宋体" w:hAnsi="宋体" w:eastAsia="宋体" w:cs="宋体"/>
                <w:b w:val="0"/>
                <w:bCs w:val="0"/>
                <w:color w:val="auto"/>
                <w:sz w:val="24"/>
                <w:lang w:val="en-US" w:eastAsia="zh-CN"/>
              </w:rPr>
            </w:pPr>
            <w:r>
              <w:rPr>
                <w:rFonts w:hint="eastAsia" w:ascii="宋体" w:hAnsi="宋体" w:eastAsia="宋体" w:cs="宋体"/>
                <w:b/>
                <w:bCs/>
                <w:color w:val="auto"/>
                <w:sz w:val="24"/>
                <w:lang w:val="zh-CN" w:eastAsia="zh-CN"/>
              </w:rPr>
              <w:t>每项</w:t>
            </w:r>
            <w:r>
              <w:rPr>
                <w:rFonts w:hint="eastAsia" w:ascii="宋体" w:hAnsi="宋体" w:eastAsia="宋体" w:cs="宋体"/>
                <w:b/>
                <w:bCs/>
                <w:color w:val="auto"/>
                <w:sz w:val="24"/>
                <w:lang w:val="en-US" w:eastAsia="zh-CN"/>
              </w:rPr>
              <w:t>采购</w:t>
            </w:r>
            <w:r>
              <w:rPr>
                <w:rFonts w:hint="eastAsia" w:ascii="宋体" w:hAnsi="宋体" w:eastAsia="宋体" w:cs="宋体"/>
                <w:b/>
                <w:bCs/>
                <w:color w:val="auto"/>
                <w:sz w:val="24"/>
                <w:lang w:eastAsia="zh-CN"/>
              </w:rPr>
              <w:t>内容其单价都</w:t>
            </w:r>
            <w:r>
              <w:rPr>
                <w:rFonts w:hint="eastAsia" w:ascii="宋体" w:hAnsi="宋体" w:eastAsia="宋体" w:cs="宋体"/>
                <w:b/>
                <w:bCs/>
                <w:color w:val="auto"/>
                <w:sz w:val="24"/>
                <w:lang w:val="zh-CN" w:eastAsia="zh-CN"/>
              </w:rPr>
              <w:t>不得超过其对应的</w:t>
            </w:r>
            <w:r>
              <w:rPr>
                <w:rFonts w:hint="eastAsia" w:ascii="宋体" w:hAnsi="宋体" w:eastAsia="宋体" w:cs="宋体"/>
                <w:b/>
                <w:bCs/>
                <w:color w:val="auto"/>
                <w:sz w:val="24"/>
                <w:lang w:eastAsia="zh-CN"/>
              </w:rPr>
              <w:t>预算</w:t>
            </w:r>
            <w:r>
              <w:rPr>
                <w:rFonts w:hint="eastAsia" w:ascii="宋体" w:hAnsi="宋体" w:eastAsia="宋体" w:cs="宋体"/>
                <w:b/>
                <w:bCs/>
                <w:color w:val="auto"/>
                <w:sz w:val="24"/>
                <w:lang w:val="zh-CN" w:eastAsia="zh-CN"/>
              </w:rPr>
              <w:t>单价限价，否则</w:t>
            </w:r>
            <w:r>
              <w:rPr>
                <w:rFonts w:hint="eastAsia" w:ascii="宋体" w:hAnsi="宋体" w:eastAsia="宋体" w:cs="宋体"/>
                <w:b/>
                <w:bCs/>
                <w:color w:val="auto"/>
                <w:sz w:val="24"/>
                <w:lang w:eastAsia="zh-CN"/>
              </w:rPr>
              <w:t>其</w:t>
            </w:r>
            <w:r>
              <w:rPr>
                <w:rFonts w:hint="eastAsia" w:ascii="宋体" w:hAnsi="宋体" w:eastAsia="宋体" w:cs="宋体"/>
                <w:b/>
                <w:bCs/>
                <w:color w:val="auto"/>
                <w:sz w:val="24"/>
                <w:lang w:val="en-US" w:eastAsia="zh-CN"/>
              </w:rPr>
              <w:t>磋商</w:t>
            </w:r>
            <w:r>
              <w:rPr>
                <w:rFonts w:hint="eastAsia" w:ascii="宋体" w:hAnsi="宋体" w:eastAsia="宋体" w:cs="宋体"/>
                <w:b/>
                <w:bCs/>
                <w:color w:val="auto"/>
                <w:sz w:val="24"/>
                <w:lang w:eastAsia="zh-CN"/>
              </w:rPr>
              <w:t>无效。</w:t>
            </w:r>
          </w:p>
        </w:tc>
      </w:tr>
      <w:bookmarkEnd w:id="166"/>
      <w:bookmarkEnd w:id="167"/>
    </w:tbl>
    <w:p>
      <w:pPr>
        <w:pStyle w:val="16"/>
        <w:ind w:left="0" w:leftChars="0" w:firstLine="0" w:firstLineChars="0"/>
        <w:rPr>
          <w:rFonts w:hint="eastAsia"/>
          <w:b/>
          <w:bCs/>
          <w:kern w:val="0"/>
          <w:sz w:val="24"/>
          <w:szCs w:val="24"/>
          <w:lang w:val="en-US" w:eastAsia="zh-CN"/>
        </w:rPr>
      </w:pPr>
    </w:p>
    <w:p>
      <w:pPr>
        <w:pStyle w:val="16"/>
        <w:ind w:left="0" w:leftChars="0" w:firstLine="0" w:firstLineChars="0"/>
        <w:jc w:val="center"/>
        <w:rPr>
          <w:rFonts w:hint="default" w:eastAsia="宋体"/>
          <w:lang w:val="en-US" w:eastAsia="zh-CN"/>
        </w:rPr>
      </w:pPr>
      <w:bookmarkStart w:id="168" w:name="OLE_LINK4"/>
      <w:r>
        <w:rPr>
          <w:rFonts w:hint="eastAsia"/>
          <w:b/>
          <w:bCs/>
          <w:kern w:val="0"/>
          <w:sz w:val="24"/>
          <w:szCs w:val="24"/>
          <w:lang w:val="en-US" w:eastAsia="zh-CN"/>
        </w:rPr>
        <w:t>（2）</w:t>
      </w:r>
      <w:r>
        <w:rPr>
          <w:rFonts w:hint="eastAsia" w:hAnsi="宋体"/>
          <w:b/>
          <w:bCs/>
          <w:kern w:val="0"/>
          <w:sz w:val="24"/>
          <w:szCs w:val="24"/>
        </w:rPr>
        <w:t>采购项目参数</w:t>
      </w:r>
      <w:bookmarkEnd w:id="168"/>
    </w:p>
    <w:tbl>
      <w:tblPr>
        <w:tblStyle w:val="35"/>
        <w:tblW w:w="5000" w:type="pct"/>
        <w:jc w:val="center"/>
        <w:tblLayout w:type="fixed"/>
        <w:tblCellMar>
          <w:top w:w="0" w:type="dxa"/>
          <w:left w:w="108" w:type="dxa"/>
          <w:bottom w:w="0" w:type="dxa"/>
          <w:right w:w="108" w:type="dxa"/>
        </w:tblCellMar>
      </w:tblPr>
      <w:tblGrid>
        <w:gridCol w:w="823"/>
        <w:gridCol w:w="974"/>
        <w:gridCol w:w="1001"/>
        <w:gridCol w:w="7170"/>
      </w:tblGrid>
      <w:tr>
        <w:tblPrEx>
          <w:tblCellMar>
            <w:top w:w="0" w:type="dxa"/>
            <w:left w:w="108" w:type="dxa"/>
            <w:bottom w:w="0" w:type="dxa"/>
            <w:right w:w="108" w:type="dxa"/>
          </w:tblCellMar>
        </w:tblPrEx>
        <w:trPr>
          <w:trHeight w:val="864" w:hRule="exact"/>
          <w:jc w:val="center"/>
        </w:trPr>
        <w:tc>
          <w:tcPr>
            <w:tcW w:w="412"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宋体" w:hAnsi="宋体" w:eastAsia="宋体" w:cs="宋体"/>
                <w:b/>
                <w:bCs/>
                <w:color w:val="auto"/>
                <w:kern w:val="0"/>
              </w:rPr>
            </w:pPr>
            <w:r>
              <w:rPr>
                <w:rFonts w:hint="eastAsia" w:ascii="宋体" w:hAnsi="宋体" w:eastAsia="宋体" w:cs="宋体"/>
                <w:b/>
                <w:bCs/>
                <w:color w:val="auto"/>
                <w:kern w:val="0"/>
              </w:rPr>
              <w:t>序号</w:t>
            </w:r>
          </w:p>
        </w:tc>
        <w:tc>
          <w:tcPr>
            <w:tcW w:w="488" w:type="pct"/>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eastAsia="宋体" w:cs="宋体"/>
                <w:b/>
                <w:bCs/>
                <w:color w:val="auto"/>
                <w:kern w:val="0"/>
              </w:rPr>
            </w:pPr>
            <w:r>
              <w:rPr>
                <w:rFonts w:hint="eastAsia" w:ascii="宋体" w:hAnsi="宋体" w:eastAsia="宋体" w:cs="宋体"/>
                <w:b/>
                <w:bCs/>
                <w:color w:val="auto"/>
                <w:kern w:val="0"/>
              </w:rPr>
              <w:t>采购内容</w:t>
            </w:r>
          </w:p>
        </w:tc>
        <w:tc>
          <w:tcPr>
            <w:tcW w:w="502" w:type="pct"/>
            <w:tcBorders>
              <w:top w:val="single" w:color="auto" w:sz="4" w:space="0"/>
              <w:left w:val="nil"/>
              <w:bottom w:val="single" w:color="auto" w:sz="4" w:space="0"/>
              <w:right w:val="single" w:color="auto" w:sz="4" w:space="0"/>
            </w:tcBorders>
          </w:tcPr>
          <w:p>
            <w:pPr>
              <w:widowControl/>
              <w:jc w:val="center"/>
              <w:rPr>
                <w:rFonts w:hint="eastAsia" w:ascii="宋体" w:hAnsi="宋体" w:eastAsia="宋体" w:cs="宋体"/>
                <w:b/>
                <w:bCs/>
                <w:color w:val="auto"/>
                <w:kern w:val="0"/>
              </w:rPr>
            </w:pPr>
            <w:r>
              <w:rPr>
                <w:rFonts w:hint="eastAsia" w:ascii="宋体" w:hAnsi="宋体" w:eastAsia="宋体" w:cs="宋体"/>
                <w:b/>
                <w:bCs/>
                <w:color w:val="auto"/>
                <w:kern w:val="0"/>
              </w:rPr>
              <w:t>采购数量及单位</w:t>
            </w:r>
          </w:p>
        </w:tc>
        <w:tc>
          <w:tcPr>
            <w:tcW w:w="3596"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宋体" w:hAnsi="宋体" w:eastAsia="宋体" w:cs="宋体"/>
                <w:b/>
                <w:bCs/>
                <w:color w:val="auto"/>
                <w:kern w:val="0"/>
              </w:rPr>
            </w:pPr>
            <w:r>
              <w:rPr>
                <w:rFonts w:hint="eastAsia" w:ascii="宋体" w:hAnsi="宋体" w:eastAsia="宋体" w:cs="宋体"/>
                <w:b/>
                <w:bCs/>
                <w:color w:val="auto"/>
                <w:kern w:val="0"/>
              </w:rPr>
              <w:t>技术要求</w:t>
            </w:r>
          </w:p>
        </w:tc>
      </w:tr>
      <w:tr>
        <w:tblPrEx>
          <w:tblCellMar>
            <w:top w:w="0" w:type="dxa"/>
            <w:left w:w="108" w:type="dxa"/>
            <w:bottom w:w="0" w:type="dxa"/>
            <w:right w:w="108" w:type="dxa"/>
          </w:tblCellMar>
        </w:tblPrEx>
        <w:trPr>
          <w:jc w:val="center"/>
        </w:trPr>
        <w:tc>
          <w:tcPr>
            <w:tcW w:w="412"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宋体" w:hAnsi="宋体" w:eastAsia="宋体" w:cs="宋体"/>
                <w:color w:val="auto"/>
                <w:kern w:val="0"/>
              </w:rPr>
            </w:pPr>
            <w:r>
              <w:rPr>
                <w:rFonts w:hint="eastAsia" w:ascii="宋体" w:hAnsi="宋体" w:eastAsia="宋体" w:cs="宋体"/>
                <w:color w:val="auto"/>
                <w:kern w:val="0"/>
              </w:rPr>
              <w:t>1</w:t>
            </w:r>
          </w:p>
        </w:tc>
        <w:tc>
          <w:tcPr>
            <w:tcW w:w="488"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eastAsia="zh-CN"/>
              </w:rPr>
              <w:t>干眼检测仪</w:t>
            </w:r>
          </w:p>
        </w:tc>
        <w:tc>
          <w:tcPr>
            <w:tcW w:w="502"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1</w:t>
            </w:r>
            <w:r>
              <w:rPr>
                <w:rFonts w:hint="eastAsia" w:ascii="宋体" w:hAnsi="宋体" w:eastAsia="宋体" w:cs="宋体"/>
                <w:b w:val="0"/>
                <w:bCs w:val="0"/>
                <w:color w:val="auto"/>
                <w:sz w:val="24"/>
                <w:lang w:eastAsia="zh-CN"/>
              </w:rPr>
              <w:t>台</w:t>
            </w:r>
          </w:p>
        </w:tc>
        <w:tc>
          <w:tcPr>
            <w:tcW w:w="3596" w:type="pct"/>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一</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rPr>
              <w:t>产品功能</w:t>
            </w:r>
          </w:p>
          <w:p>
            <w:pPr>
              <w:spacing w:line="360" w:lineRule="auto"/>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eastAsia="zh-Hans"/>
              </w:rPr>
              <w:t>1.1、</w:t>
            </w:r>
            <w:r>
              <w:rPr>
                <w:rFonts w:hint="eastAsia" w:ascii="宋体" w:hAnsi="宋体" w:eastAsia="宋体" w:cs="宋体"/>
                <w:b w:val="0"/>
                <w:bCs w:val="0"/>
                <w:color w:val="auto"/>
                <w:sz w:val="24"/>
                <w:highlight w:val="none"/>
                <w:lang w:val="en-US" w:eastAsia="zh-Hans"/>
              </w:rPr>
              <w:t>干眼</w:t>
            </w:r>
            <w:r>
              <w:rPr>
                <w:rFonts w:hint="eastAsia" w:ascii="宋体" w:hAnsi="宋体" w:eastAsia="宋体" w:cs="宋体"/>
                <w:b w:val="0"/>
                <w:bCs w:val="0"/>
                <w:color w:val="auto"/>
                <w:sz w:val="24"/>
                <w:highlight w:val="none"/>
              </w:rPr>
              <w:t>检查项目：可进行干眼相关7项检查及眼前节检查</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eastAsia="zh-Hans"/>
              </w:rPr>
              <w:t>含荧光染色分析功能）</w:t>
            </w:r>
          </w:p>
          <w:p>
            <w:pPr>
              <w:spacing w:line="360" w:lineRule="auto"/>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000000" w:themeColor="text1"/>
                <w:sz w:val="24"/>
                <w:highlight w:val="none"/>
                <w:shd w:val="clear"/>
                <w14:textFill>
                  <w14:solidFill>
                    <w14:schemeClr w14:val="tx1"/>
                  </w14:solidFill>
                </w14:textFill>
              </w:rPr>
              <w:t>★</w:t>
            </w:r>
            <w:r>
              <w:rPr>
                <w:rFonts w:hint="eastAsia" w:ascii="宋体" w:hAnsi="宋体" w:eastAsia="宋体" w:cs="宋体"/>
                <w:b w:val="0"/>
                <w:bCs w:val="0"/>
                <w:color w:val="auto"/>
                <w:sz w:val="24"/>
                <w:highlight w:val="none"/>
              </w:rPr>
              <w:t>1</w:t>
            </w:r>
            <w:r>
              <w:rPr>
                <w:rFonts w:hint="eastAsia" w:ascii="宋体" w:hAnsi="宋体" w:cs="宋体"/>
                <w:b w:val="0"/>
                <w:bCs w:val="0"/>
                <w:color w:val="auto"/>
                <w:sz w:val="24"/>
                <w:highlight w:val="none"/>
                <w:lang w:val="en-US" w:eastAsia="zh-CN"/>
              </w:rPr>
              <w:t>.2软</w:t>
            </w:r>
            <w:r>
              <w:rPr>
                <w:rFonts w:hint="eastAsia" w:ascii="宋体" w:hAnsi="宋体" w:eastAsia="宋体" w:cs="宋体"/>
                <w:b w:val="0"/>
                <w:bCs w:val="0"/>
                <w:color w:val="auto"/>
                <w:sz w:val="24"/>
                <w:highlight w:val="none"/>
                <w:lang w:val="en-US" w:eastAsia="zh-Hans"/>
              </w:rPr>
              <w:t>件</w:t>
            </w:r>
            <w:r>
              <w:rPr>
                <w:rFonts w:hint="eastAsia" w:ascii="宋体" w:hAnsi="宋体" w:eastAsia="宋体" w:cs="宋体"/>
                <w:b w:val="0"/>
                <w:bCs w:val="0"/>
                <w:color w:val="auto"/>
                <w:sz w:val="24"/>
                <w:highlight w:val="none"/>
                <w:lang w:val="de-DE"/>
              </w:rPr>
              <w:t>具备干眼进展分析功能和报告单模块</w:t>
            </w:r>
            <w:r>
              <w:rPr>
                <w:rFonts w:hint="eastAsia" w:ascii="宋体" w:hAnsi="宋体" w:eastAsia="宋体" w:cs="宋体"/>
                <w:b w:val="0"/>
                <w:bCs w:val="0"/>
                <w:color w:val="auto"/>
                <w:sz w:val="24"/>
                <w:highlight w:val="none"/>
                <w:lang w:val="de-DE" w:eastAsia="zh-Hans"/>
              </w:rPr>
              <w:t>，</w:t>
            </w:r>
            <w:r>
              <w:rPr>
                <w:rFonts w:hint="eastAsia" w:ascii="宋体" w:hAnsi="宋体" w:eastAsia="宋体" w:cs="宋体"/>
                <w:b w:val="0"/>
                <w:bCs w:val="0"/>
                <w:color w:val="auto"/>
                <w:sz w:val="24"/>
                <w:highlight w:val="none"/>
                <w:lang w:val="en-US" w:eastAsia="zh-Hans"/>
              </w:rPr>
              <w:t>进展分析报告结果可生成相应的折线图，用于分析患者干眼程度的趋势。（以产品注册证或第三方检验机构出具的检验报告为准）</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eastAsia="zh-Hans"/>
              </w:rPr>
              <w:t>1</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eastAsia="zh-Hans"/>
              </w:rPr>
              <w:t>具备</w:t>
            </w:r>
            <w:r>
              <w:rPr>
                <w:rFonts w:hint="eastAsia" w:ascii="宋体" w:hAnsi="宋体" w:eastAsia="宋体" w:cs="宋体"/>
                <w:b w:val="0"/>
                <w:bCs w:val="0"/>
                <w:color w:val="auto"/>
                <w:sz w:val="24"/>
                <w:highlight w:val="none"/>
                <w:lang w:val="en-US"/>
              </w:rPr>
              <w:t>脂质层的定量分析</w:t>
            </w:r>
            <w:r>
              <w:rPr>
                <w:rFonts w:hint="eastAsia" w:ascii="宋体" w:hAnsi="宋体" w:eastAsia="宋体" w:cs="宋体"/>
                <w:b w:val="0"/>
                <w:bCs w:val="0"/>
                <w:color w:val="auto"/>
                <w:sz w:val="24"/>
                <w:highlight w:val="none"/>
                <w:lang w:val="en-US" w:eastAsia="zh-Hans"/>
              </w:rPr>
              <w:t>和瞬目不完全眨眼</w:t>
            </w:r>
            <w:r>
              <w:rPr>
                <w:rFonts w:hint="eastAsia" w:ascii="宋体" w:hAnsi="宋体" w:eastAsia="宋体" w:cs="宋体"/>
                <w:b w:val="0"/>
                <w:bCs w:val="0"/>
                <w:color w:val="auto"/>
                <w:sz w:val="24"/>
                <w:highlight w:val="none"/>
                <w:lang w:val="en-US"/>
              </w:rPr>
              <w:t>功能（选配</w:t>
            </w:r>
            <w:r>
              <w:rPr>
                <w:rFonts w:hint="eastAsia" w:ascii="宋体" w:hAnsi="宋体" w:eastAsia="宋体" w:cs="宋体"/>
                <w:b w:val="0"/>
                <w:bCs w:val="0"/>
                <w:color w:val="auto"/>
                <w:sz w:val="24"/>
                <w:highlight w:val="none"/>
                <w:lang w:val="en-US" w:eastAsia="zh-Hans"/>
              </w:rPr>
              <w:t>功能</w:t>
            </w:r>
            <w:r>
              <w:rPr>
                <w:rFonts w:hint="eastAsia" w:ascii="宋体" w:hAnsi="宋体" w:eastAsia="宋体" w:cs="宋体"/>
                <w:b w:val="0"/>
                <w:bCs w:val="0"/>
                <w:color w:val="auto"/>
                <w:sz w:val="24"/>
                <w:highlight w:val="none"/>
                <w:lang w:val="en-US"/>
              </w:rPr>
              <w:t>）</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eastAsia="zh-Hans"/>
              </w:rPr>
              <w:t>二、</w:t>
            </w:r>
            <w:r>
              <w:rPr>
                <w:rFonts w:hint="eastAsia" w:ascii="宋体" w:hAnsi="宋体" w:eastAsia="宋体" w:cs="宋体"/>
                <w:b w:val="0"/>
                <w:bCs w:val="0"/>
                <w:color w:val="auto"/>
                <w:sz w:val="24"/>
                <w:highlight w:val="none"/>
              </w:rPr>
              <w:t>硬件部分参数</w:t>
            </w:r>
          </w:p>
          <w:p>
            <w:pPr>
              <w:spacing w:line="360" w:lineRule="auto"/>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000000" w:themeColor="text1"/>
                <w:sz w:val="24"/>
                <w:highlight w:val="none"/>
                <w:shd w:val="clear"/>
                <w14:textFill>
                  <w14:solidFill>
                    <w14:schemeClr w14:val="tx1"/>
                  </w14:solidFill>
                </w14:textFill>
              </w:rPr>
              <w:t>★</w:t>
            </w:r>
            <w:r>
              <w:rPr>
                <w:rFonts w:hint="eastAsia" w:ascii="宋体" w:hAnsi="宋体" w:eastAsia="宋体" w:cs="宋体"/>
                <w:b w:val="0"/>
                <w:bCs w:val="0"/>
                <w:color w:val="auto"/>
                <w:sz w:val="24"/>
                <w:highlight w:val="none"/>
                <w:lang w:eastAsia="zh-Hans"/>
              </w:rPr>
              <w:t>2.1、</w:t>
            </w:r>
            <w:r>
              <w:rPr>
                <w:rFonts w:hint="eastAsia" w:ascii="宋体" w:hAnsi="宋体" w:eastAsia="宋体" w:cs="宋体"/>
                <w:b w:val="0"/>
                <w:bCs w:val="0"/>
                <w:color w:val="auto"/>
                <w:sz w:val="24"/>
                <w:highlight w:val="none"/>
                <w:lang w:val="en-US" w:eastAsia="zh-Hans"/>
              </w:rPr>
              <w:t>placido环：环数：2</w:t>
            </w:r>
            <w:r>
              <w:rPr>
                <w:rFonts w:hint="eastAsia" w:ascii="宋体" w:hAnsi="宋体" w:eastAsia="宋体" w:cs="宋体"/>
                <w:b w:val="0"/>
                <w:bCs w:val="0"/>
                <w:color w:val="auto"/>
                <w:sz w:val="24"/>
                <w:highlight w:val="none"/>
                <w:lang w:eastAsia="zh-Hans"/>
              </w:rPr>
              <w:t>3</w:t>
            </w:r>
            <w:r>
              <w:rPr>
                <w:rFonts w:hint="eastAsia" w:ascii="宋体" w:hAnsi="宋体" w:eastAsia="宋体" w:cs="宋体"/>
                <w:b w:val="0"/>
                <w:bCs w:val="0"/>
                <w:color w:val="auto"/>
                <w:sz w:val="24"/>
                <w:highlight w:val="none"/>
                <w:lang w:val="en-US" w:eastAsia="zh-Hans"/>
              </w:rPr>
              <w:t>环；光源：具备红外光（波长</w:t>
            </w:r>
            <w:r>
              <w:rPr>
                <w:rFonts w:hint="eastAsia" w:ascii="宋体" w:hAnsi="宋体" w:eastAsia="宋体" w:cs="宋体"/>
                <w:b w:val="0"/>
                <w:bCs w:val="0"/>
                <w:color w:val="auto"/>
                <w:sz w:val="24"/>
                <w:highlight w:val="none"/>
                <w:lang w:eastAsia="zh-Hans"/>
              </w:rPr>
              <w:t>850</w:t>
            </w:r>
            <w:r>
              <w:rPr>
                <w:rFonts w:hint="eastAsia" w:ascii="宋体" w:hAnsi="宋体" w:eastAsia="宋体" w:cs="宋体"/>
                <w:b w:val="0"/>
                <w:bCs w:val="0"/>
                <w:color w:val="auto"/>
                <w:sz w:val="24"/>
                <w:highlight w:val="none"/>
                <w:lang w:val="en-US" w:eastAsia="zh-Hans"/>
              </w:rPr>
              <w:t>nm和可见光（最大照度大于</w:t>
            </w:r>
            <w:r>
              <w:rPr>
                <w:rFonts w:hint="eastAsia" w:ascii="宋体" w:hAnsi="宋体" w:eastAsia="宋体" w:cs="宋体"/>
                <w:b w:val="0"/>
                <w:bCs w:val="0"/>
                <w:color w:val="auto"/>
                <w:sz w:val="24"/>
                <w:highlight w:val="none"/>
                <w:lang w:eastAsia="zh-Hans"/>
              </w:rPr>
              <w:t>3200</w:t>
            </w:r>
            <w:r>
              <w:rPr>
                <w:rFonts w:hint="eastAsia" w:ascii="宋体" w:hAnsi="宋体" w:eastAsia="宋体" w:cs="宋体"/>
                <w:b w:val="0"/>
                <w:bCs w:val="0"/>
                <w:color w:val="auto"/>
                <w:sz w:val="24"/>
                <w:highlight w:val="none"/>
                <w:lang w:val="en-US" w:eastAsia="zh-Hans"/>
              </w:rPr>
              <w:t>lx）双光源。</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w:t>
            </w:r>
            <w:r>
              <w:rPr>
                <w:rFonts w:hint="eastAsia" w:ascii="宋体" w:hAnsi="宋体" w:eastAsia="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rPr>
              <w:t>图像采集装置：</w:t>
            </w:r>
            <w:r>
              <w:rPr>
                <w:rFonts w:hint="eastAsia" w:ascii="宋体" w:hAnsi="宋体" w:eastAsia="宋体" w:cs="宋体"/>
                <w:b w:val="0"/>
                <w:bCs w:val="0"/>
                <w:color w:val="auto"/>
                <w:sz w:val="24"/>
                <w:highlight w:val="none"/>
                <w:lang w:val="en-US" w:eastAsia="zh-Hans"/>
              </w:rPr>
              <w:t>目镜下位式</w:t>
            </w:r>
            <w:r>
              <w:rPr>
                <w:rFonts w:hint="eastAsia" w:ascii="宋体" w:hAnsi="宋体" w:eastAsia="宋体" w:cs="宋体"/>
                <w:b w:val="0"/>
                <w:bCs w:val="0"/>
                <w:color w:val="auto"/>
                <w:sz w:val="24"/>
                <w:highlight w:val="none"/>
              </w:rPr>
              <w:t>外挂</w:t>
            </w:r>
            <w:r>
              <w:rPr>
                <w:rFonts w:hint="eastAsia" w:ascii="宋体" w:hAnsi="宋体" w:cs="宋体"/>
                <w:b w:val="0"/>
                <w:bCs w:val="0"/>
                <w:color w:val="auto"/>
                <w:sz w:val="24"/>
                <w:highlight w:val="none"/>
                <w:lang w:val="en-US" w:eastAsia="zh-CN"/>
              </w:rPr>
              <w:t>医用图形采集器</w:t>
            </w:r>
            <w:r>
              <w:rPr>
                <w:rFonts w:hint="eastAsia" w:ascii="宋体" w:hAnsi="宋体" w:eastAsia="宋体" w:cs="宋体"/>
                <w:b w:val="0"/>
                <w:bCs w:val="0"/>
                <w:color w:val="auto"/>
                <w:sz w:val="24"/>
                <w:highlight w:val="none"/>
              </w:rPr>
              <w:t>（非CCD），像素≥2400万像素；</w:t>
            </w:r>
          </w:p>
          <w:p>
            <w:pPr>
              <w:spacing w:line="360" w:lineRule="auto"/>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rPr>
              <w:t>2.</w:t>
            </w:r>
            <w:r>
              <w:rPr>
                <w:rFonts w:hint="eastAsia" w:ascii="宋体" w:hAnsi="宋体" w:eastAsia="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eastAsia="zh-Hans"/>
              </w:rPr>
              <w:t>无线型机身设计：照明臂电气连线和光学电气连线隐藏于设备内部。（以产品注册证或第三方检验机构出具的检验报告为准）</w:t>
            </w:r>
          </w:p>
          <w:p>
            <w:pPr>
              <w:spacing w:line="360" w:lineRule="auto"/>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000000" w:themeColor="text1"/>
                <w:sz w:val="24"/>
                <w:highlight w:val="none"/>
                <w:shd w:val="clear"/>
                <w14:textFill>
                  <w14:solidFill>
                    <w14:schemeClr w14:val="tx1"/>
                  </w14:solidFill>
                </w14:textFill>
              </w:rPr>
              <w:t>★</w:t>
            </w:r>
            <w:r>
              <w:rPr>
                <w:rFonts w:hint="eastAsia" w:ascii="宋体" w:hAnsi="宋体" w:eastAsia="宋体" w:cs="宋体"/>
                <w:b w:val="0"/>
                <w:bCs w:val="0"/>
                <w:color w:val="auto"/>
                <w:sz w:val="24"/>
                <w:highlight w:val="none"/>
              </w:rPr>
              <w:t>2.</w:t>
            </w:r>
            <w:r>
              <w:rPr>
                <w:rFonts w:hint="eastAsia" w:ascii="宋体" w:hAnsi="宋体" w:eastAsia="宋体" w:cs="宋体"/>
                <w:b w:val="0"/>
                <w:bCs w:val="0"/>
                <w:color w:val="auto"/>
                <w:sz w:val="24"/>
                <w:highlight w:val="none"/>
                <w:lang w:val="en-US" w:eastAsia="zh-CN"/>
              </w:rPr>
              <w:t>4</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eastAsia="zh-Hans"/>
              </w:rPr>
              <w:t>一</w:t>
            </w:r>
            <w:r>
              <w:rPr>
                <w:rFonts w:hint="eastAsia" w:ascii="宋体" w:hAnsi="宋体" w:eastAsia="宋体" w:cs="宋体"/>
                <w:b w:val="0"/>
                <w:bCs w:val="0"/>
                <w:color w:val="auto"/>
                <w:sz w:val="24"/>
                <w:highlight w:val="none"/>
              </w:rPr>
              <w:t>体</w:t>
            </w:r>
            <w:r>
              <w:rPr>
                <w:rFonts w:hint="eastAsia" w:ascii="宋体" w:hAnsi="宋体" w:eastAsia="宋体" w:cs="宋体"/>
                <w:b w:val="0"/>
                <w:bCs w:val="0"/>
                <w:color w:val="auto"/>
                <w:sz w:val="24"/>
                <w:highlight w:val="none"/>
                <w:lang w:val="en-US" w:eastAsia="zh-Hans"/>
              </w:rPr>
              <w:t>上挂式</w:t>
            </w:r>
            <w:r>
              <w:rPr>
                <w:rFonts w:hint="eastAsia" w:ascii="宋体" w:hAnsi="宋体" w:eastAsia="宋体" w:cs="宋体"/>
                <w:b w:val="0"/>
                <w:bCs w:val="0"/>
                <w:color w:val="auto"/>
                <w:sz w:val="24"/>
                <w:highlight w:val="none"/>
              </w:rPr>
              <w:t>干眼检查装置</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rPr>
              <w:t>无外置电源线连接，装置</w:t>
            </w:r>
            <w:r>
              <w:rPr>
                <w:rFonts w:hint="eastAsia" w:ascii="宋体" w:hAnsi="宋体" w:eastAsia="宋体" w:cs="宋体"/>
                <w:b w:val="0"/>
                <w:bCs w:val="0"/>
                <w:color w:val="auto"/>
                <w:sz w:val="24"/>
                <w:highlight w:val="none"/>
                <w:lang w:val="en-US" w:eastAsia="zh-Hans"/>
              </w:rPr>
              <w:t>与设备主体一体设计，在所有干眼检查项目中不需要更换部件。（以产品注册证或第三方检验机构出具的检验报告为准）</w:t>
            </w:r>
          </w:p>
          <w:p>
            <w:pPr>
              <w:spacing w:line="360" w:lineRule="auto"/>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rPr>
              <w:t>2.</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eastAsia="zh-Hans"/>
              </w:rPr>
              <w:t>照明转臂防侵蚀装置：具备照明转臂盖盒</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eastAsia="zh-Hans"/>
              </w:rPr>
              <w:t>有效阻挡外物侵蚀、保护内部照明轴转动部位、照明转轴内孔及内部线缆</w:t>
            </w:r>
            <w:r>
              <w:rPr>
                <w:rFonts w:hint="eastAsia" w:ascii="宋体" w:hAnsi="宋体" w:cs="宋体"/>
                <w:b w:val="0"/>
                <w:bCs w:val="0"/>
                <w:color w:val="auto"/>
                <w:sz w:val="24"/>
                <w:highlight w:val="none"/>
                <w:lang w:eastAsia="zh-CN"/>
              </w:rPr>
              <w:t>；</w:t>
            </w:r>
            <w:r>
              <w:rPr>
                <w:rFonts w:hint="eastAsia" w:ascii="宋体" w:hAnsi="宋体" w:eastAsia="宋体" w:cs="宋体"/>
                <w:b w:val="0"/>
                <w:bCs w:val="0"/>
                <w:color w:val="auto"/>
                <w:sz w:val="24"/>
                <w:highlight w:val="none"/>
                <w:lang w:val="en-US" w:eastAsia="zh-Hans"/>
              </w:rPr>
              <w:t>具备顶部滑块装置便于需要使用对焦棒时露出转轴内孔。（以产品注册证或第三方检验机构出具的检验报告为准）</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eastAsia="zh-Hans"/>
              </w:rPr>
              <w:t>2.</w:t>
            </w:r>
            <w:r>
              <w:rPr>
                <w:rFonts w:hint="eastAsia" w:ascii="宋体" w:hAnsi="宋体" w:cs="宋体"/>
                <w:b w:val="0"/>
                <w:bCs w:val="0"/>
                <w:color w:val="auto"/>
                <w:sz w:val="24"/>
                <w:highlight w:val="none"/>
                <w:lang w:val="en-US" w:eastAsia="zh-CN"/>
              </w:rPr>
              <w:t>6</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eastAsia="zh-Hans"/>
              </w:rPr>
              <w:t>光学体固定</w:t>
            </w:r>
            <w:r>
              <w:rPr>
                <w:rFonts w:hint="eastAsia" w:ascii="宋体" w:hAnsi="宋体" w:eastAsia="宋体" w:cs="宋体"/>
                <w:b w:val="0"/>
                <w:bCs w:val="0"/>
                <w:color w:val="auto"/>
                <w:sz w:val="24"/>
                <w:highlight w:val="none"/>
              </w:rPr>
              <w:t>放大倍率：6X、10X、16X、25X、40X</w:t>
            </w:r>
            <w:r>
              <w:rPr>
                <w:rFonts w:hint="eastAsia" w:ascii="宋体" w:hAnsi="宋体" w:eastAsia="宋体" w:cs="宋体"/>
                <w:b w:val="0"/>
                <w:bCs w:val="0"/>
                <w:color w:val="auto"/>
                <w:sz w:val="24"/>
                <w:highlight w:val="none"/>
                <w:lang w:val="en-US" w:eastAsia="zh-Hans"/>
              </w:rPr>
              <w:t>机械转鼓变倍（非数码放大）</w:t>
            </w:r>
            <w:r>
              <w:rPr>
                <w:rFonts w:hint="eastAsia" w:ascii="宋体" w:hAnsi="宋体" w:eastAsia="宋体" w:cs="宋体"/>
                <w:b w:val="0"/>
                <w:bCs w:val="0"/>
                <w:color w:val="auto"/>
                <w:sz w:val="24"/>
                <w:highlight w:val="none"/>
              </w:rPr>
              <w:t>；</w:t>
            </w:r>
          </w:p>
          <w:p>
            <w:pPr>
              <w:widowControl/>
              <w:jc w:val="left"/>
              <w:rPr>
                <w:rFonts w:hint="eastAsia" w:ascii="宋体" w:hAnsi="宋体" w:eastAsia="宋体" w:cs="宋体"/>
                <w:color w:val="auto"/>
                <w:kern w:val="0"/>
                <w:highlight w:val="none"/>
              </w:rPr>
            </w:pPr>
            <w:r>
              <w:rPr>
                <w:rFonts w:hint="eastAsia" w:ascii="宋体" w:hAnsi="宋体" w:eastAsia="宋体" w:cs="宋体"/>
                <w:b w:val="0"/>
                <w:bCs w:val="0"/>
                <w:color w:val="auto"/>
                <w:sz w:val="24"/>
                <w:highlight w:val="none"/>
              </w:rPr>
              <w:t>2.</w:t>
            </w:r>
            <w:r>
              <w:rPr>
                <w:rFonts w:hint="eastAsia" w:ascii="宋体" w:hAnsi="宋体" w:cs="宋体"/>
                <w:b w:val="0"/>
                <w:bCs w:val="0"/>
                <w:color w:val="auto"/>
                <w:sz w:val="24"/>
                <w:highlight w:val="none"/>
                <w:lang w:val="en-US" w:eastAsia="zh-CN"/>
              </w:rPr>
              <w:t>7</w:t>
            </w:r>
            <w:r>
              <w:rPr>
                <w:rFonts w:hint="eastAsia" w:ascii="宋体" w:hAnsi="宋体" w:eastAsia="宋体" w:cs="宋体"/>
                <w:b w:val="0"/>
                <w:bCs w:val="0"/>
                <w:color w:val="auto"/>
                <w:sz w:val="24"/>
                <w:highlight w:val="none"/>
                <w:lang w:eastAsia="zh-Hans"/>
              </w:rPr>
              <w:t>、</w:t>
            </w:r>
            <w:r>
              <w:rPr>
                <w:rFonts w:hint="eastAsia" w:ascii="宋体" w:hAnsi="宋体" w:eastAsia="宋体" w:cs="宋体"/>
                <w:b w:val="0"/>
                <w:bCs w:val="0"/>
                <w:color w:val="auto"/>
                <w:sz w:val="24"/>
                <w:highlight w:val="none"/>
                <w:lang w:val="en-US"/>
              </w:rPr>
              <w:t>操作手柄 :无线柔性操作手柄</w:t>
            </w:r>
            <w:r>
              <w:rPr>
                <w:rFonts w:hint="eastAsia" w:ascii="宋体" w:hAnsi="宋体" w:eastAsia="宋体" w:cs="宋体"/>
                <w:b w:val="0"/>
                <w:bCs w:val="0"/>
                <w:color w:val="auto"/>
                <w:sz w:val="24"/>
                <w:highlight w:val="none"/>
                <w:lang w:val="en-US" w:eastAsia="zh-Hans"/>
              </w:rPr>
              <w:t>带拍摄按钮一体化设计。</w:t>
            </w:r>
          </w:p>
        </w:tc>
      </w:tr>
      <w:tr>
        <w:tblPrEx>
          <w:tblCellMar>
            <w:top w:w="0" w:type="dxa"/>
            <w:left w:w="108" w:type="dxa"/>
            <w:bottom w:w="0" w:type="dxa"/>
            <w:right w:w="108" w:type="dxa"/>
          </w:tblCellMar>
        </w:tblPrEx>
        <w:trPr>
          <w:jc w:val="center"/>
        </w:trPr>
        <w:tc>
          <w:tcPr>
            <w:tcW w:w="412"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宋体" w:hAnsi="宋体" w:eastAsia="宋体" w:cs="宋体"/>
                <w:color w:val="auto"/>
                <w:kern w:val="0"/>
              </w:rPr>
            </w:pPr>
            <w:r>
              <w:rPr>
                <w:rFonts w:hint="eastAsia" w:ascii="宋体" w:hAnsi="宋体" w:eastAsia="宋体" w:cs="宋体"/>
                <w:color w:val="auto"/>
                <w:kern w:val="0"/>
              </w:rPr>
              <w:t>2</w:t>
            </w:r>
          </w:p>
        </w:tc>
        <w:tc>
          <w:tcPr>
            <w:tcW w:w="488" w:type="pct"/>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eastAsia="宋体" w:cs="宋体"/>
                <w:color w:val="auto"/>
                <w:kern w:val="0"/>
              </w:rPr>
            </w:pPr>
            <w:r>
              <w:rPr>
                <w:rFonts w:hint="eastAsia" w:ascii="宋体" w:hAnsi="宋体" w:eastAsia="宋体" w:cs="宋体"/>
                <w:b w:val="0"/>
                <w:bCs w:val="0"/>
                <w:color w:val="auto"/>
                <w:sz w:val="24"/>
                <w:lang w:eastAsia="zh-CN"/>
              </w:rPr>
              <w:t>数码裂隙灯显微镜</w:t>
            </w:r>
          </w:p>
        </w:tc>
        <w:tc>
          <w:tcPr>
            <w:tcW w:w="502" w:type="pct"/>
            <w:tcBorders>
              <w:top w:val="single" w:color="auto" w:sz="4" w:space="0"/>
              <w:left w:val="nil"/>
              <w:bottom w:val="single" w:color="auto" w:sz="4" w:space="0"/>
              <w:right w:val="single" w:color="auto" w:sz="4" w:space="0"/>
            </w:tcBorders>
            <w:vAlign w:val="center"/>
          </w:tcPr>
          <w:p>
            <w:pPr>
              <w:widowControl/>
              <w:spacing w:before="720" w:beforeLines="300"/>
              <w:jc w:val="center"/>
              <w:rPr>
                <w:rFonts w:hint="eastAsia" w:ascii="宋体" w:hAnsi="宋体" w:eastAsia="宋体" w:cs="宋体"/>
                <w:color w:val="auto"/>
                <w:kern w:val="0"/>
              </w:rPr>
            </w:pPr>
            <w:r>
              <w:rPr>
                <w:rFonts w:hint="eastAsia" w:ascii="宋体" w:hAnsi="宋体" w:eastAsia="宋体" w:cs="宋体"/>
                <w:b w:val="0"/>
                <w:bCs w:val="0"/>
                <w:color w:val="auto"/>
                <w:sz w:val="24"/>
                <w:lang w:val="en-US" w:eastAsia="zh-CN"/>
              </w:rPr>
              <w:t>1</w:t>
            </w:r>
            <w:r>
              <w:rPr>
                <w:rFonts w:hint="eastAsia" w:ascii="宋体" w:hAnsi="宋体" w:eastAsia="宋体" w:cs="宋体"/>
                <w:b w:val="0"/>
                <w:bCs w:val="0"/>
                <w:color w:val="auto"/>
                <w:sz w:val="24"/>
              </w:rPr>
              <w:t>台</w:t>
            </w:r>
          </w:p>
        </w:tc>
        <w:tc>
          <w:tcPr>
            <w:tcW w:w="3596" w:type="pct"/>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eastAsia="宋体" w:cs="宋体"/>
                <w:b w:val="0"/>
                <w:bCs w:val="0"/>
                <w:color w:val="auto"/>
                <w:sz w:val="24"/>
                <w:highlight w:val="none"/>
              </w:rPr>
            </w:pPr>
            <w:r>
              <w:rPr>
                <w:rFonts w:hint="eastAsia" w:ascii="宋体" w:hAnsi="宋体" w:cs="宋体"/>
                <w:b w:val="0"/>
                <w:bCs w:val="0"/>
                <w:color w:val="auto"/>
                <w:sz w:val="24"/>
                <w:highlight w:val="none"/>
                <w:lang w:val="en-US" w:eastAsia="zh-CN"/>
              </w:rPr>
              <w:t>一、</w:t>
            </w:r>
            <w:r>
              <w:rPr>
                <w:rFonts w:hint="eastAsia" w:ascii="宋体" w:hAnsi="宋体" w:eastAsia="宋体" w:cs="宋体"/>
                <w:b w:val="0"/>
                <w:bCs w:val="0"/>
                <w:color w:val="auto"/>
                <w:sz w:val="24"/>
                <w:highlight w:val="none"/>
              </w:rPr>
              <w:t>显微镜：</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1.1、显微镜类型：伽利略型</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1.2、目镜类型：平行镜筒</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1.3、目镜放大率：12.5×</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1.4、放大选择：三档鼓式旋钮，10×、16×、25×</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1.5、★显微镜光路滤光片：可切换荧光染色增强黄色滤光片、可切换IR红外通过滤光片</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w:t>
            </w:r>
            <w:r>
              <w:rPr>
                <w:rFonts w:hint="eastAsia" w:ascii="宋体" w:hAnsi="宋体" w:cs="宋体"/>
                <w:b w:val="0"/>
                <w:bCs w:val="0"/>
                <w:color w:val="auto"/>
                <w:sz w:val="24"/>
                <w:highlight w:val="none"/>
                <w:lang w:val="en-US" w:eastAsia="zh-CN"/>
              </w:rPr>
              <w:t>6</w:t>
            </w:r>
            <w:r>
              <w:rPr>
                <w:rFonts w:hint="eastAsia" w:ascii="宋体" w:hAnsi="宋体" w:eastAsia="宋体" w:cs="宋体"/>
                <w:b w:val="0"/>
                <w:bCs w:val="0"/>
                <w:color w:val="auto"/>
                <w:sz w:val="24"/>
                <w:highlight w:val="none"/>
              </w:rPr>
              <w:t>、最大放大倍数中心视场分辨力：≥120线对/mm</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二、裂隙照明：</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2.1、最大裂隙宽度：≥9mm</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2.2、最大裂隙长度：≥9mm</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2.3、裂隙角度：0°~180°</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2.4、裂隙倾斜角度：5°、10°、15°、20°</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2.5、光源：6V，30W 卤素灯</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2.6、滤光片：蓝色滤光片、无赤光滤光片、UV滤光片、IR滤光片、灰度滤光片（13%传输）</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2.7、★外固视灯屈光度调节：≥20D</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三、图像采集管理系统：</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3.1、类型：一体式内置专业医用</w:t>
            </w:r>
            <w:r>
              <w:rPr>
                <w:rFonts w:hint="eastAsia" w:ascii="宋体" w:hAnsi="宋体" w:cs="宋体"/>
                <w:b w:val="0"/>
                <w:bCs w:val="0"/>
                <w:color w:val="auto"/>
                <w:sz w:val="24"/>
                <w:highlight w:val="none"/>
                <w:lang w:val="en-US" w:eastAsia="zh-CN"/>
              </w:rPr>
              <w:t>图像采集器</w:t>
            </w:r>
            <w:r>
              <w:rPr>
                <w:rFonts w:hint="eastAsia" w:ascii="宋体" w:hAnsi="宋体" w:eastAsia="宋体" w:cs="宋体"/>
                <w:b w:val="0"/>
                <w:bCs w:val="0"/>
                <w:color w:val="auto"/>
                <w:sz w:val="24"/>
                <w:highlight w:val="none"/>
              </w:rPr>
              <w:t>，无需分光器</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3.2、★睑板腺照相：支持</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3.3、有效像素：2576x1934</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3.4、采集方式：静态图片、动态视频、智能张连拍</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3.5、曝光模式：自动/手动</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3.6、ISO调节：自动/ISO 100/200/400/800</w:t>
            </w:r>
          </w:p>
          <w:p>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3.7、静态图像文件类型：DCM（DICOM格式图像），BMP，JPEG</w:t>
            </w:r>
          </w:p>
          <w:p>
            <w:pPr>
              <w:spacing w:line="360" w:lineRule="auto"/>
              <w:rPr>
                <w:rFonts w:hint="eastAsia" w:ascii="宋体" w:hAnsi="宋体" w:eastAsia="宋体" w:cs="宋体"/>
                <w:color w:val="auto"/>
                <w:highlight w:val="none"/>
              </w:rPr>
            </w:pPr>
            <w:r>
              <w:rPr>
                <w:rFonts w:hint="eastAsia" w:ascii="宋体" w:hAnsi="宋体" w:eastAsia="宋体" w:cs="宋体"/>
                <w:b w:val="0"/>
                <w:bCs w:val="0"/>
                <w:color w:val="auto"/>
                <w:sz w:val="24"/>
                <w:highlight w:val="none"/>
              </w:rPr>
              <w:t>3.8、★影像管理软件提供医疗器械注册证</w:t>
            </w:r>
          </w:p>
        </w:tc>
      </w:tr>
      <w:tr>
        <w:tblPrEx>
          <w:tblCellMar>
            <w:top w:w="0" w:type="dxa"/>
            <w:left w:w="108" w:type="dxa"/>
            <w:bottom w:w="0" w:type="dxa"/>
            <w:right w:w="108" w:type="dxa"/>
          </w:tblCellMar>
        </w:tblPrEx>
        <w:trPr>
          <w:trHeight w:val="2295" w:hRule="atLeast"/>
          <w:jc w:val="center"/>
        </w:trPr>
        <w:tc>
          <w:tcPr>
            <w:tcW w:w="412" w:type="pct"/>
            <w:tcBorders>
              <w:top w:val="nil"/>
              <w:left w:val="single" w:color="auto" w:sz="4" w:space="0"/>
              <w:bottom w:val="single" w:color="auto" w:sz="4" w:space="0"/>
              <w:right w:val="single" w:color="auto" w:sz="4" w:space="0"/>
            </w:tcBorders>
            <w:noWrap/>
            <w:vAlign w:val="center"/>
          </w:tcPr>
          <w:p>
            <w:pPr>
              <w:widowControl/>
              <w:jc w:val="both"/>
              <w:rPr>
                <w:rFonts w:hint="eastAsia" w:ascii="宋体" w:hAnsi="宋体" w:eastAsia="宋体" w:cs="宋体"/>
                <w:color w:val="auto"/>
                <w:kern w:val="0"/>
              </w:rPr>
            </w:pPr>
            <w:r>
              <w:rPr>
                <w:rFonts w:hint="eastAsia" w:ascii="宋体" w:hAnsi="宋体" w:eastAsia="宋体" w:cs="宋体"/>
                <w:color w:val="auto"/>
                <w:kern w:val="0"/>
              </w:rPr>
              <w:t>3</w:t>
            </w:r>
          </w:p>
        </w:tc>
        <w:tc>
          <w:tcPr>
            <w:tcW w:w="488" w:type="pct"/>
            <w:tcBorders>
              <w:top w:val="nil"/>
              <w:left w:val="nil"/>
              <w:bottom w:val="single" w:color="auto" w:sz="4" w:space="0"/>
              <w:right w:val="single" w:color="auto" w:sz="4" w:space="0"/>
            </w:tcBorders>
            <w:noWrap/>
            <w:vAlign w:val="center"/>
          </w:tcPr>
          <w:p>
            <w:pPr>
              <w:widowControl/>
              <w:jc w:val="both"/>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eastAsia="zh-CN"/>
              </w:rPr>
              <w:t>直接检眼镜</w:t>
            </w:r>
          </w:p>
        </w:tc>
        <w:tc>
          <w:tcPr>
            <w:tcW w:w="502" w:type="pct"/>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lang w:val="en-US" w:eastAsia="zh-CN"/>
              </w:rPr>
              <w:t>2</w:t>
            </w:r>
            <w:r>
              <w:rPr>
                <w:rFonts w:hint="eastAsia" w:ascii="宋体" w:hAnsi="宋体" w:eastAsia="宋体" w:cs="宋体"/>
                <w:b w:val="0"/>
                <w:bCs w:val="0"/>
                <w:color w:val="auto"/>
                <w:sz w:val="24"/>
              </w:rPr>
              <w:t>台</w:t>
            </w:r>
          </w:p>
        </w:tc>
        <w:tc>
          <w:tcPr>
            <w:tcW w:w="3596" w:type="pct"/>
            <w:tcBorders>
              <w:top w:val="nil"/>
              <w:left w:val="single" w:color="auto" w:sz="4" w:space="0"/>
              <w:bottom w:val="single" w:color="auto" w:sz="4" w:space="0"/>
              <w:right w:val="single" w:color="auto" w:sz="4" w:space="0"/>
            </w:tcBorders>
            <w:vAlign w:val="center"/>
          </w:tcPr>
          <w:p>
            <w:pPr>
              <w:spacing w:line="360" w:lineRule="auto"/>
              <w:jc w:val="both"/>
              <w:rPr>
                <w:rFonts w:hint="eastAsia" w:ascii="宋体" w:hAnsi="宋体" w:eastAsia="宋体" w:cs="宋体"/>
                <w:b w:val="0"/>
                <w:bCs w:val="0"/>
                <w:color w:val="auto"/>
                <w:sz w:val="24"/>
              </w:rPr>
            </w:pPr>
            <w:r>
              <w:rPr>
                <w:rFonts w:hint="eastAsia" w:ascii="宋体" w:hAnsi="宋体" w:eastAsia="宋体" w:cs="宋体"/>
                <w:b w:val="0"/>
                <w:bCs w:val="0"/>
                <w:color w:val="auto"/>
                <w:sz w:val="24"/>
              </w:rPr>
              <w:t>1、光学系统</w:t>
            </w:r>
            <w:r>
              <w:rPr>
                <w:rFonts w:hint="eastAsia" w:ascii="宋体" w:hAnsi="宋体" w:eastAsia="宋体" w:cs="宋体"/>
                <w:b w:val="0"/>
                <w:bCs w:val="0"/>
                <w:color w:val="auto"/>
                <w:sz w:val="24"/>
                <w:lang w:eastAsia="zh-CN"/>
              </w:rPr>
              <w:t>：</w:t>
            </w:r>
            <w:r>
              <w:rPr>
                <w:rFonts w:hint="eastAsia" w:ascii="宋体" w:hAnsi="宋体" w:eastAsia="宋体" w:cs="宋体"/>
                <w:b w:val="0"/>
                <w:bCs w:val="0"/>
                <w:color w:val="auto"/>
                <w:sz w:val="24"/>
              </w:rPr>
              <w:t>改良光学设计，可以清晰地进行眼底</w:t>
            </w:r>
          </w:p>
          <w:p>
            <w:pPr>
              <w:spacing w:line="360" w:lineRule="auto"/>
              <w:jc w:val="both"/>
              <w:rPr>
                <w:rFonts w:hint="eastAsia" w:ascii="宋体" w:hAnsi="宋体" w:eastAsia="宋体" w:cs="宋体"/>
                <w:b w:val="0"/>
                <w:bCs w:val="0"/>
                <w:color w:val="auto"/>
                <w:sz w:val="24"/>
              </w:rPr>
            </w:pPr>
            <w:r>
              <w:rPr>
                <w:rFonts w:hint="eastAsia" w:ascii="宋体" w:hAnsi="宋体" w:eastAsia="宋体" w:cs="宋体"/>
                <w:b w:val="0"/>
                <w:bCs w:val="0"/>
                <w:color w:val="auto"/>
                <w:sz w:val="24"/>
              </w:rPr>
              <w:t xml:space="preserve">2、照明形式 </w:t>
            </w:r>
            <w:r>
              <w:rPr>
                <w:rFonts w:hint="eastAsia" w:ascii="宋体" w:hAnsi="宋体" w:eastAsia="宋体" w:cs="宋体"/>
                <w:b w:val="0"/>
                <w:bCs w:val="0"/>
                <w:color w:val="auto"/>
                <w:sz w:val="24"/>
                <w:lang w:eastAsia="zh-CN"/>
              </w:rPr>
              <w:t>：</w:t>
            </w:r>
            <w:r>
              <w:rPr>
                <w:rFonts w:hint="eastAsia" w:ascii="宋体" w:hAnsi="宋体" w:eastAsia="宋体" w:cs="宋体"/>
                <w:b w:val="0"/>
                <w:bCs w:val="0"/>
                <w:color w:val="auto"/>
                <w:sz w:val="24"/>
              </w:rPr>
              <w:t>大光斑、中光斑、裂隙、中心网格片、无赤片</w:t>
            </w:r>
          </w:p>
          <w:p>
            <w:pPr>
              <w:spacing w:line="360" w:lineRule="auto"/>
              <w:jc w:val="both"/>
              <w:rPr>
                <w:rFonts w:hint="eastAsia" w:ascii="宋体" w:hAnsi="宋体" w:eastAsia="宋体" w:cs="宋体"/>
                <w:b w:val="0"/>
                <w:bCs w:val="0"/>
                <w:color w:val="auto"/>
                <w:sz w:val="24"/>
              </w:rPr>
            </w:pPr>
            <w:r>
              <w:rPr>
                <w:rFonts w:hint="eastAsia" w:ascii="宋体" w:hAnsi="宋体" w:eastAsia="宋体" w:cs="宋体"/>
                <w:b w:val="0"/>
                <w:bCs w:val="0"/>
                <w:color w:val="auto"/>
                <w:sz w:val="24"/>
              </w:rPr>
              <w:t>3、屈光度补偿</w:t>
            </w:r>
            <w:r>
              <w:rPr>
                <w:rFonts w:hint="eastAsia" w:ascii="宋体" w:hAnsi="宋体" w:eastAsia="宋体" w:cs="宋体"/>
                <w:b w:val="0"/>
                <w:bCs w:val="0"/>
                <w:color w:val="auto"/>
                <w:sz w:val="24"/>
                <w:lang w:eastAsia="zh-CN"/>
              </w:rPr>
              <w:t>：</w:t>
            </w:r>
            <w:r>
              <w:rPr>
                <w:rFonts w:hint="eastAsia" w:ascii="宋体" w:hAnsi="宋体" w:eastAsia="宋体" w:cs="宋体"/>
                <w:b w:val="0"/>
                <w:bCs w:val="0"/>
                <w:color w:val="auto"/>
                <w:sz w:val="24"/>
              </w:rPr>
              <w:t>-35D～+20D，共24种屈光度</w:t>
            </w:r>
          </w:p>
          <w:p>
            <w:pPr>
              <w:spacing w:line="360" w:lineRule="auto"/>
              <w:jc w:val="both"/>
              <w:rPr>
                <w:rFonts w:hint="eastAsia" w:ascii="宋体" w:hAnsi="宋体" w:eastAsia="宋体" w:cs="宋体"/>
                <w:b w:val="0"/>
                <w:bCs w:val="0"/>
                <w:color w:val="auto"/>
                <w:sz w:val="24"/>
              </w:rPr>
            </w:pPr>
            <w:r>
              <w:rPr>
                <w:rFonts w:hint="eastAsia" w:ascii="宋体" w:hAnsi="宋体" w:eastAsia="宋体" w:cs="宋体"/>
                <w:b w:val="0"/>
                <w:bCs w:val="0"/>
                <w:color w:val="auto"/>
                <w:sz w:val="24"/>
              </w:rPr>
              <w:t>4、照明光源</w:t>
            </w:r>
            <w:r>
              <w:rPr>
                <w:rFonts w:hint="eastAsia" w:ascii="宋体" w:hAnsi="宋体" w:eastAsia="宋体" w:cs="宋体"/>
                <w:b w:val="0"/>
                <w:bCs w:val="0"/>
                <w:color w:val="auto"/>
                <w:sz w:val="24"/>
                <w:lang w:eastAsia="zh-CN"/>
              </w:rPr>
              <w:t>：</w:t>
            </w:r>
            <w:r>
              <w:rPr>
                <w:rFonts w:hint="eastAsia" w:ascii="宋体" w:hAnsi="宋体" w:eastAsia="宋体" w:cs="宋体"/>
                <w:b w:val="0"/>
                <w:bCs w:val="0"/>
                <w:color w:val="auto"/>
                <w:sz w:val="24"/>
              </w:rPr>
              <w:t>3.5V/2.8W卤钨灯泡</w:t>
            </w:r>
          </w:p>
          <w:p>
            <w:pPr>
              <w:spacing w:line="360" w:lineRule="auto"/>
              <w:jc w:val="both"/>
              <w:rPr>
                <w:rFonts w:hint="eastAsia" w:ascii="宋体" w:hAnsi="宋体" w:eastAsia="宋体" w:cs="宋体"/>
                <w:b w:val="0"/>
                <w:bCs w:val="0"/>
                <w:color w:val="auto"/>
                <w:sz w:val="24"/>
              </w:rPr>
            </w:pPr>
            <w:r>
              <w:rPr>
                <w:rFonts w:hint="eastAsia" w:ascii="宋体" w:hAnsi="宋体" w:eastAsia="宋体" w:cs="宋体"/>
                <w:b w:val="0"/>
                <w:bCs w:val="0"/>
                <w:color w:val="auto"/>
                <w:sz w:val="24"/>
              </w:rPr>
              <w:t>5、照明电源</w:t>
            </w:r>
            <w:r>
              <w:rPr>
                <w:rFonts w:hint="eastAsia" w:ascii="宋体" w:hAnsi="宋体" w:eastAsia="宋体" w:cs="宋体"/>
                <w:b w:val="0"/>
                <w:bCs w:val="0"/>
                <w:color w:val="auto"/>
                <w:sz w:val="24"/>
                <w:lang w:eastAsia="zh-CN"/>
              </w:rPr>
              <w:t>：</w:t>
            </w:r>
            <w:r>
              <w:rPr>
                <w:rFonts w:hint="eastAsia" w:ascii="宋体" w:hAnsi="宋体" w:eastAsia="宋体" w:cs="宋体"/>
                <w:b w:val="0"/>
                <w:bCs w:val="0"/>
                <w:color w:val="auto"/>
                <w:sz w:val="24"/>
              </w:rPr>
              <w:t xml:space="preserve"> DC3.7V锂电池，充电式</w:t>
            </w:r>
          </w:p>
          <w:p>
            <w:pPr>
              <w:spacing w:line="360" w:lineRule="auto"/>
              <w:jc w:val="both"/>
              <w:rPr>
                <w:rFonts w:hint="eastAsia" w:ascii="宋体" w:hAnsi="宋体" w:eastAsia="宋体" w:cs="宋体"/>
                <w:b w:val="0"/>
                <w:bCs w:val="0"/>
                <w:color w:val="auto"/>
                <w:sz w:val="24"/>
              </w:rPr>
            </w:pPr>
            <w:r>
              <w:rPr>
                <w:rFonts w:hint="eastAsia" w:ascii="宋体" w:hAnsi="宋体" w:eastAsia="宋体" w:cs="宋体"/>
                <w:b w:val="0"/>
                <w:bCs w:val="0"/>
                <w:color w:val="auto"/>
                <w:sz w:val="24"/>
              </w:rPr>
              <w:t xml:space="preserve">6、充电电源 </w:t>
            </w:r>
            <w:r>
              <w:rPr>
                <w:rFonts w:hint="eastAsia" w:ascii="宋体" w:hAnsi="宋体" w:eastAsia="宋体" w:cs="宋体"/>
                <w:b w:val="0"/>
                <w:bCs w:val="0"/>
                <w:color w:val="auto"/>
                <w:sz w:val="24"/>
                <w:lang w:eastAsia="zh-CN"/>
              </w:rPr>
              <w:t>：</w:t>
            </w:r>
            <w:r>
              <w:rPr>
                <w:rFonts w:hint="eastAsia" w:ascii="宋体" w:hAnsi="宋体" w:eastAsia="宋体" w:cs="宋体"/>
                <w:b w:val="0"/>
                <w:bCs w:val="0"/>
                <w:color w:val="auto"/>
                <w:sz w:val="24"/>
              </w:rPr>
              <w:t>AC110V-240V，50Hz/60Hz</w:t>
            </w:r>
          </w:p>
          <w:p>
            <w:pPr>
              <w:spacing w:line="360" w:lineRule="auto"/>
              <w:jc w:val="both"/>
              <w:rPr>
                <w:rFonts w:hint="eastAsia" w:ascii="宋体" w:hAnsi="宋体" w:eastAsia="宋体" w:cs="宋体"/>
                <w:color w:val="auto"/>
                <w:kern w:val="0"/>
              </w:rPr>
            </w:pPr>
            <w:r>
              <w:rPr>
                <w:rFonts w:hint="eastAsia" w:ascii="宋体" w:hAnsi="宋体" w:eastAsia="宋体" w:cs="宋体"/>
                <w:b w:val="0"/>
                <w:bCs w:val="0"/>
                <w:color w:val="auto"/>
                <w:sz w:val="24"/>
              </w:rPr>
              <w:t>7、照度</w:t>
            </w:r>
            <w:r>
              <w:rPr>
                <w:rFonts w:hint="eastAsia" w:ascii="宋体" w:hAnsi="宋体" w:cs="宋体"/>
                <w:b w:val="0"/>
                <w:bCs w:val="0"/>
                <w:color w:val="auto"/>
                <w:sz w:val="24"/>
                <w:lang w:eastAsia="zh-CN"/>
              </w:rPr>
              <w:t>：</w:t>
            </w:r>
            <w:r>
              <w:rPr>
                <w:rFonts w:hint="eastAsia" w:ascii="宋体" w:hAnsi="宋体" w:eastAsia="宋体" w:cs="宋体"/>
                <w:b w:val="0"/>
                <w:bCs w:val="0"/>
                <w:color w:val="auto"/>
                <w:sz w:val="24"/>
              </w:rPr>
              <w:t xml:space="preserve"> ≥80Lx</w:t>
            </w:r>
          </w:p>
        </w:tc>
      </w:tr>
    </w:tbl>
    <w:p>
      <w:pPr>
        <w:spacing w:line="360" w:lineRule="auto"/>
        <w:rPr>
          <w:rFonts w:hint="eastAsia" w:ascii="仿宋" w:hAnsi="仿宋" w:eastAsia="仿宋" w:cs="仿宋"/>
          <w:b w:val="0"/>
          <w:bCs w:val="0"/>
          <w:color w:val="auto"/>
          <w:sz w:val="24"/>
        </w:rPr>
      </w:pPr>
    </w:p>
    <w:sectPr>
      <w:headerReference r:id="rId3" w:type="default"/>
      <w:footerReference r:id="rId4" w:type="default"/>
      <w:pgSz w:w="11906" w:h="16838"/>
      <w:pgMar w:top="1440" w:right="1077" w:bottom="1440" w:left="1077" w:header="851" w:footer="992" w:gutter="0"/>
      <w:pgBorders w:display="notFirstPage" w:offsetFrom="page">
        <w:top w:val="single" w:color="4472C4" w:sz="12" w:space="24"/>
        <w:left w:val="single" w:color="4472C4" w:sz="12" w:space="24"/>
        <w:bottom w:val="single" w:color="4472C4" w:sz="12" w:space="24"/>
        <w:right w:val="single" w:color="4472C4" w:sz="12" w:space="24"/>
      </w:pgBorders>
      <w:pgNumType w:start="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GE Inspira Pitch">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MS Gothic"/>
    <w:panose1 w:val="00000000000000000000"/>
    <w:charset w:val="80"/>
    <w:family w:val="auto"/>
    <w:pitch w:val="default"/>
    <w:sig w:usb0="00000000" w:usb1="00000000" w:usb2="00000012" w:usb3="00000000" w:csb0="0002000D"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center"/>
      <w:rPr>
        <w:rFonts w:ascii="宋体" w:hAnsi="宋体"/>
        <w:b/>
        <w:sz w:val="21"/>
      </w:rPr>
    </w:pPr>
    <w:r>
      <w:rPr>
        <w:rFonts w:ascii="宋体" w:hAnsi="宋体"/>
        <w:b/>
        <w:sz w:val="21"/>
      </w:rPr>
      <w:fldChar w:fldCharType="begin"/>
    </w:r>
    <w:r>
      <w:rPr>
        <w:rFonts w:ascii="宋体" w:hAnsi="宋体"/>
        <w:b/>
        <w:sz w:val="21"/>
      </w:rPr>
      <w:instrText xml:space="preserve">PAGE   \* MERGEFORMAT</w:instrText>
    </w:r>
    <w:r>
      <w:rPr>
        <w:rFonts w:ascii="宋体" w:hAnsi="宋体"/>
        <w:b/>
        <w:sz w:val="21"/>
      </w:rPr>
      <w:fldChar w:fldCharType="separate"/>
    </w:r>
    <w:r>
      <w:rPr>
        <w:rFonts w:ascii="宋体" w:hAnsi="宋体"/>
        <w:b/>
        <w:sz w:val="21"/>
        <w:lang w:val="zh-CN"/>
      </w:rPr>
      <w:t>65</w:t>
    </w:r>
    <w:r>
      <w:rPr>
        <w:rFonts w:ascii="宋体" w:hAnsi="宋体"/>
        <w:b/>
        <w:sz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89" w:firstLineChars="49"/>
      <w:jc w:val="both"/>
      <w:rPr>
        <w:rFonts w:ascii="楷体" w:hAnsi="楷体" w:eastAsia="楷体"/>
        <w:sz w:val="15"/>
      </w:rPr>
    </w:pPr>
    <w:r>
      <w:rPr>
        <w:rFonts w:hint="eastAsia" w:ascii="楷体" w:hAnsi="楷体" w:eastAsia="楷体"/>
        <w:b/>
        <w:szCs w:val="21"/>
        <w:lang w:eastAsia="zh-CN"/>
      </w:rPr>
      <w:t>青海省中医院干眼检测仪等设备采购项目</w:t>
    </w:r>
    <w:r>
      <w:rPr>
        <w:rFonts w:hint="eastAsia" w:ascii="楷体" w:hAnsi="楷体" w:eastAsia="楷体"/>
        <w:b/>
        <w:szCs w:val="21"/>
      </w:rPr>
      <w:t xml:space="preserve">                     </w:t>
    </w:r>
    <w:r>
      <w:rPr>
        <w:rFonts w:hint="eastAsia" w:ascii="楷体" w:hAnsi="楷体" w:eastAsia="楷体"/>
        <w:b/>
        <w:szCs w:val="21"/>
        <w:lang w:val="en-US" w:eastAsia="zh-CN"/>
      </w:rPr>
      <w:t xml:space="preserve">                             </w:t>
    </w:r>
    <w:r>
      <w:rPr>
        <w:rFonts w:hint="eastAsia" w:ascii="楷体" w:hAnsi="楷体" w:eastAsia="楷体"/>
        <w:b/>
        <w:szCs w:val="21"/>
      </w:rPr>
      <w:t xml:space="preserve">            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C669B"/>
    <w:multiLevelType w:val="multilevel"/>
    <w:tmpl w:val="005C669B"/>
    <w:lvl w:ilvl="0" w:tentative="0">
      <w:start w:val="1"/>
      <w:numFmt w:val="decimal"/>
      <w:lvlText w:val="（%1）"/>
      <w:lvlJc w:val="left"/>
      <w:pPr>
        <w:ind w:left="1041" w:hanging="420"/>
      </w:pPr>
      <w:rPr>
        <w:rFonts w:hint="default"/>
      </w:r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1">
    <w:nsid w:val="02400DDE"/>
    <w:multiLevelType w:val="multilevel"/>
    <w:tmpl w:val="02400DDE"/>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84C0B88"/>
    <w:multiLevelType w:val="multilevel"/>
    <w:tmpl w:val="084C0B88"/>
    <w:lvl w:ilvl="0" w:tentative="0">
      <w:start w:val="1"/>
      <w:numFmt w:val="decimal"/>
      <w:lvlText w:val="%1."/>
      <w:lvlJc w:val="left"/>
      <w:pPr>
        <w:ind w:left="360" w:hanging="360"/>
      </w:pPr>
      <w:rPr>
        <w:rFonts w:hint="default"/>
        <w:b/>
      </w:rPr>
    </w:lvl>
    <w:lvl w:ilvl="1" w:tentative="0">
      <w:start w:val="1"/>
      <w:numFmt w:val="decimal"/>
      <w:isLgl/>
      <w:lvlText w:val="%1.%2"/>
      <w:lvlJc w:val="left"/>
      <w:pPr>
        <w:ind w:left="480" w:hanging="480"/>
      </w:pPr>
      <w:rPr>
        <w:rFonts w:hint="default"/>
        <w:b w:val="0"/>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1080" w:hanging="108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3">
    <w:nsid w:val="09372158"/>
    <w:multiLevelType w:val="multilevel"/>
    <w:tmpl w:val="09372158"/>
    <w:lvl w:ilvl="0" w:tentative="0">
      <w:start w:val="1"/>
      <w:numFmt w:val="decimal"/>
      <w:lvlText w:val="%1."/>
      <w:lvlJc w:val="left"/>
      <w:pPr>
        <w:ind w:left="1041" w:hanging="420"/>
      </w:p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4">
    <w:nsid w:val="0B143627"/>
    <w:multiLevelType w:val="multilevel"/>
    <w:tmpl w:val="0B143627"/>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5">
    <w:nsid w:val="0B21349E"/>
    <w:multiLevelType w:val="multilevel"/>
    <w:tmpl w:val="0B21349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6">
    <w:nsid w:val="0FD92A73"/>
    <w:multiLevelType w:val="multilevel"/>
    <w:tmpl w:val="0FD92A73"/>
    <w:lvl w:ilvl="0" w:tentative="0">
      <w:start w:val="2"/>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7">
    <w:nsid w:val="18814C8C"/>
    <w:multiLevelType w:val="multilevel"/>
    <w:tmpl w:val="18814C8C"/>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8">
    <w:nsid w:val="1E920307"/>
    <w:multiLevelType w:val="multilevel"/>
    <w:tmpl w:val="1E920307"/>
    <w:lvl w:ilvl="0" w:tentative="0">
      <w:start w:val="21"/>
      <w:numFmt w:val="decimal"/>
      <w:lvlText w:val="%1"/>
      <w:lvlJc w:val="left"/>
      <w:pPr>
        <w:ind w:left="480" w:hanging="480"/>
      </w:pPr>
      <w:rPr>
        <w:rFonts w:hint="default"/>
        <w:b w:val="0"/>
        <w:sz w:val="24"/>
      </w:rPr>
    </w:lvl>
    <w:lvl w:ilvl="1" w:tentative="0">
      <w:start w:val="1"/>
      <w:numFmt w:val="decimal"/>
      <w:lvlText w:val="17.%2."/>
      <w:lvlJc w:val="left"/>
      <w:pPr>
        <w:ind w:left="861" w:hanging="720"/>
      </w:pPr>
      <w:rPr>
        <w:rFonts w:hint="eastAsia"/>
        <w:b w:val="0"/>
        <w:sz w:val="24"/>
      </w:rPr>
    </w:lvl>
    <w:lvl w:ilvl="2" w:tentative="0">
      <w:start w:val="1"/>
      <w:numFmt w:val="decimal"/>
      <w:lvlText w:val="%1.%2.%3"/>
      <w:lvlJc w:val="left"/>
      <w:pPr>
        <w:ind w:left="2040" w:hanging="1080"/>
      </w:pPr>
      <w:rPr>
        <w:rFonts w:hint="default"/>
        <w:b w:val="0"/>
        <w:sz w:val="24"/>
      </w:rPr>
    </w:lvl>
    <w:lvl w:ilvl="3" w:tentative="0">
      <w:start w:val="1"/>
      <w:numFmt w:val="decimal"/>
      <w:lvlText w:val="%1.%2.%3.%4"/>
      <w:lvlJc w:val="left"/>
      <w:pPr>
        <w:ind w:left="2880" w:hanging="1440"/>
      </w:pPr>
      <w:rPr>
        <w:rFonts w:hint="default"/>
        <w:b w:val="0"/>
        <w:sz w:val="24"/>
      </w:rPr>
    </w:lvl>
    <w:lvl w:ilvl="4" w:tentative="0">
      <w:start w:val="1"/>
      <w:numFmt w:val="decimal"/>
      <w:lvlText w:val="%1.%2.%3.%4.%5"/>
      <w:lvlJc w:val="left"/>
      <w:pPr>
        <w:ind w:left="3720" w:hanging="1800"/>
      </w:pPr>
      <w:rPr>
        <w:rFonts w:hint="default"/>
        <w:b w:val="0"/>
        <w:sz w:val="24"/>
      </w:rPr>
    </w:lvl>
    <w:lvl w:ilvl="5" w:tentative="0">
      <w:start w:val="1"/>
      <w:numFmt w:val="decimal"/>
      <w:lvlText w:val="%1.%2.%3.%4.%5.%6"/>
      <w:lvlJc w:val="left"/>
      <w:pPr>
        <w:ind w:left="4200" w:hanging="1800"/>
      </w:pPr>
      <w:rPr>
        <w:rFonts w:hint="default"/>
        <w:b w:val="0"/>
        <w:sz w:val="24"/>
      </w:rPr>
    </w:lvl>
    <w:lvl w:ilvl="6" w:tentative="0">
      <w:start w:val="1"/>
      <w:numFmt w:val="decimal"/>
      <w:lvlText w:val="%1.%2.%3.%4.%5.%6.%7"/>
      <w:lvlJc w:val="left"/>
      <w:pPr>
        <w:ind w:left="5040" w:hanging="2160"/>
      </w:pPr>
      <w:rPr>
        <w:rFonts w:hint="default"/>
        <w:b w:val="0"/>
        <w:sz w:val="24"/>
      </w:rPr>
    </w:lvl>
    <w:lvl w:ilvl="7" w:tentative="0">
      <w:start w:val="1"/>
      <w:numFmt w:val="decimal"/>
      <w:lvlText w:val="%1.%2.%3.%4.%5.%6.%7.%8"/>
      <w:lvlJc w:val="left"/>
      <w:pPr>
        <w:ind w:left="5880" w:hanging="2520"/>
      </w:pPr>
      <w:rPr>
        <w:rFonts w:hint="default"/>
        <w:b w:val="0"/>
        <w:sz w:val="24"/>
      </w:rPr>
    </w:lvl>
    <w:lvl w:ilvl="8" w:tentative="0">
      <w:start w:val="1"/>
      <w:numFmt w:val="decimal"/>
      <w:lvlText w:val="%1.%2.%3.%4.%5.%6.%7.%8.%9"/>
      <w:lvlJc w:val="left"/>
      <w:pPr>
        <w:ind w:left="6720" w:hanging="2880"/>
      </w:pPr>
      <w:rPr>
        <w:rFonts w:hint="default"/>
        <w:b w:val="0"/>
        <w:sz w:val="24"/>
      </w:rPr>
    </w:lvl>
  </w:abstractNum>
  <w:abstractNum w:abstractNumId="9">
    <w:nsid w:val="25933C0A"/>
    <w:multiLevelType w:val="multilevel"/>
    <w:tmpl w:val="25933C0A"/>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0">
    <w:nsid w:val="2A583DFB"/>
    <w:multiLevelType w:val="multilevel"/>
    <w:tmpl w:val="2A583DFB"/>
    <w:lvl w:ilvl="0" w:tentative="0">
      <w:start w:val="1"/>
      <w:numFmt w:val="decimal"/>
      <w:lvlText w:val="%1)"/>
      <w:lvlJc w:val="left"/>
      <w:pPr>
        <w:ind w:left="1380" w:hanging="420"/>
      </w:pPr>
    </w:lvl>
    <w:lvl w:ilvl="1" w:tentative="0">
      <w:start w:val="1"/>
      <w:numFmt w:val="lowerLetter"/>
      <w:lvlText w:val="%2)"/>
      <w:lvlJc w:val="left"/>
      <w:pPr>
        <w:ind w:left="1800" w:hanging="420"/>
      </w:pPr>
    </w:lvl>
    <w:lvl w:ilvl="2" w:tentative="0">
      <w:start w:val="1"/>
      <w:numFmt w:val="lowerRoman"/>
      <w:lvlText w:val="%3."/>
      <w:lvlJc w:val="right"/>
      <w:pPr>
        <w:ind w:left="2220" w:hanging="420"/>
      </w:pPr>
    </w:lvl>
    <w:lvl w:ilvl="3" w:tentative="0">
      <w:start w:val="1"/>
      <w:numFmt w:val="decimal"/>
      <w:lvlText w:val="%4."/>
      <w:lvlJc w:val="left"/>
      <w:pPr>
        <w:ind w:left="2640" w:hanging="420"/>
      </w:pPr>
    </w:lvl>
    <w:lvl w:ilvl="4" w:tentative="0">
      <w:start w:val="1"/>
      <w:numFmt w:val="lowerLetter"/>
      <w:lvlText w:val="%5)"/>
      <w:lvlJc w:val="left"/>
      <w:pPr>
        <w:ind w:left="3060" w:hanging="420"/>
      </w:pPr>
    </w:lvl>
    <w:lvl w:ilvl="5" w:tentative="0">
      <w:start w:val="1"/>
      <w:numFmt w:val="lowerRoman"/>
      <w:lvlText w:val="%6."/>
      <w:lvlJc w:val="right"/>
      <w:pPr>
        <w:ind w:left="3480" w:hanging="420"/>
      </w:pPr>
    </w:lvl>
    <w:lvl w:ilvl="6" w:tentative="0">
      <w:start w:val="1"/>
      <w:numFmt w:val="decimal"/>
      <w:lvlText w:val="%7."/>
      <w:lvlJc w:val="left"/>
      <w:pPr>
        <w:ind w:left="3900" w:hanging="420"/>
      </w:pPr>
    </w:lvl>
    <w:lvl w:ilvl="7" w:tentative="0">
      <w:start w:val="1"/>
      <w:numFmt w:val="lowerLetter"/>
      <w:lvlText w:val="%8)"/>
      <w:lvlJc w:val="left"/>
      <w:pPr>
        <w:ind w:left="4320" w:hanging="420"/>
      </w:pPr>
    </w:lvl>
    <w:lvl w:ilvl="8" w:tentative="0">
      <w:start w:val="1"/>
      <w:numFmt w:val="lowerRoman"/>
      <w:lvlText w:val="%9."/>
      <w:lvlJc w:val="right"/>
      <w:pPr>
        <w:ind w:left="4740" w:hanging="420"/>
      </w:pPr>
    </w:lvl>
  </w:abstractNum>
  <w:abstractNum w:abstractNumId="11">
    <w:nsid w:val="3298278A"/>
    <w:multiLevelType w:val="multilevel"/>
    <w:tmpl w:val="3298278A"/>
    <w:lvl w:ilvl="0" w:tentative="0">
      <w:start w:val="1"/>
      <w:numFmt w:val="decimal"/>
      <w:lvlText w:val="%1"/>
      <w:lvlJc w:val="left"/>
      <w:pPr>
        <w:ind w:left="420" w:hanging="420"/>
      </w:pPr>
      <w:rPr>
        <w:rFonts w:hint="eastAsia"/>
      </w:rPr>
    </w:lvl>
    <w:lvl w:ilvl="1" w:tentative="0">
      <w:start w:val="4"/>
      <w:numFmt w:val="decimal"/>
      <w:isLgl/>
      <w:lvlText w:val="%1.%2."/>
      <w:lvlJc w:val="left"/>
      <w:pPr>
        <w:ind w:left="1200" w:hanging="720"/>
      </w:pPr>
      <w:rPr>
        <w:rFonts w:hint="default" w:hAnsi="Calibri" w:cs="宋体"/>
      </w:rPr>
    </w:lvl>
    <w:lvl w:ilvl="2" w:tentative="0">
      <w:start w:val="1"/>
      <w:numFmt w:val="decimal"/>
      <w:isLgl/>
      <w:lvlText w:val="%1.%2.%3."/>
      <w:lvlJc w:val="left"/>
      <w:pPr>
        <w:ind w:left="1680" w:hanging="720"/>
      </w:pPr>
      <w:rPr>
        <w:rFonts w:hint="default" w:hAnsi="Calibri" w:cs="宋体"/>
      </w:rPr>
    </w:lvl>
    <w:lvl w:ilvl="3" w:tentative="0">
      <w:start w:val="1"/>
      <w:numFmt w:val="decimal"/>
      <w:isLgl/>
      <w:lvlText w:val="%1.%2.%3.%4."/>
      <w:lvlJc w:val="left"/>
      <w:pPr>
        <w:ind w:left="2520" w:hanging="1080"/>
      </w:pPr>
      <w:rPr>
        <w:rFonts w:hint="default" w:hAnsi="Calibri" w:cs="宋体"/>
      </w:rPr>
    </w:lvl>
    <w:lvl w:ilvl="4" w:tentative="0">
      <w:start w:val="1"/>
      <w:numFmt w:val="decimal"/>
      <w:isLgl/>
      <w:lvlText w:val="%1.%2.%3.%4.%5."/>
      <w:lvlJc w:val="left"/>
      <w:pPr>
        <w:ind w:left="3360" w:hanging="1440"/>
      </w:pPr>
      <w:rPr>
        <w:rFonts w:hint="default" w:hAnsi="Calibri" w:cs="宋体"/>
      </w:rPr>
    </w:lvl>
    <w:lvl w:ilvl="5" w:tentative="0">
      <w:start w:val="1"/>
      <w:numFmt w:val="decimal"/>
      <w:isLgl/>
      <w:lvlText w:val="%1.%2.%3.%4.%5.%6."/>
      <w:lvlJc w:val="left"/>
      <w:pPr>
        <w:ind w:left="3840" w:hanging="1440"/>
      </w:pPr>
      <w:rPr>
        <w:rFonts w:hint="default" w:hAnsi="Calibri" w:cs="宋体"/>
      </w:rPr>
    </w:lvl>
    <w:lvl w:ilvl="6" w:tentative="0">
      <w:start w:val="1"/>
      <w:numFmt w:val="decimal"/>
      <w:isLgl/>
      <w:lvlText w:val="%1.%2.%3.%4.%5.%6.%7."/>
      <w:lvlJc w:val="left"/>
      <w:pPr>
        <w:ind w:left="4680" w:hanging="1800"/>
      </w:pPr>
      <w:rPr>
        <w:rFonts w:hint="default" w:hAnsi="Calibri" w:cs="宋体"/>
      </w:rPr>
    </w:lvl>
    <w:lvl w:ilvl="7" w:tentative="0">
      <w:start w:val="1"/>
      <w:numFmt w:val="decimal"/>
      <w:isLgl/>
      <w:lvlText w:val="%1.%2.%3.%4.%5.%6.%7.%8."/>
      <w:lvlJc w:val="left"/>
      <w:pPr>
        <w:ind w:left="5520" w:hanging="2160"/>
      </w:pPr>
      <w:rPr>
        <w:rFonts w:hint="default" w:hAnsi="Calibri" w:cs="宋体"/>
      </w:rPr>
    </w:lvl>
    <w:lvl w:ilvl="8" w:tentative="0">
      <w:start w:val="1"/>
      <w:numFmt w:val="decimal"/>
      <w:isLgl/>
      <w:lvlText w:val="%1.%2.%3.%4.%5.%6.%7.%8.%9."/>
      <w:lvlJc w:val="left"/>
      <w:pPr>
        <w:ind w:left="6000" w:hanging="2160"/>
      </w:pPr>
      <w:rPr>
        <w:rFonts w:hint="default" w:hAnsi="Calibri" w:cs="宋体"/>
      </w:rPr>
    </w:lvl>
  </w:abstractNum>
  <w:abstractNum w:abstractNumId="12">
    <w:nsid w:val="40512C37"/>
    <w:multiLevelType w:val="multilevel"/>
    <w:tmpl w:val="40512C37"/>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3">
    <w:nsid w:val="40CF13D4"/>
    <w:multiLevelType w:val="multilevel"/>
    <w:tmpl w:val="40CF13D4"/>
    <w:lvl w:ilvl="0" w:tentative="0">
      <w:start w:val="1"/>
      <w:numFmt w:val="decimal"/>
      <w:pStyle w:val="6"/>
      <w:lvlText w:val="%1."/>
      <w:lvlJc w:val="left"/>
      <w:pPr>
        <w:tabs>
          <w:tab w:val="left" w:pos="425"/>
        </w:tabs>
        <w:ind w:left="425" w:hanging="425"/>
      </w:pPr>
      <w:rPr>
        <w:rFonts w:hint="eastAsia"/>
      </w:rPr>
    </w:lvl>
    <w:lvl w:ilvl="1" w:tentative="0">
      <w:start w:val="1"/>
      <w:numFmt w:val="decimal"/>
      <w:pStyle w:val="7"/>
      <w:lvlText w:val="%1.%2."/>
      <w:lvlJc w:val="left"/>
      <w:pPr>
        <w:tabs>
          <w:tab w:val="left" w:pos="720"/>
        </w:tabs>
        <w:ind w:left="567" w:hanging="567"/>
      </w:pPr>
      <w:rPr>
        <w:rFonts w:hint="eastAsia"/>
      </w:rPr>
    </w:lvl>
    <w:lvl w:ilvl="2" w:tentative="0">
      <w:start w:val="1"/>
      <w:numFmt w:val="chineseCountingThousand"/>
      <w:pStyle w:val="9"/>
      <w:lvlText w:val="%3、"/>
      <w:lvlJc w:val="left"/>
      <w:pPr>
        <w:tabs>
          <w:tab w:val="left" w:pos="2836"/>
        </w:tabs>
        <w:ind w:left="2836" w:hanging="709"/>
      </w:pPr>
      <w:rPr>
        <w:rFonts w:hint="eastAsia"/>
        <w:b/>
        <w:spacing w:val="-20"/>
        <w:lang w:val="en-US"/>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4">
    <w:nsid w:val="433044D6"/>
    <w:multiLevelType w:val="multilevel"/>
    <w:tmpl w:val="433044D6"/>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15">
    <w:nsid w:val="46C71494"/>
    <w:multiLevelType w:val="multilevel"/>
    <w:tmpl w:val="46C71494"/>
    <w:lvl w:ilvl="0" w:tentative="0">
      <w:start w:val="1"/>
      <w:numFmt w:val="decimal"/>
      <w:lvlText w:val="%1)"/>
      <w:lvlJc w:val="left"/>
      <w:pPr>
        <w:ind w:left="1461" w:hanging="420"/>
      </w:pPr>
    </w:lvl>
    <w:lvl w:ilvl="1" w:tentative="0">
      <w:start w:val="1"/>
      <w:numFmt w:val="lowerLetter"/>
      <w:lvlText w:val="%2)"/>
      <w:lvlJc w:val="left"/>
      <w:pPr>
        <w:ind w:left="1881" w:hanging="420"/>
      </w:pPr>
    </w:lvl>
    <w:lvl w:ilvl="2" w:tentative="0">
      <w:start w:val="1"/>
      <w:numFmt w:val="lowerRoman"/>
      <w:lvlText w:val="%3."/>
      <w:lvlJc w:val="right"/>
      <w:pPr>
        <w:ind w:left="2301" w:hanging="420"/>
      </w:pPr>
    </w:lvl>
    <w:lvl w:ilvl="3" w:tentative="0">
      <w:start w:val="1"/>
      <w:numFmt w:val="decimal"/>
      <w:lvlText w:val="%4."/>
      <w:lvlJc w:val="left"/>
      <w:pPr>
        <w:ind w:left="2721" w:hanging="420"/>
      </w:pPr>
    </w:lvl>
    <w:lvl w:ilvl="4" w:tentative="0">
      <w:start w:val="1"/>
      <w:numFmt w:val="lowerLetter"/>
      <w:lvlText w:val="%5)"/>
      <w:lvlJc w:val="left"/>
      <w:pPr>
        <w:ind w:left="3141" w:hanging="420"/>
      </w:pPr>
    </w:lvl>
    <w:lvl w:ilvl="5" w:tentative="0">
      <w:start w:val="1"/>
      <w:numFmt w:val="lowerRoman"/>
      <w:lvlText w:val="%6."/>
      <w:lvlJc w:val="right"/>
      <w:pPr>
        <w:ind w:left="3561" w:hanging="420"/>
      </w:pPr>
    </w:lvl>
    <w:lvl w:ilvl="6" w:tentative="0">
      <w:start w:val="1"/>
      <w:numFmt w:val="decimal"/>
      <w:lvlText w:val="%7."/>
      <w:lvlJc w:val="left"/>
      <w:pPr>
        <w:ind w:left="3981" w:hanging="420"/>
      </w:pPr>
    </w:lvl>
    <w:lvl w:ilvl="7" w:tentative="0">
      <w:start w:val="1"/>
      <w:numFmt w:val="lowerLetter"/>
      <w:lvlText w:val="%8)"/>
      <w:lvlJc w:val="left"/>
      <w:pPr>
        <w:ind w:left="4401" w:hanging="420"/>
      </w:pPr>
    </w:lvl>
    <w:lvl w:ilvl="8" w:tentative="0">
      <w:start w:val="1"/>
      <w:numFmt w:val="lowerRoman"/>
      <w:lvlText w:val="%9."/>
      <w:lvlJc w:val="right"/>
      <w:pPr>
        <w:ind w:left="4821" w:hanging="420"/>
      </w:pPr>
    </w:lvl>
  </w:abstractNum>
  <w:abstractNum w:abstractNumId="16">
    <w:nsid w:val="4E1B30F7"/>
    <w:multiLevelType w:val="multilevel"/>
    <w:tmpl w:val="4E1B30F7"/>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7">
    <w:nsid w:val="4EFA17D5"/>
    <w:multiLevelType w:val="multilevel"/>
    <w:tmpl w:val="4EFA17D5"/>
    <w:lvl w:ilvl="0" w:tentative="0">
      <w:start w:val="19"/>
      <w:numFmt w:val="decimal"/>
      <w:lvlText w:val="%1"/>
      <w:lvlJc w:val="left"/>
      <w:pPr>
        <w:ind w:left="480" w:hanging="480"/>
      </w:pPr>
      <w:rPr>
        <w:rFonts w:hint="default"/>
      </w:rPr>
    </w:lvl>
    <w:lvl w:ilvl="1" w:tentative="0">
      <w:start w:val="1"/>
      <w:numFmt w:val="decimal"/>
      <w:lvlText w:val="15.%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18">
    <w:nsid w:val="4FE725AC"/>
    <w:multiLevelType w:val="multilevel"/>
    <w:tmpl w:val="4FE725AC"/>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9">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0">
    <w:nsid w:val="5670449B"/>
    <w:multiLevelType w:val="multilevel"/>
    <w:tmpl w:val="5670449B"/>
    <w:lvl w:ilvl="0" w:tentative="0">
      <w:start w:val="1"/>
      <w:numFmt w:val="low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56997346"/>
    <w:multiLevelType w:val="multilevel"/>
    <w:tmpl w:val="56997346"/>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22">
    <w:nsid w:val="57693060"/>
    <w:multiLevelType w:val="multilevel"/>
    <w:tmpl w:val="57693060"/>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3">
    <w:nsid w:val="57912FC9"/>
    <w:multiLevelType w:val="multilevel"/>
    <w:tmpl w:val="57912FC9"/>
    <w:lvl w:ilvl="0" w:tentative="0">
      <w:start w:val="23"/>
      <w:numFmt w:val="decimal"/>
      <w:lvlText w:val="%1"/>
      <w:lvlJc w:val="left"/>
      <w:pPr>
        <w:ind w:left="465" w:hanging="465"/>
      </w:pPr>
      <w:rPr>
        <w:rFonts w:hint="default" w:ascii="Arial" w:hAnsi="Arial" w:cs="Arial"/>
      </w:rPr>
    </w:lvl>
    <w:lvl w:ilvl="1" w:tentative="0">
      <w:start w:val="1"/>
      <w:numFmt w:val="decimal"/>
      <w:lvlText w:val="19.%2."/>
      <w:lvlJc w:val="left"/>
      <w:pPr>
        <w:ind w:left="606" w:hanging="465"/>
      </w:pPr>
      <w:rPr>
        <w:rFonts w:hint="eastAsia"/>
      </w:rPr>
    </w:lvl>
    <w:lvl w:ilvl="2" w:tentative="0">
      <w:start w:val="1"/>
      <w:numFmt w:val="decimal"/>
      <w:lvlText w:val="%1.%2.%3"/>
      <w:lvlJc w:val="left"/>
      <w:pPr>
        <w:ind w:left="1680" w:hanging="720"/>
      </w:pPr>
      <w:rPr>
        <w:rFonts w:hint="default" w:ascii="Arial" w:hAnsi="Arial" w:cs="Arial"/>
      </w:rPr>
    </w:lvl>
    <w:lvl w:ilvl="3" w:tentative="0">
      <w:start w:val="1"/>
      <w:numFmt w:val="decimal"/>
      <w:lvlText w:val="%1.%2.%3.%4"/>
      <w:lvlJc w:val="left"/>
      <w:pPr>
        <w:ind w:left="2520" w:hanging="1080"/>
      </w:pPr>
      <w:rPr>
        <w:rFonts w:hint="default" w:ascii="Arial" w:hAnsi="Arial" w:cs="Arial"/>
      </w:rPr>
    </w:lvl>
    <w:lvl w:ilvl="4" w:tentative="0">
      <w:start w:val="1"/>
      <w:numFmt w:val="decimal"/>
      <w:lvlText w:val="%1.%2.%3.%4.%5"/>
      <w:lvlJc w:val="left"/>
      <w:pPr>
        <w:ind w:left="3000" w:hanging="1080"/>
      </w:pPr>
      <w:rPr>
        <w:rFonts w:hint="default" w:ascii="Arial" w:hAnsi="Arial" w:cs="Arial"/>
      </w:rPr>
    </w:lvl>
    <w:lvl w:ilvl="5" w:tentative="0">
      <w:start w:val="1"/>
      <w:numFmt w:val="decimal"/>
      <w:lvlText w:val="%1.%2.%3.%4.%5.%6"/>
      <w:lvlJc w:val="left"/>
      <w:pPr>
        <w:ind w:left="3840" w:hanging="1440"/>
      </w:pPr>
      <w:rPr>
        <w:rFonts w:hint="default" w:ascii="Arial" w:hAnsi="Arial" w:cs="Arial"/>
      </w:rPr>
    </w:lvl>
    <w:lvl w:ilvl="6" w:tentative="0">
      <w:start w:val="1"/>
      <w:numFmt w:val="decimal"/>
      <w:lvlText w:val="%1.%2.%3.%4.%5.%6.%7"/>
      <w:lvlJc w:val="left"/>
      <w:pPr>
        <w:ind w:left="4680" w:hanging="1800"/>
      </w:pPr>
      <w:rPr>
        <w:rFonts w:hint="default" w:ascii="Arial" w:hAnsi="Arial" w:cs="Arial"/>
      </w:rPr>
    </w:lvl>
    <w:lvl w:ilvl="7" w:tentative="0">
      <w:start w:val="1"/>
      <w:numFmt w:val="decimal"/>
      <w:lvlText w:val="%1.%2.%3.%4.%5.%6.%7.%8"/>
      <w:lvlJc w:val="left"/>
      <w:pPr>
        <w:ind w:left="5160" w:hanging="1800"/>
      </w:pPr>
      <w:rPr>
        <w:rFonts w:hint="default" w:ascii="Arial" w:hAnsi="Arial" w:cs="Arial"/>
      </w:rPr>
    </w:lvl>
    <w:lvl w:ilvl="8" w:tentative="0">
      <w:start w:val="1"/>
      <w:numFmt w:val="decimal"/>
      <w:lvlText w:val="%1.%2.%3.%4.%5.%6.%7.%8.%9"/>
      <w:lvlJc w:val="left"/>
      <w:pPr>
        <w:ind w:left="6000" w:hanging="2160"/>
      </w:pPr>
      <w:rPr>
        <w:rFonts w:hint="default" w:ascii="Arial" w:hAnsi="Arial" w:cs="Arial"/>
      </w:rPr>
    </w:lvl>
  </w:abstractNum>
  <w:abstractNum w:abstractNumId="24">
    <w:nsid w:val="59FC3E95"/>
    <w:multiLevelType w:val="singleLevel"/>
    <w:tmpl w:val="59FC3E95"/>
    <w:lvl w:ilvl="0" w:tentative="0">
      <w:start w:val="1"/>
      <w:numFmt w:val="decimal"/>
      <w:lvlText w:val="(%1)"/>
      <w:lvlJc w:val="left"/>
      <w:pPr>
        <w:tabs>
          <w:tab w:val="left" w:pos="312"/>
        </w:tabs>
      </w:pPr>
    </w:lvl>
  </w:abstractNum>
  <w:abstractNum w:abstractNumId="25">
    <w:nsid w:val="5D4B4CB4"/>
    <w:multiLevelType w:val="multilevel"/>
    <w:tmpl w:val="5D4B4CB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63AA4A1E"/>
    <w:multiLevelType w:val="multilevel"/>
    <w:tmpl w:val="63AA4A1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27">
    <w:nsid w:val="647E01AF"/>
    <w:multiLevelType w:val="multilevel"/>
    <w:tmpl w:val="647E01AF"/>
    <w:lvl w:ilvl="0" w:tentative="0">
      <w:start w:val="6"/>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28">
    <w:nsid w:val="6B626D06"/>
    <w:multiLevelType w:val="multilevel"/>
    <w:tmpl w:val="6B626D06"/>
    <w:lvl w:ilvl="0" w:tentative="0">
      <w:start w:val="17"/>
      <w:numFmt w:val="decimal"/>
      <w:lvlText w:val="%1"/>
      <w:lvlJc w:val="left"/>
      <w:pPr>
        <w:ind w:left="480" w:hanging="480"/>
      </w:pPr>
      <w:rPr>
        <w:rFonts w:hint="default"/>
      </w:rPr>
    </w:lvl>
    <w:lvl w:ilvl="1" w:tentative="0">
      <w:start w:val="1"/>
      <w:numFmt w:val="decimal"/>
      <w:lvlText w:val="13.%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29">
    <w:nsid w:val="6BC93FB5"/>
    <w:multiLevelType w:val="multilevel"/>
    <w:tmpl w:val="6BC93FB5"/>
    <w:lvl w:ilvl="0" w:tentative="0">
      <w:start w:val="8"/>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0">
    <w:nsid w:val="6C525B9F"/>
    <w:multiLevelType w:val="multilevel"/>
    <w:tmpl w:val="6C525B9F"/>
    <w:lvl w:ilvl="0" w:tentative="0">
      <w:start w:val="5"/>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1">
    <w:nsid w:val="6FBA724A"/>
    <w:multiLevelType w:val="multilevel"/>
    <w:tmpl w:val="6FBA724A"/>
    <w:lvl w:ilvl="0" w:tentative="0">
      <w:start w:val="22"/>
      <w:numFmt w:val="decimal"/>
      <w:lvlText w:val="%1"/>
      <w:lvlJc w:val="left"/>
      <w:pPr>
        <w:ind w:left="480" w:hanging="480"/>
      </w:pPr>
      <w:rPr>
        <w:rFonts w:hint="default"/>
      </w:rPr>
    </w:lvl>
    <w:lvl w:ilvl="1" w:tentative="0">
      <w:start w:val="1"/>
      <w:numFmt w:val="decimal"/>
      <w:lvlText w:val="18.%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2">
    <w:nsid w:val="719C3F02"/>
    <w:multiLevelType w:val="multilevel"/>
    <w:tmpl w:val="719C3F02"/>
    <w:lvl w:ilvl="0" w:tentative="0">
      <w:start w:val="7"/>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3">
    <w:nsid w:val="72C135E4"/>
    <w:multiLevelType w:val="multilevel"/>
    <w:tmpl w:val="72C135E4"/>
    <w:lvl w:ilvl="0" w:tentative="0">
      <w:start w:val="9"/>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4">
    <w:nsid w:val="75300036"/>
    <w:multiLevelType w:val="multilevel"/>
    <w:tmpl w:val="75300036"/>
    <w:lvl w:ilvl="0" w:tentative="0">
      <w:start w:val="4"/>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5">
    <w:nsid w:val="76DB7DEA"/>
    <w:multiLevelType w:val="multilevel"/>
    <w:tmpl w:val="76DB7DE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6">
    <w:nsid w:val="7A113608"/>
    <w:multiLevelType w:val="multilevel"/>
    <w:tmpl w:val="7A113608"/>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7">
    <w:nsid w:val="7B216D2B"/>
    <w:multiLevelType w:val="multilevel"/>
    <w:tmpl w:val="7B216D2B"/>
    <w:lvl w:ilvl="0" w:tentative="0">
      <w:start w:val="20"/>
      <w:numFmt w:val="decimal"/>
      <w:lvlText w:val="%1"/>
      <w:lvlJc w:val="left"/>
      <w:pPr>
        <w:ind w:left="480" w:hanging="480"/>
      </w:pPr>
      <w:rPr>
        <w:rFonts w:hint="default"/>
      </w:rPr>
    </w:lvl>
    <w:lvl w:ilvl="1" w:tentative="0">
      <w:start w:val="1"/>
      <w:numFmt w:val="decimal"/>
      <w:lvlText w:val="16.%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8">
    <w:nsid w:val="7B9E3C32"/>
    <w:multiLevelType w:val="multilevel"/>
    <w:tmpl w:val="7B9E3C32"/>
    <w:lvl w:ilvl="0" w:tentative="0">
      <w:start w:val="18"/>
      <w:numFmt w:val="decimal"/>
      <w:lvlText w:val="%1"/>
      <w:lvlJc w:val="left"/>
      <w:pPr>
        <w:ind w:left="480" w:hanging="480"/>
      </w:pPr>
      <w:rPr>
        <w:rFonts w:hint="default"/>
      </w:rPr>
    </w:lvl>
    <w:lvl w:ilvl="1" w:tentative="0">
      <w:start w:val="1"/>
      <w:numFmt w:val="decimal"/>
      <w:lvlText w:val="14.%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9">
    <w:nsid w:val="7CA10DD4"/>
    <w:multiLevelType w:val="multilevel"/>
    <w:tmpl w:val="7CA10DD4"/>
    <w:lvl w:ilvl="0" w:tentative="0">
      <w:start w:val="1"/>
      <w:numFmt w:val="decimal"/>
      <w:lvlText w:val="（%1）"/>
      <w:lvlJc w:val="left"/>
      <w:pPr>
        <w:ind w:left="845" w:hanging="420"/>
      </w:pPr>
    </w:lvl>
    <w:lvl w:ilvl="1" w:tentative="0">
      <w:start w:val="1"/>
      <w:numFmt w:val="decimal"/>
      <w:lvlText w:val="%2."/>
      <w:lvlJc w:val="left"/>
      <w:pPr>
        <w:ind w:left="988" w:hanging="420"/>
      </w:pPr>
      <w:rPr>
        <w:rFonts w:hint="eastAsia"/>
      </w:r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num w:numId="1">
    <w:abstractNumId w:val="13"/>
  </w:num>
  <w:num w:numId="2">
    <w:abstractNumId w:val="25"/>
  </w:num>
  <w:num w:numId="3">
    <w:abstractNumId w:val="19"/>
  </w:num>
  <w:num w:numId="4">
    <w:abstractNumId w:val="35"/>
  </w:num>
  <w:num w:numId="5">
    <w:abstractNumId w:val="1"/>
  </w:num>
  <w:num w:numId="6">
    <w:abstractNumId w:val="6"/>
  </w:num>
  <w:num w:numId="7">
    <w:abstractNumId w:val="12"/>
  </w:num>
  <w:num w:numId="8">
    <w:abstractNumId w:val="10"/>
  </w:num>
  <w:num w:numId="9">
    <w:abstractNumId w:val="34"/>
  </w:num>
  <w:num w:numId="10">
    <w:abstractNumId w:val="5"/>
  </w:num>
  <w:num w:numId="11">
    <w:abstractNumId w:val="30"/>
  </w:num>
  <w:num w:numId="12">
    <w:abstractNumId w:val="7"/>
  </w:num>
  <w:num w:numId="13">
    <w:abstractNumId w:val="27"/>
  </w:num>
  <w:num w:numId="14">
    <w:abstractNumId w:val="32"/>
  </w:num>
  <w:num w:numId="15">
    <w:abstractNumId w:val="29"/>
  </w:num>
  <w:num w:numId="16">
    <w:abstractNumId w:val="33"/>
  </w:num>
  <w:num w:numId="17">
    <w:abstractNumId w:val="18"/>
  </w:num>
  <w:num w:numId="18">
    <w:abstractNumId w:val="9"/>
  </w:num>
  <w:num w:numId="19">
    <w:abstractNumId w:val="11"/>
  </w:num>
  <w:num w:numId="20">
    <w:abstractNumId w:val="24"/>
  </w:num>
  <w:num w:numId="21">
    <w:abstractNumId w:val="28"/>
  </w:num>
  <w:num w:numId="22">
    <w:abstractNumId w:val="36"/>
  </w:num>
  <w:num w:numId="23">
    <w:abstractNumId w:val="22"/>
  </w:num>
  <w:num w:numId="24">
    <w:abstractNumId w:val="38"/>
  </w:num>
  <w:num w:numId="25">
    <w:abstractNumId w:val="16"/>
  </w:num>
  <w:num w:numId="26">
    <w:abstractNumId w:val="26"/>
  </w:num>
  <w:num w:numId="27">
    <w:abstractNumId w:val="4"/>
  </w:num>
  <w:num w:numId="28">
    <w:abstractNumId w:val="14"/>
  </w:num>
  <w:num w:numId="29">
    <w:abstractNumId w:val="17"/>
  </w:num>
  <w:num w:numId="30">
    <w:abstractNumId w:val="37"/>
  </w:num>
  <w:num w:numId="31">
    <w:abstractNumId w:val="0"/>
  </w:num>
  <w:num w:numId="32">
    <w:abstractNumId w:val="8"/>
  </w:num>
  <w:num w:numId="33">
    <w:abstractNumId w:val="31"/>
  </w:num>
  <w:num w:numId="34">
    <w:abstractNumId w:val="23"/>
  </w:num>
  <w:num w:numId="35">
    <w:abstractNumId w:val="21"/>
  </w:num>
  <w:num w:numId="36">
    <w:abstractNumId w:val="3"/>
  </w:num>
  <w:num w:numId="37">
    <w:abstractNumId w:val="15"/>
  </w:num>
  <w:num w:numId="38">
    <w:abstractNumId w:val="2"/>
  </w:num>
  <w:num w:numId="39">
    <w:abstractNumId w:val="20"/>
  </w:num>
  <w:num w:numId="40">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c3MzY0ZTRiYmU4ZTUwYTBmMTAxNDBkYzIyOTBhMWYifQ=="/>
  </w:docVars>
  <w:rsids>
    <w:rsidRoot w:val="00B64A69"/>
    <w:rsid w:val="00002BF7"/>
    <w:rsid w:val="000038F3"/>
    <w:rsid w:val="0000523C"/>
    <w:rsid w:val="00005A48"/>
    <w:rsid w:val="000067C2"/>
    <w:rsid w:val="00006833"/>
    <w:rsid w:val="00007EA5"/>
    <w:rsid w:val="00010612"/>
    <w:rsid w:val="0001239E"/>
    <w:rsid w:val="000138A2"/>
    <w:rsid w:val="00014941"/>
    <w:rsid w:val="000150EB"/>
    <w:rsid w:val="00015785"/>
    <w:rsid w:val="0001710E"/>
    <w:rsid w:val="0001758F"/>
    <w:rsid w:val="00020295"/>
    <w:rsid w:val="0002211A"/>
    <w:rsid w:val="000224C6"/>
    <w:rsid w:val="00023E42"/>
    <w:rsid w:val="0002411A"/>
    <w:rsid w:val="00024EED"/>
    <w:rsid w:val="00025E8C"/>
    <w:rsid w:val="000270B5"/>
    <w:rsid w:val="00030AFF"/>
    <w:rsid w:val="0003102F"/>
    <w:rsid w:val="0003112F"/>
    <w:rsid w:val="000337CD"/>
    <w:rsid w:val="00033C36"/>
    <w:rsid w:val="00033CB3"/>
    <w:rsid w:val="00034AC1"/>
    <w:rsid w:val="00037BC9"/>
    <w:rsid w:val="000404B0"/>
    <w:rsid w:val="000436A5"/>
    <w:rsid w:val="00043AA4"/>
    <w:rsid w:val="00044157"/>
    <w:rsid w:val="000446E2"/>
    <w:rsid w:val="000457A3"/>
    <w:rsid w:val="00045810"/>
    <w:rsid w:val="00046F57"/>
    <w:rsid w:val="00047649"/>
    <w:rsid w:val="00047F62"/>
    <w:rsid w:val="00051006"/>
    <w:rsid w:val="00051784"/>
    <w:rsid w:val="00053076"/>
    <w:rsid w:val="000532B7"/>
    <w:rsid w:val="00053663"/>
    <w:rsid w:val="00053BD8"/>
    <w:rsid w:val="00053D3B"/>
    <w:rsid w:val="0005473E"/>
    <w:rsid w:val="00054D79"/>
    <w:rsid w:val="00054EB9"/>
    <w:rsid w:val="000558CC"/>
    <w:rsid w:val="000562AC"/>
    <w:rsid w:val="00057DDD"/>
    <w:rsid w:val="00060656"/>
    <w:rsid w:val="0006091D"/>
    <w:rsid w:val="00060A80"/>
    <w:rsid w:val="00060CCE"/>
    <w:rsid w:val="00061A61"/>
    <w:rsid w:val="00064C22"/>
    <w:rsid w:val="00067AEA"/>
    <w:rsid w:val="00070389"/>
    <w:rsid w:val="00071AFA"/>
    <w:rsid w:val="00071E6B"/>
    <w:rsid w:val="0007370E"/>
    <w:rsid w:val="0007472D"/>
    <w:rsid w:val="00075EB8"/>
    <w:rsid w:val="0007617E"/>
    <w:rsid w:val="00076F9D"/>
    <w:rsid w:val="000806B7"/>
    <w:rsid w:val="00081442"/>
    <w:rsid w:val="00081E42"/>
    <w:rsid w:val="00082C27"/>
    <w:rsid w:val="00083F67"/>
    <w:rsid w:val="000846AA"/>
    <w:rsid w:val="0008494D"/>
    <w:rsid w:val="00084D54"/>
    <w:rsid w:val="00085560"/>
    <w:rsid w:val="000872D0"/>
    <w:rsid w:val="00090332"/>
    <w:rsid w:val="00091565"/>
    <w:rsid w:val="00091938"/>
    <w:rsid w:val="0009193B"/>
    <w:rsid w:val="00092BBF"/>
    <w:rsid w:val="00094715"/>
    <w:rsid w:val="00095A45"/>
    <w:rsid w:val="00095B69"/>
    <w:rsid w:val="00095B6F"/>
    <w:rsid w:val="00095F54"/>
    <w:rsid w:val="000A18C8"/>
    <w:rsid w:val="000A2FE2"/>
    <w:rsid w:val="000A34B2"/>
    <w:rsid w:val="000A3E69"/>
    <w:rsid w:val="000A4266"/>
    <w:rsid w:val="000A4A29"/>
    <w:rsid w:val="000A5B2E"/>
    <w:rsid w:val="000A5D96"/>
    <w:rsid w:val="000A5E33"/>
    <w:rsid w:val="000A63AE"/>
    <w:rsid w:val="000A6482"/>
    <w:rsid w:val="000A670C"/>
    <w:rsid w:val="000A6B77"/>
    <w:rsid w:val="000A79BC"/>
    <w:rsid w:val="000A7AA9"/>
    <w:rsid w:val="000A7E78"/>
    <w:rsid w:val="000B04C5"/>
    <w:rsid w:val="000B0C19"/>
    <w:rsid w:val="000B1F19"/>
    <w:rsid w:val="000B46FC"/>
    <w:rsid w:val="000B4836"/>
    <w:rsid w:val="000B6728"/>
    <w:rsid w:val="000B6C24"/>
    <w:rsid w:val="000C18FF"/>
    <w:rsid w:val="000C2843"/>
    <w:rsid w:val="000C3092"/>
    <w:rsid w:val="000C336D"/>
    <w:rsid w:val="000C3CC9"/>
    <w:rsid w:val="000C4278"/>
    <w:rsid w:val="000C43F0"/>
    <w:rsid w:val="000C57AF"/>
    <w:rsid w:val="000C60A4"/>
    <w:rsid w:val="000C6505"/>
    <w:rsid w:val="000C6579"/>
    <w:rsid w:val="000C6B3B"/>
    <w:rsid w:val="000D019E"/>
    <w:rsid w:val="000D0A99"/>
    <w:rsid w:val="000D0CF3"/>
    <w:rsid w:val="000D19A1"/>
    <w:rsid w:val="000D1FC0"/>
    <w:rsid w:val="000D3929"/>
    <w:rsid w:val="000D64A4"/>
    <w:rsid w:val="000D6DF6"/>
    <w:rsid w:val="000D7068"/>
    <w:rsid w:val="000D7CD3"/>
    <w:rsid w:val="000E0567"/>
    <w:rsid w:val="000E09CB"/>
    <w:rsid w:val="000E0E00"/>
    <w:rsid w:val="000E1298"/>
    <w:rsid w:val="000E346D"/>
    <w:rsid w:val="000E4967"/>
    <w:rsid w:val="000E4C8C"/>
    <w:rsid w:val="000E791D"/>
    <w:rsid w:val="000F00E5"/>
    <w:rsid w:val="000F03C2"/>
    <w:rsid w:val="000F095F"/>
    <w:rsid w:val="000F3469"/>
    <w:rsid w:val="000F5C6D"/>
    <w:rsid w:val="00100215"/>
    <w:rsid w:val="001003FB"/>
    <w:rsid w:val="00100A96"/>
    <w:rsid w:val="00101C28"/>
    <w:rsid w:val="001033A1"/>
    <w:rsid w:val="0010348C"/>
    <w:rsid w:val="001039CF"/>
    <w:rsid w:val="00103A39"/>
    <w:rsid w:val="001042F0"/>
    <w:rsid w:val="00104CCA"/>
    <w:rsid w:val="0010631C"/>
    <w:rsid w:val="001068A3"/>
    <w:rsid w:val="00107D30"/>
    <w:rsid w:val="001100C2"/>
    <w:rsid w:val="0011027C"/>
    <w:rsid w:val="00110842"/>
    <w:rsid w:val="00110AF9"/>
    <w:rsid w:val="00110EB7"/>
    <w:rsid w:val="00110EE4"/>
    <w:rsid w:val="0011125A"/>
    <w:rsid w:val="0011163B"/>
    <w:rsid w:val="00112129"/>
    <w:rsid w:val="00112CB9"/>
    <w:rsid w:val="001135A0"/>
    <w:rsid w:val="00114C0A"/>
    <w:rsid w:val="00114D98"/>
    <w:rsid w:val="001164D8"/>
    <w:rsid w:val="00117E99"/>
    <w:rsid w:val="001209A9"/>
    <w:rsid w:val="00120EB7"/>
    <w:rsid w:val="00120F9A"/>
    <w:rsid w:val="00121135"/>
    <w:rsid w:val="00121727"/>
    <w:rsid w:val="0012381B"/>
    <w:rsid w:val="00123F0F"/>
    <w:rsid w:val="00124055"/>
    <w:rsid w:val="001254F6"/>
    <w:rsid w:val="00125A2E"/>
    <w:rsid w:val="0012666C"/>
    <w:rsid w:val="001309C1"/>
    <w:rsid w:val="00130B08"/>
    <w:rsid w:val="00130E28"/>
    <w:rsid w:val="00132691"/>
    <w:rsid w:val="00133612"/>
    <w:rsid w:val="001337D1"/>
    <w:rsid w:val="00134A4A"/>
    <w:rsid w:val="00135CE1"/>
    <w:rsid w:val="0013606C"/>
    <w:rsid w:val="00137081"/>
    <w:rsid w:val="00141D84"/>
    <w:rsid w:val="0014227A"/>
    <w:rsid w:val="0014346E"/>
    <w:rsid w:val="00143668"/>
    <w:rsid w:val="00144745"/>
    <w:rsid w:val="00144849"/>
    <w:rsid w:val="00144F80"/>
    <w:rsid w:val="00146FA2"/>
    <w:rsid w:val="001509BD"/>
    <w:rsid w:val="00150B55"/>
    <w:rsid w:val="00151434"/>
    <w:rsid w:val="00153051"/>
    <w:rsid w:val="001538F6"/>
    <w:rsid w:val="00153B72"/>
    <w:rsid w:val="00157CBF"/>
    <w:rsid w:val="001605B9"/>
    <w:rsid w:val="00161442"/>
    <w:rsid w:val="001624DE"/>
    <w:rsid w:val="00163370"/>
    <w:rsid w:val="001647F8"/>
    <w:rsid w:val="00164B21"/>
    <w:rsid w:val="00165018"/>
    <w:rsid w:val="001655A7"/>
    <w:rsid w:val="001659BA"/>
    <w:rsid w:val="001673A5"/>
    <w:rsid w:val="001702B3"/>
    <w:rsid w:val="00170482"/>
    <w:rsid w:val="001714CB"/>
    <w:rsid w:val="00171BAC"/>
    <w:rsid w:val="00172D02"/>
    <w:rsid w:val="00173A17"/>
    <w:rsid w:val="00174D3A"/>
    <w:rsid w:val="00174F7A"/>
    <w:rsid w:val="00175689"/>
    <w:rsid w:val="00176770"/>
    <w:rsid w:val="001773F2"/>
    <w:rsid w:val="00177C16"/>
    <w:rsid w:val="001801DD"/>
    <w:rsid w:val="00180A83"/>
    <w:rsid w:val="001810DF"/>
    <w:rsid w:val="00181301"/>
    <w:rsid w:val="001829C0"/>
    <w:rsid w:val="0018443D"/>
    <w:rsid w:val="00184ADA"/>
    <w:rsid w:val="00185FA7"/>
    <w:rsid w:val="00187489"/>
    <w:rsid w:val="0018749E"/>
    <w:rsid w:val="00187629"/>
    <w:rsid w:val="0018786E"/>
    <w:rsid w:val="00191300"/>
    <w:rsid w:val="00191B3C"/>
    <w:rsid w:val="00194DC7"/>
    <w:rsid w:val="00197375"/>
    <w:rsid w:val="001A1F4C"/>
    <w:rsid w:val="001A27B9"/>
    <w:rsid w:val="001A589B"/>
    <w:rsid w:val="001A5D19"/>
    <w:rsid w:val="001A6164"/>
    <w:rsid w:val="001A6395"/>
    <w:rsid w:val="001A7AF7"/>
    <w:rsid w:val="001B1AB2"/>
    <w:rsid w:val="001B258F"/>
    <w:rsid w:val="001B290C"/>
    <w:rsid w:val="001B3668"/>
    <w:rsid w:val="001B3A0B"/>
    <w:rsid w:val="001B5289"/>
    <w:rsid w:val="001B5A29"/>
    <w:rsid w:val="001B6849"/>
    <w:rsid w:val="001B6AEF"/>
    <w:rsid w:val="001C100B"/>
    <w:rsid w:val="001C12BF"/>
    <w:rsid w:val="001C1E19"/>
    <w:rsid w:val="001C3362"/>
    <w:rsid w:val="001C3EEB"/>
    <w:rsid w:val="001C4112"/>
    <w:rsid w:val="001C4B2F"/>
    <w:rsid w:val="001C5860"/>
    <w:rsid w:val="001C7E11"/>
    <w:rsid w:val="001D0224"/>
    <w:rsid w:val="001D0BB0"/>
    <w:rsid w:val="001D20DD"/>
    <w:rsid w:val="001D2B64"/>
    <w:rsid w:val="001D5003"/>
    <w:rsid w:val="001D5386"/>
    <w:rsid w:val="001D6048"/>
    <w:rsid w:val="001D67A1"/>
    <w:rsid w:val="001D704B"/>
    <w:rsid w:val="001D7500"/>
    <w:rsid w:val="001D7FF7"/>
    <w:rsid w:val="001E08C0"/>
    <w:rsid w:val="001E1452"/>
    <w:rsid w:val="001E1C73"/>
    <w:rsid w:val="001E3597"/>
    <w:rsid w:val="001E3D4B"/>
    <w:rsid w:val="001E4FBC"/>
    <w:rsid w:val="001E62CF"/>
    <w:rsid w:val="001E7448"/>
    <w:rsid w:val="001E78D7"/>
    <w:rsid w:val="001F06E7"/>
    <w:rsid w:val="001F15AA"/>
    <w:rsid w:val="001F165B"/>
    <w:rsid w:val="001F197B"/>
    <w:rsid w:val="001F263D"/>
    <w:rsid w:val="001F37EE"/>
    <w:rsid w:val="001F4C47"/>
    <w:rsid w:val="001F5EF3"/>
    <w:rsid w:val="001F6128"/>
    <w:rsid w:val="001F63F1"/>
    <w:rsid w:val="001F6CA1"/>
    <w:rsid w:val="001F7EBE"/>
    <w:rsid w:val="002002AB"/>
    <w:rsid w:val="00200B28"/>
    <w:rsid w:val="00202142"/>
    <w:rsid w:val="00202149"/>
    <w:rsid w:val="002027BC"/>
    <w:rsid w:val="002032A7"/>
    <w:rsid w:val="002062BB"/>
    <w:rsid w:val="00206488"/>
    <w:rsid w:val="002069D8"/>
    <w:rsid w:val="00206D2B"/>
    <w:rsid w:val="00210596"/>
    <w:rsid w:val="00210EAD"/>
    <w:rsid w:val="00210EEA"/>
    <w:rsid w:val="00211082"/>
    <w:rsid w:val="00211346"/>
    <w:rsid w:val="0021138A"/>
    <w:rsid w:val="002118EC"/>
    <w:rsid w:val="00212D1B"/>
    <w:rsid w:val="00212E60"/>
    <w:rsid w:val="002136BF"/>
    <w:rsid w:val="00213F9D"/>
    <w:rsid w:val="00215C84"/>
    <w:rsid w:val="00221B90"/>
    <w:rsid w:val="002229E0"/>
    <w:rsid w:val="00224136"/>
    <w:rsid w:val="0022430C"/>
    <w:rsid w:val="002249FE"/>
    <w:rsid w:val="00224B53"/>
    <w:rsid w:val="002250D0"/>
    <w:rsid w:val="002307FD"/>
    <w:rsid w:val="0023168C"/>
    <w:rsid w:val="0023487E"/>
    <w:rsid w:val="00234B46"/>
    <w:rsid w:val="00234FAA"/>
    <w:rsid w:val="0023585A"/>
    <w:rsid w:val="00235CAF"/>
    <w:rsid w:val="00235ED3"/>
    <w:rsid w:val="00237D6B"/>
    <w:rsid w:val="00240485"/>
    <w:rsid w:val="002411CA"/>
    <w:rsid w:val="00242D84"/>
    <w:rsid w:val="002461F4"/>
    <w:rsid w:val="002471F8"/>
    <w:rsid w:val="002475F8"/>
    <w:rsid w:val="00247938"/>
    <w:rsid w:val="00250300"/>
    <w:rsid w:val="00250602"/>
    <w:rsid w:val="00250E1D"/>
    <w:rsid w:val="00250E41"/>
    <w:rsid w:val="00250E43"/>
    <w:rsid w:val="0025211E"/>
    <w:rsid w:val="00253C8B"/>
    <w:rsid w:val="00253CA5"/>
    <w:rsid w:val="002550B8"/>
    <w:rsid w:val="002554DC"/>
    <w:rsid w:val="002565A6"/>
    <w:rsid w:val="00256BE3"/>
    <w:rsid w:val="00260023"/>
    <w:rsid w:val="0026098D"/>
    <w:rsid w:val="002612E7"/>
    <w:rsid w:val="00262A92"/>
    <w:rsid w:val="002634E7"/>
    <w:rsid w:val="00263995"/>
    <w:rsid w:val="00263C2D"/>
    <w:rsid w:val="00263CBE"/>
    <w:rsid w:val="00263CC7"/>
    <w:rsid w:val="00264625"/>
    <w:rsid w:val="00264E70"/>
    <w:rsid w:val="00265C78"/>
    <w:rsid w:val="00266104"/>
    <w:rsid w:val="00266513"/>
    <w:rsid w:val="00267C26"/>
    <w:rsid w:val="00270623"/>
    <w:rsid w:val="00271723"/>
    <w:rsid w:val="0027217E"/>
    <w:rsid w:val="00273870"/>
    <w:rsid w:val="00273EF6"/>
    <w:rsid w:val="0027411F"/>
    <w:rsid w:val="002759C5"/>
    <w:rsid w:val="00275ED0"/>
    <w:rsid w:val="0027632C"/>
    <w:rsid w:val="00280EEC"/>
    <w:rsid w:val="002812BE"/>
    <w:rsid w:val="00281F11"/>
    <w:rsid w:val="0028262A"/>
    <w:rsid w:val="002839E2"/>
    <w:rsid w:val="00284776"/>
    <w:rsid w:val="00285653"/>
    <w:rsid w:val="00286271"/>
    <w:rsid w:val="002863DA"/>
    <w:rsid w:val="002867B9"/>
    <w:rsid w:val="00287023"/>
    <w:rsid w:val="00287946"/>
    <w:rsid w:val="00292A1E"/>
    <w:rsid w:val="0029314E"/>
    <w:rsid w:val="0029318E"/>
    <w:rsid w:val="00293A57"/>
    <w:rsid w:val="00293AFC"/>
    <w:rsid w:val="002948C0"/>
    <w:rsid w:val="00294A2B"/>
    <w:rsid w:val="00295B9A"/>
    <w:rsid w:val="002965BE"/>
    <w:rsid w:val="002A0F8E"/>
    <w:rsid w:val="002A23E3"/>
    <w:rsid w:val="002A252B"/>
    <w:rsid w:val="002A4AFC"/>
    <w:rsid w:val="002A5FC8"/>
    <w:rsid w:val="002B0774"/>
    <w:rsid w:val="002B0B5B"/>
    <w:rsid w:val="002B3906"/>
    <w:rsid w:val="002B3C13"/>
    <w:rsid w:val="002B3D73"/>
    <w:rsid w:val="002B3D9A"/>
    <w:rsid w:val="002B3E7B"/>
    <w:rsid w:val="002B40F9"/>
    <w:rsid w:val="002B4366"/>
    <w:rsid w:val="002B67F7"/>
    <w:rsid w:val="002B6CF5"/>
    <w:rsid w:val="002B7080"/>
    <w:rsid w:val="002C03FE"/>
    <w:rsid w:val="002C0A84"/>
    <w:rsid w:val="002C1B1B"/>
    <w:rsid w:val="002C225A"/>
    <w:rsid w:val="002C59C7"/>
    <w:rsid w:val="002C5A13"/>
    <w:rsid w:val="002C68CB"/>
    <w:rsid w:val="002C6A48"/>
    <w:rsid w:val="002C6AFF"/>
    <w:rsid w:val="002C709C"/>
    <w:rsid w:val="002C7491"/>
    <w:rsid w:val="002C7F49"/>
    <w:rsid w:val="002D26C0"/>
    <w:rsid w:val="002D471D"/>
    <w:rsid w:val="002D49D1"/>
    <w:rsid w:val="002D5143"/>
    <w:rsid w:val="002D56ED"/>
    <w:rsid w:val="002D7C5E"/>
    <w:rsid w:val="002E0050"/>
    <w:rsid w:val="002E00A6"/>
    <w:rsid w:val="002E120E"/>
    <w:rsid w:val="002E18F2"/>
    <w:rsid w:val="002E27F1"/>
    <w:rsid w:val="002E2E37"/>
    <w:rsid w:val="002E3341"/>
    <w:rsid w:val="002E5582"/>
    <w:rsid w:val="002E5C15"/>
    <w:rsid w:val="002E6972"/>
    <w:rsid w:val="002F1F0A"/>
    <w:rsid w:val="002F29A0"/>
    <w:rsid w:val="002F2BA1"/>
    <w:rsid w:val="002F3442"/>
    <w:rsid w:val="002F3CE2"/>
    <w:rsid w:val="002F3D64"/>
    <w:rsid w:val="002F45B9"/>
    <w:rsid w:val="002F4602"/>
    <w:rsid w:val="002F4AE4"/>
    <w:rsid w:val="002F5A06"/>
    <w:rsid w:val="002F611D"/>
    <w:rsid w:val="002F750C"/>
    <w:rsid w:val="002F7D44"/>
    <w:rsid w:val="002F7F12"/>
    <w:rsid w:val="00301408"/>
    <w:rsid w:val="00301577"/>
    <w:rsid w:val="003015BD"/>
    <w:rsid w:val="00301D59"/>
    <w:rsid w:val="00301D7F"/>
    <w:rsid w:val="003028D3"/>
    <w:rsid w:val="00302F31"/>
    <w:rsid w:val="003035D3"/>
    <w:rsid w:val="003035EC"/>
    <w:rsid w:val="00305706"/>
    <w:rsid w:val="00305E0E"/>
    <w:rsid w:val="003072F8"/>
    <w:rsid w:val="003103AB"/>
    <w:rsid w:val="003106A7"/>
    <w:rsid w:val="00310A22"/>
    <w:rsid w:val="00310E13"/>
    <w:rsid w:val="00311075"/>
    <w:rsid w:val="003110B2"/>
    <w:rsid w:val="0031377B"/>
    <w:rsid w:val="00314AA7"/>
    <w:rsid w:val="00315066"/>
    <w:rsid w:val="00315764"/>
    <w:rsid w:val="003158A9"/>
    <w:rsid w:val="00315EC4"/>
    <w:rsid w:val="003163D0"/>
    <w:rsid w:val="0031651E"/>
    <w:rsid w:val="00317608"/>
    <w:rsid w:val="0031780A"/>
    <w:rsid w:val="00317891"/>
    <w:rsid w:val="00320182"/>
    <w:rsid w:val="00321269"/>
    <w:rsid w:val="00321E99"/>
    <w:rsid w:val="003233E5"/>
    <w:rsid w:val="00324D72"/>
    <w:rsid w:val="00326CD6"/>
    <w:rsid w:val="0032741F"/>
    <w:rsid w:val="003304B9"/>
    <w:rsid w:val="0033150D"/>
    <w:rsid w:val="00331ABE"/>
    <w:rsid w:val="0033290B"/>
    <w:rsid w:val="00333D06"/>
    <w:rsid w:val="0034157D"/>
    <w:rsid w:val="00341D0D"/>
    <w:rsid w:val="00342F14"/>
    <w:rsid w:val="003440F7"/>
    <w:rsid w:val="00344401"/>
    <w:rsid w:val="00345385"/>
    <w:rsid w:val="00345721"/>
    <w:rsid w:val="0034606E"/>
    <w:rsid w:val="00346740"/>
    <w:rsid w:val="00347405"/>
    <w:rsid w:val="0034743D"/>
    <w:rsid w:val="00347C5C"/>
    <w:rsid w:val="0035056F"/>
    <w:rsid w:val="003529E5"/>
    <w:rsid w:val="00353663"/>
    <w:rsid w:val="00354055"/>
    <w:rsid w:val="00355C6E"/>
    <w:rsid w:val="003560BD"/>
    <w:rsid w:val="00356255"/>
    <w:rsid w:val="0035748A"/>
    <w:rsid w:val="00357C79"/>
    <w:rsid w:val="003612B2"/>
    <w:rsid w:val="0036137E"/>
    <w:rsid w:val="00361505"/>
    <w:rsid w:val="003628E3"/>
    <w:rsid w:val="00362A2D"/>
    <w:rsid w:val="00362BCC"/>
    <w:rsid w:val="00363694"/>
    <w:rsid w:val="0036418A"/>
    <w:rsid w:val="00370C11"/>
    <w:rsid w:val="00370F9B"/>
    <w:rsid w:val="00372C89"/>
    <w:rsid w:val="00373EBB"/>
    <w:rsid w:val="00374189"/>
    <w:rsid w:val="00374879"/>
    <w:rsid w:val="00375A67"/>
    <w:rsid w:val="00376663"/>
    <w:rsid w:val="00377A32"/>
    <w:rsid w:val="00380B68"/>
    <w:rsid w:val="00381CA9"/>
    <w:rsid w:val="00382732"/>
    <w:rsid w:val="00386E74"/>
    <w:rsid w:val="003871E6"/>
    <w:rsid w:val="003873A3"/>
    <w:rsid w:val="00390084"/>
    <w:rsid w:val="00390AF1"/>
    <w:rsid w:val="00393A63"/>
    <w:rsid w:val="00393E2C"/>
    <w:rsid w:val="00394D96"/>
    <w:rsid w:val="00395FBC"/>
    <w:rsid w:val="00396783"/>
    <w:rsid w:val="00396A62"/>
    <w:rsid w:val="0039788F"/>
    <w:rsid w:val="003A0AF6"/>
    <w:rsid w:val="003A0C81"/>
    <w:rsid w:val="003A0E91"/>
    <w:rsid w:val="003A11A4"/>
    <w:rsid w:val="003A1C5A"/>
    <w:rsid w:val="003A2B4C"/>
    <w:rsid w:val="003A2CEB"/>
    <w:rsid w:val="003A39C0"/>
    <w:rsid w:val="003A3CBB"/>
    <w:rsid w:val="003A4B5B"/>
    <w:rsid w:val="003A54E9"/>
    <w:rsid w:val="003A70E5"/>
    <w:rsid w:val="003A7E68"/>
    <w:rsid w:val="003B0ABE"/>
    <w:rsid w:val="003B45D2"/>
    <w:rsid w:val="003B4D0F"/>
    <w:rsid w:val="003B6101"/>
    <w:rsid w:val="003C0201"/>
    <w:rsid w:val="003C4D8F"/>
    <w:rsid w:val="003C644F"/>
    <w:rsid w:val="003C7A96"/>
    <w:rsid w:val="003D0248"/>
    <w:rsid w:val="003D041C"/>
    <w:rsid w:val="003D0529"/>
    <w:rsid w:val="003D1776"/>
    <w:rsid w:val="003D1CBD"/>
    <w:rsid w:val="003D322B"/>
    <w:rsid w:val="003D4271"/>
    <w:rsid w:val="003D4506"/>
    <w:rsid w:val="003D46EA"/>
    <w:rsid w:val="003D4CB9"/>
    <w:rsid w:val="003D5661"/>
    <w:rsid w:val="003D5817"/>
    <w:rsid w:val="003D6B4E"/>
    <w:rsid w:val="003D7DDD"/>
    <w:rsid w:val="003E0174"/>
    <w:rsid w:val="003E02F7"/>
    <w:rsid w:val="003E0378"/>
    <w:rsid w:val="003E0459"/>
    <w:rsid w:val="003E0670"/>
    <w:rsid w:val="003E0BFB"/>
    <w:rsid w:val="003E1052"/>
    <w:rsid w:val="003E416E"/>
    <w:rsid w:val="003E4F99"/>
    <w:rsid w:val="003E536F"/>
    <w:rsid w:val="003E625F"/>
    <w:rsid w:val="003E68AA"/>
    <w:rsid w:val="003E7FCD"/>
    <w:rsid w:val="003F1EDC"/>
    <w:rsid w:val="003F6B9A"/>
    <w:rsid w:val="003F70BB"/>
    <w:rsid w:val="003F7545"/>
    <w:rsid w:val="003F7710"/>
    <w:rsid w:val="003F78B4"/>
    <w:rsid w:val="003F794B"/>
    <w:rsid w:val="00400FFB"/>
    <w:rsid w:val="00402BE9"/>
    <w:rsid w:val="004049D9"/>
    <w:rsid w:val="004060D8"/>
    <w:rsid w:val="004066EF"/>
    <w:rsid w:val="00411025"/>
    <w:rsid w:val="004116F3"/>
    <w:rsid w:val="004152C0"/>
    <w:rsid w:val="00415784"/>
    <w:rsid w:val="00415A34"/>
    <w:rsid w:val="004165A2"/>
    <w:rsid w:val="00416962"/>
    <w:rsid w:val="004172E0"/>
    <w:rsid w:val="00417367"/>
    <w:rsid w:val="0041793E"/>
    <w:rsid w:val="00417C36"/>
    <w:rsid w:val="004204FB"/>
    <w:rsid w:val="00420E67"/>
    <w:rsid w:val="004216E2"/>
    <w:rsid w:val="004239FA"/>
    <w:rsid w:val="004245B7"/>
    <w:rsid w:val="00425183"/>
    <w:rsid w:val="00426720"/>
    <w:rsid w:val="00426906"/>
    <w:rsid w:val="004273F5"/>
    <w:rsid w:val="004318C5"/>
    <w:rsid w:val="00432419"/>
    <w:rsid w:val="004325F1"/>
    <w:rsid w:val="00433A07"/>
    <w:rsid w:val="00436011"/>
    <w:rsid w:val="00437DE0"/>
    <w:rsid w:val="004429E4"/>
    <w:rsid w:val="004435F8"/>
    <w:rsid w:val="00443800"/>
    <w:rsid w:val="00443869"/>
    <w:rsid w:val="004443A4"/>
    <w:rsid w:val="00446641"/>
    <w:rsid w:val="0044682A"/>
    <w:rsid w:val="00447F80"/>
    <w:rsid w:val="00450E42"/>
    <w:rsid w:val="00451525"/>
    <w:rsid w:val="00451913"/>
    <w:rsid w:val="00451ED2"/>
    <w:rsid w:val="0045206A"/>
    <w:rsid w:val="00452B6F"/>
    <w:rsid w:val="00452FAD"/>
    <w:rsid w:val="00454BA4"/>
    <w:rsid w:val="004569F1"/>
    <w:rsid w:val="0045707F"/>
    <w:rsid w:val="00457735"/>
    <w:rsid w:val="00457D5F"/>
    <w:rsid w:val="00461142"/>
    <w:rsid w:val="00461184"/>
    <w:rsid w:val="00461E9F"/>
    <w:rsid w:val="0046364C"/>
    <w:rsid w:val="00463BB6"/>
    <w:rsid w:val="00464556"/>
    <w:rsid w:val="00464C20"/>
    <w:rsid w:val="0046591C"/>
    <w:rsid w:val="00466044"/>
    <w:rsid w:val="004704BB"/>
    <w:rsid w:val="004714C6"/>
    <w:rsid w:val="004719A0"/>
    <w:rsid w:val="00471ACC"/>
    <w:rsid w:val="00472193"/>
    <w:rsid w:val="004737FD"/>
    <w:rsid w:val="00473A04"/>
    <w:rsid w:val="00473DDA"/>
    <w:rsid w:val="00475DE5"/>
    <w:rsid w:val="00475E8E"/>
    <w:rsid w:val="00475FE2"/>
    <w:rsid w:val="00476424"/>
    <w:rsid w:val="004766AB"/>
    <w:rsid w:val="004773FB"/>
    <w:rsid w:val="004777F0"/>
    <w:rsid w:val="004802FC"/>
    <w:rsid w:val="00480C84"/>
    <w:rsid w:val="00481C49"/>
    <w:rsid w:val="00482614"/>
    <w:rsid w:val="00482CF8"/>
    <w:rsid w:val="00482F1A"/>
    <w:rsid w:val="004844D1"/>
    <w:rsid w:val="00487974"/>
    <w:rsid w:val="00490F61"/>
    <w:rsid w:val="004938FF"/>
    <w:rsid w:val="00494755"/>
    <w:rsid w:val="004955F0"/>
    <w:rsid w:val="0049591A"/>
    <w:rsid w:val="004969B3"/>
    <w:rsid w:val="00496CD5"/>
    <w:rsid w:val="0049768E"/>
    <w:rsid w:val="004A070E"/>
    <w:rsid w:val="004A1B0D"/>
    <w:rsid w:val="004A2070"/>
    <w:rsid w:val="004A2FAE"/>
    <w:rsid w:val="004A3ED2"/>
    <w:rsid w:val="004A4982"/>
    <w:rsid w:val="004A732D"/>
    <w:rsid w:val="004A7887"/>
    <w:rsid w:val="004A7B50"/>
    <w:rsid w:val="004A7C28"/>
    <w:rsid w:val="004B08FC"/>
    <w:rsid w:val="004B244C"/>
    <w:rsid w:val="004B2591"/>
    <w:rsid w:val="004B2D23"/>
    <w:rsid w:val="004B489F"/>
    <w:rsid w:val="004B52B3"/>
    <w:rsid w:val="004B5A65"/>
    <w:rsid w:val="004B5C58"/>
    <w:rsid w:val="004B6399"/>
    <w:rsid w:val="004C0CD5"/>
    <w:rsid w:val="004C1069"/>
    <w:rsid w:val="004C366C"/>
    <w:rsid w:val="004C37FF"/>
    <w:rsid w:val="004C6759"/>
    <w:rsid w:val="004D162B"/>
    <w:rsid w:val="004D1921"/>
    <w:rsid w:val="004D249E"/>
    <w:rsid w:val="004D282F"/>
    <w:rsid w:val="004D2858"/>
    <w:rsid w:val="004D3CFB"/>
    <w:rsid w:val="004E0FA5"/>
    <w:rsid w:val="004E131E"/>
    <w:rsid w:val="004E1822"/>
    <w:rsid w:val="004E229C"/>
    <w:rsid w:val="004E26CF"/>
    <w:rsid w:val="004E3E7D"/>
    <w:rsid w:val="004E4BA3"/>
    <w:rsid w:val="004E6363"/>
    <w:rsid w:val="004E6710"/>
    <w:rsid w:val="004E6FBE"/>
    <w:rsid w:val="004F0575"/>
    <w:rsid w:val="004F1001"/>
    <w:rsid w:val="004F193D"/>
    <w:rsid w:val="004F24AD"/>
    <w:rsid w:val="004F2EB9"/>
    <w:rsid w:val="004F305B"/>
    <w:rsid w:val="004F3214"/>
    <w:rsid w:val="004F3B9C"/>
    <w:rsid w:val="004F4D1B"/>
    <w:rsid w:val="004F5D79"/>
    <w:rsid w:val="004F6F8B"/>
    <w:rsid w:val="004F7309"/>
    <w:rsid w:val="004F7C4F"/>
    <w:rsid w:val="004F7C5A"/>
    <w:rsid w:val="004F7E68"/>
    <w:rsid w:val="00500775"/>
    <w:rsid w:val="00500AC0"/>
    <w:rsid w:val="00504944"/>
    <w:rsid w:val="005053C9"/>
    <w:rsid w:val="00505B0A"/>
    <w:rsid w:val="00505F31"/>
    <w:rsid w:val="00506FCA"/>
    <w:rsid w:val="005108F7"/>
    <w:rsid w:val="00510EB0"/>
    <w:rsid w:val="00511E57"/>
    <w:rsid w:val="00511FD7"/>
    <w:rsid w:val="0051425A"/>
    <w:rsid w:val="005146F9"/>
    <w:rsid w:val="005151EB"/>
    <w:rsid w:val="0051535D"/>
    <w:rsid w:val="00515EE5"/>
    <w:rsid w:val="00515EF3"/>
    <w:rsid w:val="005166FC"/>
    <w:rsid w:val="005167CD"/>
    <w:rsid w:val="00521E96"/>
    <w:rsid w:val="00522BAA"/>
    <w:rsid w:val="005234AC"/>
    <w:rsid w:val="00525A2F"/>
    <w:rsid w:val="005278AC"/>
    <w:rsid w:val="00527F7E"/>
    <w:rsid w:val="005315A3"/>
    <w:rsid w:val="0053187E"/>
    <w:rsid w:val="00531A76"/>
    <w:rsid w:val="0053263F"/>
    <w:rsid w:val="00532D7A"/>
    <w:rsid w:val="005345CD"/>
    <w:rsid w:val="005354DE"/>
    <w:rsid w:val="00535DA6"/>
    <w:rsid w:val="00536BD8"/>
    <w:rsid w:val="00541737"/>
    <w:rsid w:val="00541B49"/>
    <w:rsid w:val="00541D7E"/>
    <w:rsid w:val="00542A0D"/>
    <w:rsid w:val="00542DED"/>
    <w:rsid w:val="00545FD8"/>
    <w:rsid w:val="00546516"/>
    <w:rsid w:val="005468E9"/>
    <w:rsid w:val="00546EDF"/>
    <w:rsid w:val="005476BB"/>
    <w:rsid w:val="0055015E"/>
    <w:rsid w:val="00552132"/>
    <w:rsid w:val="005527D5"/>
    <w:rsid w:val="00552880"/>
    <w:rsid w:val="0055309F"/>
    <w:rsid w:val="005530FE"/>
    <w:rsid w:val="00553AC2"/>
    <w:rsid w:val="00553E6B"/>
    <w:rsid w:val="00554665"/>
    <w:rsid w:val="00554E99"/>
    <w:rsid w:val="005553DD"/>
    <w:rsid w:val="00556754"/>
    <w:rsid w:val="00557648"/>
    <w:rsid w:val="005616EF"/>
    <w:rsid w:val="00561DC2"/>
    <w:rsid w:val="00562FD5"/>
    <w:rsid w:val="00563186"/>
    <w:rsid w:val="0056552C"/>
    <w:rsid w:val="005657BF"/>
    <w:rsid w:val="00570371"/>
    <w:rsid w:val="005707E0"/>
    <w:rsid w:val="00574582"/>
    <w:rsid w:val="00574777"/>
    <w:rsid w:val="00574CC1"/>
    <w:rsid w:val="00576FFD"/>
    <w:rsid w:val="005825C6"/>
    <w:rsid w:val="00582885"/>
    <w:rsid w:val="00583185"/>
    <w:rsid w:val="005831E3"/>
    <w:rsid w:val="00584921"/>
    <w:rsid w:val="00585198"/>
    <w:rsid w:val="00585D4A"/>
    <w:rsid w:val="00585F1B"/>
    <w:rsid w:val="0058630A"/>
    <w:rsid w:val="005864CE"/>
    <w:rsid w:val="00586E2B"/>
    <w:rsid w:val="00586FC3"/>
    <w:rsid w:val="00591B28"/>
    <w:rsid w:val="00592C00"/>
    <w:rsid w:val="00592F25"/>
    <w:rsid w:val="0059310B"/>
    <w:rsid w:val="005936E2"/>
    <w:rsid w:val="005A075B"/>
    <w:rsid w:val="005A0DD0"/>
    <w:rsid w:val="005A0E7D"/>
    <w:rsid w:val="005A196F"/>
    <w:rsid w:val="005A2653"/>
    <w:rsid w:val="005A36AE"/>
    <w:rsid w:val="005A3726"/>
    <w:rsid w:val="005A3934"/>
    <w:rsid w:val="005A4403"/>
    <w:rsid w:val="005A47D2"/>
    <w:rsid w:val="005A4B0F"/>
    <w:rsid w:val="005A61A6"/>
    <w:rsid w:val="005A7358"/>
    <w:rsid w:val="005A79D9"/>
    <w:rsid w:val="005B11B1"/>
    <w:rsid w:val="005B19E3"/>
    <w:rsid w:val="005B1A5F"/>
    <w:rsid w:val="005B22A0"/>
    <w:rsid w:val="005B2A68"/>
    <w:rsid w:val="005B2E24"/>
    <w:rsid w:val="005B2E8A"/>
    <w:rsid w:val="005B3715"/>
    <w:rsid w:val="005B4000"/>
    <w:rsid w:val="005B4707"/>
    <w:rsid w:val="005B583F"/>
    <w:rsid w:val="005B6F0F"/>
    <w:rsid w:val="005B71FE"/>
    <w:rsid w:val="005B7FD5"/>
    <w:rsid w:val="005C0030"/>
    <w:rsid w:val="005C1590"/>
    <w:rsid w:val="005C16B4"/>
    <w:rsid w:val="005C23CC"/>
    <w:rsid w:val="005C3128"/>
    <w:rsid w:val="005C3AFA"/>
    <w:rsid w:val="005C519E"/>
    <w:rsid w:val="005C5AFA"/>
    <w:rsid w:val="005C77E3"/>
    <w:rsid w:val="005C7CEC"/>
    <w:rsid w:val="005C7E66"/>
    <w:rsid w:val="005D0243"/>
    <w:rsid w:val="005D07AC"/>
    <w:rsid w:val="005D1809"/>
    <w:rsid w:val="005D2508"/>
    <w:rsid w:val="005D43E8"/>
    <w:rsid w:val="005D62D3"/>
    <w:rsid w:val="005D6984"/>
    <w:rsid w:val="005D7465"/>
    <w:rsid w:val="005D79B3"/>
    <w:rsid w:val="005D7FE4"/>
    <w:rsid w:val="005E0617"/>
    <w:rsid w:val="005E10F4"/>
    <w:rsid w:val="005E4535"/>
    <w:rsid w:val="005E70AC"/>
    <w:rsid w:val="005E713D"/>
    <w:rsid w:val="005E76A8"/>
    <w:rsid w:val="005F1FE4"/>
    <w:rsid w:val="005F20E0"/>
    <w:rsid w:val="005F449B"/>
    <w:rsid w:val="005F47F0"/>
    <w:rsid w:val="005F489F"/>
    <w:rsid w:val="005F4AC9"/>
    <w:rsid w:val="005F50B1"/>
    <w:rsid w:val="005F51C8"/>
    <w:rsid w:val="005F54A6"/>
    <w:rsid w:val="005F5C48"/>
    <w:rsid w:val="005F6F5E"/>
    <w:rsid w:val="005F7412"/>
    <w:rsid w:val="005F76F1"/>
    <w:rsid w:val="00600293"/>
    <w:rsid w:val="0060118C"/>
    <w:rsid w:val="00601782"/>
    <w:rsid w:val="00601B0F"/>
    <w:rsid w:val="00604F61"/>
    <w:rsid w:val="00605754"/>
    <w:rsid w:val="00607D57"/>
    <w:rsid w:val="00610616"/>
    <w:rsid w:val="00610BBD"/>
    <w:rsid w:val="00610E99"/>
    <w:rsid w:val="00612183"/>
    <w:rsid w:val="00615373"/>
    <w:rsid w:val="0061611B"/>
    <w:rsid w:val="00617319"/>
    <w:rsid w:val="0061747E"/>
    <w:rsid w:val="00617B01"/>
    <w:rsid w:val="00617C82"/>
    <w:rsid w:val="00617E12"/>
    <w:rsid w:val="00620D6A"/>
    <w:rsid w:val="006212DE"/>
    <w:rsid w:val="006222CF"/>
    <w:rsid w:val="00623CEE"/>
    <w:rsid w:val="00623FB7"/>
    <w:rsid w:val="0062417C"/>
    <w:rsid w:val="0062460E"/>
    <w:rsid w:val="006259AB"/>
    <w:rsid w:val="00625C34"/>
    <w:rsid w:val="00627D6F"/>
    <w:rsid w:val="00627E81"/>
    <w:rsid w:val="00630182"/>
    <w:rsid w:val="00630504"/>
    <w:rsid w:val="00631565"/>
    <w:rsid w:val="00633C11"/>
    <w:rsid w:val="006341AF"/>
    <w:rsid w:val="006348D7"/>
    <w:rsid w:val="00637049"/>
    <w:rsid w:val="00640890"/>
    <w:rsid w:val="00640AEB"/>
    <w:rsid w:val="00640CB5"/>
    <w:rsid w:val="00641042"/>
    <w:rsid w:val="006412F8"/>
    <w:rsid w:val="00643FA8"/>
    <w:rsid w:val="00645286"/>
    <w:rsid w:val="00645415"/>
    <w:rsid w:val="006461C6"/>
    <w:rsid w:val="0065005F"/>
    <w:rsid w:val="006503EB"/>
    <w:rsid w:val="006509E1"/>
    <w:rsid w:val="0065102C"/>
    <w:rsid w:val="0065116F"/>
    <w:rsid w:val="0065148E"/>
    <w:rsid w:val="00651C89"/>
    <w:rsid w:val="00652325"/>
    <w:rsid w:val="0065351A"/>
    <w:rsid w:val="00654177"/>
    <w:rsid w:val="00654E30"/>
    <w:rsid w:val="006552D2"/>
    <w:rsid w:val="006553E6"/>
    <w:rsid w:val="00656667"/>
    <w:rsid w:val="006613FE"/>
    <w:rsid w:val="006629DD"/>
    <w:rsid w:val="00662A00"/>
    <w:rsid w:val="00663BC1"/>
    <w:rsid w:val="00664BB0"/>
    <w:rsid w:val="00664EBE"/>
    <w:rsid w:val="00665CD3"/>
    <w:rsid w:val="0066628F"/>
    <w:rsid w:val="00667584"/>
    <w:rsid w:val="00670377"/>
    <w:rsid w:val="0067134C"/>
    <w:rsid w:val="00671515"/>
    <w:rsid w:val="0067228E"/>
    <w:rsid w:val="00672F27"/>
    <w:rsid w:val="006730A4"/>
    <w:rsid w:val="006730CA"/>
    <w:rsid w:val="006734DC"/>
    <w:rsid w:val="0067788D"/>
    <w:rsid w:val="00677B8E"/>
    <w:rsid w:val="00680F53"/>
    <w:rsid w:val="006823C9"/>
    <w:rsid w:val="00682AAA"/>
    <w:rsid w:val="00683DB1"/>
    <w:rsid w:val="00684781"/>
    <w:rsid w:val="0068487D"/>
    <w:rsid w:val="006856F1"/>
    <w:rsid w:val="00685850"/>
    <w:rsid w:val="00685DC3"/>
    <w:rsid w:val="00690057"/>
    <w:rsid w:val="006911C8"/>
    <w:rsid w:val="006915A7"/>
    <w:rsid w:val="00691E36"/>
    <w:rsid w:val="006923A3"/>
    <w:rsid w:val="00692C09"/>
    <w:rsid w:val="0069396F"/>
    <w:rsid w:val="006939DB"/>
    <w:rsid w:val="00693AFF"/>
    <w:rsid w:val="0069447F"/>
    <w:rsid w:val="00694FA6"/>
    <w:rsid w:val="00695987"/>
    <w:rsid w:val="0069635D"/>
    <w:rsid w:val="006968BC"/>
    <w:rsid w:val="006977B3"/>
    <w:rsid w:val="006A13F2"/>
    <w:rsid w:val="006A2514"/>
    <w:rsid w:val="006A4AEA"/>
    <w:rsid w:val="006A5AF6"/>
    <w:rsid w:val="006A5C90"/>
    <w:rsid w:val="006A757E"/>
    <w:rsid w:val="006A7D4C"/>
    <w:rsid w:val="006B011C"/>
    <w:rsid w:val="006B1E3B"/>
    <w:rsid w:val="006B2D82"/>
    <w:rsid w:val="006B489C"/>
    <w:rsid w:val="006B7A72"/>
    <w:rsid w:val="006C00C2"/>
    <w:rsid w:val="006C0BFD"/>
    <w:rsid w:val="006C17EB"/>
    <w:rsid w:val="006C3BB6"/>
    <w:rsid w:val="006C498A"/>
    <w:rsid w:val="006C58B9"/>
    <w:rsid w:val="006C722E"/>
    <w:rsid w:val="006C76D2"/>
    <w:rsid w:val="006C7D4B"/>
    <w:rsid w:val="006D0531"/>
    <w:rsid w:val="006D08B1"/>
    <w:rsid w:val="006D23BD"/>
    <w:rsid w:val="006D2F46"/>
    <w:rsid w:val="006D5378"/>
    <w:rsid w:val="006D6A3A"/>
    <w:rsid w:val="006D6A9B"/>
    <w:rsid w:val="006D7AB0"/>
    <w:rsid w:val="006D7AF3"/>
    <w:rsid w:val="006E07CE"/>
    <w:rsid w:val="006E17F0"/>
    <w:rsid w:val="006E2449"/>
    <w:rsid w:val="006E2581"/>
    <w:rsid w:val="006E2C48"/>
    <w:rsid w:val="006E2CE6"/>
    <w:rsid w:val="006E3235"/>
    <w:rsid w:val="006E3F95"/>
    <w:rsid w:val="006E46B1"/>
    <w:rsid w:val="006E4CE0"/>
    <w:rsid w:val="006E4D3F"/>
    <w:rsid w:val="006E62FC"/>
    <w:rsid w:val="006E747E"/>
    <w:rsid w:val="006E74BE"/>
    <w:rsid w:val="006E78EB"/>
    <w:rsid w:val="006E7AD5"/>
    <w:rsid w:val="006F0558"/>
    <w:rsid w:val="006F1138"/>
    <w:rsid w:val="006F1885"/>
    <w:rsid w:val="006F2461"/>
    <w:rsid w:val="006F285E"/>
    <w:rsid w:val="006F2CDB"/>
    <w:rsid w:val="006F488A"/>
    <w:rsid w:val="006F51CD"/>
    <w:rsid w:val="006F53C1"/>
    <w:rsid w:val="006F6C19"/>
    <w:rsid w:val="006F6EE3"/>
    <w:rsid w:val="006F73D2"/>
    <w:rsid w:val="00702BE3"/>
    <w:rsid w:val="00704D43"/>
    <w:rsid w:val="00704F3F"/>
    <w:rsid w:val="00706038"/>
    <w:rsid w:val="007060D2"/>
    <w:rsid w:val="00706D7A"/>
    <w:rsid w:val="007073CA"/>
    <w:rsid w:val="0071067E"/>
    <w:rsid w:val="007147AC"/>
    <w:rsid w:val="00716145"/>
    <w:rsid w:val="007161D7"/>
    <w:rsid w:val="007173C3"/>
    <w:rsid w:val="00721E68"/>
    <w:rsid w:val="00721ED0"/>
    <w:rsid w:val="00722462"/>
    <w:rsid w:val="0072511C"/>
    <w:rsid w:val="00725686"/>
    <w:rsid w:val="00725CB3"/>
    <w:rsid w:val="00727D04"/>
    <w:rsid w:val="00731069"/>
    <w:rsid w:val="00731F3C"/>
    <w:rsid w:val="00732CB0"/>
    <w:rsid w:val="00733BE5"/>
    <w:rsid w:val="007344C1"/>
    <w:rsid w:val="007355A5"/>
    <w:rsid w:val="00736326"/>
    <w:rsid w:val="00736341"/>
    <w:rsid w:val="007364E9"/>
    <w:rsid w:val="00737626"/>
    <w:rsid w:val="007376A4"/>
    <w:rsid w:val="0074048C"/>
    <w:rsid w:val="0074198E"/>
    <w:rsid w:val="00741F64"/>
    <w:rsid w:val="00743A70"/>
    <w:rsid w:val="00743AF5"/>
    <w:rsid w:val="007444D7"/>
    <w:rsid w:val="007449A3"/>
    <w:rsid w:val="007457F3"/>
    <w:rsid w:val="00747B55"/>
    <w:rsid w:val="00747D95"/>
    <w:rsid w:val="007503A1"/>
    <w:rsid w:val="007511E0"/>
    <w:rsid w:val="0075218F"/>
    <w:rsid w:val="007521B4"/>
    <w:rsid w:val="0075230D"/>
    <w:rsid w:val="0075345E"/>
    <w:rsid w:val="00754CA7"/>
    <w:rsid w:val="0075612C"/>
    <w:rsid w:val="0075640C"/>
    <w:rsid w:val="00756511"/>
    <w:rsid w:val="00757391"/>
    <w:rsid w:val="00757473"/>
    <w:rsid w:val="007574F7"/>
    <w:rsid w:val="00757975"/>
    <w:rsid w:val="00761D4E"/>
    <w:rsid w:val="007625B4"/>
    <w:rsid w:val="00763072"/>
    <w:rsid w:val="007636B2"/>
    <w:rsid w:val="00765424"/>
    <w:rsid w:val="00766562"/>
    <w:rsid w:val="00770111"/>
    <w:rsid w:val="007716E5"/>
    <w:rsid w:val="00775E29"/>
    <w:rsid w:val="0077662D"/>
    <w:rsid w:val="00777E33"/>
    <w:rsid w:val="00781110"/>
    <w:rsid w:val="007828D0"/>
    <w:rsid w:val="00784E87"/>
    <w:rsid w:val="007857CA"/>
    <w:rsid w:val="00786C50"/>
    <w:rsid w:val="00786E76"/>
    <w:rsid w:val="00790229"/>
    <w:rsid w:val="00790933"/>
    <w:rsid w:val="007915B0"/>
    <w:rsid w:val="00793135"/>
    <w:rsid w:val="007946C1"/>
    <w:rsid w:val="007965CC"/>
    <w:rsid w:val="00796C6D"/>
    <w:rsid w:val="0079732D"/>
    <w:rsid w:val="00797DEF"/>
    <w:rsid w:val="007A04A0"/>
    <w:rsid w:val="007A1690"/>
    <w:rsid w:val="007A1AE0"/>
    <w:rsid w:val="007A2AF6"/>
    <w:rsid w:val="007A3EC8"/>
    <w:rsid w:val="007A4F27"/>
    <w:rsid w:val="007A6867"/>
    <w:rsid w:val="007A6A33"/>
    <w:rsid w:val="007B0205"/>
    <w:rsid w:val="007B0EBE"/>
    <w:rsid w:val="007B1510"/>
    <w:rsid w:val="007B17C3"/>
    <w:rsid w:val="007B1E2E"/>
    <w:rsid w:val="007B33D6"/>
    <w:rsid w:val="007B4264"/>
    <w:rsid w:val="007B43E9"/>
    <w:rsid w:val="007B6126"/>
    <w:rsid w:val="007B663F"/>
    <w:rsid w:val="007B6896"/>
    <w:rsid w:val="007B6E26"/>
    <w:rsid w:val="007B71CF"/>
    <w:rsid w:val="007B7DFC"/>
    <w:rsid w:val="007C012C"/>
    <w:rsid w:val="007C04BF"/>
    <w:rsid w:val="007C08A8"/>
    <w:rsid w:val="007C13B5"/>
    <w:rsid w:val="007C1D0A"/>
    <w:rsid w:val="007C2716"/>
    <w:rsid w:val="007C2854"/>
    <w:rsid w:val="007C299B"/>
    <w:rsid w:val="007C3F17"/>
    <w:rsid w:val="007C541F"/>
    <w:rsid w:val="007C5D11"/>
    <w:rsid w:val="007C5EEB"/>
    <w:rsid w:val="007C6874"/>
    <w:rsid w:val="007C6F59"/>
    <w:rsid w:val="007D2A5A"/>
    <w:rsid w:val="007D440C"/>
    <w:rsid w:val="007D452A"/>
    <w:rsid w:val="007D4AC6"/>
    <w:rsid w:val="007D510B"/>
    <w:rsid w:val="007D6EA0"/>
    <w:rsid w:val="007E14CA"/>
    <w:rsid w:val="007E1910"/>
    <w:rsid w:val="007E1990"/>
    <w:rsid w:val="007E378F"/>
    <w:rsid w:val="007E3A0B"/>
    <w:rsid w:val="007E3CEB"/>
    <w:rsid w:val="007E4B54"/>
    <w:rsid w:val="007E4D18"/>
    <w:rsid w:val="007E6A9F"/>
    <w:rsid w:val="007E6FBA"/>
    <w:rsid w:val="007E75C5"/>
    <w:rsid w:val="007F040A"/>
    <w:rsid w:val="007F1082"/>
    <w:rsid w:val="007F2DE5"/>
    <w:rsid w:val="007F39A1"/>
    <w:rsid w:val="007F5058"/>
    <w:rsid w:val="007F71F0"/>
    <w:rsid w:val="007F77E1"/>
    <w:rsid w:val="007F79F5"/>
    <w:rsid w:val="007F7A13"/>
    <w:rsid w:val="00802677"/>
    <w:rsid w:val="00802AB0"/>
    <w:rsid w:val="00802F71"/>
    <w:rsid w:val="00803213"/>
    <w:rsid w:val="00803E4F"/>
    <w:rsid w:val="0080415B"/>
    <w:rsid w:val="008043DC"/>
    <w:rsid w:val="00806850"/>
    <w:rsid w:val="00807336"/>
    <w:rsid w:val="00813AD2"/>
    <w:rsid w:val="008146D3"/>
    <w:rsid w:val="00814F4D"/>
    <w:rsid w:val="008152A0"/>
    <w:rsid w:val="0081697B"/>
    <w:rsid w:val="00817241"/>
    <w:rsid w:val="00817A13"/>
    <w:rsid w:val="008251D4"/>
    <w:rsid w:val="00825455"/>
    <w:rsid w:val="008255A3"/>
    <w:rsid w:val="00826813"/>
    <w:rsid w:val="00827040"/>
    <w:rsid w:val="00831B33"/>
    <w:rsid w:val="00833978"/>
    <w:rsid w:val="00834EEF"/>
    <w:rsid w:val="00836013"/>
    <w:rsid w:val="00836A7A"/>
    <w:rsid w:val="00842137"/>
    <w:rsid w:val="0084233F"/>
    <w:rsid w:val="008423D9"/>
    <w:rsid w:val="0084267A"/>
    <w:rsid w:val="008441EC"/>
    <w:rsid w:val="0084557F"/>
    <w:rsid w:val="0084590C"/>
    <w:rsid w:val="008470AC"/>
    <w:rsid w:val="0084772E"/>
    <w:rsid w:val="00855577"/>
    <w:rsid w:val="00855832"/>
    <w:rsid w:val="00856A9B"/>
    <w:rsid w:val="00861847"/>
    <w:rsid w:val="00861D6D"/>
    <w:rsid w:val="0086215A"/>
    <w:rsid w:val="008625C7"/>
    <w:rsid w:val="00863419"/>
    <w:rsid w:val="00863D0C"/>
    <w:rsid w:val="00866226"/>
    <w:rsid w:val="0087022A"/>
    <w:rsid w:val="0087096E"/>
    <w:rsid w:val="0087111C"/>
    <w:rsid w:val="0087147A"/>
    <w:rsid w:val="00871CDC"/>
    <w:rsid w:val="00872472"/>
    <w:rsid w:val="00873425"/>
    <w:rsid w:val="00877BF5"/>
    <w:rsid w:val="0088147A"/>
    <w:rsid w:val="00882BF7"/>
    <w:rsid w:val="00882C8F"/>
    <w:rsid w:val="00882D04"/>
    <w:rsid w:val="00884917"/>
    <w:rsid w:val="0088681B"/>
    <w:rsid w:val="00886D76"/>
    <w:rsid w:val="00887206"/>
    <w:rsid w:val="00887706"/>
    <w:rsid w:val="0089181E"/>
    <w:rsid w:val="0089572A"/>
    <w:rsid w:val="008958F5"/>
    <w:rsid w:val="00897386"/>
    <w:rsid w:val="0089797F"/>
    <w:rsid w:val="008A02DB"/>
    <w:rsid w:val="008A2660"/>
    <w:rsid w:val="008A35BE"/>
    <w:rsid w:val="008A3E2F"/>
    <w:rsid w:val="008A46F7"/>
    <w:rsid w:val="008A560A"/>
    <w:rsid w:val="008A6B8E"/>
    <w:rsid w:val="008A7E5E"/>
    <w:rsid w:val="008B3C23"/>
    <w:rsid w:val="008B3D37"/>
    <w:rsid w:val="008B54D7"/>
    <w:rsid w:val="008B57CD"/>
    <w:rsid w:val="008B5E77"/>
    <w:rsid w:val="008B5E94"/>
    <w:rsid w:val="008B6A4E"/>
    <w:rsid w:val="008C0630"/>
    <w:rsid w:val="008C3631"/>
    <w:rsid w:val="008C4B00"/>
    <w:rsid w:val="008C5683"/>
    <w:rsid w:val="008C748A"/>
    <w:rsid w:val="008C74AF"/>
    <w:rsid w:val="008D02C8"/>
    <w:rsid w:val="008D0DE3"/>
    <w:rsid w:val="008D1E9D"/>
    <w:rsid w:val="008D267D"/>
    <w:rsid w:val="008D2A93"/>
    <w:rsid w:val="008D3380"/>
    <w:rsid w:val="008D5F9D"/>
    <w:rsid w:val="008D72FE"/>
    <w:rsid w:val="008D7A9C"/>
    <w:rsid w:val="008E004E"/>
    <w:rsid w:val="008E2AD5"/>
    <w:rsid w:val="008E389D"/>
    <w:rsid w:val="008E4609"/>
    <w:rsid w:val="008E5310"/>
    <w:rsid w:val="008E5FAD"/>
    <w:rsid w:val="008E61A9"/>
    <w:rsid w:val="008E673D"/>
    <w:rsid w:val="008F1533"/>
    <w:rsid w:val="008F1D46"/>
    <w:rsid w:val="008F3DCD"/>
    <w:rsid w:val="008F51A5"/>
    <w:rsid w:val="008F6925"/>
    <w:rsid w:val="008F6F19"/>
    <w:rsid w:val="008F72EF"/>
    <w:rsid w:val="008F730B"/>
    <w:rsid w:val="008F7A5D"/>
    <w:rsid w:val="00900D9A"/>
    <w:rsid w:val="00901DE2"/>
    <w:rsid w:val="0090236C"/>
    <w:rsid w:val="009026AD"/>
    <w:rsid w:val="00903D22"/>
    <w:rsid w:val="0090541D"/>
    <w:rsid w:val="009054B8"/>
    <w:rsid w:val="009101C1"/>
    <w:rsid w:val="00910519"/>
    <w:rsid w:val="00910B88"/>
    <w:rsid w:val="00911107"/>
    <w:rsid w:val="0091331B"/>
    <w:rsid w:val="00913443"/>
    <w:rsid w:val="00913919"/>
    <w:rsid w:val="00913D12"/>
    <w:rsid w:val="00914219"/>
    <w:rsid w:val="0091458B"/>
    <w:rsid w:val="009149DA"/>
    <w:rsid w:val="00914C82"/>
    <w:rsid w:val="00915FF3"/>
    <w:rsid w:val="00917D96"/>
    <w:rsid w:val="00920A97"/>
    <w:rsid w:val="00921BBA"/>
    <w:rsid w:val="00923521"/>
    <w:rsid w:val="00923BFF"/>
    <w:rsid w:val="00924654"/>
    <w:rsid w:val="0092580E"/>
    <w:rsid w:val="009261BF"/>
    <w:rsid w:val="009268CF"/>
    <w:rsid w:val="00926B75"/>
    <w:rsid w:val="009276A8"/>
    <w:rsid w:val="009301E4"/>
    <w:rsid w:val="00930A61"/>
    <w:rsid w:val="00930D70"/>
    <w:rsid w:val="00932FB4"/>
    <w:rsid w:val="009335A7"/>
    <w:rsid w:val="00934652"/>
    <w:rsid w:val="00934E60"/>
    <w:rsid w:val="0093621F"/>
    <w:rsid w:val="009375C4"/>
    <w:rsid w:val="00937A25"/>
    <w:rsid w:val="00937DD0"/>
    <w:rsid w:val="00940C26"/>
    <w:rsid w:val="00940ED1"/>
    <w:rsid w:val="0094161D"/>
    <w:rsid w:val="00942C2C"/>
    <w:rsid w:val="00943987"/>
    <w:rsid w:val="00944FFC"/>
    <w:rsid w:val="00950149"/>
    <w:rsid w:val="00951B84"/>
    <w:rsid w:val="00952A67"/>
    <w:rsid w:val="00956908"/>
    <w:rsid w:val="0095717A"/>
    <w:rsid w:val="00957DE8"/>
    <w:rsid w:val="00960790"/>
    <w:rsid w:val="00960E06"/>
    <w:rsid w:val="00961428"/>
    <w:rsid w:val="00963271"/>
    <w:rsid w:val="009639A1"/>
    <w:rsid w:val="00966D4C"/>
    <w:rsid w:val="009674BE"/>
    <w:rsid w:val="00970037"/>
    <w:rsid w:val="009719EB"/>
    <w:rsid w:val="00973A76"/>
    <w:rsid w:val="00975B67"/>
    <w:rsid w:val="00976557"/>
    <w:rsid w:val="0097741C"/>
    <w:rsid w:val="00977562"/>
    <w:rsid w:val="0097795F"/>
    <w:rsid w:val="009828B4"/>
    <w:rsid w:val="00982F4D"/>
    <w:rsid w:val="00985A6C"/>
    <w:rsid w:val="00985FB9"/>
    <w:rsid w:val="009869B9"/>
    <w:rsid w:val="009873DE"/>
    <w:rsid w:val="009915BB"/>
    <w:rsid w:val="00993AF9"/>
    <w:rsid w:val="0099454B"/>
    <w:rsid w:val="0099627A"/>
    <w:rsid w:val="009975EF"/>
    <w:rsid w:val="00997DE3"/>
    <w:rsid w:val="009A5600"/>
    <w:rsid w:val="009A718F"/>
    <w:rsid w:val="009B0593"/>
    <w:rsid w:val="009B2F53"/>
    <w:rsid w:val="009B5C2D"/>
    <w:rsid w:val="009B6178"/>
    <w:rsid w:val="009B6658"/>
    <w:rsid w:val="009B6D0A"/>
    <w:rsid w:val="009B756E"/>
    <w:rsid w:val="009C03D7"/>
    <w:rsid w:val="009C25BA"/>
    <w:rsid w:val="009C3E03"/>
    <w:rsid w:val="009C40F6"/>
    <w:rsid w:val="009C42D4"/>
    <w:rsid w:val="009C48AA"/>
    <w:rsid w:val="009C4AFD"/>
    <w:rsid w:val="009C7CA6"/>
    <w:rsid w:val="009C7DED"/>
    <w:rsid w:val="009D297C"/>
    <w:rsid w:val="009D2CDA"/>
    <w:rsid w:val="009D6249"/>
    <w:rsid w:val="009D6CAB"/>
    <w:rsid w:val="009D71F5"/>
    <w:rsid w:val="009D7643"/>
    <w:rsid w:val="009E28FD"/>
    <w:rsid w:val="009E296C"/>
    <w:rsid w:val="009E3F8B"/>
    <w:rsid w:val="009E3FE4"/>
    <w:rsid w:val="009E4D06"/>
    <w:rsid w:val="009E6666"/>
    <w:rsid w:val="009E6B13"/>
    <w:rsid w:val="009E6C38"/>
    <w:rsid w:val="009E74F3"/>
    <w:rsid w:val="009E7ABE"/>
    <w:rsid w:val="009F0213"/>
    <w:rsid w:val="009F0DD2"/>
    <w:rsid w:val="009F0F68"/>
    <w:rsid w:val="009F14AA"/>
    <w:rsid w:val="009F29D6"/>
    <w:rsid w:val="009F2B3A"/>
    <w:rsid w:val="009F4D27"/>
    <w:rsid w:val="009F5CA3"/>
    <w:rsid w:val="009F61B2"/>
    <w:rsid w:val="009F683A"/>
    <w:rsid w:val="00A00AE9"/>
    <w:rsid w:val="00A01C46"/>
    <w:rsid w:val="00A01FB1"/>
    <w:rsid w:val="00A02BE6"/>
    <w:rsid w:val="00A047DC"/>
    <w:rsid w:val="00A04A8C"/>
    <w:rsid w:val="00A11B77"/>
    <w:rsid w:val="00A124DF"/>
    <w:rsid w:val="00A128E0"/>
    <w:rsid w:val="00A12AD7"/>
    <w:rsid w:val="00A1312D"/>
    <w:rsid w:val="00A137F4"/>
    <w:rsid w:val="00A13BC5"/>
    <w:rsid w:val="00A14D97"/>
    <w:rsid w:val="00A16C28"/>
    <w:rsid w:val="00A171B4"/>
    <w:rsid w:val="00A1777E"/>
    <w:rsid w:val="00A17C8F"/>
    <w:rsid w:val="00A20362"/>
    <w:rsid w:val="00A20614"/>
    <w:rsid w:val="00A21327"/>
    <w:rsid w:val="00A21E8B"/>
    <w:rsid w:val="00A223C2"/>
    <w:rsid w:val="00A26A7D"/>
    <w:rsid w:val="00A27724"/>
    <w:rsid w:val="00A27E65"/>
    <w:rsid w:val="00A27EEB"/>
    <w:rsid w:val="00A34447"/>
    <w:rsid w:val="00A348F7"/>
    <w:rsid w:val="00A3544C"/>
    <w:rsid w:val="00A37371"/>
    <w:rsid w:val="00A40343"/>
    <w:rsid w:val="00A40760"/>
    <w:rsid w:val="00A415F3"/>
    <w:rsid w:val="00A416E7"/>
    <w:rsid w:val="00A4197A"/>
    <w:rsid w:val="00A423F8"/>
    <w:rsid w:val="00A435B7"/>
    <w:rsid w:val="00A43CEB"/>
    <w:rsid w:val="00A440F7"/>
    <w:rsid w:val="00A44FCA"/>
    <w:rsid w:val="00A45044"/>
    <w:rsid w:val="00A4547C"/>
    <w:rsid w:val="00A459EE"/>
    <w:rsid w:val="00A50462"/>
    <w:rsid w:val="00A50BA2"/>
    <w:rsid w:val="00A51AFC"/>
    <w:rsid w:val="00A54024"/>
    <w:rsid w:val="00A5428B"/>
    <w:rsid w:val="00A54DFA"/>
    <w:rsid w:val="00A552A0"/>
    <w:rsid w:val="00A5540B"/>
    <w:rsid w:val="00A556BC"/>
    <w:rsid w:val="00A60436"/>
    <w:rsid w:val="00A60C9B"/>
    <w:rsid w:val="00A619FF"/>
    <w:rsid w:val="00A621C5"/>
    <w:rsid w:val="00A63CB1"/>
    <w:rsid w:val="00A646A6"/>
    <w:rsid w:val="00A64B39"/>
    <w:rsid w:val="00A65348"/>
    <w:rsid w:val="00A6568B"/>
    <w:rsid w:val="00A662CA"/>
    <w:rsid w:val="00A700C1"/>
    <w:rsid w:val="00A71155"/>
    <w:rsid w:val="00A71750"/>
    <w:rsid w:val="00A72050"/>
    <w:rsid w:val="00A73684"/>
    <w:rsid w:val="00A736AD"/>
    <w:rsid w:val="00A73900"/>
    <w:rsid w:val="00A74CA3"/>
    <w:rsid w:val="00A773C2"/>
    <w:rsid w:val="00A77C28"/>
    <w:rsid w:val="00A81823"/>
    <w:rsid w:val="00A81829"/>
    <w:rsid w:val="00A8257C"/>
    <w:rsid w:val="00A83458"/>
    <w:rsid w:val="00A8349D"/>
    <w:rsid w:val="00A84448"/>
    <w:rsid w:val="00A848CA"/>
    <w:rsid w:val="00A8710E"/>
    <w:rsid w:val="00A87FBA"/>
    <w:rsid w:val="00A901F7"/>
    <w:rsid w:val="00A91005"/>
    <w:rsid w:val="00A912AD"/>
    <w:rsid w:val="00A945DD"/>
    <w:rsid w:val="00A94898"/>
    <w:rsid w:val="00A94B27"/>
    <w:rsid w:val="00A94B69"/>
    <w:rsid w:val="00A94C40"/>
    <w:rsid w:val="00A94FB1"/>
    <w:rsid w:val="00A95687"/>
    <w:rsid w:val="00A9680C"/>
    <w:rsid w:val="00A97031"/>
    <w:rsid w:val="00A97775"/>
    <w:rsid w:val="00A97E05"/>
    <w:rsid w:val="00AA0200"/>
    <w:rsid w:val="00AA02BE"/>
    <w:rsid w:val="00AA02EF"/>
    <w:rsid w:val="00AA1ABB"/>
    <w:rsid w:val="00AA1C23"/>
    <w:rsid w:val="00AA4361"/>
    <w:rsid w:val="00AA4700"/>
    <w:rsid w:val="00AA4C43"/>
    <w:rsid w:val="00AA672B"/>
    <w:rsid w:val="00AB2871"/>
    <w:rsid w:val="00AB2A08"/>
    <w:rsid w:val="00AB2A35"/>
    <w:rsid w:val="00AB2BD5"/>
    <w:rsid w:val="00AB3145"/>
    <w:rsid w:val="00AB317D"/>
    <w:rsid w:val="00AB3751"/>
    <w:rsid w:val="00AB4A16"/>
    <w:rsid w:val="00AB51B3"/>
    <w:rsid w:val="00AB5DBA"/>
    <w:rsid w:val="00AB5EF9"/>
    <w:rsid w:val="00AB6A3E"/>
    <w:rsid w:val="00AB6D16"/>
    <w:rsid w:val="00AB720B"/>
    <w:rsid w:val="00AC1C92"/>
    <w:rsid w:val="00AC3302"/>
    <w:rsid w:val="00AC6E70"/>
    <w:rsid w:val="00AC74BF"/>
    <w:rsid w:val="00AD01D4"/>
    <w:rsid w:val="00AD20C4"/>
    <w:rsid w:val="00AD385A"/>
    <w:rsid w:val="00AD3FC7"/>
    <w:rsid w:val="00AD47C8"/>
    <w:rsid w:val="00AD5D1E"/>
    <w:rsid w:val="00AD6081"/>
    <w:rsid w:val="00AD72EB"/>
    <w:rsid w:val="00AE02A9"/>
    <w:rsid w:val="00AE0954"/>
    <w:rsid w:val="00AE130E"/>
    <w:rsid w:val="00AE161C"/>
    <w:rsid w:val="00AE23B3"/>
    <w:rsid w:val="00AE4A3B"/>
    <w:rsid w:val="00AE51B0"/>
    <w:rsid w:val="00AE5F1F"/>
    <w:rsid w:val="00AE67E5"/>
    <w:rsid w:val="00AF1295"/>
    <w:rsid w:val="00AF1588"/>
    <w:rsid w:val="00AF22E0"/>
    <w:rsid w:val="00AF2438"/>
    <w:rsid w:val="00AF3224"/>
    <w:rsid w:val="00AF3266"/>
    <w:rsid w:val="00AF4B5B"/>
    <w:rsid w:val="00B02254"/>
    <w:rsid w:val="00B04E1D"/>
    <w:rsid w:val="00B05826"/>
    <w:rsid w:val="00B059F4"/>
    <w:rsid w:val="00B0621B"/>
    <w:rsid w:val="00B0638F"/>
    <w:rsid w:val="00B07F2F"/>
    <w:rsid w:val="00B10ABF"/>
    <w:rsid w:val="00B12831"/>
    <w:rsid w:val="00B13683"/>
    <w:rsid w:val="00B13CBF"/>
    <w:rsid w:val="00B13E9E"/>
    <w:rsid w:val="00B14E75"/>
    <w:rsid w:val="00B15173"/>
    <w:rsid w:val="00B15E51"/>
    <w:rsid w:val="00B16183"/>
    <w:rsid w:val="00B167C9"/>
    <w:rsid w:val="00B20452"/>
    <w:rsid w:val="00B20740"/>
    <w:rsid w:val="00B2088A"/>
    <w:rsid w:val="00B2323D"/>
    <w:rsid w:val="00B2366B"/>
    <w:rsid w:val="00B23916"/>
    <w:rsid w:val="00B2428A"/>
    <w:rsid w:val="00B24645"/>
    <w:rsid w:val="00B2652E"/>
    <w:rsid w:val="00B26A9F"/>
    <w:rsid w:val="00B273F1"/>
    <w:rsid w:val="00B274E3"/>
    <w:rsid w:val="00B300A5"/>
    <w:rsid w:val="00B34B22"/>
    <w:rsid w:val="00B34D80"/>
    <w:rsid w:val="00B3682F"/>
    <w:rsid w:val="00B369DB"/>
    <w:rsid w:val="00B408B8"/>
    <w:rsid w:val="00B40F0D"/>
    <w:rsid w:val="00B438A2"/>
    <w:rsid w:val="00B469A4"/>
    <w:rsid w:val="00B4732C"/>
    <w:rsid w:val="00B51B59"/>
    <w:rsid w:val="00B51C9E"/>
    <w:rsid w:val="00B51D27"/>
    <w:rsid w:val="00B53B19"/>
    <w:rsid w:val="00B53FB6"/>
    <w:rsid w:val="00B54AA4"/>
    <w:rsid w:val="00B56EAB"/>
    <w:rsid w:val="00B573B8"/>
    <w:rsid w:val="00B575A6"/>
    <w:rsid w:val="00B615F5"/>
    <w:rsid w:val="00B61E76"/>
    <w:rsid w:val="00B62512"/>
    <w:rsid w:val="00B637DC"/>
    <w:rsid w:val="00B63876"/>
    <w:rsid w:val="00B64A69"/>
    <w:rsid w:val="00B67CFB"/>
    <w:rsid w:val="00B703C9"/>
    <w:rsid w:val="00B708D8"/>
    <w:rsid w:val="00B7155D"/>
    <w:rsid w:val="00B71C5F"/>
    <w:rsid w:val="00B728BB"/>
    <w:rsid w:val="00B73B3C"/>
    <w:rsid w:val="00B740AE"/>
    <w:rsid w:val="00B74A90"/>
    <w:rsid w:val="00B76BB1"/>
    <w:rsid w:val="00B80BB1"/>
    <w:rsid w:val="00B80E7E"/>
    <w:rsid w:val="00B81EC6"/>
    <w:rsid w:val="00B82083"/>
    <w:rsid w:val="00B83CEA"/>
    <w:rsid w:val="00B84AA6"/>
    <w:rsid w:val="00B855A5"/>
    <w:rsid w:val="00B8715D"/>
    <w:rsid w:val="00B92AAF"/>
    <w:rsid w:val="00B92CE2"/>
    <w:rsid w:val="00B953CD"/>
    <w:rsid w:val="00B95544"/>
    <w:rsid w:val="00B96459"/>
    <w:rsid w:val="00B96E1A"/>
    <w:rsid w:val="00B97CDB"/>
    <w:rsid w:val="00B97D84"/>
    <w:rsid w:val="00BA02C4"/>
    <w:rsid w:val="00BA06DE"/>
    <w:rsid w:val="00BA13FA"/>
    <w:rsid w:val="00BA2610"/>
    <w:rsid w:val="00BA2C35"/>
    <w:rsid w:val="00BA3189"/>
    <w:rsid w:val="00BA4E56"/>
    <w:rsid w:val="00BA5209"/>
    <w:rsid w:val="00BA7388"/>
    <w:rsid w:val="00BB29A0"/>
    <w:rsid w:val="00BB3A70"/>
    <w:rsid w:val="00BB48F2"/>
    <w:rsid w:val="00BB4F06"/>
    <w:rsid w:val="00BB564A"/>
    <w:rsid w:val="00BB6646"/>
    <w:rsid w:val="00BB7194"/>
    <w:rsid w:val="00BB7E4E"/>
    <w:rsid w:val="00BB7F5E"/>
    <w:rsid w:val="00BC21FF"/>
    <w:rsid w:val="00BC38C0"/>
    <w:rsid w:val="00BC4190"/>
    <w:rsid w:val="00BC429B"/>
    <w:rsid w:val="00BC5685"/>
    <w:rsid w:val="00BC7C40"/>
    <w:rsid w:val="00BD107F"/>
    <w:rsid w:val="00BD2868"/>
    <w:rsid w:val="00BD3873"/>
    <w:rsid w:val="00BD3C3F"/>
    <w:rsid w:val="00BD4955"/>
    <w:rsid w:val="00BD56EE"/>
    <w:rsid w:val="00BD6AB1"/>
    <w:rsid w:val="00BE00AE"/>
    <w:rsid w:val="00BE0C25"/>
    <w:rsid w:val="00BE0E79"/>
    <w:rsid w:val="00BE1010"/>
    <w:rsid w:val="00BF0F1D"/>
    <w:rsid w:val="00BF2453"/>
    <w:rsid w:val="00BF252F"/>
    <w:rsid w:val="00BF29BD"/>
    <w:rsid w:val="00BF303B"/>
    <w:rsid w:val="00BF3A9B"/>
    <w:rsid w:val="00BF41B3"/>
    <w:rsid w:val="00BF52B7"/>
    <w:rsid w:val="00BF6684"/>
    <w:rsid w:val="00BF739E"/>
    <w:rsid w:val="00BF7442"/>
    <w:rsid w:val="00BF76F9"/>
    <w:rsid w:val="00BF7DC4"/>
    <w:rsid w:val="00BF7E77"/>
    <w:rsid w:val="00C00EB6"/>
    <w:rsid w:val="00C02CDD"/>
    <w:rsid w:val="00C035D4"/>
    <w:rsid w:val="00C04555"/>
    <w:rsid w:val="00C048D5"/>
    <w:rsid w:val="00C05D98"/>
    <w:rsid w:val="00C0668E"/>
    <w:rsid w:val="00C076D8"/>
    <w:rsid w:val="00C1140D"/>
    <w:rsid w:val="00C11C36"/>
    <w:rsid w:val="00C1234B"/>
    <w:rsid w:val="00C13FD0"/>
    <w:rsid w:val="00C1647E"/>
    <w:rsid w:val="00C16FED"/>
    <w:rsid w:val="00C173FB"/>
    <w:rsid w:val="00C17C0C"/>
    <w:rsid w:val="00C17C46"/>
    <w:rsid w:val="00C203B8"/>
    <w:rsid w:val="00C20400"/>
    <w:rsid w:val="00C2056C"/>
    <w:rsid w:val="00C209BD"/>
    <w:rsid w:val="00C22117"/>
    <w:rsid w:val="00C244C2"/>
    <w:rsid w:val="00C24756"/>
    <w:rsid w:val="00C24764"/>
    <w:rsid w:val="00C26D03"/>
    <w:rsid w:val="00C26EC5"/>
    <w:rsid w:val="00C30ADD"/>
    <w:rsid w:val="00C319FD"/>
    <w:rsid w:val="00C32130"/>
    <w:rsid w:val="00C3338E"/>
    <w:rsid w:val="00C34BD8"/>
    <w:rsid w:val="00C364B0"/>
    <w:rsid w:val="00C3714A"/>
    <w:rsid w:val="00C41A7D"/>
    <w:rsid w:val="00C422C2"/>
    <w:rsid w:val="00C426E1"/>
    <w:rsid w:val="00C42A87"/>
    <w:rsid w:val="00C44494"/>
    <w:rsid w:val="00C44B37"/>
    <w:rsid w:val="00C4514F"/>
    <w:rsid w:val="00C45893"/>
    <w:rsid w:val="00C46213"/>
    <w:rsid w:val="00C46BF5"/>
    <w:rsid w:val="00C50234"/>
    <w:rsid w:val="00C507E6"/>
    <w:rsid w:val="00C5177F"/>
    <w:rsid w:val="00C52967"/>
    <w:rsid w:val="00C52C62"/>
    <w:rsid w:val="00C53499"/>
    <w:rsid w:val="00C56065"/>
    <w:rsid w:val="00C57973"/>
    <w:rsid w:val="00C57BB8"/>
    <w:rsid w:val="00C57C50"/>
    <w:rsid w:val="00C60B36"/>
    <w:rsid w:val="00C61328"/>
    <w:rsid w:val="00C626DC"/>
    <w:rsid w:val="00C63BB4"/>
    <w:rsid w:val="00C6442A"/>
    <w:rsid w:val="00C64D9E"/>
    <w:rsid w:val="00C659CE"/>
    <w:rsid w:val="00C66EFD"/>
    <w:rsid w:val="00C675A6"/>
    <w:rsid w:val="00C703BD"/>
    <w:rsid w:val="00C71456"/>
    <w:rsid w:val="00C71599"/>
    <w:rsid w:val="00C71DCD"/>
    <w:rsid w:val="00C720A9"/>
    <w:rsid w:val="00C73244"/>
    <w:rsid w:val="00C75470"/>
    <w:rsid w:val="00C75C88"/>
    <w:rsid w:val="00C75DC6"/>
    <w:rsid w:val="00C76992"/>
    <w:rsid w:val="00C774D6"/>
    <w:rsid w:val="00C7769A"/>
    <w:rsid w:val="00C77A03"/>
    <w:rsid w:val="00C77D83"/>
    <w:rsid w:val="00C8015D"/>
    <w:rsid w:val="00C80213"/>
    <w:rsid w:val="00C80A7A"/>
    <w:rsid w:val="00C80B98"/>
    <w:rsid w:val="00C810B6"/>
    <w:rsid w:val="00C81676"/>
    <w:rsid w:val="00C817EB"/>
    <w:rsid w:val="00C840B7"/>
    <w:rsid w:val="00C84C9A"/>
    <w:rsid w:val="00C854C8"/>
    <w:rsid w:val="00C8556B"/>
    <w:rsid w:val="00C864FA"/>
    <w:rsid w:val="00C8720D"/>
    <w:rsid w:val="00C87AA4"/>
    <w:rsid w:val="00C91AF0"/>
    <w:rsid w:val="00C922CC"/>
    <w:rsid w:val="00C9234F"/>
    <w:rsid w:val="00C92394"/>
    <w:rsid w:val="00C92C12"/>
    <w:rsid w:val="00C93443"/>
    <w:rsid w:val="00C93F2B"/>
    <w:rsid w:val="00C94B4B"/>
    <w:rsid w:val="00CA4273"/>
    <w:rsid w:val="00CA5E08"/>
    <w:rsid w:val="00CA79B5"/>
    <w:rsid w:val="00CB082D"/>
    <w:rsid w:val="00CB11F5"/>
    <w:rsid w:val="00CB2357"/>
    <w:rsid w:val="00CB2E01"/>
    <w:rsid w:val="00CB3DF0"/>
    <w:rsid w:val="00CB434F"/>
    <w:rsid w:val="00CB49BC"/>
    <w:rsid w:val="00CB4A65"/>
    <w:rsid w:val="00CB5B01"/>
    <w:rsid w:val="00CB6A73"/>
    <w:rsid w:val="00CB747B"/>
    <w:rsid w:val="00CB754D"/>
    <w:rsid w:val="00CC00A9"/>
    <w:rsid w:val="00CC1EAF"/>
    <w:rsid w:val="00CC23F6"/>
    <w:rsid w:val="00CC24CC"/>
    <w:rsid w:val="00CC2CE4"/>
    <w:rsid w:val="00CC307B"/>
    <w:rsid w:val="00CC3F73"/>
    <w:rsid w:val="00CC5B22"/>
    <w:rsid w:val="00CC5B72"/>
    <w:rsid w:val="00CC5E24"/>
    <w:rsid w:val="00CC5F73"/>
    <w:rsid w:val="00CC6C0B"/>
    <w:rsid w:val="00CD0766"/>
    <w:rsid w:val="00CD0F39"/>
    <w:rsid w:val="00CD10D2"/>
    <w:rsid w:val="00CD2294"/>
    <w:rsid w:val="00CD24E8"/>
    <w:rsid w:val="00CD3105"/>
    <w:rsid w:val="00CD428D"/>
    <w:rsid w:val="00CD4F1F"/>
    <w:rsid w:val="00CD4F9B"/>
    <w:rsid w:val="00CD5D8A"/>
    <w:rsid w:val="00CD67EF"/>
    <w:rsid w:val="00CE0062"/>
    <w:rsid w:val="00CE1CC8"/>
    <w:rsid w:val="00CE274E"/>
    <w:rsid w:val="00CE410A"/>
    <w:rsid w:val="00CE5BC0"/>
    <w:rsid w:val="00CE67C0"/>
    <w:rsid w:val="00CE78DF"/>
    <w:rsid w:val="00CE7E82"/>
    <w:rsid w:val="00CF181E"/>
    <w:rsid w:val="00CF2690"/>
    <w:rsid w:val="00D00C1C"/>
    <w:rsid w:val="00D019FE"/>
    <w:rsid w:val="00D01A2B"/>
    <w:rsid w:val="00D03459"/>
    <w:rsid w:val="00D038BD"/>
    <w:rsid w:val="00D04FAA"/>
    <w:rsid w:val="00D052C7"/>
    <w:rsid w:val="00D05DDF"/>
    <w:rsid w:val="00D077DF"/>
    <w:rsid w:val="00D11D09"/>
    <w:rsid w:val="00D120C5"/>
    <w:rsid w:val="00D12AD0"/>
    <w:rsid w:val="00D1720C"/>
    <w:rsid w:val="00D2087D"/>
    <w:rsid w:val="00D21155"/>
    <w:rsid w:val="00D2152B"/>
    <w:rsid w:val="00D22568"/>
    <w:rsid w:val="00D22C37"/>
    <w:rsid w:val="00D24E43"/>
    <w:rsid w:val="00D24EFD"/>
    <w:rsid w:val="00D25417"/>
    <w:rsid w:val="00D25E80"/>
    <w:rsid w:val="00D264DF"/>
    <w:rsid w:val="00D30074"/>
    <w:rsid w:val="00D333FD"/>
    <w:rsid w:val="00D34B01"/>
    <w:rsid w:val="00D34E96"/>
    <w:rsid w:val="00D352F6"/>
    <w:rsid w:val="00D35BB3"/>
    <w:rsid w:val="00D4019B"/>
    <w:rsid w:val="00D41775"/>
    <w:rsid w:val="00D46659"/>
    <w:rsid w:val="00D469F5"/>
    <w:rsid w:val="00D47322"/>
    <w:rsid w:val="00D4761C"/>
    <w:rsid w:val="00D47F14"/>
    <w:rsid w:val="00D50684"/>
    <w:rsid w:val="00D50B93"/>
    <w:rsid w:val="00D50E50"/>
    <w:rsid w:val="00D56943"/>
    <w:rsid w:val="00D5791C"/>
    <w:rsid w:val="00D57BBF"/>
    <w:rsid w:val="00D623F0"/>
    <w:rsid w:val="00D636E4"/>
    <w:rsid w:val="00D640C3"/>
    <w:rsid w:val="00D6426D"/>
    <w:rsid w:val="00D648D1"/>
    <w:rsid w:val="00D65475"/>
    <w:rsid w:val="00D66787"/>
    <w:rsid w:val="00D67014"/>
    <w:rsid w:val="00D716AA"/>
    <w:rsid w:val="00D71830"/>
    <w:rsid w:val="00D72D4B"/>
    <w:rsid w:val="00D72DCC"/>
    <w:rsid w:val="00D74BFD"/>
    <w:rsid w:val="00D76370"/>
    <w:rsid w:val="00D766E2"/>
    <w:rsid w:val="00D779CB"/>
    <w:rsid w:val="00D80175"/>
    <w:rsid w:val="00D80FB0"/>
    <w:rsid w:val="00D82045"/>
    <w:rsid w:val="00D8324F"/>
    <w:rsid w:val="00D8437A"/>
    <w:rsid w:val="00D854AA"/>
    <w:rsid w:val="00D87241"/>
    <w:rsid w:val="00D87345"/>
    <w:rsid w:val="00D9131E"/>
    <w:rsid w:val="00D918F7"/>
    <w:rsid w:val="00D91CF5"/>
    <w:rsid w:val="00D952AA"/>
    <w:rsid w:val="00D976CD"/>
    <w:rsid w:val="00D97BAF"/>
    <w:rsid w:val="00D97C77"/>
    <w:rsid w:val="00DA0F99"/>
    <w:rsid w:val="00DA17E9"/>
    <w:rsid w:val="00DA1FF7"/>
    <w:rsid w:val="00DA476B"/>
    <w:rsid w:val="00DA4D53"/>
    <w:rsid w:val="00DA58FB"/>
    <w:rsid w:val="00DA65FD"/>
    <w:rsid w:val="00DA726B"/>
    <w:rsid w:val="00DB1B9F"/>
    <w:rsid w:val="00DB2057"/>
    <w:rsid w:val="00DB3397"/>
    <w:rsid w:val="00DB3ADD"/>
    <w:rsid w:val="00DB640C"/>
    <w:rsid w:val="00DB6C1F"/>
    <w:rsid w:val="00DC1256"/>
    <w:rsid w:val="00DC13ED"/>
    <w:rsid w:val="00DC2156"/>
    <w:rsid w:val="00DC2A7A"/>
    <w:rsid w:val="00DC3828"/>
    <w:rsid w:val="00DC472A"/>
    <w:rsid w:val="00DC490C"/>
    <w:rsid w:val="00DC50A3"/>
    <w:rsid w:val="00DC7A94"/>
    <w:rsid w:val="00DD0A67"/>
    <w:rsid w:val="00DD17A9"/>
    <w:rsid w:val="00DD2D34"/>
    <w:rsid w:val="00DD2ED1"/>
    <w:rsid w:val="00DD37B9"/>
    <w:rsid w:val="00DD3F6D"/>
    <w:rsid w:val="00DD40DE"/>
    <w:rsid w:val="00DD5399"/>
    <w:rsid w:val="00DD5B38"/>
    <w:rsid w:val="00DD5BF5"/>
    <w:rsid w:val="00DD7DCF"/>
    <w:rsid w:val="00DE026E"/>
    <w:rsid w:val="00DE0DC0"/>
    <w:rsid w:val="00DE1C04"/>
    <w:rsid w:val="00DE2173"/>
    <w:rsid w:val="00DE2316"/>
    <w:rsid w:val="00DE3FB4"/>
    <w:rsid w:val="00DE4CAE"/>
    <w:rsid w:val="00DE5B86"/>
    <w:rsid w:val="00DE5DD3"/>
    <w:rsid w:val="00DE7ED3"/>
    <w:rsid w:val="00DF1E5B"/>
    <w:rsid w:val="00DF28E7"/>
    <w:rsid w:val="00DF3580"/>
    <w:rsid w:val="00DF3B1E"/>
    <w:rsid w:val="00DF46B3"/>
    <w:rsid w:val="00DF56B6"/>
    <w:rsid w:val="00DF57FE"/>
    <w:rsid w:val="00DF62BB"/>
    <w:rsid w:val="00DF6345"/>
    <w:rsid w:val="00DF6742"/>
    <w:rsid w:val="00DF7194"/>
    <w:rsid w:val="00E001EA"/>
    <w:rsid w:val="00E01198"/>
    <w:rsid w:val="00E02E1D"/>
    <w:rsid w:val="00E03C78"/>
    <w:rsid w:val="00E04515"/>
    <w:rsid w:val="00E0603E"/>
    <w:rsid w:val="00E063A0"/>
    <w:rsid w:val="00E066B7"/>
    <w:rsid w:val="00E06791"/>
    <w:rsid w:val="00E10C55"/>
    <w:rsid w:val="00E11399"/>
    <w:rsid w:val="00E137C3"/>
    <w:rsid w:val="00E13C8E"/>
    <w:rsid w:val="00E1503F"/>
    <w:rsid w:val="00E15F4A"/>
    <w:rsid w:val="00E160FD"/>
    <w:rsid w:val="00E1650E"/>
    <w:rsid w:val="00E16611"/>
    <w:rsid w:val="00E175D1"/>
    <w:rsid w:val="00E205D8"/>
    <w:rsid w:val="00E22299"/>
    <w:rsid w:val="00E22AB6"/>
    <w:rsid w:val="00E22C3A"/>
    <w:rsid w:val="00E2417D"/>
    <w:rsid w:val="00E25ABF"/>
    <w:rsid w:val="00E26D9D"/>
    <w:rsid w:val="00E32DDB"/>
    <w:rsid w:val="00E32F66"/>
    <w:rsid w:val="00E34872"/>
    <w:rsid w:val="00E3515E"/>
    <w:rsid w:val="00E4041F"/>
    <w:rsid w:val="00E4106A"/>
    <w:rsid w:val="00E41B77"/>
    <w:rsid w:val="00E428A4"/>
    <w:rsid w:val="00E42E05"/>
    <w:rsid w:val="00E42E3F"/>
    <w:rsid w:val="00E43626"/>
    <w:rsid w:val="00E43BDB"/>
    <w:rsid w:val="00E471C9"/>
    <w:rsid w:val="00E47254"/>
    <w:rsid w:val="00E50214"/>
    <w:rsid w:val="00E50999"/>
    <w:rsid w:val="00E51289"/>
    <w:rsid w:val="00E51566"/>
    <w:rsid w:val="00E51E31"/>
    <w:rsid w:val="00E523AA"/>
    <w:rsid w:val="00E523D3"/>
    <w:rsid w:val="00E5353D"/>
    <w:rsid w:val="00E53721"/>
    <w:rsid w:val="00E53E51"/>
    <w:rsid w:val="00E54143"/>
    <w:rsid w:val="00E54494"/>
    <w:rsid w:val="00E56C6B"/>
    <w:rsid w:val="00E56DBD"/>
    <w:rsid w:val="00E6152A"/>
    <w:rsid w:val="00E629B0"/>
    <w:rsid w:val="00E629C2"/>
    <w:rsid w:val="00E6339F"/>
    <w:rsid w:val="00E63B15"/>
    <w:rsid w:val="00E6407B"/>
    <w:rsid w:val="00E64F05"/>
    <w:rsid w:val="00E66CEF"/>
    <w:rsid w:val="00E6724A"/>
    <w:rsid w:val="00E676AC"/>
    <w:rsid w:val="00E70005"/>
    <w:rsid w:val="00E71966"/>
    <w:rsid w:val="00E739D3"/>
    <w:rsid w:val="00E73A44"/>
    <w:rsid w:val="00E7503E"/>
    <w:rsid w:val="00E75194"/>
    <w:rsid w:val="00E76345"/>
    <w:rsid w:val="00E7754C"/>
    <w:rsid w:val="00E807B0"/>
    <w:rsid w:val="00E80A49"/>
    <w:rsid w:val="00E81042"/>
    <w:rsid w:val="00E850EA"/>
    <w:rsid w:val="00E85497"/>
    <w:rsid w:val="00E85F02"/>
    <w:rsid w:val="00E863E4"/>
    <w:rsid w:val="00E903F3"/>
    <w:rsid w:val="00E91FDC"/>
    <w:rsid w:val="00E94002"/>
    <w:rsid w:val="00E94594"/>
    <w:rsid w:val="00E9488F"/>
    <w:rsid w:val="00E94CFB"/>
    <w:rsid w:val="00E94E2B"/>
    <w:rsid w:val="00E9526F"/>
    <w:rsid w:val="00E96018"/>
    <w:rsid w:val="00E975C9"/>
    <w:rsid w:val="00E97934"/>
    <w:rsid w:val="00EA07FD"/>
    <w:rsid w:val="00EA08BE"/>
    <w:rsid w:val="00EA2E63"/>
    <w:rsid w:val="00EA4BE2"/>
    <w:rsid w:val="00EA4FD4"/>
    <w:rsid w:val="00EB05A8"/>
    <w:rsid w:val="00EB155B"/>
    <w:rsid w:val="00EB32DF"/>
    <w:rsid w:val="00EB3B69"/>
    <w:rsid w:val="00EB453C"/>
    <w:rsid w:val="00EC33AB"/>
    <w:rsid w:val="00EC3658"/>
    <w:rsid w:val="00EC3783"/>
    <w:rsid w:val="00EC3F72"/>
    <w:rsid w:val="00EC4AE2"/>
    <w:rsid w:val="00EC5FA5"/>
    <w:rsid w:val="00ED00C2"/>
    <w:rsid w:val="00ED11C5"/>
    <w:rsid w:val="00ED13D2"/>
    <w:rsid w:val="00ED2034"/>
    <w:rsid w:val="00ED2B6B"/>
    <w:rsid w:val="00ED69EA"/>
    <w:rsid w:val="00ED6D93"/>
    <w:rsid w:val="00ED76EB"/>
    <w:rsid w:val="00EE0FA3"/>
    <w:rsid w:val="00EE12FB"/>
    <w:rsid w:val="00EE1CC1"/>
    <w:rsid w:val="00EE2BDA"/>
    <w:rsid w:val="00EE3D8E"/>
    <w:rsid w:val="00EE4DAC"/>
    <w:rsid w:val="00EE5AE5"/>
    <w:rsid w:val="00EE65FC"/>
    <w:rsid w:val="00EE69CB"/>
    <w:rsid w:val="00EF0785"/>
    <w:rsid w:val="00EF24B6"/>
    <w:rsid w:val="00EF2894"/>
    <w:rsid w:val="00EF352F"/>
    <w:rsid w:val="00EF7276"/>
    <w:rsid w:val="00F01A98"/>
    <w:rsid w:val="00F0360C"/>
    <w:rsid w:val="00F03990"/>
    <w:rsid w:val="00F0406C"/>
    <w:rsid w:val="00F040F9"/>
    <w:rsid w:val="00F05964"/>
    <w:rsid w:val="00F06065"/>
    <w:rsid w:val="00F06FDA"/>
    <w:rsid w:val="00F102C0"/>
    <w:rsid w:val="00F10E2E"/>
    <w:rsid w:val="00F14DDC"/>
    <w:rsid w:val="00F1551E"/>
    <w:rsid w:val="00F1566D"/>
    <w:rsid w:val="00F16A51"/>
    <w:rsid w:val="00F17B79"/>
    <w:rsid w:val="00F20904"/>
    <w:rsid w:val="00F20CAA"/>
    <w:rsid w:val="00F23E16"/>
    <w:rsid w:val="00F24004"/>
    <w:rsid w:val="00F24250"/>
    <w:rsid w:val="00F2591F"/>
    <w:rsid w:val="00F2646C"/>
    <w:rsid w:val="00F26FA3"/>
    <w:rsid w:val="00F307EE"/>
    <w:rsid w:val="00F32226"/>
    <w:rsid w:val="00F331F2"/>
    <w:rsid w:val="00F33B79"/>
    <w:rsid w:val="00F35D0E"/>
    <w:rsid w:val="00F40076"/>
    <w:rsid w:val="00F40354"/>
    <w:rsid w:val="00F40436"/>
    <w:rsid w:val="00F40AE3"/>
    <w:rsid w:val="00F414AB"/>
    <w:rsid w:val="00F41A6C"/>
    <w:rsid w:val="00F435A4"/>
    <w:rsid w:val="00F43D6A"/>
    <w:rsid w:val="00F44A0B"/>
    <w:rsid w:val="00F45240"/>
    <w:rsid w:val="00F50184"/>
    <w:rsid w:val="00F513DB"/>
    <w:rsid w:val="00F52472"/>
    <w:rsid w:val="00F52B42"/>
    <w:rsid w:val="00F5320D"/>
    <w:rsid w:val="00F545E6"/>
    <w:rsid w:val="00F54911"/>
    <w:rsid w:val="00F5607B"/>
    <w:rsid w:val="00F56300"/>
    <w:rsid w:val="00F5647B"/>
    <w:rsid w:val="00F565AD"/>
    <w:rsid w:val="00F63C45"/>
    <w:rsid w:val="00F63F44"/>
    <w:rsid w:val="00F64497"/>
    <w:rsid w:val="00F64E03"/>
    <w:rsid w:val="00F6717C"/>
    <w:rsid w:val="00F67930"/>
    <w:rsid w:val="00F67FB6"/>
    <w:rsid w:val="00F70B79"/>
    <w:rsid w:val="00F71700"/>
    <w:rsid w:val="00F71AC7"/>
    <w:rsid w:val="00F7303F"/>
    <w:rsid w:val="00F73226"/>
    <w:rsid w:val="00F736B7"/>
    <w:rsid w:val="00F738C7"/>
    <w:rsid w:val="00F7660C"/>
    <w:rsid w:val="00F83881"/>
    <w:rsid w:val="00F84B06"/>
    <w:rsid w:val="00F86599"/>
    <w:rsid w:val="00F8784A"/>
    <w:rsid w:val="00F87FC7"/>
    <w:rsid w:val="00F904DE"/>
    <w:rsid w:val="00F909FE"/>
    <w:rsid w:val="00F90CA3"/>
    <w:rsid w:val="00F92111"/>
    <w:rsid w:val="00F93087"/>
    <w:rsid w:val="00F93535"/>
    <w:rsid w:val="00F96460"/>
    <w:rsid w:val="00F96834"/>
    <w:rsid w:val="00F969AA"/>
    <w:rsid w:val="00FA3153"/>
    <w:rsid w:val="00FA4299"/>
    <w:rsid w:val="00FA4582"/>
    <w:rsid w:val="00FA5A06"/>
    <w:rsid w:val="00FA6451"/>
    <w:rsid w:val="00FB0738"/>
    <w:rsid w:val="00FB1454"/>
    <w:rsid w:val="00FB1504"/>
    <w:rsid w:val="00FB260D"/>
    <w:rsid w:val="00FB3A04"/>
    <w:rsid w:val="00FB3BEB"/>
    <w:rsid w:val="00FB5063"/>
    <w:rsid w:val="00FB7EE7"/>
    <w:rsid w:val="00FC1155"/>
    <w:rsid w:val="00FC13A8"/>
    <w:rsid w:val="00FC296D"/>
    <w:rsid w:val="00FC2B56"/>
    <w:rsid w:val="00FC31C0"/>
    <w:rsid w:val="00FC3B2E"/>
    <w:rsid w:val="00FC4E85"/>
    <w:rsid w:val="00FC53FC"/>
    <w:rsid w:val="00FC60C2"/>
    <w:rsid w:val="00FC7019"/>
    <w:rsid w:val="00FD0A4E"/>
    <w:rsid w:val="00FD1E2C"/>
    <w:rsid w:val="00FD3B08"/>
    <w:rsid w:val="00FD45C7"/>
    <w:rsid w:val="00FD5632"/>
    <w:rsid w:val="00FD6E57"/>
    <w:rsid w:val="00FD74CC"/>
    <w:rsid w:val="00FE18DB"/>
    <w:rsid w:val="00FE1D0D"/>
    <w:rsid w:val="00FE1FC5"/>
    <w:rsid w:val="00FE4B4B"/>
    <w:rsid w:val="00FE5BFA"/>
    <w:rsid w:val="00FE749B"/>
    <w:rsid w:val="00FF1031"/>
    <w:rsid w:val="00FF3A7D"/>
    <w:rsid w:val="00FF3BC6"/>
    <w:rsid w:val="00FF529F"/>
    <w:rsid w:val="00FF60B4"/>
    <w:rsid w:val="00FF7082"/>
    <w:rsid w:val="015F78F1"/>
    <w:rsid w:val="018F0027"/>
    <w:rsid w:val="01BF19D1"/>
    <w:rsid w:val="020804A4"/>
    <w:rsid w:val="021E085A"/>
    <w:rsid w:val="028E0B7F"/>
    <w:rsid w:val="029455AD"/>
    <w:rsid w:val="02C94668"/>
    <w:rsid w:val="02F60225"/>
    <w:rsid w:val="0374586D"/>
    <w:rsid w:val="03E406E3"/>
    <w:rsid w:val="041D6970"/>
    <w:rsid w:val="048670BB"/>
    <w:rsid w:val="04C26EA5"/>
    <w:rsid w:val="050D56A9"/>
    <w:rsid w:val="055E02BB"/>
    <w:rsid w:val="057C07A9"/>
    <w:rsid w:val="057E3025"/>
    <w:rsid w:val="05C23925"/>
    <w:rsid w:val="05FB4A52"/>
    <w:rsid w:val="069301CC"/>
    <w:rsid w:val="06CC17C8"/>
    <w:rsid w:val="06DA5D19"/>
    <w:rsid w:val="0749688F"/>
    <w:rsid w:val="075E40BB"/>
    <w:rsid w:val="079F0861"/>
    <w:rsid w:val="07D72E1C"/>
    <w:rsid w:val="092A1C9F"/>
    <w:rsid w:val="09A16EE8"/>
    <w:rsid w:val="0A3854DD"/>
    <w:rsid w:val="0AA42F62"/>
    <w:rsid w:val="0AAC1E5E"/>
    <w:rsid w:val="0B2D4F70"/>
    <w:rsid w:val="0BA953BE"/>
    <w:rsid w:val="0C59767E"/>
    <w:rsid w:val="0C6F4C34"/>
    <w:rsid w:val="0CA6448E"/>
    <w:rsid w:val="0CE97D42"/>
    <w:rsid w:val="0D091F4F"/>
    <w:rsid w:val="0D423770"/>
    <w:rsid w:val="0DF34DC7"/>
    <w:rsid w:val="0E3A3B6B"/>
    <w:rsid w:val="0E687A3B"/>
    <w:rsid w:val="0E6B5D11"/>
    <w:rsid w:val="0EC30F40"/>
    <w:rsid w:val="10C810E0"/>
    <w:rsid w:val="1252082F"/>
    <w:rsid w:val="12C543F6"/>
    <w:rsid w:val="133B2B8B"/>
    <w:rsid w:val="135C661C"/>
    <w:rsid w:val="1365144E"/>
    <w:rsid w:val="13890ABD"/>
    <w:rsid w:val="14233D1E"/>
    <w:rsid w:val="143E0385"/>
    <w:rsid w:val="145A60C9"/>
    <w:rsid w:val="146548AF"/>
    <w:rsid w:val="14893727"/>
    <w:rsid w:val="14D3666F"/>
    <w:rsid w:val="15231FCC"/>
    <w:rsid w:val="15FC19AC"/>
    <w:rsid w:val="15FF7E6C"/>
    <w:rsid w:val="16BC0F4E"/>
    <w:rsid w:val="17290CBC"/>
    <w:rsid w:val="176A3546"/>
    <w:rsid w:val="17F76D12"/>
    <w:rsid w:val="18364045"/>
    <w:rsid w:val="18BE53BE"/>
    <w:rsid w:val="18EE0FF5"/>
    <w:rsid w:val="19765AAC"/>
    <w:rsid w:val="19EB139B"/>
    <w:rsid w:val="1A2958D5"/>
    <w:rsid w:val="1A417530"/>
    <w:rsid w:val="1A6E4810"/>
    <w:rsid w:val="1A8B2106"/>
    <w:rsid w:val="1AD67C30"/>
    <w:rsid w:val="1AE51725"/>
    <w:rsid w:val="1AFF3148"/>
    <w:rsid w:val="1B715A79"/>
    <w:rsid w:val="1B947C8B"/>
    <w:rsid w:val="1BB12787"/>
    <w:rsid w:val="1BC47DF2"/>
    <w:rsid w:val="1C3C649D"/>
    <w:rsid w:val="1C4E3346"/>
    <w:rsid w:val="1C6052B0"/>
    <w:rsid w:val="1CEA22BD"/>
    <w:rsid w:val="1CEE6210"/>
    <w:rsid w:val="1CFF4E92"/>
    <w:rsid w:val="1D1F797E"/>
    <w:rsid w:val="1D951CB1"/>
    <w:rsid w:val="1D9B470A"/>
    <w:rsid w:val="1D9C4C6D"/>
    <w:rsid w:val="1E2861EA"/>
    <w:rsid w:val="1EE32D92"/>
    <w:rsid w:val="1EFE7656"/>
    <w:rsid w:val="1F681F5F"/>
    <w:rsid w:val="1F724EAA"/>
    <w:rsid w:val="1FAF4A23"/>
    <w:rsid w:val="20074AC3"/>
    <w:rsid w:val="20285CD0"/>
    <w:rsid w:val="202D2A69"/>
    <w:rsid w:val="2039388E"/>
    <w:rsid w:val="20854F59"/>
    <w:rsid w:val="208C2AF3"/>
    <w:rsid w:val="20D70139"/>
    <w:rsid w:val="20DF1A81"/>
    <w:rsid w:val="20E42016"/>
    <w:rsid w:val="211041EB"/>
    <w:rsid w:val="21672A7E"/>
    <w:rsid w:val="21BD4D61"/>
    <w:rsid w:val="21DA33D9"/>
    <w:rsid w:val="22371E1E"/>
    <w:rsid w:val="22DC4764"/>
    <w:rsid w:val="239B2561"/>
    <w:rsid w:val="23FB37A5"/>
    <w:rsid w:val="2412039C"/>
    <w:rsid w:val="24E43AF1"/>
    <w:rsid w:val="2579114B"/>
    <w:rsid w:val="25801CD3"/>
    <w:rsid w:val="25907302"/>
    <w:rsid w:val="25C7239A"/>
    <w:rsid w:val="260F4DA8"/>
    <w:rsid w:val="26884901"/>
    <w:rsid w:val="26D14BE0"/>
    <w:rsid w:val="27221BD2"/>
    <w:rsid w:val="2739373B"/>
    <w:rsid w:val="27401E28"/>
    <w:rsid w:val="27414C32"/>
    <w:rsid w:val="27636D6A"/>
    <w:rsid w:val="279A389E"/>
    <w:rsid w:val="286B0675"/>
    <w:rsid w:val="286D2C2F"/>
    <w:rsid w:val="289E1564"/>
    <w:rsid w:val="28B11256"/>
    <w:rsid w:val="28C12209"/>
    <w:rsid w:val="2983407D"/>
    <w:rsid w:val="29A12B82"/>
    <w:rsid w:val="29DC7068"/>
    <w:rsid w:val="29DF5F05"/>
    <w:rsid w:val="2A5874ED"/>
    <w:rsid w:val="2A866EAD"/>
    <w:rsid w:val="2B8605FF"/>
    <w:rsid w:val="2BE71A4E"/>
    <w:rsid w:val="2C087541"/>
    <w:rsid w:val="2C3B29A6"/>
    <w:rsid w:val="2C3F3CD5"/>
    <w:rsid w:val="2C726454"/>
    <w:rsid w:val="2C7E6EC0"/>
    <w:rsid w:val="2CAA43CA"/>
    <w:rsid w:val="2D5E00EC"/>
    <w:rsid w:val="2D7D1C9C"/>
    <w:rsid w:val="2DAE2509"/>
    <w:rsid w:val="2DDB031F"/>
    <w:rsid w:val="2E8728CE"/>
    <w:rsid w:val="2EA702F2"/>
    <w:rsid w:val="2EBC3D59"/>
    <w:rsid w:val="2EF7683B"/>
    <w:rsid w:val="2F0F07FC"/>
    <w:rsid w:val="2FF17810"/>
    <w:rsid w:val="30977E0E"/>
    <w:rsid w:val="30B24D29"/>
    <w:rsid w:val="30F47A27"/>
    <w:rsid w:val="31242D00"/>
    <w:rsid w:val="31351217"/>
    <w:rsid w:val="31811153"/>
    <w:rsid w:val="318F657C"/>
    <w:rsid w:val="328A2480"/>
    <w:rsid w:val="32B87CA1"/>
    <w:rsid w:val="32D5191B"/>
    <w:rsid w:val="32F95D29"/>
    <w:rsid w:val="33622CC4"/>
    <w:rsid w:val="33C550B4"/>
    <w:rsid w:val="341E08CC"/>
    <w:rsid w:val="342F62F6"/>
    <w:rsid w:val="345B1B06"/>
    <w:rsid w:val="34BF1578"/>
    <w:rsid w:val="35632D5E"/>
    <w:rsid w:val="36237179"/>
    <w:rsid w:val="362E26F6"/>
    <w:rsid w:val="363C023B"/>
    <w:rsid w:val="363E4EDB"/>
    <w:rsid w:val="37115432"/>
    <w:rsid w:val="376D175B"/>
    <w:rsid w:val="37DF6525"/>
    <w:rsid w:val="37F35FAD"/>
    <w:rsid w:val="38A80A21"/>
    <w:rsid w:val="38B41F5E"/>
    <w:rsid w:val="38C43E2A"/>
    <w:rsid w:val="390A723C"/>
    <w:rsid w:val="3A38141C"/>
    <w:rsid w:val="3A656FE9"/>
    <w:rsid w:val="3A6F1B6D"/>
    <w:rsid w:val="3A765BAE"/>
    <w:rsid w:val="3A8D3755"/>
    <w:rsid w:val="3AA72ACF"/>
    <w:rsid w:val="3AEA6116"/>
    <w:rsid w:val="3B0D2A22"/>
    <w:rsid w:val="3B473250"/>
    <w:rsid w:val="3B8B6E9A"/>
    <w:rsid w:val="3BA83BDF"/>
    <w:rsid w:val="3BF116BC"/>
    <w:rsid w:val="3BFE76C9"/>
    <w:rsid w:val="3C195B71"/>
    <w:rsid w:val="3C221B9E"/>
    <w:rsid w:val="3C357E53"/>
    <w:rsid w:val="3C447BA4"/>
    <w:rsid w:val="3C635C68"/>
    <w:rsid w:val="3C8138E7"/>
    <w:rsid w:val="3C956475"/>
    <w:rsid w:val="3CB822F0"/>
    <w:rsid w:val="3CCA7406"/>
    <w:rsid w:val="3D24517B"/>
    <w:rsid w:val="3D6040CD"/>
    <w:rsid w:val="3D691E7B"/>
    <w:rsid w:val="3DD73353"/>
    <w:rsid w:val="3DEE124B"/>
    <w:rsid w:val="3E0A11D3"/>
    <w:rsid w:val="3E34347D"/>
    <w:rsid w:val="3E405056"/>
    <w:rsid w:val="3EB946D3"/>
    <w:rsid w:val="3EF92BC7"/>
    <w:rsid w:val="3F023BCC"/>
    <w:rsid w:val="3F2C1948"/>
    <w:rsid w:val="3F784C88"/>
    <w:rsid w:val="3FD95863"/>
    <w:rsid w:val="3FDB71DF"/>
    <w:rsid w:val="4038660A"/>
    <w:rsid w:val="40897436"/>
    <w:rsid w:val="411D3F26"/>
    <w:rsid w:val="4126289F"/>
    <w:rsid w:val="415362FF"/>
    <w:rsid w:val="416C1B62"/>
    <w:rsid w:val="41AF7032"/>
    <w:rsid w:val="420325CD"/>
    <w:rsid w:val="423F29B8"/>
    <w:rsid w:val="4254472C"/>
    <w:rsid w:val="430711AD"/>
    <w:rsid w:val="43351D02"/>
    <w:rsid w:val="433869A0"/>
    <w:rsid w:val="43B0055A"/>
    <w:rsid w:val="43B86F03"/>
    <w:rsid w:val="43EA6609"/>
    <w:rsid w:val="442D57E5"/>
    <w:rsid w:val="443E7D37"/>
    <w:rsid w:val="44AC0BB7"/>
    <w:rsid w:val="44B84F97"/>
    <w:rsid w:val="44F27256"/>
    <w:rsid w:val="4540774B"/>
    <w:rsid w:val="45EA0448"/>
    <w:rsid w:val="46200992"/>
    <w:rsid w:val="473D2589"/>
    <w:rsid w:val="47537BBA"/>
    <w:rsid w:val="47C8032A"/>
    <w:rsid w:val="487F6336"/>
    <w:rsid w:val="492D2E04"/>
    <w:rsid w:val="49E1398C"/>
    <w:rsid w:val="4A0325EA"/>
    <w:rsid w:val="4A4D10FA"/>
    <w:rsid w:val="4A592E3B"/>
    <w:rsid w:val="4A753ED0"/>
    <w:rsid w:val="4AA344B3"/>
    <w:rsid w:val="4AE32487"/>
    <w:rsid w:val="4AE57112"/>
    <w:rsid w:val="4AF16AF1"/>
    <w:rsid w:val="4AFD1B3E"/>
    <w:rsid w:val="4B426D6F"/>
    <w:rsid w:val="4C335D8A"/>
    <w:rsid w:val="4C3D1B21"/>
    <w:rsid w:val="4C7164B3"/>
    <w:rsid w:val="4C96181B"/>
    <w:rsid w:val="4CDA7EF6"/>
    <w:rsid w:val="4D763151"/>
    <w:rsid w:val="4E374BEF"/>
    <w:rsid w:val="4E4E1648"/>
    <w:rsid w:val="4F1D0113"/>
    <w:rsid w:val="4F374ABE"/>
    <w:rsid w:val="4F3C4A5A"/>
    <w:rsid w:val="4F9F58D6"/>
    <w:rsid w:val="4FA77A78"/>
    <w:rsid w:val="4FDE4134"/>
    <w:rsid w:val="506C1094"/>
    <w:rsid w:val="5097052E"/>
    <w:rsid w:val="51096166"/>
    <w:rsid w:val="51B54E10"/>
    <w:rsid w:val="51C9452A"/>
    <w:rsid w:val="51E44EEF"/>
    <w:rsid w:val="52326683"/>
    <w:rsid w:val="52B97E69"/>
    <w:rsid w:val="52C51423"/>
    <w:rsid w:val="531B2857"/>
    <w:rsid w:val="532C41E9"/>
    <w:rsid w:val="53A12D82"/>
    <w:rsid w:val="53C945FB"/>
    <w:rsid w:val="54184F5C"/>
    <w:rsid w:val="54333971"/>
    <w:rsid w:val="549876F9"/>
    <w:rsid w:val="54EB627C"/>
    <w:rsid w:val="55807CEC"/>
    <w:rsid w:val="559770A6"/>
    <w:rsid w:val="561065A1"/>
    <w:rsid w:val="56945017"/>
    <w:rsid w:val="56B927C0"/>
    <w:rsid w:val="571F7EAF"/>
    <w:rsid w:val="57D13CBF"/>
    <w:rsid w:val="583F6F5B"/>
    <w:rsid w:val="58D27FFF"/>
    <w:rsid w:val="58DA63FA"/>
    <w:rsid w:val="593A19F0"/>
    <w:rsid w:val="597E4AFB"/>
    <w:rsid w:val="598B0010"/>
    <w:rsid w:val="59987307"/>
    <w:rsid w:val="59DB3743"/>
    <w:rsid w:val="5A174D6B"/>
    <w:rsid w:val="5A3B477C"/>
    <w:rsid w:val="5A7539E6"/>
    <w:rsid w:val="5AC1032A"/>
    <w:rsid w:val="5B6D62C8"/>
    <w:rsid w:val="5BBD3B38"/>
    <w:rsid w:val="5BDE1D97"/>
    <w:rsid w:val="5BE663CF"/>
    <w:rsid w:val="5C4D3844"/>
    <w:rsid w:val="5C7B1C6F"/>
    <w:rsid w:val="5C811426"/>
    <w:rsid w:val="5CCE3AC3"/>
    <w:rsid w:val="5D306882"/>
    <w:rsid w:val="5D3C5E4A"/>
    <w:rsid w:val="5D7067F8"/>
    <w:rsid w:val="5DA867B5"/>
    <w:rsid w:val="5DCE1B11"/>
    <w:rsid w:val="5DE35530"/>
    <w:rsid w:val="5E1248E8"/>
    <w:rsid w:val="5E9A15F3"/>
    <w:rsid w:val="5EAC6562"/>
    <w:rsid w:val="5F321485"/>
    <w:rsid w:val="5F8E6C0B"/>
    <w:rsid w:val="5F8F5CDF"/>
    <w:rsid w:val="618A6458"/>
    <w:rsid w:val="61C1676D"/>
    <w:rsid w:val="622A2EA4"/>
    <w:rsid w:val="62315D38"/>
    <w:rsid w:val="624175BE"/>
    <w:rsid w:val="62A02C94"/>
    <w:rsid w:val="62CD2300"/>
    <w:rsid w:val="6312369C"/>
    <w:rsid w:val="639030FC"/>
    <w:rsid w:val="63E55E3D"/>
    <w:rsid w:val="643747A0"/>
    <w:rsid w:val="64375256"/>
    <w:rsid w:val="64D5039D"/>
    <w:rsid w:val="65182AF3"/>
    <w:rsid w:val="653D43D3"/>
    <w:rsid w:val="65503EBC"/>
    <w:rsid w:val="658048F8"/>
    <w:rsid w:val="6615324D"/>
    <w:rsid w:val="665151C5"/>
    <w:rsid w:val="66531D9B"/>
    <w:rsid w:val="666C02D2"/>
    <w:rsid w:val="668D26EF"/>
    <w:rsid w:val="66E162E3"/>
    <w:rsid w:val="66EA7895"/>
    <w:rsid w:val="676043F9"/>
    <w:rsid w:val="67C70996"/>
    <w:rsid w:val="67CA2EF6"/>
    <w:rsid w:val="67F15358"/>
    <w:rsid w:val="680206F8"/>
    <w:rsid w:val="68736F1C"/>
    <w:rsid w:val="69555AC9"/>
    <w:rsid w:val="6979382E"/>
    <w:rsid w:val="69D168ED"/>
    <w:rsid w:val="69D634B6"/>
    <w:rsid w:val="6AC16EF6"/>
    <w:rsid w:val="6ACE4BFE"/>
    <w:rsid w:val="6AF16C29"/>
    <w:rsid w:val="6BBF7394"/>
    <w:rsid w:val="6C083ECD"/>
    <w:rsid w:val="6C32602F"/>
    <w:rsid w:val="6C784F60"/>
    <w:rsid w:val="6C885FA4"/>
    <w:rsid w:val="6CA32054"/>
    <w:rsid w:val="6CB15F4D"/>
    <w:rsid w:val="6CE94A6C"/>
    <w:rsid w:val="6CF163E5"/>
    <w:rsid w:val="6D024605"/>
    <w:rsid w:val="6D140FEE"/>
    <w:rsid w:val="6D390B9E"/>
    <w:rsid w:val="6D4142E7"/>
    <w:rsid w:val="6D480C98"/>
    <w:rsid w:val="6D87324C"/>
    <w:rsid w:val="6DA27ACC"/>
    <w:rsid w:val="6DB02BA2"/>
    <w:rsid w:val="6DFE351E"/>
    <w:rsid w:val="6E2E5999"/>
    <w:rsid w:val="6EE5105C"/>
    <w:rsid w:val="6F021872"/>
    <w:rsid w:val="6F1F338C"/>
    <w:rsid w:val="6FAB69B9"/>
    <w:rsid w:val="6FC82564"/>
    <w:rsid w:val="70022FC2"/>
    <w:rsid w:val="703E5D1A"/>
    <w:rsid w:val="70512711"/>
    <w:rsid w:val="70F73796"/>
    <w:rsid w:val="71536AB4"/>
    <w:rsid w:val="717520A8"/>
    <w:rsid w:val="717E198A"/>
    <w:rsid w:val="71A74F10"/>
    <w:rsid w:val="724315AE"/>
    <w:rsid w:val="727C60DF"/>
    <w:rsid w:val="728C6382"/>
    <w:rsid w:val="7323275A"/>
    <w:rsid w:val="73581226"/>
    <w:rsid w:val="738D4A3C"/>
    <w:rsid w:val="739D44B5"/>
    <w:rsid w:val="74151D55"/>
    <w:rsid w:val="747F57CA"/>
    <w:rsid w:val="748E3A17"/>
    <w:rsid w:val="74FE791B"/>
    <w:rsid w:val="75450BB9"/>
    <w:rsid w:val="757D3906"/>
    <w:rsid w:val="759A4470"/>
    <w:rsid w:val="76631A40"/>
    <w:rsid w:val="76FC3A86"/>
    <w:rsid w:val="771818DD"/>
    <w:rsid w:val="777F7315"/>
    <w:rsid w:val="781474DC"/>
    <w:rsid w:val="781F2AEE"/>
    <w:rsid w:val="7831145A"/>
    <w:rsid w:val="78E0626B"/>
    <w:rsid w:val="799A7EFC"/>
    <w:rsid w:val="79DD5495"/>
    <w:rsid w:val="7A2B1FDC"/>
    <w:rsid w:val="7A31764D"/>
    <w:rsid w:val="7A366584"/>
    <w:rsid w:val="7A651918"/>
    <w:rsid w:val="7A7F2E8F"/>
    <w:rsid w:val="7ADC1DBC"/>
    <w:rsid w:val="7AE868E6"/>
    <w:rsid w:val="7B1C052F"/>
    <w:rsid w:val="7B7A41CC"/>
    <w:rsid w:val="7BB42543"/>
    <w:rsid w:val="7BD73E98"/>
    <w:rsid w:val="7C2E1C7F"/>
    <w:rsid w:val="7D6E353D"/>
    <w:rsid w:val="7D714BF8"/>
    <w:rsid w:val="7D752C71"/>
    <w:rsid w:val="7D9648D2"/>
    <w:rsid w:val="7DC31396"/>
    <w:rsid w:val="7DE7331D"/>
    <w:rsid w:val="7E80705E"/>
    <w:rsid w:val="7F142A4D"/>
    <w:rsid w:val="7F4E507A"/>
    <w:rsid w:val="7F6738CF"/>
    <w:rsid w:val="7FEA27C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iPriority="9" w:name="heading 8"/>
    <w:lsdException w:qFormat="1" w:uiPriority="9" w:name="heading 9"/>
    <w:lsdException w:uiPriority="99" w:name="index 1"/>
    <w:lsdException w:uiPriority="99" w:name="index 2"/>
    <w:lsdException w:uiPriority="99" w:name="index 3"/>
    <w:lsdException w:qFormat="1"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qFormat="1" w:unhideWhenUsed="0" w:uiPriority="0"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qFormat="1" w:uiPriority="99" w:semiHidden="0"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kern w:val="2"/>
      <w:sz w:val="21"/>
      <w:szCs w:val="24"/>
      <w:lang w:val="en-US" w:eastAsia="zh-CN" w:bidi="ar-SA"/>
    </w:rPr>
  </w:style>
  <w:style w:type="paragraph" w:styleId="6">
    <w:name w:val="heading 1"/>
    <w:basedOn w:val="1"/>
    <w:next w:val="1"/>
    <w:link w:val="62"/>
    <w:qFormat/>
    <w:uiPriority w:val="0"/>
    <w:pPr>
      <w:keepNext/>
      <w:keepLines/>
      <w:numPr>
        <w:ilvl w:val="0"/>
        <w:numId w:val="1"/>
      </w:numPr>
      <w:snapToGrid w:val="0"/>
      <w:spacing w:line="400" w:lineRule="atLeast"/>
      <w:outlineLvl w:val="0"/>
    </w:pPr>
    <w:rPr>
      <w:rFonts w:ascii="宋体" w:eastAsia="黑体"/>
      <w:kern w:val="28"/>
      <w:sz w:val="28"/>
      <w:szCs w:val="20"/>
    </w:rPr>
  </w:style>
  <w:style w:type="paragraph" w:styleId="7">
    <w:name w:val="heading 2"/>
    <w:basedOn w:val="1"/>
    <w:next w:val="8"/>
    <w:link w:val="67"/>
    <w:qFormat/>
    <w:uiPriority w:val="0"/>
    <w:pPr>
      <w:numPr>
        <w:ilvl w:val="1"/>
        <w:numId w:val="1"/>
      </w:numPr>
      <w:tabs>
        <w:tab w:val="left" w:pos="425"/>
      </w:tabs>
      <w:snapToGrid w:val="0"/>
      <w:spacing w:line="360" w:lineRule="auto"/>
      <w:outlineLvl w:val="1"/>
    </w:pPr>
    <w:rPr>
      <w:rFonts w:ascii="宋体"/>
      <w:sz w:val="28"/>
      <w:szCs w:val="20"/>
    </w:rPr>
  </w:style>
  <w:style w:type="paragraph" w:styleId="9">
    <w:name w:val="heading 3"/>
    <w:basedOn w:val="7"/>
    <w:next w:val="1"/>
    <w:link w:val="75"/>
    <w:qFormat/>
    <w:uiPriority w:val="0"/>
    <w:pPr>
      <w:numPr>
        <w:ilvl w:val="2"/>
      </w:numPr>
      <w:tabs>
        <w:tab w:val="left" w:pos="1985"/>
        <w:tab w:val="left" w:pos="7088"/>
      </w:tabs>
      <w:outlineLvl w:val="2"/>
    </w:pPr>
  </w:style>
  <w:style w:type="paragraph" w:styleId="10">
    <w:name w:val="heading 4"/>
    <w:basedOn w:val="1"/>
    <w:next w:val="1"/>
    <w:link w:val="70"/>
    <w:qFormat/>
    <w:uiPriority w:val="0"/>
    <w:pPr>
      <w:keepNext/>
      <w:keepLines/>
      <w:spacing w:before="280" w:after="290" w:line="376" w:lineRule="auto"/>
      <w:outlineLvl w:val="3"/>
    </w:pPr>
    <w:rPr>
      <w:rFonts w:ascii="Calibri Light" w:hAnsi="Calibri Light"/>
      <w:b/>
      <w:bCs/>
      <w:kern w:val="0"/>
      <w:sz w:val="28"/>
      <w:szCs w:val="28"/>
    </w:rPr>
  </w:style>
  <w:style w:type="paragraph" w:styleId="11">
    <w:name w:val="heading 5"/>
    <w:basedOn w:val="1"/>
    <w:next w:val="1"/>
    <w:link w:val="73"/>
    <w:qFormat/>
    <w:uiPriority w:val="0"/>
    <w:pPr>
      <w:keepNext/>
      <w:keepLines/>
      <w:spacing w:before="280" w:after="290" w:line="376" w:lineRule="auto"/>
      <w:outlineLvl w:val="4"/>
    </w:pPr>
    <w:rPr>
      <w:b/>
      <w:bCs/>
      <w:kern w:val="0"/>
      <w:sz w:val="28"/>
      <w:szCs w:val="28"/>
    </w:rPr>
  </w:style>
  <w:style w:type="paragraph" w:styleId="12">
    <w:name w:val="heading 6"/>
    <w:basedOn w:val="1"/>
    <w:next w:val="1"/>
    <w:link w:val="66"/>
    <w:qFormat/>
    <w:uiPriority w:val="0"/>
    <w:pPr>
      <w:keepNext/>
      <w:keepLines/>
      <w:spacing w:before="240" w:after="64" w:line="320" w:lineRule="auto"/>
      <w:outlineLvl w:val="5"/>
    </w:pPr>
    <w:rPr>
      <w:rFonts w:ascii="Calibri Light" w:hAnsi="Calibri Light"/>
      <w:b/>
      <w:bCs/>
      <w:kern w:val="0"/>
      <w:sz w:val="24"/>
    </w:rPr>
  </w:style>
  <w:style w:type="paragraph" w:styleId="13">
    <w:name w:val="heading 7"/>
    <w:basedOn w:val="1"/>
    <w:next w:val="1"/>
    <w:link w:val="83"/>
    <w:qFormat/>
    <w:uiPriority w:val="9"/>
    <w:pPr>
      <w:keepNext/>
      <w:keepLines/>
      <w:spacing w:before="240" w:after="64" w:line="320" w:lineRule="auto"/>
      <w:outlineLvl w:val="6"/>
    </w:pPr>
    <w:rPr>
      <w:b/>
      <w:bCs/>
      <w:sz w:val="24"/>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7"/>
    <w:qFormat/>
    <w:uiPriority w:val="0"/>
    <w:pPr>
      <w:spacing w:after="120"/>
    </w:pPr>
    <w:rPr>
      <w:kern w:val="0"/>
      <w:sz w:val="20"/>
    </w:rPr>
  </w:style>
  <w:style w:type="paragraph" w:customStyle="1" w:styleId="3">
    <w:name w:val="一级条标题"/>
    <w:basedOn w:val="4"/>
    <w:next w:val="5"/>
    <w:link w:val="100"/>
    <w:qFormat/>
    <w:uiPriority w:val="0"/>
    <w:pPr>
      <w:tabs>
        <w:tab w:val="left" w:pos="720"/>
      </w:tabs>
      <w:spacing w:beforeLines="0" w:afterLines="0"/>
      <w:outlineLvl w:val="2"/>
    </w:pPr>
  </w:style>
  <w:style w:type="paragraph" w:customStyle="1" w:styleId="4">
    <w:name w:val="章标题"/>
    <w:next w:val="1"/>
    <w:link w:val="99"/>
    <w:qFormat/>
    <w:uiPriority w:val="0"/>
    <w:pPr>
      <w:tabs>
        <w:tab w:val="left" w:pos="720"/>
      </w:tabs>
      <w:spacing w:beforeLines="50" w:afterLines="50"/>
      <w:ind w:left="567" w:hanging="567"/>
      <w:jc w:val="both"/>
      <w:outlineLvl w:val="1"/>
    </w:pPr>
    <w:rPr>
      <w:rFonts w:ascii="黑体" w:hAnsi="Calibri" w:eastAsia="黑体" w:cs="Times New Roman"/>
      <w:sz w:val="21"/>
      <w:lang w:val="en-US" w:eastAsia="zh-CN" w:bidi="ar-SA"/>
    </w:rPr>
  </w:style>
  <w:style w:type="paragraph" w:customStyle="1" w:styleId="5">
    <w:name w:val="段"/>
    <w:next w:val="1"/>
    <w:link w:val="94"/>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styleId="8">
    <w:name w:val="Normal Indent"/>
    <w:basedOn w:val="1"/>
    <w:link w:val="115"/>
    <w:qFormat/>
    <w:uiPriority w:val="0"/>
    <w:pPr>
      <w:ind w:firstLine="420" w:firstLineChars="200"/>
    </w:pPr>
  </w:style>
  <w:style w:type="paragraph" w:styleId="14">
    <w:name w:val="Document Map"/>
    <w:basedOn w:val="1"/>
    <w:link w:val="68"/>
    <w:unhideWhenUsed/>
    <w:qFormat/>
    <w:uiPriority w:val="99"/>
    <w:rPr>
      <w:rFonts w:ascii="Microsoft YaHei UI" w:eastAsia="Microsoft YaHei UI"/>
      <w:kern w:val="0"/>
      <w:sz w:val="18"/>
      <w:szCs w:val="18"/>
    </w:rPr>
  </w:style>
  <w:style w:type="paragraph" w:styleId="15">
    <w:name w:val="annotation text"/>
    <w:basedOn w:val="1"/>
    <w:link w:val="84"/>
    <w:qFormat/>
    <w:uiPriority w:val="99"/>
    <w:rPr>
      <w:kern w:val="0"/>
      <w:sz w:val="20"/>
    </w:rPr>
  </w:style>
  <w:style w:type="paragraph" w:styleId="16">
    <w:name w:val="Body Text Indent"/>
    <w:basedOn w:val="1"/>
    <w:next w:val="17"/>
    <w:link w:val="86"/>
    <w:qFormat/>
    <w:uiPriority w:val="0"/>
    <w:pPr>
      <w:tabs>
        <w:tab w:val="left" w:pos="2160"/>
      </w:tabs>
      <w:ind w:left="2159" w:leftChars="1028" w:firstLine="1"/>
    </w:pPr>
    <w:rPr>
      <w:rFonts w:ascii="宋体" w:hAnsi="宋体"/>
      <w:kern w:val="0"/>
      <w:sz w:val="20"/>
      <w:szCs w:val="21"/>
    </w:rPr>
  </w:style>
  <w:style w:type="paragraph" w:styleId="17">
    <w:name w:val="Body Text First Indent 2"/>
    <w:basedOn w:val="16"/>
    <w:next w:val="1"/>
    <w:qFormat/>
    <w:uiPriority w:val="0"/>
    <w:pPr>
      <w:ind w:firstLine="420" w:firstLineChars="200"/>
    </w:pPr>
    <w:rPr>
      <w:rFonts w:ascii="Times New Roman" w:hAnsi="Times New Roman" w:cs="Times New Roman"/>
      <w:sz w:val="20"/>
    </w:rPr>
  </w:style>
  <w:style w:type="paragraph" w:styleId="18">
    <w:name w:val="index 4"/>
    <w:basedOn w:val="1"/>
    <w:next w:val="1"/>
    <w:semiHidden/>
    <w:unhideWhenUsed/>
    <w:qFormat/>
    <w:uiPriority w:val="99"/>
    <w:pPr>
      <w:ind w:left="600" w:leftChars="600"/>
    </w:pPr>
  </w:style>
  <w:style w:type="paragraph" w:styleId="19">
    <w:name w:val="toc 3"/>
    <w:basedOn w:val="1"/>
    <w:next w:val="1"/>
    <w:unhideWhenUsed/>
    <w:qFormat/>
    <w:uiPriority w:val="39"/>
    <w:pPr>
      <w:spacing w:after="100" w:line="259" w:lineRule="auto"/>
      <w:ind w:left="440"/>
    </w:pPr>
    <w:rPr>
      <w:rFonts w:ascii="Calibri" w:hAnsi="Calibri"/>
      <w:kern w:val="0"/>
      <w:sz w:val="22"/>
      <w:szCs w:val="22"/>
    </w:rPr>
  </w:style>
  <w:style w:type="paragraph" w:styleId="20">
    <w:name w:val="Plain Text"/>
    <w:basedOn w:val="1"/>
    <w:link w:val="79"/>
    <w:qFormat/>
    <w:uiPriority w:val="0"/>
    <w:rPr>
      <w:rFonts w:ascii="宋体" w:hAnsi="Courier New"/>
      <w:kern w:val="0"/>
      <w:sz w:val="20"/>
      <w:szCs w:val="20"/>
    </w:rPr>
  </w:style>
  <w:style w:type="paragraph" w:styleId="21">
    <w:name w:val="Date"/>
    <w:basedOn w:val="1"/>
    <w:next w:val="1"/>
    <w:link w:val="87"/>
    <w:qFormat/>
    <w:uiPriority w:val="0"/>
    <w:pPr>
      <w:ind w:left="100" w:leftChars="2500"/>
    </w:pPr>
    <w:rPr>
      <w:kern w:val="0"/>
      <w:sz w:val="20"/>
    </w:rPr>
  </w:style>
  <w:style w:type="paragraph" w:styleId="22">
    <w:name w:val="Balloon Text"/>
    <w:basedOn w:val="1"/>
    <w:link w:val="64"/>
    <w:qFormat/>
    <w:uiPriority w:val="99"/>
    <w:rPr>
      <w:kern w:val="0"/>
      <w:sz w:val="18"/>
      <w:szCs w:val="18"/>
    </w:rPr>
  </w:style>
  <w:style w:type="paragraph" w:styleId="23">
    <w:name w:val="footer"/>
    <w:basedOn w:val="1"/>
    <w:link w:val="63"/>
    <w:qFormat/>
    <w:uiPriority w:val="0"/>
    <w:pPr>
      <w:tabs>
        <w:tab w:val="center" w:pos="4153"/>
        <w:tab w:val="right" w:pos="8306"/>
      </w:tabs>
      <w:snapToGrid w:val="0"/>
    </w:pPr>
    <w:rPr>
      <w:kern w:val="0"/>
      <w:sz w:val="18"/>
      <w:szCs w:val="20"/>
    </w:rPr>
  </w:style>
  <w:style w:type="paragraph" w:styleId="24">
    <w:name w:val="header"/>
    <w:basedOn w:val="1"/>
    <w:link w:val="82"/>
    <w:qFormat/>
    <w:uiPriority w:val="0"/>
    <w:pPr>
      <w:pBdr>
        <w:bottom w:val="single" w:color="auto" w:sz="6" w:space="1"/>
      </w:pBdr>
      <w:tabs>
        <w:tab w:val="center" w:pos="4153"/>
        <w:tab w:val="right" w:pos="8306"/>
      </w:tabs>
      <w:snapToGrid w:val="0"/>
      <w:jc w:val="center"/>
    </w:pPr>
    <w:rPr>
      <w:kern w:val="0"/>
      <w:sz w:val="18"/>
      <w:szCs w:val="20"/>
    </w:rPr>
  </w:style>
  <w:style w:type="paragraph" w:styleId="25">
    <w:name w:val="toc 1"/>
    <w:basedOn w:val="1"/>
    <w:next w:val="1"/>
    <w:qFormat/>
    <w:uiPriority w:val="39"/>
    <w:pPr>
      <w:tabs>
        <w:tab w:val="right" w:leader="dot" w:pos="8296"/>
      </w:tabs>
    </w:pPr>
  </w:style>
  <w:style w:type="paragraph" w:styleId="26">
    <w:name w:val="Subtitle"/>
    <w:basedOn w:val="1"/>
    <w:next w:val="1"/>
    <w:link w:val="69"/>
    <w:qFormat/>
    <w:uiPriority w:val="0"/>
    <w:pPr>
      <w:spacing w:before="240" w:after="60" w:line="312" w:lineRule="auto"/>
      <w:jc w:val="center"/>
      <w:outlineLvl w:val="1"/>
    </w:pPr>
    <w:rPr>
      <w:rFonts w:ascii="Calibri Light" w:hAnsi="Calibri Light"/>
      <w:b/>
      <w:bCs/>
      <w:kern w:val="28"/>
      <w:sz w:val="32"/>
      <w:szCs w:val="32"/>
    </w:rPr>
  </w:style>
  <w:style w:type="paragraph" w:styleId="27">
    <w:name w:val="Body Text Indent 3"/>
    <w:basedOn w:val="1"/>
    <w:link w:val="65"/>
    <w:qFormat/>
    <w:uiPriority w:val="0"/>
    <w:pPr>
      <w:spacing w:after="120"/>
      <w:ind w:left="420" w:leftChars="200"/>
    </w:pPr>
    <w:rPr>
      <w:kern w:val="0"/>
      <w:sz w:val="16"/>
      <w:szCs w:val="16"/>
    </w:rPr>
  </w:style>
  <w:style w:type="paragraph" w:styleId="28">
    <w:name w:val="toc 2"/>
    <w:basedOn w:val="1"/>
    <w:next w:val="1"/>
    <w:unhideWhenUsed/>
    <w:qFormat/>
    <w:uiPriority w:val="39"/>
    <w:pPr>
      <w:spacing w:after="100" w:line="259" w:lineRule="auto"/>
      <w:ind w:left="220"/>
    </w:pPr>
    <w:rPr>
      <w:rFonts w:ascii="Calibri" w:hAnsi="Calibri"/>
      <w:kern w:val="0"/>
      <w:sz w:val="22"/>
      <w:szCs w:val="22"/>
    </w:rPr>
  </w:style>
  <w:style w:type="paragraph" w:styleId="29">
    <w:name w:val="toc 9"/>
    <w:basedOn w:val="1"/>
    <w:next w:val="1"/>
    <w:qFormat/>
    <w:uiPriority w:val="0"/>
    <w:pPr>
      <w:ind w:left="3360" w:leftChars="1600"/>
    </w:pPr>
  </w:style>
  <w:style w:type="paragraph" w:styleId="30">
    <w:name w:val="HTML Preformatted"/>
    <w:basedOn w:val="1"/>
    <w:link w:val="106"/>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kern w:val="0"/>
      <w:sz w:val="24"/>
    </w:rPr>
  </w:style>
  <w:style w:type="paragraph" w:styleId="31">
    <w:name w:val="Normal (Web)"/>
    <w:basedOn w:val="1"/>
    <w:unhideWhenUsed/>
    <w:qFormat/>
    <w:uiPriority w:val="0"/>
    <w:pPr>
      <w:spacing w:before="100" w:beforeAutospacing="1" w:after="100" w:afterAutospacing="1"/>
    </w:pPr>
    <w:rPr>
      <w:rFonts w:ascii="宋体" w:hAnsi="宋体" w:cs="宋体"/>
      <w:kern w:val="0"/>
      <w:sz w:val="24"/>
    </w:rPr>
  </w:style>
  <w:style w:type="paragraph" w:styleId="32">
    <w:name w:val="Title"/>
    <w:basedOn w:val="1"/>
    <w:next w:val="1"/>
    <w:link w:val="85"/>
    <w:qFormat/>
    <w:uiPriority w:val="0"/>
    <w:pPr>
      <w:spacing w:before="240" w:after="60"/>
      <w:jc w:val="center"/>
      <w:outlineLvl w:val="0"/>
    </w:pPr>
    <w:rPr>
      <w:rFonts w:ascii="Cambria" w:hAnsi="Cambria"/>
      <w:b/>
      <w:bCs/>
      <w:kern w:val="0"/>
      <w:sz w:val="36"/>
      <w:szCs w:val="32"/>
    </w:rPr>
  </w:style>
  <w:style w:type="paragraph" w:styleId="33">
    <w:name w:val="annotation subject"/>
    <w:basedOn w:val="15"/>
    <w:next w:val="15"/>
    <w:link w:val="61"/>
    <w:qFormat/>
    <w:uiPriority w:val="99"/>
    <w:rPr>
      <w:b/>
      <w:bCs/>
    </w:rPr>
  </w:style>
  <w:style w:type="paragraph" w:styleId="34">
    <w:name w:val="Body Text First Indent"/>
    <w:basedOn w:val="2"/>
    <w:link w:val="76"/>
    <w:qFormat/>
    <w:uiPriority w:val="0"/>
    <w:pPr>
      <w:ind w:firstLine="420" w:firstLineChars="100"/>
    </w:pPr>
  </w:style>
  <w:style w:type="table" w:styleId="36">
    <w:name w:val="Table Grid"/>
    <w:basedOn w:val="35"/>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0"/>
    <w:rPr>
      <w:b/>
      <w:bCs/>
    </w:rPr>
  </w:style>
  <w:style w:type="character" w:styleId="39">
    <w:name w:val="page number"/>
    <w:qFormat/>
    <w:uiPriority w:val="0"/>
  </w:style>
  <w:style w:type="character" w:styleId="40">
    <w:name w:val="FollowedHyperlink"/>
    <w:qFormat/>
    <w:uiPriority w:val="99"/>
    <w:rPr>
      <w:color w:val="0000FF"/>
      <w:u w:val="single"/>
    </w:rPr>
  </w:style>
  <w:style w:type="character" w:styleId="41">
    <w:name w:val="Emphasis"/>
    <w:qFormat/>
    <w:uiPriority w:val="20"/>
    <w:rPr>
      <w:i/>
      <w:iCs/>
    </w:rPr>
  </w:style>
  <w:style w:type="character" w:styleId="42">
    <w:name w:val="Hyperlink"/>
    <w:qFormat/>
    <w:uiPriority w:val="99"/>
    <w:rPr>
      <w:color w:val="000099"/>
      <w:u w:val="none"/>
    </w:rPr>
  </w:style>
  <w:style w:type="character" w:styleId="43">
    <w:name w:val="annotation reference"/>
    <w:qFormat/>
    <w:uiPriority w:val="99"/>
    <w:rPr>
      <w:sz w:val="21"/>
      <w:szCs w:val="21"/>
    </w:rPr>
  </w:style>
  <w:style w:type="character" w:styleId="44">
    <w:name w:val="HTML Cite"/>
    <w:unhideWhenUsed/>
    <w:qFormat/>
    <w:uiPriority w:val="99"/>
    <w:rPr>
      <w:color w:val="008000"/>
    </w:rPr>
  </w:style>
  <w:style w:type="paragraph" w:customStyle="1" w:styleId="45">
    <w:name w:val="_Style 0"/>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0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47">
    <w:name w:val="3"/>
    <w:basedOn w:val="1"/>
    <w:qFormat/>
    <w:uiPriority w:val="34"/>
    <w:pPr>
      <w:ind w:firstLine="420" w:firstLineChars="200"/>
    </w:pPr>
  </w:style>
  <w:style w:type="paragraph" w:customStyle="1" w:styleId="48">
    <w:name w:val="xl54"/>
    <w:basedOn w:val="1"/>
    <w:qFormat/>
    <w:uiPriority w:val="0"/>
    <w:pPr>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9">
    <w:name w:val="_Style 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2"/>
    <w:link w:val="81"/>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xl52"/>
    <w:basedOn w:val="1"/>
    <w:qFormat/>
    <w:uiPriority w:val="0"/>
    <w:pPr>
      <w:spacing w:before="100" w:beforeAutospacing="1" w:after="100" w:afterAutospacing="1"/>
      <w:jc w:val="center"/>
      <w:textAlignment w:val="top"/>
    </w:pPr>
    <w:rPr>
      <w:kern w:val="0"/>
      <w:sz w:val="20"/>
      <w:szCs w:val="20"/>
    </w:rPr>
  </w:style>
  <w:style w:type="paragraph" w:customStyle="1" w:styleId="52">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53">
    <w:name w:val="_Style 3"/>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Char1"/>
    <w:basedOn w:val="14"/>
    <w:qFormat/>
    <w:uiPriority w:val="0"/>
    <w:pPr>
      <w:shd w:val="clear" w:color="auto" w:fill="000080"/>
    </w:pPr>
    <w:rPr>
      <w:rFonts w:ascii="Times New Roman" w:eastAsia="宋体"/>
      <w:sz w:val="21"/>
      <w:szCs w:val="20"/>
      <w:shd w:val="clear" w:color="auto" w:fill="000080"/>
    </w:rPr>
  </w:style>
  <w:style w:type="paragraph" w:customStyle="1" w:styleId="55">
    <w:name w:val="Table Text"/>
    <w:basedOn w:val="1"/>
    <w:qFormat/>
    <w:uiPriority w:val="0"/>
    <w:pPr>
      <w:tabs>
        <w:tab w:val="decimal" w:pos="0"/>
      </w:tabs>
      <w:autoSpaceDE w:val="0"/>
      <w:autoSpaceDN w:val="0"/>
      <w:adjustRightInd w:val="0"/>
      <w:spacing w:before="80" w:after="80"/>
    </w:pPr>
    <w:rPr>
      <w:rFonts w:ascii="Arial" w:hAnsi="Arial"/>
      <w:kern w:val="0"/>
      <w:sz w:val="18"/>
      <w:szCs w:val="20"/>
    </w:rPr>
  </w:style>
  <w:style w:type="paragraph" w:customStyle="1" w:styleId="56">
    <w:name w:val="列出段落111"/>
    <w:basedOn w:val="1"/>
    <w:qFormat/>
    <w:uiPriority w:val="0"/>
    <w:pPr>
      <w:ind w:firstLine="420" w:firstLineChars="200"/>
    </w:pPr>
    <w:rPr>
      <w:rFonts w:ascii="Calibri" w:hAnsi="Calibri"/>
      <w:sz w:val="28"/>
    </w:rPr>
  </w:style>
  <w:style w:type="paragraph" w:customStyle="1" w:styleId="57">
    <w:name w:val="样式1"/>
    <w:basedOn w:val="1"/>
    <w:qFormat/>
    <w:uiPriority w:val="0"/>
    <w:rPr>
      <w:rFonts w:eastAsia="仿宋_GB2312"/>
      <w:kern w:val="0"/>
      <w:sz w:val="32"/>
      <w:szCs w:val="20"/>
    </w:rPr>
  </w:style>
  <w:style w:type="paragraph" w:customStyle="1" w:styleId="58">
    <w:name w:val="1"/>
    <w:basedOn w:val="6"/>
    <w:next w:val="1"/>
    <w:qFormat/>
    <w:uiPriority w:val="39"/>
    <w:pPr>
      <w:numPr>
        <w:numId w:val="0"/>
      </w:numPr>
      <w:snapToGrid/>
      <w:spacing w:before="240" w:line="259" w:lineRule="auto"/>
      <w:outlineLvl w:val="9"/>
    </w:pPr>
    <w:rPr>
      <w:rFonts w:ascii="Calibri Light" w:hAnsi="Calibri Light" w:eastAsia="宋体"/>
      <w:color w:val="2E74B5"/>
      <w:kern w:val="0"/>
      <w:sz w:val="32"/>
      <w:szCs w:val="32"/>
    </w:rPr>
  </w:style>
  <w:style w:type="paragraph" w:customStyle="1" w:styleId="59">
    <w:name w:val="列出段落11"/>
    <w:basedOn w:val="1"/>
    <w:qFormat/>
    <w:uiPriority w:val="0"/>
    <w:pPr>
      <w:ind w:firstLine="420" w:firstLineChars="200"/>
    </w:pPr>
  </w:style>
  <w:style w:type="paragraph" w:customStyle="1" w:styleId="60">
    <w:name w:val="正文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character" w:customStyle="1" w:styleId="61">
    <w:name w:val="批注主题 Char1"/>
    <w:link w:val="33"/>
    <w:qFormat/>
    <w:uiPriority w:val="99"/>
    <w:rPr>
      <w:rFonts w:ascii="Times New Roman" w:hAnsi="Times New Roman" w:eastAsia="宋体" w:cs="Times New Roman"/>
      <w:b/>
      <w:bCs/>
      <w:szCs w:val="24"/>
    </w:rPr>
  </w:style>
  <w:style w:type="character" w:customStyle="1" w:styleId="62">
    <w:name w:val="标题 1 Char"/>
    <w:link w:val="6"/>
    <w:qFormat/>
    <w:uiPriority w:val="0"/>
    <w:rPr>
      <w:rFonts w:ascii="宋体" w:eastAsia="黑体"/>
      <w:kern w:val="28"/>
      <w:sz w:val="28"/>
    </w:rPr>
  </w:style>
  <w:style w:type="character" w:customStyle="1" w:styleId="63">
    <w:name w:val="页脚 Char"/>
    <w:link w:val="23"/>
    <w:qFormat/>
    <w:uiPriority w:val="99"/>
    <w:rPr>
      <w:rFonts w:ascii="Times New Roman" w:hAnsi="Times New Roman" w:eastAsia="宋体" w:cs="Times New Roman"/>
      <w:sz w:val="18"/>
      <w:szCs w:val="20"/>
    </w:rPr>
  </w:style>
  <w:style w:type="character" w:customStyle="1" w:styleId="64">
    <w:name w:val="批注框文本 Char"/>
    <w:link w:val="22"/>
    <w:qFormat/>
    <w:uiPriority w:val="99"/>
    <w:rPr>
      <w:rFonts w:ascii="Times New Roman" w:hAnsi="Times New Roman" w:eastAsia="宋体" w:cs="Times New Roman"/>
      <w:sz w:val="18"/>
      <w:szCs w:val="18"/>
    </w:rPr>
  </w:style>
  <w:style w:type="character" w:customStyle="1" w:styleId="65">
    <w:name w:val="正文文本缩进 3 Char"/>
    <w:link w:val="27"/>
    <w:qFormat/>
    <w:uiPriority w:val="0"/>
    <w:rPr>
      <w:rFonts w:ascii="Times New Roman" w:hAnsi="Times New Roman" w:eastAsia="宋体" w:cs="Times New Roman"/>
      <w:sz w:val="16"/>
      <w:szCs w:val="16"/>
    </w:rPr>
  </w:style>
  <w:style w:type="character" w:customStyle="1" w:styleId="66">
    <w:name w:val="标题 6 Char"/>
    <w:link w:val="12"/>
    <w:qFormat/>
    <w:uiPriority w:val="0"/>
    <w:rPr>
      <w:rFonts w:ascii="Calibri Light" w:hAnsi="Calibri Light" w:eastAsia="宋体" w:cs="Times New Roman"/>
      <w:b/>
      <w:bCs/>
      <w:sz w:val="24"/>
      <w:szCs w:val="24"/>
    </w:rPr>
  </w:style>
  <w:style w:type="character" w:customStyle="1" w:styleId="67">
    <w:name w:val="标题 2 Char"/>
    <w:link w:val="7"/>
    <w:qFormat/>
    <w:uiPriority w:val="0"/>
    <w:rPr>
      <w:rFonts w:ascii="宋体"/>
      <w:kern w:val="2"/>
      <w:sz w:val="28"/>
    </w:rPr>
  </w:style>
  <w:style w:type="character" w:customStyle="1" w:styleId="68">
    <w:name w:val="文档结构图 Char"/>
    <w:link w:val="14"/>
    <w:semiHidden/>
    <w:qFormat/>
    <w:uiPriority w:val="99"/>
    <w:rPr>
      <w:rFonts w:ascii="Microsoft YaHei UI" w:hAnsi="Times New Roman" w:eastAsia="Microsoft YaHei UI" w:cs="Times New Roman"/>
      <w:sz w:val="18"/>
      <w:szCs w:val="18"/>
    </w:rPr>
  </w:style>
  <w:style w:type="character" w:customStyle="1" w:styleId="69">
    <w:name w:val="副标题 Char"/>
    <w:link w:val="26"/>
    <w:qFormat/>
    <w:uiPriority w:val="0"/>
    <w:rPr>
      <w:rFonts w:ascii="Calibri Light" w:hAnsi="Calibri Light" w:eastAsia="宋体" w:cs="Times New Roman"/>
      <w:b/>
      <w:bCs/>
      <w:kern w:val="28"/>
      <w:sz w:val="32"/>
      <w:szCs w:val="32"/>
    </w:rPr>
  </w:style>
  <w:style w:type="character" w:customStyle="1" w:styleId="70">
    <w:name w:val="标题 4 Char"/>
    <w:link w:val="10"/>
    <w:qFormat/>
    <w:uiPriority w:val="0"/>
    <w:rPr>
      <w:rFonts w:ascii="Calibri Light" w:hAnsi="Calibri Light" w:eastAsia="宋体" w:cs="Times New Roman"/>
      <w:b/>
      <w:bCs/>
      <w:sz w:val="28"/>
      <w:szCs w:val="28"/>
    </w:rPr>
  </w:style>
  <w:style w:type="character" w:customStyle="1" w:styleId="71">
    <w:name w:val="标题 Char1"/>
    <w:qFormat/>
    <w:uiPriority w:val="0"/>
    <w:rPr>
      <w:rFonts w:ascii="Calibri Light" w:hAnsi="Calibri Light" w:eastAsia="宋体" w:cs="Times New Roman"/>
      <w:b/>
      <w:bCs/>
      <w:sz w:val="32"/>
      <w:szCs w:val="32"/>
    </w:rPr>
  </w:style>
  <w:style w:type="character" w:customStyle="1" w:styleId="72">
    <w:name w:val="批注文字 Char"/>
    <w:qFormat/>
    <w:uiPriority w:val="99"/>
    <w:rPr>
      <w:rFonts w:ascii="Times New Roman" w:hAnsi="Times New Roman" w:eastAsia="宋体" w:cs="Times New Roman"/>
      <w:szCs w:val="24"/>
    </w:rPr>
  </w:style>
  <w:style w:type="character" w:customStyle="1" w:styleId="73">
    <w:name w:val="标题 5 Char"/>
    <w:link w:val="11"/>
    <w:qFormat/>
    <w:uiPriority w:val="0"/>
    <w:rPr>
      <w:rFonts w:ascii="Times New Roman" w:hAnsi="Times New Roman" w:eastAsia="宋体" w:cs="Times New Roman"/>
      <w:b/>
      <w:bCs/>
      <w:sz w:val="28"/>
      <w:szCs w:val="28"/>
    </w:rPr>
  </w:style>
  <w:style w:type="character" w:customStyle="1" w:styleId="74">
    <w:name w:val="Table Text Char Char Char"/>
    <w:qFormat/>
    <w:uiPriority w:val="0"/>
    <w:rPr>
      <w:rFonts w:ascii="Arial" w:hAnsi="Arial" w:eastAsia="宋体" w:cs="Arial"/>
      <w:sz w:val="18"/>
      <w:szCs w:val="18"/>
      <w:lang w:val="en-US" w:eastAsia="zh-CN" w:bidi="ar-SA"/>
    </w:rPr>
  </w:style>
  <w:style w:type="character" w:customStyle="1" w:styleId="75">
    <w:name w:val="标题 3 Char"/>
    <w:link w:val="9"/>
    <w:qFormat/>
    <w:uiPriority w:val="0"/>
    <w:rPr>
      <w:rFonts w:ascii="宋体"/>
      <w:kern w:val="2"/>
      <w:sz w:val="28"/>
    </w:rPr>
  </w:style>
  <w:style w:type="character" w:customStyle="1" w:styleId="76">
    <w:name w:val="正文首行缩进 Char"/>
    <w:link w:val="34"/>
    <w:qFormat/>
    <w:uiPriority w:val="0"/>
    <w:rPr>
      <w:rFonts w:ascii="Times New Roman" w:hAnsi="Times New Roman" w:eastAsia="宋体" w:cs="Times New Roman"/>
      <w:szCs w:val="24"/>
    </w:rPr>
  </w:style>
  <w:style w:type="character" w:customStyle="1" w:styleId="77">
    <w:name w:val="正文文本 Char"/>
    <w:link w:val="2"/>
    <w:qFormat/>
    <w:uiPriority w:val="0"/>
    <w:rPr>
      <w:rFonts w:ascii="Times New Roman" w:hAnsi="Times New Roman" w:eastAsia="宋体" w:cs="Times New Roman"/>
      <w:szCs w:val="24"/>
    </w:rPr>
  </w:style>
  <w:style w:type="character" w:customStyle="1" w:styleId="78">
    <w:name w:val="纯文本 Char"/>
    <w:qFormat/>
    <w:uiPriority w:val="0"/>
    <w:rPr>
      <w:rFonts w:ascii="宋体" w:hAnsi="Courier New" w:eastAsia="宋体" w:cs="Courier New"/>
      <w:szCs w:val="21"/>
    </w:rPr>
  </w:style>
  <w:style w:type="character" w:customStyle="1" w:styleId="79">
    <w:name w:val="纯文本 Char2"/>
    <w:link w:val="20"/>
    <w:qFormat/>
    <w:uiPriority w:val="0"/>
    <w:rPr>
      <w:rFonts w:ascii="宋体" w:hAnsi="Courier New" w:eastAsia="宋体" w:cs="Times New Roman"/>
      <w:szCs w:val="20"/>
    </w:rPr>
  </w:style>
  <w:style w:type="character" w:customStyle="1" w:styleId="80">
    <w:name w:val="Table Text Char"/>
    <w:qFormat/>
    <w:uiPriority w:val="0"/>
    <w:rPr>
      <w:rFonts w:ascii="Arial" w:hAnsi="Arial" w:eastAsia="宋体"/>
      <w:sz w:val="18"/>
      <w:lang w:val="en-US" w:eastAsia="zh-CN" w:bidi="ar-SA"/>
    </w:rPr>
  </w:style>
  <w:style w:type="character" w:customStyle="1" w:styleId="81">
    <w:name w:val="无间隔 Char"/>
    <w:link w:val="50"/>
    <w:qFormat/>
    <w:uiPriority w:val="1"/>
    <w:rPr>
      <w:rFonts w:ascii="Times New Roman" w:hAnsi="Times New Roman"/>
      <w:kern w:val="2"/>
      <w:sz w:val="21"/>
      <w:szCs w:val="24"/>
      <w:lang w:val="en-US" w:eastAsia="zh-CN" w:bidi="ar-SA"/>
    </w:rPr>
  </w:style>
  <w:style w:type="character" w:customStyle="1" w:styleId="82">
    <w:name w:val="页眉 Char1"/>
    <w:link w:val="24"/>
    <w:qFormat/>
    <w:uiPriority w:val="99"/>
    <w:rPr>
      <w:rFonts w:ascii="Times New Roman" w:hAnsi="Times New Roman" w:eastAsia="宋体" w:cs="Times New Roman"/>
      <w:sz w:val="18"/>
      <w:szCs w:val="20"/>
    </w:rPr>
  </w:style>
  <w:style w:type="character" w:customStyle="1" w:styleId="83">
    <w:name w:val="标题 7 Char"/>
    <w:link w:val="13"/>
    <w:semiHidden/>
    <w:qFormat/>
    <w:uiPriority w:val="9"/>
    <w:rPr>
      <w:rFonts w:ascii="Times New Roman" w:hAnsi="Times New Roman"/>
      <w:b/>
      <w:bCs/>
      <w:kern w:val="2"/>
      <w:sz w:val="24"/>
      <w:szCs w:val="24"/>
    </w:rPr>
  </w:style>
  <w:style w:type="character" w:customStyle="1" w:styleId="84">
    <w:name w:val="批注文字 Char1"/>
    <w:link w:val="15"/>
    <w:qFormat/>
    <w:uiPriority w:val="0"/>
    <w:rPr>
      <w:rFonts w:ascii="Times New Roman" w:hAnsi="Times New Roman" w:eastAsia="宋体" w:cs="Times New Roman"/>
      <w:szCs w:val="24"/>
    </w:rPr>
  </w:style>
  <w:style w:type="character" w:customStyle="1" w:styleId="85">
    <w:name w:val="标题 Char"/>
    <w:link w:val="32"/>
    <w:qFormat/>
    <w:uiPriority w:val="0"/>
    <w:rPr>
      <w:rFonts w:ascii="Cambria" w:hAnsi="Cambria"/>
      <w:b/>
      <w:bCs/>
      <w:sz w:val="36"/>
      <w:szCs w:val="32"/>
    </w:rPr>
  </w:style>
  <w:style w:type="character" w:customStyle="1" w:styleId="86">
    <w:name w:val="正文文本缩进 Char"/>
    <w:link w:val="16"/>
    <w:qFormat/>
    <w:uiPriority w:val="0"/>
    <w:rPr>
      <w:rFonts w:ascii="宋体" w:hAnsi="宋体" w:eastAsia="宋体" w:cs="Times New Roman"/>
      <w:szCs w:val="21"/>
    </w:rPr>
  </w:style>
  <w:style w:type="character" w:customStyle="1" w:styleId="87">
    <w:name w:val="日期 Char"/>
    <w:link w:val="21"/>
    <w:qFormat/>
    <w:uiPriority w:val="0"/>
    <w:rPr>
      <w:rFonts w:ascii="Times New Roman" w:hAnsi="Times New Roman" w:eastAsia="宋体" w:cs="Times New Roman"/>
      <w:szCs w:val="24"/>
    </w:rPr>
  </w:style>
  <w:style w:type="character" w:customStyle="1" w:styleId="88">
    <w:name w:val="批注主题 Char"/>
    <w:semiHidden/>
    <w:qFormat/>
    <w:uiPriority w:val="99"/>
    <w:rPr>
      <w:rFonts w:ascii="Times New Roman" w:hAnsi="Times New Roman" w:eastAsia="宋体" w:cs="Times New Roman"/>
      <w:b/>
      <w:bCs/>
      <w:szCs w:val="24"/>
    </w:rPr>
  </w:style>
  <w:style w:type="paragraph" w:customStyle="1" w:styleId="89">
    <w:name w:val="p16"/>
    <w:basedOn w:val="1"/>
    <w:qFormat/>
    <w:uiPriority w:val="0"/>
    <w:rPr>
      <w:rFonts w:ascii="宋体" w:hAnsi="宋体" w:cs="宋体"/>
      <w:kern w:val="0"/>
      <w:szCs w:val="21"/>
    </w:rPr>
  </w:style>
  <w:style w:type="paragraph" w:styleId="90">
    <w:name w:val="List Paragraph"/>
    <w:basedOn w:val="1"/>
    <w:link w:val="122"/>
    <w:unhideWhenUsed/>
    <w:qFormat/>
    <w:uiPriority w:val="34"/>
    <w:pPr>
      <w:ind w:firstLine="420" w:firstLineChars="200"/>
    </w:pPr>
  </w:style>
  <w:style w:type="paragraph" w:customStyle="1" w:styleId="91">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92">
    <w:name w:val="列出段落1"/>
    <w:basedOn w:val="1"/>
    <w:qFormat/>
    <w:uiPriority w:val="0"/>
    <w:pPr>
      <w:ind w:firstLine="420" w:firstLineChars="200"/>
    </w:pPr>
    <w:rPr>
      <w:rFonts w:ascii="Calibri" w:hAnsi="Calibri" w:cs="黑体"/>
      <w:szCs w:val="22"/>
    </w:rPr>
  </w:style>
  <w:style w:type="paragraph" w:styleId="93">
    <w:name w:val="No Spacing"/>
    <w:link w:val="105"/>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94">
    <w:name w:val="段 Char Char"/>
    <w:link w:val="5"/>
    <w:qFormat/>
    <w:uiPriority w:val="0"/>
    <w:rPr>
      <w:rFonts w:ascii="宋体"/>
      <w:sz w:val="21"/>
      <w:lang w:val="en-US" w:eastAsia="zh-CN" w:bidi="ar-SA"/>
    </w:rPr>
  </w:style>
  <w:style w:type="character" w:customStyle="1" w:styleId="95">
    <w:name w:val="三级条标题 Char Char"/>
    <w:link w:val="96"/>
    <w:qFormat/>
    <w:uiPriority w:val="0"/>
    <w:rPr>
      <w:rFonts w:ascii="黑体" w:eastAsia="黑体"/>
      <w:sz w:val="21"/>
    </w:rPr>
  </w:style>
  <w:style w:type="paragraph" w:customStyle="1" w:styleId="96">
    <w:name w:val="三级条标题"/>
    <w:basedOn w:val="97"/>
    <w:next w:val="5"/>
    <w:link w:val="95"/>
    <w:qFormat/>
    <w:uiPriority w:val="0"/>
    <w:pPr>
      <w:tabs>
        <w:tab w:val="left" w:pos="720"/>
        <w:tab w:val="left" w:pos="992"/>
      </w:tabs>
      <w:ind w:left="992" w:hanging="992"/>
      <w:outlineLvl w:val="4"/>
    </w:pPr>
  </w:style>
  <w:style w:type="paragraph" w:customStyle="1" w:styleId="97">
    <w:name w:val="二级条标题"/>
    <w:basedOn w:val="3"/>
    <w:next w:val="5"/>
    <w:link w:val="98"/>
    <w:qFormat/>
    <w:uiPriority w:val="0"/>
    <w:pPr>
      <w:outlineLvl w:val="3"/>
    </w:pPr>
  </w:style>
  <w:style w:type="character" w:customStyle="1" w:styleId="98">
    <w:name w:val="二级条标题 Char Char"/>
    <w:link w:val="97"/>
    <w:qFormat/>
    <w:uiPriority w:val="0"/>
    <w:rPr>
      <w:rFonts w:ascii="黑体" w:eastAsia="黑体"/>
      <w:sz w:val="21"/>
    </w:rPr>
  </w:style>
  <w:style w:type="character" w:customStyle="1" w:styleId="99">
    <w:name w:val="章标题 Char Char"/>
    <w:link w:val="4"/>
    <w:qFormat/>
    <w:uiPriority w:val="0"/>
    <w:rPr>
      <w:rFonts w:ascii="黑体" w:eastAsia="黑体"/>
      <w:sz w:val="21"/>
      <w:lang w:val="en-US" w:eastAsia="zh-CN" w:bidi="ar-SA"/>
    </w:rPr>
  </w:style>
  <w:style w:type="character" w:customStyle="1" w:styleId="100">
    <w:name w:val="一级条标题 Char Char"/>
    <w:link w:val="3"/>
    <w:qFormat/>
    <w:uiPriority w:val="0"/>
    <w:rPr>
      <w:rFonts w:ascii="黑体" w:eastAsia="黑体"/>
      <w:sz w:val="21"/>
    </w:rPr>
  </w:style>
  <w:style w:type="paragraph" w:customStyle="1" w:styleId="101">
    <w:name w:val="正文图标题"/>
    <w:next w:val="5"/>
    <w:qFormat/>
    <w:uiPriority w:val="0"/>
    <w:pPr>
      <w:ind w:left="360" w:hanging="360"/>
      <w:jc w:val="center"/>
    </w:pPr>
    <w:rPr>
      <w:rFonts w:ascii="黑体" w:hAnsi="Times New Roman" w:eastAsia="黑体" w:cs="Times New Roman"/>
      <w:sz w:val="21"/>
      <w:lang w:val="en-US" w:eastAsia="zh-CN" w:bidi="ar-SA"/>
    </w:rPr>
  </w:style>
  <w:style w:type="paragraph" w:customStyle="1" w:styleId="102">
    <w:name w:val="正文表标题"/>
    <w:next w:val="5"/>
    <w:qFormat/>
    <w:uiPriority w:val="0"/>
    <w:pPr>
      <w:ind w:left="360" w:hanging="360"/>
      <w:jc w:val="center"/>
    </w:pPr>
    <w:rPr>
      <w:rFonts w:ascii="黑体" w:hAnsi="Times New Roman" w:eastAsia="黑体" w:cs="Times New Roman"/>
      <w:sz w:val="21"/>
      <w:lang w:val="en-US" w:eastAsia="zh-CN" w:bidi="ar-SA"/>
    </w:rPr>
  </w:style>
  <w:style w:type="paragraph" w:customStyle="1" w:styleId="103">
    <w:name w:val="目次、标准名称标题"/>
    <w:basedOn w:val="1"/>
    <w:next w:val="5"/>
    <w:qFormat/>
    <w:uiPriority w:val="0"/>
    <w:pPr>
      <w:shd w:val="clear" w:color="FFFFFF" w:fill="FFFFFF"/>
      <w:spacing w:before="640" w:after="560" w:line="460" w:lineRule="exact"/>
      <w:jc w:val="center"/>
      <w:outlineLvl w:val="0"/>
    </w:pPr>
    <w:rPr>
      <w:rFonts w:ascii="黑体" w:eastAsia="黑体"/>
      <w:kern w:val="0"/>
      <w:sz w:val="32"/>
      <w:szCs w:val="20"/>
    </w:rPr>
  </w:style>
  <w:style w:type="character" w:customStyle="1" w:styleId="104">
    <w:name w:val="纯文本 Char1"/>
    <w:qFormat/>
    <w:uiPriority w:val="0"/>
    <w:rPr>
      <w:rFonts w:ascii="宋体" w:hAnsi="Courier New" w:eastAsia="宋体" w:cs="Courier New"/>
      <w:sz w:val="21"/>
      <w:szCs w:val="21"/>
    </w:rPr>
  </w:style>
  <w:style w:type="character" w:customStyle="1" w:styleId="105">
    <w:name w:val="无间隔 Char1"/>
    <w:link w:val="93"/>
    <w:qFormat/>
    <w:uiPriority w:val="1"/>
    <w:rPr>
      <w:rFonts w:ascii="Times New Roman" w:hAnsi="Times New Roman"/>
      <w:kern w:val="2"/>
      <w:sz w:val="21"/>
      <w:szCs w:val="24"/>
      <w:lang w:bidi="ar-SA"/>
    </w:rPr>
  </w:style>
  <w:style w:type="character" w:customStyle="1" w:styleId="106">
    <w:name w:val="HTML 预设格式 Char"/>
    <w:link w:val="30"/>
    <w:qFormat/>
    <w:uiPriority w:val="99"/>
    <w:rPr>
      <w:rFonts w:ascii="宋体" w:hAnsi="宋体" w:cs="宋体"/>
      <w:sz w:val="24"/>
      <w:szCs w:val="24"/>
    </w:rPr>
  </w:style>
  <w:style w:type="character" w:customStyle="1" w:styleId="107">
    <w:name w:val="页眉 Char"/>
    <w:qFormat/>
    <w:uiPriority w:val="99"/>
    <w:rPr>
      <w:lang w:eastAsia="zh-CN"/>
    </w:rPr>
  </w:style>
  <w:style w:type="character" w:customStyle="1" w:styleId="108">
    <w:name w:val="textcontents"/>
    <w:qFormat/>
    <w:uiPriority w:val="0"/>
    <w:rPr>
      <w:rFonts w:cs="Times New Roman"/>
    </w:rPr>
  </w:style>
  <w:style w:type="character" w:customStyle="1" w:styleId="109">
    <w:name w:val="标题4 Char Char"/>
    <w:link w:val="110"/>
    <w:qFormat/>
    <w:uiPriority w:val="0"/>
    <w:rPr>
      <w:rFonts w:ascii="Arial" w:hAnsi="Arial"/>
      <w:b/>
      <w:bCs/>
      <w:sz w:val="24"/>
      <w:szCs w:val="32"/>
    </w:rPr>
  </w:style>
  <w:style w:type="paragraph" w:customStyle="1" w:styleId="110">
    <w:name w:val="标题4"/>
    <w:basedOn w:val="7"/>
    <w:next w:val="18"/>
    <w:link w:val="109"/>
    <w:qFormat/>
    <w:uiPriority w:val="0"/>
    <w:pPr>
      <w:numPr>
        <w:ilvl w:val="0"/>
        <w:numId w:val="0"/>
      </w:numPr>
      <w:tabs>
        <w:tab w:val="clear" w:pos="425"/>
        <w:tab w:val="clear" w:pos="720"/>
      </w:tabs>
      <w:snapToGrid/>
      <w:spacing w:before="260" w:after="260" w:line="413" w:lineRule="auto"/>
    </w:pPr>
    <w:rPr>
      <w:rFonts w:ascii="Arial" w:hAnsi="Arial"/>
      <w:b/>
      <w:bCs/>
      <w:kern w:val="0"/>
      <w:sz w:val="24"/>
      <w:szCs w:val="32"/>
    </w:rPr>
  </w:style>
  <w:style w:type="character" w:customStyle="1" w:styleId="111">
    <w:name w:val="tabg"/>
    <w:qFormat/>
    <w:uiPriority w:val="0"/>
    <w:rPr>
      <w:rFonts w:ascii="微软雅黑" w:hAnsi="微软雅黑" w:eastAsia="微软雅黑" w:cs="微软雅黑"/>
      <w:color w:val="FFFFFF"/>
      <w:sz w:val="27"/>
      <w:szCs w:val="27"/>
    </w:rPr>
  </w:style>
  <w:style w:type="paragraph" w:customStyle="1" w:styleId="112">
    <w:name w:val="xl154"/>
    <w:basedOn w:val="1"/>
    <w:qFormat/>
    <w:uiPriority w:val="0"/>
    <w:pPr>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textAlignment w:val="center"/>
    </w:pPr>
    <w:rPr>
      <w:rFonts w:ascii="Arial" w:hAnsi="Arial" w:cs="Arial"/>
      <w:b/>
      <w:bCs/>
      <w:i/>
      <w:iCs/>
      <w:kern w:val="0"/>
      <w:sz w:val="20"/>
      <w:szCs w:val="20"/>
    </w:rPr>
  </w:style>
  <w:style w:type="paragraph" w:customStyle="1" w:styleId="113">
    <w:name w:val="表内文字  居左"/>
    <w:basedOn w:val="1"/>
    <w:qFormat/>
    <w:uiPriority w:val="0"/>
    <w:rPr>
      <w:snapToGrid w:val="0"/>
      <w:szCs w:val="20"/>
    </w:rPr>
  </w:style>
  <w:style w:type="paragraph" w:customStyle="1" w:styleId="114">
    <w:name w:val="_Style 32"/>
    <w:qFormat/>
    <w:uiPriority w:val="1"/>
    <w:pPr>
      <w:widowControl w:val="0"/>
      <w:jc w:val="both"/>
    </w:pPr>
    <w:rPr>
      <w:rFonts w:ascii="Calibri" w:hAnsi="Calibri" w:eastAsia="微软雅黑" w:cs="Times New Roman"/>
      <w:kern w:val="2"/>
      <w:sz w:val="21"/>
      <w:szCs w:val="24"/>
      <w:lang w:val="en-US" w:eastAsia="zh-CN" w:bidi="ar-SA"/>
    </w:rPr>
  </w:style>
  <w:style w:type="character" w:customStyle="1" w:styleId="115">
    <w:name w:val="正文缩进 Char"/>
    <w:link w:val="8"/>
    <w:qFormat/>
    <w:uiPriority w:val="0"/>
    <w:rPr>
      <w:kern w:val="2"/>
      <w:sz w:val="21"/>
      <w:szCs w:val="24"/>
    </w:rPr>
  </w:style>
  <w:style w:type="character" w:customStyle="1" w:styleId="116">
    <w:name w:val="font41"/>
    <w:qFormat/>
    <w:uiPriority w:val="0"/>
    <w:rPr>
      <w:rFonts w:hint="default" w:ascii="GE Inspira Pitch" w:hAnsi="GE Inspira Pitch" w:eastAsia="GE Inspira Pitch" w:cs="GE Inspira Pitch"/>
      <w:color w:val="FF0000"/>
      <w:sz w:val="22"/>
      <w:szCs w:val="22"/>
      <w:u w:val="none"/>
    </w:rPr>
  </w:style>
  <w:style w:type="character" w:customStyle="1" w:styleId="117">
    <w:name w:val="日期 Char1"/>
    <w:semiHidden/>
    <w:qFormat/>
    <w:uiPriority w:val="99"/>
    <w:rPr>
      <w:kern w:val="2"/>
      <w:sz w:val="21"/>
      <w:szCs w:val="24"/>
    </w:rPr>
  </w:style>
  <w:style w:type="character" w:customStyle="1" w:styleId="118">
    <w:name w:val="font21"/>
    <w:qFormat/>
    <w:uiPriority w:val="0"/>
    <w:rPr>
      <w:rFonts w:hint="default" w:ascii="GE Inspira Pitch" w:hAnsi="GE Inspira Pitch" w:eastAsia="GE Inspira Pitch" w:cs="GE Inspira Pitch"/>
      <w:b/>
      <w:color w:val="000000"/>
      <w:sz w:val="22"/>
      <w:szCs w:val="22"/>
      <w:u w:val="none"/>
    </w:rPr>
  </w:style>
  <w:style w:type="character" w:customStyle="1" w:styleId="119">
    <w:name w:val="font01"/>
    <w:qFormat/>
    <w:uiPriority w:val="0"/>
    <w:rPr>
      <w:rFonts w:hint="eastAsia" w:ascii="宋体" w:hAnsi="宋体" w:eastAsia="宋体" w:cs="宋体"/>
      <w:color w:val="000000"/>
      <w:sz w:val="22"/>
      <w:szCs w:val="22"/>
      <w:u w:val="none"/>
    </w:rPr>
  </w:style>
  <w:style w:type="character" w:customStyle="1" w:styleId="120">
    <w:name w:val="font61"/>
    <w:qFormat/>
    <w:uiPriority w:val="0"/>
    <w:rPr>
      <w:rFonts w:hint="default" w:ascii="GE Inspira Pitch" w:hAnsi="GE Inspira Pitch" w:eastAsia="GE Inspira Pitch" w:cs="GE Inspira Pitch"/>
      <w:color w:val="000000"/>
      <w:sz w:val="22"/>
      <w:szCs w:val="22"/>
      <w:u w:val="none"/>
    </w:rPr>
  </w:style>
  <w:style w:type="character" w:customStyle="1" w:styleId="121">
    <w:name w:val="font71"/>
    <w:qFormat/>
    <w:uiPriority w:val="0"/>
    <w:rPr>
      <w:rFonts w:hint="default" w:ascii="幼圆" w:hAnsi="幼圆" w:eastAsia="幼圆" w:cs="幼圆"/>
      <w:color w:val="000000"/>
      <w:sz w:val="22"/>
      <w:szCs w:val="22"/>
      <w:u w:val="none"/>
    </w:rPr>
  </w:style>
  <w:style w:type="character" w:customStyle="1" w:styleId="122">
    <w:name w:val="列出段落 Char"/>
    <w:link w:val="90"/>
    <w:qFormat/>
    <w:uiPriority w:val="34"/>
    <w:rPr>
      <w:kern w:val="2"/>
      <w:sz w:val="21"/>
      <w:szCs w:val="24"/>
    </w:rPr>
  </w:style>
  <w:style w:type="character" w:customStyle="1" w:styleId="123">
    <w:name w:val="font51"/>
    <w:qFormat/>
    <w:uiPriority w:val="0"/>
    <w:rPr>
      <w:rFonts w:hint="default" w:ascii="幼圆" w:hAnsi="幼圆" w:eastAsia="幼圆" w:cs="幼圆"/>
      <w:color w:val="FF0000"/>
      <w:sz w:val="22"/>
      <w:szCs w:val="22"/>
      <w:u w:val="none"/>
    </w:rPr>
  </w:style>
  <w:style w:type="character" w:customStyle="1" w:styleId="124">
    <w:name w:val="font101"/>
    <w:qFormat/>
    <w:uiPriority w:val="0"/>
    <w:rPr>
      <w:rFonts w:hint="default" w:ascii="GE Inspira Pitch" w:hAnsi="GE Inspira Pitch" w:eastAsia="GE Inspira Pitch" w:cs="GE Inspira Pitch"/>
      <w:color w:val="0000FF"/>
      <w:sz w:val="22"/>
      <w:szCs w:val="22"/>
      <w:u w:val="none"/>
    </w:rPr>
  </w:style>
  <w:style w:type="character" w:customStyle="1" w:styleId="125">
    <w:name w:val="font91"/>
    <w:qFormat/>
    <w:uiPriority w:val="0"/>
    <w:rPr>
      <w:rFonts w:hint="default" w:ascii="幼圆" w:hAnsi="幼圆" w:eastAsia="幼圆" w:cs="幼圆"/>
      <w:b/>
      <w:color w:val="000000"/>
      <w:sz w:val="32"/>
      <w:szCs w:val="32"/>
      <w:u w:val="none"/>
    </w:rPr>
  </w:style>
  <w:style w:type="character" w:customStyle="1" w:styleId="126">
    <w:name w:val="font11"/>
    <w:qFormat/>
    <w:uiPriority w:val="0"/>
    <w:rPr>
      <w:rFonts w:hint="eastAsia" w:ascii="宋体" w:hAnsi="宋体" w:eastAsia="宋体" w:cs="宋体"/>
      <w:color w:val="333333"/>
      <w:sz w:val="13"/>
      <w:szCs w:val="13"/>
      <w:u w:val="none"/>
    </w:rPr>
  </w:style>
  <w:style w:type="character" w:customStyle="1" w:styleId="127">
    <w:name w:val="font31"/>
    <w:qFormat/>
    <w:uiPriority w:val="0"/>
    <w:rPr>
      <w:rFonts w:ascii="幼圆" w:hAnsi="幼圆" w:eastAsia="幼圆" w:cs="幼圆"/>
      <w:b/>
      <w:color w:val="000000"/>
      <w:sz w:val="22"/>
      <w:szCs w:val="22"/>
      <w:u w:val="none"/>
    </w:rPr>
  </w:style>
  <w:style w:type="paragraph" w:customStyle="1" w:styleId="128">
    <w:name w:val="新正文"/>
    <w:basedOn w:val="1"/>
    <w:qFormat/>
    <w:uiPriority w:val="0"/>
    <w:pPr>
      <w:spacing w:line="440" w:lineRule="exact"/>
    </w:pPr>
    <w:rPr>
      <w:rFonts w:hAnsi="宋体" w:cs="Arial"/>
      <w:sz w:val="28"/>
      <w:szCs w:val="28"/>
    </w:rPr>
  </w:style>
  <w:style w:type="paragraph" w:customStyle="1" w:styleId="129">
    <w:name w:val="Char"/>
    <w:basedOn w:val="1"/>
    <w:qFormat/>
    <w:uiPriority w:val="0"/>
  </w:style>
  <w:style w:type="paragraph" w:customStyle="1" w:styleId="130">
    <w:name w:val="List Paragraph1"/>
    <w:basedOn w:val="1"/>
    <w:qFormat/>
    <w:uiPriority w:val="0"/>
    <w:pPr>
      <w:ind w:firstLine="420" w:firstLineChars="200"/>
    </w:pPr>
    <w:rPr>
      <w:szCs w:val="20"/>
    </w:rPr>
  </w:style>
  <w:style w:type="paragraph" w:customStyle="1" w:styleId="131">
    <w:name w:val="Free Form"/>
    <w:qFormat/>
    <w:uiPriority w:val="0"/>
    <w:rPr>
      <w:rFonts w:ascii="Helvetica" w:hAnsi="Helvetica" w:eastAsia="ヒラギノ角ゴ Pro W3" w:cs="Times New Roman"/>
      <w:color w:val="000000"/>
      <w:sz w:val="24"/>
      <w:lang w:val="en-US" w:eastAsia="en-US" w:bidi="ar-SA"/>
    </w:rPr>
  </w:style>
  <w:style w:type="paragraph" w:customStyle="1" w:styleId="132">
    <w:name w:val="Char Char"/>
    <w:basedOn w:val="1"/>
    <w:qFormat/>
    <w:uiPriority w:val="0"/>
    <w:pPr>
      <w:spacing w:after="160" w:line="240" w:lineRule="exact"/>
    </w:pPr>
  </w:style>
  <w:style w:type="paragraph" w:customStyle="1" w:styleId="133">
    <w:name w:val="Body"/>
    <w:qFormat/>
    <w:uiPriority w:val="0"/>
    <w:rPr>
      <w:rFonts w:ascii="Helvetica" w:hAnsi="Helvetica" w:eastAsia="ヒラギノ角ゴ Pro W3" w:cs="Times New Roman"/>
      <w:color w:val="000000"/>
      <w:sz w:val="24"/>
      <w:lang w:val="en-US" w:eastAsia="en-US" w:bidi="ar-SA"/>
    </w:rPr>
  </w:style>
  <w:style w:type="character" w:customStyle="1" w:styleId="134">
    <w:name w:val="apple-converted-space"/>
    <w:qFormat/>
    <w:uiPriority w:val="0"/>
  </w:style>
  <w:style w:type="paragraph" w:customStyle="1" w:styleId="135">
    <w:name w:val="Normal1"/>
    <w:basedOn w:val="1"/>
    <w:qFormat/>
    <w:uiPriority w:val="0"/>
    <w:pPr>
      <w:widowControl/>
      <w:spacing w:after="200" w:line="300" w:lineRule="atLeast"/>
      <w:jc w:val="left"/>
    </w:pPr>
    <w:rPr>
      <w:rFonts w:ascii="Calibri" w:hAnsi="Calibri" w:cs="宋体"/>
      <w:kern w:val="0"/>
      <w:sz w:val="22"/>
    </w:rPr>
  </w:style>
  <w:style w:type="paragraph" w:customStyle="1" w:styleId="136">
    <w:name w:val="正文（首行缩进2字符）"/>
    <w:basedOn w:val="1"/>
    <w:qFormat/>
    <w:uiPriority w:val="99"/>
    <w:pPr>
      <w:ind w:firstLine="480"/>
    </w:pPr>
    <w:rPr>
      <w:rFonts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1979B1-AB39-4EEF-9D61-4704F78A2A03}">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66</Pages>
  <Words>29814</Words>
  <Characters>30974</Characters>
  <Lines>351</Lines>
  <Paragraphs>99</Paragraphs>
  <TotalTime>10</TotalTime>
  <ScaleCrop>false</ScaleCrop>
  <LinksUpToDate>false</LinksUpToDate>
  <CharactersWithSpaces>33046</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2022-04-27T09:27:00Z</dcterms:created>
  <dc:creator>李青</dc:creator>
  <cp:lastModifiedBy>lenovo</cp:lastModifiedBy>
  <cp:lastPrinted>2020-09-25T06:32:00Z</cp:lastPrinted>
  <dcterms:modified xsi:type="dcterms:W3CDTF">2025-04-03T04:56:57Z</dcterms:modified>
  <cp:revision>85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B8243C72DD70461590DC700E9E50CAE6_13</vt:lpwstr>
  </property>
  <property fmtid="{D5CDD505-2E9C-101B-9397-08002B2CF9AE}" pid="4" name="KSOTemplateDocerSaveRecord">
    <vt:lpwstr>eyJoZGlkIjoiYTdkYTYyOGM5YWZkYjFjMDQwOGExOGIxMGQ2MGM2NTcifQ==</vt:lpwstr>
  </property>
</Properties>
</file>