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3747BB4">
      <w:pPr>
        <w:adjustRightInd w:val="0"/>
        <w:spacing w:line="360" w:lineRule="auto"/>
        <w:jc w:val="center"/>
        <w:textAlignment w:val="baseline"/>
        <w:rPr>
          <w:rFonts w:ascii="宋体" w:hAnsi="宋体"/>
          <w:b/>
          <w:color w:val="000000" w:themeColor="text1"/>
          <w:sz w:val="24"/>
          <w14:textFill>
            <w14:solidFill>
              <w14:schemeClr w14:val="tx1"/>
            </w14:solidFill>
          </w14:textFill>
        </w:rPr>
      </w:pPr>
    </w:p>
    <w:p w14:paraId="320845CB">
      <w:pPr>
        <w:adjustRightInd w:val="0"/>
        <w:spacing w:line="360" w:lineRule="auto"/>
        <w:jc w:val="center"/>
        <w:textAlignment w:val="baseline"/>
        <w:rPr>
          <w:rFonts w:ascii="宋体" w:hAnsi="宋体"/>
          <w:b/>
          <w:color w:val="000000" w:themeColor="text1"/>
          <w:sz w:val="24"/>
          <w14:textFill>
            <w14:solidFill>
              <w14:schemeClr w14:val="tx1"/>
            </w14:solidFill>
          </w14:textFill>
        </w:rPr>
      </w:pPr>
    </w:p>
    <w:p w14:paraId="53215F6A">
      <w:pPr>
        <w:adjustRightInd w:val="0"/>
        <w:spacing w:line="360" w:lineRule="auto"/>
        <w:jc w:val="center"/>
        <w:textAlignment w:val="baseline"/>
        <w:rPr>
          <w:rFonts w:ascii="宋体" w:hAnsi="宋体"/>
          <w:b/>
          <w:color w:val="000000" w:themeColor="text1"/>
          <w:sz w:val="24"/>
          <w14:textFill>
            <w14:solidFill>
              <w14:schemeClr w14:val="tx1"/>
            </w14:solidFill>
          </w14:textFill>
        </w:rPr>
      </w:pPr>
    </w:p>
    <w:p w14:paraId="18CAAE43">
      <w:pPr>
        <w:adjustRightInd w:val="0"/>
        <w:spacing w:line="360" w:lineRule="auto"/>
        <w:jc w:val="both"/>
        <w:textAlignment w:val="baseline"/>
        <w:rPr>
          <w:rFonts w:ascii="宋体" w:hAnsi="宋体"/>
          <w:b/>
          <w:color w:val="000000" w:themeColor="text1"/>
          <w:sz w:val="24"/>
          <w14:textFill>
            <w14:solidFill>
              <w14:schemeClr w14:val="tx1"/>
            </w14:solidFill>
          </w14:textFill>
        </w:rPr>
      </w:pPr>
    </w:p>
    <w:p w14:paraId="31D579FD">
      <w:pPr>
        <w:adjustRightInd w:val="0"/>
        <w:spacing w:line="360" w:lineRule="auto"/>
        <w:jc w:val="center"/>
        <w:textAlignment w:val="baseline"/>
        <w:rPr>
          <w:rFonts w:ascii="宋体" w:hAnsi="宋体"/>
          <w:color w:val="000000" w:themeColor="text1"/>
          <w:sz w:val="24"/>
          <w14:textFill>
            <w14:solidFill>
              <w14:schemeClr w14:val="tx1"/>
            </w14:solidFill>
          </w14:textFill>
        </w:rPr>
      </w:pPr>
    </w:p>
    <w:p w14:paraId="44C401C9">
      <w:pPr>
        <w:adjustRightInd w:val="0"/>
        <w:spacing w:line="360" w:lineRule="auto"/>
        <w:jc w:val="center"/>
        <w:textAlignment w:val="baseline"/>
        <w:rPr>
          <w:rFonts w:ascii="宋体" w:hAnsi="宋体"/>
          <w:color w:val="000000" w:themeColor="text1"/>
          <w:sz w:val="24"/>
          <w14:textFill>
            <w14:solidFill>
              <w14:schemeClr w14:val="tx1"/>
            </w14:solidFill>
          </w14:textFill>
        </w:rPr>
      </w:pPr>
    </w:p>
    <w:p w14:paraId="0EAA4FE0">
      <w:pPr>
        <w:pStyle w:val="32"/>
        <w:spacing w:before="0" w:after="0" w:line="360" w:lineRule="auto"/>
        <w:rPr>
          <w:rFonts w:ascii="宋体" w:hAnsi="宋体"/>
          <w:color w:val="000000" w:themeColor="text1"/>
          <w:sz w:val="96"/>
          <w:szCs w:val="96"/>
          <w14:textFill>
            <w14:solidFill>
              <w14:schemeClr w14:val="tx1"/>
            </w14:solidFill>
          </w14:textFill>
        </w:rPr>
      </w:pPr>
      <w:bookmarkStart w:id="0" w:name="_Toc449568588"/>
      <w:r>
        <w:rPr>
          <w:rFonts w:hint="eastAsia" w:ascii="宋体" w:hAnsi="宋体"/>
          <w:color w:val="000000" w:themeColor="text1"/>
          <w:sz w:val="96"/>
          <w:szCs w:val="96"/>
          <w14:textFill>
            <w14:solidFill>
              <w14:schemeClr w14:val="tx1"/>
            </w14:solidFill>
          </w14:textFill>
        </w:rPr>
        <w:t>竞争性磋商文件</w:t>
      </w:r>
      <w:bookmarkEnd w:id="0"/>
    </w:p>
    <w:p w14:paraId="3338DFC3">
      <w:pPr>
        <w:adjustRightInd w:val="0"/>
        <w:spacing w:line="360" w:lineRule="auto"/>
        <w:jc w:val="both"/>
        <w:textAlignment w:val="baseline"/>
        <w:rPr>
          <w:rFonts w:ascii="宋体" w:hAnsi="宋体"/>
          <w:color w:val="000000" w:themeColor="text1"/>
          <w:sz w:val="24"/>
          <w14:textFill>
            <w14:solidFill>
              <w14:schemeClr w14:val="tx1"/>
            </w14:solidFill>
          </w14:textFill>
        </w:rPr>
      </w:pPr>
    </w:p>
    <w:p w14:paraId="29FD3A51">
      <w:pPr>
        <w:adjustRightInd w:val="0"/>
        <w:spacing w:line="360" w:lineRule="auto"/>
        <w:jc w:val="center"/>
        <w:textAlignment w:val="baseline"/>
        <w:rPr>
          <w:rFonts w:ascii="宋体" w:hAnsi="宋体"/>
          <w:color w:val="000000" w:themeColor="text1"/>
          <w:sz w:val="24"/>
          <w14:textFill>
            <w14:solidFill>
              <w14:schemeClr w14:val="tx1"/>
            </w14:solidFill>
          </w14:textFill>
        </w:rPr>
      </w:pPr>
    </w:p>
    <w:p w14:paraId="1A162C0D">
      <w:pPr>
        <w:adjustRightInd w:val="0"/>
        <w:spacing w:line="360" w:lineRule="auto"/>
        <w:jc w:val="center"/>
        <w:textAlignment w:val="baseline"/>
        <w:rPr>
          <w:rFonts w:ascii="宋体" w:hAnsi="宋体"/>
          <w:color w:val="000000" w:themeColor="text1"/>
          <w:sz w:val="24"/>
          <w14:textFill>
            <w14:solidFill>
              <w14:schemeClr w14:val="tx1"/>
            </w14:solidFill>
          </w14:textFill>
        </w:rPr>
      </w:pPr>
    </w:p>
    <w:p w14:paraId="7B191173">
      <w:pPr>
        <w:adjustRightInd w:val="0"/>
        <w:spacing w:line="360" w:lineRule="auto"/>
        <w:jc w:val="center"/>
        <w:textAlignment w:val="baseline"/>
        <w:rPr>
          <w:rFonts w:ascii="宋体" w:hAnsi="宋体"/>
          <w:color w:val="000000" w:themeColor="text1"/>
          <w:sz w:val="24"/>
          <w14:textFill>
            <w14:solidFill>
              <w14:schemeClr w14:val="tx1"/>
            </w14:solidFill>
          </w14:textFill>
        </w:rPr>
      </w:pPr>
    </w:p>
    <w:p w14:paraId="6E292E19">
      <w:pPr>
        <w:adjustRightInd w:val="0"/>
        <w:spacing w:line="360" w:lineRule="auto"/>
        <w:jc w:val="center"/>
        <w:textAlignment w:val="baseline"/>
        <w:rPr>
          <w:rFonts w:ascii="宋体" w:hAnsi="宋体"/>
          <w:color w:val="000000" w:themeColor="text1"/>
          <w:sz w:val="24"/>
          <w14:textFill>
            <w14:solidFill>
              <w14:schemeClr w14:val="tx1"/>
            </w14:solidFill>
          </w14:textFill>
        </w:rPr>
      </w:pPr>
    </w:p>
    <w:p w14:paraId="5A254FCB">
      <w:pPr>
        <w:spacing w:line="360" w:lineRule="auto"/>
        <w:ind w:left="3355" w:leftChars="528" w:hanging="2246" w:hangingChars="699"/>
        <w:rPr>
          <w:rFonts w:hint="eastAsia" w:ascii="宋体" w:hAnsi="宋体" w:eastAsia="宋体" w:cs="Arial"/>
          <w:b/>
          <w:color w:val="000000" w:themeColor="text1"/>
          <w:kern w:val="0"/>
          <w:sz w:val="32"/>
          <w:szCs w:val="32"/>
          <w:lang w:eastAsia="zh-CN"/>
          <w14:textFill>
            <w14:solidFill>
              <w14:schemeClr w14:val="tx1"/>
            </w14:solidFill>
          </w14:textFill>
        </w:rPr>
      </w:pPr>
      <w:r>
        <w:rPr>
          <w:rFonts w:hint="eastAsia" w:ascii="宋体" w:hAnsi="宋体" w:cs="Arial"/>
          <w:b/>
          <w:color w:val="000000" w:themeColor="text1"/>
          <w:kern w:val="0"/>
          <w:sz w:val="32"/>
          <w:szCs w:val="32"/>
          <w14:textFill>
            <w14:solidFill>
              <w14:schemeClr w14:val="tx1"/>
            </w14:solidFill>
          </w14:textFill>
        </w:rPr>
        <w:t>采购项目名称：</w:t>
      </w:r>
      <w:r>
        <w:rPr>
          <w:rFonts w:hint="eastAsia" w:ascii="宋体" w:hAnsi="宋体" w:cs="Arial"/>
          <w:b/>
          <w:color w:val="000000" w:themeColor="text1"/>
          <w:kern w:val="0"/>
          <w:sz w:val="32"/>
          <w:szCs w:val="32"/>
          <w:lang w:eastAsia="zh-CN"/>
          <w14:textFill>
            <w14:solidFill>
              <w14:schemeClr w14:val="tx1"/>
            </w14:solidFill>
          </w14:textFill>
        </w:rPr>
        <w:t>青海红十字医院康复数字化信息管理系统等三项（包一第二次）</w:t>
      </w:r>
    </w:p>
    <w:p w14:paraId="0927062A">
      <w:pPr>
        <w:adjustRightInd w:val="0"/>
        <w:snapToGrid w:val="0"/>
        <w:spacing w:line="360" w:lineRule="auto"/>
        <w:ind w:left="2678" w:leftChars="498" w:hanging="1632" w:hangingChars="508"/>
        <w:textAlignment w:val="baseline"/>
        <w:rPr>
          <w:rFonts w:hint="eastAsia" w:ascii="宋体" w:hAnsi="宋体" w:eastAsia="宋体" w:cs="Arial"/>
          <w:b/>
          <w:color w:val="000000" w:themeColor="text1"/>
          <w:kern w:val="0"/>
          <w:sz w:val="32"/>
          <w:szCs w:val="32"/>
          <w:lang w:eastAsia="zh-CN"/>
          <w14:textFill>
            <w14:solidFill>
              <w14:schemeClr w14:val="tx1"/>
            </w14:solidFill>
          </w14:textFill>
        </w:rPr>
      </w:pPr>
      <w:r>
        <w:rPr>
          <w:rFonts w:hint="eastAsia" w:ascii="宋体" w:hAnsi="宋体" w:cs="Arial"/>
          <w:b/>
          <w:color w:val="000000" w:themeColor="text1"/>
          <w:kern w:val="0"/>
          <w:sz w:val="32"/>
          <w:szCs w:val="32"/>
          <w14:textFill>
            <w14:solidFill>
              <w14:schemeClr w14:val="tx1"/>
            </w14:solidFill>
          </w14:textFill>
        </w:rPr>
        <w:t>采购项目编号：</w:t>
      </w:r>
      <w:r>
        <w:rPr>
          <w:rFonts w:hint="eastAsia" w:ascii="宋体" w:hAnsi="宋体" w:cs="Arial"/>
          <w:b/>
          <w:color w:val="000000" w:themeColor="text1"/>
          <w:kern w:val="0"/>
          <w:sz w:val="32"/>
          <w:szCs w:val="32"/>
          <w:lang w:eastAsia="zh-CN"/>
          <w14:textFill>
            <w14:solidFill>
              <w14:schemeClr w14:val="tx1"/>
            </w14:solidFill>
          </w14:textFill>
        </w:rPr>
        <w:t>青海国焱竞磋（货物）2025-083号</w:t>
      </w:r>
    </w:p>
    <w:p w14:paraId="604CD812">
      <w:pPr>
        <w:adjustRightInd w:val="0"/>
        <w:snapToGrid w:val="0"/>
        <w:spacing w:line="360" w:lineRule="auto"/>
        <w:ind w:left="3317" w:leftChars="498" w:hanging="2271" w:hangingChars="707"/>
        <w:textAlignment w:val="baseline"/>
        <w:rPr>
          <w:rFonts w:hint="eastAsia" w:ascii="宋体" w:hAnsi="宋体" w:eastAsia="宋体" w:cs="Arial"/>
          <w:b/>
          <w:color w:val="000000" w:themeColor="text1"/>
          <w:kern w:val="0"/>
          <w:sz w:val="32"/>
          <w:szCs w:val="32"/>
          <w:lang w:eastAsia="zh-CN"/>
          <w14:textFill>
            <w14:solidFill>
              <w14:schemeClr w14:val="tx1"/>
            </w14:solidFill>
          </w14:textFill>
        </w:rPr>
      </w:pPr>
      <w:r>
        <w:rPr>
          <w:rFonts w:hint="eastAsia" w:ascii="宋体" w:hAnsi="宋体" w:cs="Arial"/>
          <w:b/>
          <w:color w:val="000000" w:themeColor="text1"/>
          <w:kern w:val="0"/>
          <w:sz w:val="32"/>
          <w:szCs w:val="32"/>
          <w14:textFill>
            <w14:solidFill>
              <w14:schemeClr w14:val="tx1"/>
            </w14:solidFill>
          </w14:textFill>
        </w:rPr>
        <w:t>采  购 单 位</w:t>
      </w:r>
      <w:r>
        <w:rPr>
          <w:rFonts w:hint="eastAsia" w:ascii="宋体" w:hAnsi="宋体"/>
          <w:color w:val="000000" w:themeColor="text1"/>
          <w:sz w:val="32"/>
          <w:szCs w:val="32"/>
          <w14:textFill>
            <w14:solidFill>
              <w14:schemeClr w14:val="tx1"/>
            </w14:solidFill>
          </w14:textFill>
        </w:rPr>
        <w:t>：</w:t>
      </w:r>
      <w:r>
        <w:rPr>
          <w:rFonts w:hint="eastAsia" w:ascii="宋体" w:hAnsi="宋体" w:cs="Arial"/>
          <w:b/>
          <w:color w:val="000000" w:themeColor="text1"/>
          <w:kern w:val="0"/>
          <w:sz w:val="32"/>
          <w:szCs w:val="32"/>
          <w:lang w:eastAsia="zh-CN"/>
          <w14:textFill>
            <w14:solidFill>
              <w14:schemeClr w14:val="tx1"/>
            </w14:solidFill>
          </w14:textFill>
        </w:rPr>
        <w:t>青海红十字医院</w:t>
      </w:r>
    </w:p>
    <w:p w14:paraId="7063B2EB">
      <w:pPr>
        <w:adjustRightInd w:val="0"/>
        <w:snapToGrid w:val="0"/>
        <w:spacing w:line="360" w:lineRule="auto"/>
        <w:ind w:left="2678" w:leftChars="498" w:hanging="1632" w:hangingChars="508"/>
        <w:textAlignment w:val="baseline"/>
        <w:rPr>
          <w:rFonts w:ascii="宋体" w:hAnsi="宋体"/>
          <w:b/>
          <w:bCs/>
          <w:color w:val="000000" w:themeColor="text1"/>
          <w:sz w:val="32"/>
          <w:szCs w:val="32"/>
          <w14:textFill>
            <w14:solidFill>
              <w14:schemeClr w14:val="tx1"/>
            </w14:solidFill>
          </w14:textFill>
        </w:rPr>
      </w:pPr>
      <w:r>
        <w:rPr>
          <w:rFonts w:ascii="宋体" w:hAnsi="宋体"/>
          <w:b/>
          <w:bCs/>
          <w:color w:val="000000" w:themeColor="text1"/>
          <w:sz w:val="32"/>
          <w:szCs w:val="32"/>
          <w14:textFill>
            <w14:solidFill>
              <w14:schemeClr w14:val="tx1"/>
            </w14:solidFill>
          </w14:textFill>
        </w:rPr>
        <w:t>采购代理机构</w:t>
      </w:r>
      <w:r>
        <w:rPr>
          <w:rFonts w:hint="eastAsia" w:ascii="宋体" w:hAnsi="宋体"/>
          <w:b/>
          <w:bCs/>
          <w:color w:val="000000" w:themeColor="text1"/>
          <w:sz w:val="32"/>
          <w:szCs w:val="32"/>
          <w14:textFill>
            <w14:solidFill>
              <w14:schemeClr w14:val="tx1"/>
            </w14:solidFill>
          </w14:textFill>
        </w:rPr>
        <w:t>：</w:t>
      </w:r>
      <w:r>
        <w:rPr>
          <w:rFonts w:ascii="宋体" w:hAnsi="宋体"/>
          <w:b/>
          <w:bCs/>
          <w:color w:val="000000" w:themeColor="text1"/>
          <w:sz w:val="32"/>
          <w:szCs w:val="32"/>
          <w14:textFill>
            <w14:solidFill>
              <w14:schemeClr w14:val="tx1"/>
            </w14:solidFill>
          </w14:textFill>
        </w:rPr>
        <w:t>青海国焱工程项目管理有限公司</w:t>
      </w:r>
    </w:p>
    <w:p w14:paraId="52B5FEC2">
      <w:pPr>
        <w:adjustRightInd w:val="0"/>
        <w:snapToGrid w:val="0"/>
        <w:spacing w:line="360" w:lineRule="auto"/>
        <w:ind w:left="2681" w:leftChars="194" w:hanging="2274" w:hangingChars="708"/>
        <w:textAlignment w:val="baseline"/>
        <w:rPr>
          <w:rFonts w:ascii="宋体" w:hAnsi="宋体"/>
          <w:b/>
          <w:bCs/>
          <w:color w:val="000000" w:themeColor="text1"/>
          <w:sz w:val="32"/>
          <w:szCs w:val="32"/>
          <w14:textFill>
            <w14:solidFill>
              <w14:schemeClr w14:val="tx1"/>
            </w14:solidFill>
          </w14:textFill>
        </w:rPr>
      </w:pPr>
    </w:p>
    <w:p w14:paraId="4704F257">
      <w:pPr>
        <w:pStyle w:val="12"/>
        <w:rPr>
          <w:color w:val="000000" w:themeColor="text1"/>
          <w14:textFill>
            <w14:solidFill>
              <w14:schemeClr w14:val="tx1"/>
            </w14:solidFill>
          </w14:textFill>
        </w:rPr>
      </w:pPr>
    </w:p>
    <w:p w14:paraId="0624D056">
      <w:pPr>
        <w:pStyle w:val="13"/>
        <w:ind w:left="0" w:firstLine="0"/>
        <w:rPr>
          <w:color w:val="000000" w:themeColor="text1"/>
          <w14:textFill>
            <w14:solidFill>
              <w14:schemeClr w14:val="tx1"/>
            </w14:solidFill>
          </w14:textFill>
        </w:rPr>
      </w:pPr>
    </w:p>
    <w:p w14:paraId="6B75E206">
      <w:pPr>
        <w:adjustRightInd w:val="0"/>
        <w:spacing w:line="360" w:lineRule="auto"/>
        <w:jc w:val="center"/>
        <w:textAlignment w:val="baseline"/>
        <w:rPr>
          <w:rFonts w:ascii="宋体" w:hAnsi="宋体"/>
          <w:b/>
          <w:bCs/>
          <w:color w:val="000000" w:themeColor="text1"/>
          <w:sz w:val="32"/>
          <w:szCs w:val="32"/>
          <w14:textFill>
            <w14:solidFill>
              <w14:schemeClr w14:val="tx1"/>
            </w14:solidFill>
          </w14:textFill>
        </w:rPr>
      </w:pPr>
      <w:r>
        <w:rPr>
          <w:rFonts w:hint="eastAsia" w:ascii="宋体" w:hAnsi="宋体"/>
          <w:b/>
          <w:bCs/>
          <w:color w:val="000000" w:themeColor="text1"/>
          <w:sz w:val="32"/>
          <w:szCs w:val="32"/>
          <w14:textFill>
            <w14:solidFill>
              <w14:schemeClr w14:val="tx1"/>
            </w14:solidFill>
          </w14:textFill>
        </w:rPr>
        <w:t>2025年03月</w:t>
      </w:r>
    </w:p>
    <w:p w14:paraId="5C626F71">
      <w:pPr>
        <w:spacing w:line="360" w:lineRule="auto"/>
        <w:jc w:val="center"/>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br w:type="page"/>
      </w:r>
      <w:r>
        <w:rPr>
          <w:rFonts w:ascii="宋体" w:hAnsi="宋体"/>
          <w:b/>
          <w:color w:val="000000" w:themeColor="text1"/>
          <w:sz w:val="24"/>
          <w14:textFill>
            <w14:solidFill>
              <w14:schemeClr w14:val="tx1"/>
            </w14:solidFill>
          </w14:textFill>
        </w:rPr>
        <w:t>目录</w:t>
      </w:r>
    </w:p>
    <w:p w14:paraId="4268FA99">
      <w:pPr>
        <w:pStyle w:val="25"/>
        <w:tabs>
          <w:tab w:val="right" w:leader="dot" w:pos="9752"/>
          <w:tab w:val="clear" w:pos="8296"/>
        </w:tabs>
        <w:rPr>
          <w:color w:val="000000" w:themeColor="text1"/>
          <w14:textFill>
            <w14:solidFill>
              <w14:schemeClr w14:val="tx1"/>
            </w14:solidFill>
          </w14:textFill>
        </w:rPr>
      </w:pPr>
      <w:r>
        <w:rPr>
          <w:rFonts w:ascii="宋体" w:hAnsi="宋体"/>
          <w:color w:val="000000" w:themeColor="text1"/>
          <w:sz w:val="24"/>
          <w14:textFill>
            <w14:solidFill>
              <w14:schemeClr w14:val="tx1"/>
            </w14:solidFill>
          </w14:textFill>
        </w:rPr>
        <w:fldChar w:fldCharType="begin"/>
      </w:r>
      <w:r>
        <w:rPr>
          <w:rFonts w:ascii="宋体" w:hAnsi="宋体"/>
          <w:color w:val="000000" w:themeColor="text1"/>
          <w:sz w:val="24"/>
          <w14:textFill>
            <w14:solidFill>
              <w14:schemeClr w14:val="tx1"/>
            </w14:solidFill>
          </w14:textFill>
        </w:rPr>
        <w:instrText xml:space="preserve"> TOC \h \z \t "标题 1,1,标题 2,1,标题 3,1,标题 4,1,标题 5,1,标题 6,1,标题 7,1,副标题,1" </w:instrText>
      </w:r>
      <w:r>
        <w:rPr>
          <w:rFonts w:ascii="宋体" w:hAnsi="宋体"/>
          <w:color w:val="000000" w:themeColor="text1"/>
          <w:sz w:val="24"/>
          <w14:textFill>
            <w14:solidFill>
              <w14:schemeClr w14:val="tx1"/>
            </w14:solidFill>
          </w14:textFill>
        </w:rPr>
        <w:fldChar w:fldCharType="separate"/>
      </w:r>
      <w:r>
        <w:rPr>
          <w:rFonts w:ascii="宋体" w:hAnsi="宋体"/>
          <w:color w:val="000000" w:themeColor="text1"/>
          <w14:textFill>
            <w14:solidFill>
              <w14:schemeClr w14:val="tx1"/>
            </w14:solidFill>
          </w14:textFill>
        </w:rPr>
        <w:fldChar w:fldCharType="begin"/>
      </w:r>
      <w:r>
        <w:rPr>
          <w:rFonts w:ascii="宋体" w:hAnsi="宋体"/>
          <w:color w:val="000000" w:themeColor="text1"/>
          <w14:textFill>
            <w14:solidFill>
              <w14:schemeClr w14:val="tx1"/>
            </w14:solidFill>
          </w14:textFill>
        </w:rPr>
        <w:instrText xml:space="preserve"> HYPERLINK \l _Toc21192 </w:instrText>
      </w:r>
      <w:r>
        <w:rPr>
          <w:rFonts w:ascii="宋体" w:hAnsi="宋体"/>
          <w:color w:val="000000" w:themeColor="text1"/>
          <w14:textFill>
            <w14:solidFill>
              <w14:schemeClr w14:val="tx1"/>
            </w14:solidFill>
          </w14:textFill>
        </w:rPr>
        <w:fldChar w:fldCharType="separate"/>
      </w:r>
      <w:r>
        <w:rPr>
          <w:rFonts w:hint="eastAsia" w:ascii="宋体" w:hAnsi="宋体"/>
          <w:color w:val="000000" w:themeColor="text1"/>
          <w:szCs w:val="48"/>
          <w14:textFill>
            <w14:solidFill>
              <w14:schemeClr w14:val="tx1"/>
            </w14:solidFill>
          </w14:textFill>
        </w:rPr>
        <w:t>第一部分   磋商邀请</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_Toc21192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3</w:t>
      </w:r>
      <w:r>
        <w:rPr>
          <w:color w:val="000000" w:themeColor="text1"/>
          <w14:textFill>
            <w14:solidFill>
              <w14:schemeClr w14:val="tx1"/>
            </w14:solidFill>
          </w14:textFill>
        </w:rPr>
        <w:fldChar w:fldCharType="end"/>
      </w:r>
      <w:r>
        <w:rPr>
          <w:rFonts w:ascii="宋体" w:hAnsi="宋体"/>
          <w:color w:val="000000" w:themeColor="text1"/>
          <w14:textFill>
            <w14:solidFill>
              <w14:schemeClr w14:val="tx1"/>
            </w14:solidFill>
          </w14:textFill>
        </w:rPr>
        <w:fldChar w:fldCharType="end"/>
      </w:r>
    </w:p>
    <w:p w14:paraId="6BE45E67">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_Toc55 </w:instrText>
      </w:r>
      <w:r>
        <w:rPr>
          <w:rFonts w:ascii="宋体" w:hAnsi="宋体"/>
          <w:bCs/>
          <w:color w:val="000000" w:themeColor="text1"/>
          <w14:textFill>
            <w14:solidFill>
              <w14:schemeClr w14:val="tx1"/>
            </w14:solidFill>
          </w14:textFill>
        </w:rPr>
        <w:fldChar w:fldCharType="separate"/>
      </w:r>
      <w:r>
        <w:rPr>
          <w:rFonts w:hint="eastAsia"/>
          <w:color w:val="000000" w:themeColor="text1"/>
          <w:szCs w:val="48"/>
          <w14:textFill>
            <w14:solidFill>
              <w14:schemeClr w14:val="tx1"/>
            </w14:solidFill>
          </w14:textFill>
        </w:rPr>
        <w:t>第二部分  磋商供应商须知前附表</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_Toc55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6</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717774C5">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_Toc11017 </w:instrText>
      </w:r>
      <w:r>
        <w:rPr>
          <w:rFonts w:ascii="宋体" w:hAnsi="宋体"/>
          <w:bCs/>
          <w:color w:val="000000" w:themeColor="text1"/>
          <w14:textFill>
            <w14:solidFill>
              <w14:schemeClr w14:val="tx1"/>
            </w14:solidFill>
          </w14:textFill>
        </w:rPr>
        <w:fldChar w:fldCharType="separate"/>
      </w:r>
      <w:r>
        <w:rPr>
          <w:rFonts w:hint="eastAsia" w:ascii="宋体" w:hAnsi="宋体"/>
          <w:color w:val="000000" w:themeColor="text1"/>
          <w:szCs w:val="48"/>
          <w14:textFill>
            <w14:solidFill>
              <w14:schemeClr w14:val="tx1"/>
            </w14:solidFill>
          </w14:textFill>
        </w:rPr>
        <w:t>第三部分  磋商供应商须知</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_Toc11017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10</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6B29FCAA">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_Toc25123 </w:instrText>
      </w:r>
      <w:r>
        <w:rPr>
          <w:rFonts w:ascii="宋体" w:hAnsi="宋体"/>
          <w:bCs/>
          <w:color w:val="000000" w:themeColor="text1"/>
          <w14:textFill>
            <w14:solidFill>
              <w14:schemeClr w14:val="tx1"/>
            </w14:solidFill>
          </w14:textFill>
        </w:rPr>
        <w:fldChar w:fldCharType="separate"/>
      </w:r>
      <w:r>
        <w:rPr>
          <w:rFonts w:hint="eastAsia" w:hAnsi="宋体"/>
          <w:color w:val="000000" w:themeColor="text1"/>
          <w:szCs w:val="24"/>
          <w14:textFill>
            <w14:solidFill>
              <w14:schemeClr w14:val="tx1"/>
            </w14:solidFill>
          </w14:textFill>
        </w:rPr>
        <w:t>说明</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_Toc25123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10</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76629CBA">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_Toc25426 </w:instrText>
      </w:r>
      <w:r>
        <w:rPr>
          <w:rFonts w:ascii="宋体" w:hAnsi="宋体"/>
          <w:bCs/>
          <w:color w:val="000000" w:themeColor="text1"/>
          <w14:textFill>
            <w14:solidFill>
              <w14:schemeClr w14:val="tx1"/>
            </w14:solidFill>
          </w14:textFill>
        </w:rPr>
        <w:fldChar w:fldCharType="separate"/>
      </w:r>
      <w:r>
        <w:rPr>
          <w:rFonts w:hint="default" w:ascii="宋体" w:hAnsi="宋体"/>
          <w:color w:val="000000" w:themeColor="text1"/>
          <w:szCs w:val="24"/>
          <w14:textFill>
            <w14:solidFill>
              <w14:schemeClr w14:val="tx1"/>
            </w14:solidFill>
          </w14:textFill>
        </w:rPr>
        <w:t xml:space="preserve">1、 </w:t>
      </w:r>
      <w:r>
        <w:rPr>
          <w:rFonts w:ascii="宋体" w:hAnsi="宋体"/>
          <w:color w:val="000000" w:themeColor="text1"/>
          <w:szCs w:val="24"/>
          <w14:textFill>
            <w14:solidFill>
              <w14:schemeClr w14:val="tx1"/>
            </w14:solidFill>
          </w14:textFill>
        </w:rPr>
        <w:t>磋商内容及要求</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_Toc25426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10</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598FC709">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_Toc17602 </w:instrText>
      </w:r>
      <w:r>
        <w:rPr>
          <w:rFonts w:ascii="宋体" w:hAnsi="宋体"/>
          <w:bCs/>
          <w:color w:val="000000" w:themeColor="text1"/>
          <w14:textFill>
            <w14:solidFill>
              <w14:schemeClr w14:val="tx1"/>
            </w14:solidFill>
          </w14:textFill>
        </w:rPr>
        <w:fldChar w:fldCharType="separate"/>
      </w:r>
      <w:r>
        <w:rPr>
          <w:rFonts w:hint="default" w:ascii="宋体" w:hAnsi="宋体"/>
          <w:color w:val="000000" w:themeColor="text1"/>
          <w:szCs w:val="24"/>
          <w14:textFill>
            <w14:solidFill>
              <w14:schemeClr w14:val="tx1"/>
            </w14:solidFill>
          </w14:textFill>
        </w:rPr>
        <w:t xml:space="preserve">2、 </w:t>
      </w:r>
      <w:r>
        <w:rPr>
          <w:rFonts w:hint="eastAsia" w:ascii="宋体" w:hAnsi="宋体"/>
          <w:color w:val="000000" w:themeColor="text1"/>
          <w:szCs w:val="24"/>
          <w14:textFill>
            <w14:solidFill>
              <w14:schemeClr w14:val="tx1"/>
            </w14:solidFill>
          </w14:textFill>
        </w:rPr>
        <w:t>采购方式、合格的磋商供应商</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_Toc17602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10</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04732A1E">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_Toc10281 </w:instrText>
      </w:r>
      <w:r>
        <w:rPr>
          <w:rFonts w:ascii="宋体" w:hAnsi="宋体"/>
          <w:bCs/>
          <w:color w:val="000000" w:themeColor="text1"/>
          <w14:textFill>
            <w14:solidFill>
              <w14:schemeClr w14:val="tx1"/>
            </w14:solidFill>
          </w14:textFill>
        </w:rPr>
        <w:fldChar w:fldCharType="separate"/>
      </w:r>
      <w:r>
        <w:rPr>
          <w:rFonts w:hint="default" w:ascii="宋体" w:hAnsi="宋体"/>
          <w:color w:val="000000" w:themeColor="text1"/>
          <w:szCs w:val="24"/>
          <w14:textFill>
            <w14:solidFill>
              <w14:schemeClr w14:val="tx1"/>
            </w14:solidFill>
          </w14:textFill>
        </w:rPr>
        <w:t xml:space="preserve">3、 </w:t>
      </w:r>
      <w:r>
        <w:rPr>
          <w:rFonts w:hint="eastAsia" w:ascii="宋体" w:hAnsi="宋体"/>
          <w:color w:val="000000" w:themeColor="text1"/>
          <w:szCs w:val="24"/>
          <w14:textFill>
            <w14:solidFill>
              <w14:schemeClr w14:val="tx1"/>
            </w14:solidFill>
          </w14:textFill>
        </w:rPr>
        <w:t>磋商费用</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_Toc10281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10</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3E79110D">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_Toc704 </w:instrText>
      </w:r>
      <w:r>
        <w:rPr>
          <w:rFonts w:ascii="宋体" w:hAnsi="宋体"/>
          <w:bCs/>
          <w:color w:val="000000" w:themeColor="text1"/>
          <w14:textFill>
            <w14:solidFill>
              <w14:schemeClr w14:val="tx1"/>
            </w14:solidFill>
          </w14:textFill>
        </w:rPr>
        <w:fldChar w:fldCharType="separate"/>
      </w:r>
      <w:r>
        <w:rPr>
          <w:rFonts w:hint="eastAsia" w:hAnsi="宋体"/>
          <w:color w:val="000000" w:themeColor="text1"/>
          <w:szCs w:val="24"/>
          <w14:textFill>
            <w14:solidFill>
              <w14:schemeClr w14:val="tx1"/>
            </w14:solidFill>
          </w14:textFill>
        </w:rPr>
        <w:t>磋商文件说明</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_Toc704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10</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598671EA">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_Toc20675 </w:instrText>
      </w:r>
      <w:r>
        <w:rPr>
          <w:rFonts w:ascii="宋体" w:hAnsi="宋体"/>
          <w:bCs/>
          <w:color w:val="000000" w:themeColor="text1"/>
          <w14:textFill>
            <w14:solidFill>
              <w14:schemeClr w14:val="tx1"/>
            </w14:solidFill>
          </w14:textFill>
        </w:rPr>
        <w:fldChar w:fldCharType="separate"/>
      </w:r>
      <w:r>
        <w:rPr>
          <w:rFonts w:hint="default" w:ascii="宋体" w:hAnsi="宋体"/>
          <w:color w:val="000000" w:themeColor="text1"/>
          <w:szCs w:val="24"/>
          <w14:textFill>
            <w14:solidFill>
              <w14:schemeClr w14:val="tx1"/>
            </w14:solidFill>
          </w14:textFill>
        </w:rPr>
        <w:t xml:space="preserve">4、 </w:t>
      </w:r>
      <w:r>
        <w:rPr>
          <w:rFonts w:hint="eastAsia" w:ascii="宋体" w:hAnsi="宋体"/>
          <w:color w:val="000000" w:themeColor="text1"/>
          <w:szCs w:val="24"/>
          <w14:textFill>
            <w14:solidFill>
              <w14:schemeClr w14:val="tx1"/>
            </w14:solidFill>
          </w14:textFill>
        </w:rPr>
        <w:t>磋商文件的构成</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_Toc20675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10</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370D01FB">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_Toc18643 </w:instrText>
      </w:r>
      <w:r>
        <w:rPr>
          <w:rFonts w:ascii="宋体" w:hAnsi="宋体"/>
          <w:bCs/>
          <w:color w:val="000000" w:themeColor="text1"/>
          <w14:textFill>
            <w14:solidFill>
              <w14:schemeClr w14:val="tx1"/>
            </w14:solidFill>
          </w14:textFill>
        </w:rPr>
        <w:fldChar w:fldCharType="separate"/>
      </w:r>
      <w:r>
        <w:rPr>
          <w:rFonts w:hint="default" w:ascii="宋体" w:hAnsi="宋体"/>
          <w:color w:val="000000" w:themeColor="text1"/>
          <w:szCs w:val="24"/>
          <w14:textFill>
            <w14:solidFill>
              <w14:schemeClr w14:val="tx1"/>
            </w14:solidFill>
          </w14:textFill>
        </w:rPr>
        <w:t xml:space="preserve">5、 </w:t>
      </w:r>
      <w:r>
        <w:rPr>
          <w:rFonts w:hint="eastAsia" w:ascii="宋体" w:hAnsi="宋体"/>
          <w:color w:val="000000" w:themeColor="text1"/>
          <w:szCs w:val="24"/>
          <w14:textFill>
            <w14:solidFill>
              <w14:schemeClr w14:val="tx1"/>
            </w14:solidFill>
          </w14:textFill>
        </w:rPr>
        <w:t>磋商文件、磋商活动和成交结果的质疑</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_Toc18643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11</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3309CD90">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_Toc2059 </w:instrText>
      </w:r>
      <w:r>
        <w:rPr>
          <w:rFonts w:ascii="宋体" w:hAnsi="宋体"/>
          <w:bCs/>
          <w:color w:val="000000" w:themeColor="text1"/>
          <w14:textFill>
            <w14:solidFill>
              <w14:schemeClr w14:val="tx1"/>
            </w14:solidFill>
          </w14:textFill>
        </w:rPr>
        <w:fldChar w:fldCharType="separate"/>
      </w:r>
      <w:r>
        <w:rPr>
          <w:rFonts w:hint="default" w:ascii="宋体" w:hAnsi="宋体"/>
          <w:color w:val="000000" w:themeColor="text1"/>
          <w:szCs w:val="24"/>
          <w14:textFill>
            <w14:solidFill>
              <w14:schemeClr w14:val="tx1"/>
            </w14:solidFill>
          </w14:textFill>
        </w:rPr>
        <w:t xml:space="preserve">6、 </w:t>
      </w:r>
      <w:r>
        <w:rPr>
          <w:rFonts w:hint="eastAsia" w:ascii="宋体" w:hAnsi="宋体"/>
          <w:color w:val="000000" w:themeColor="text1"/>
          <w:szCs w:val="24"/>
          <w14:textFill>
            <w14:solidFill>
              <w14:schemeClr w14:val="tx1"/>
            </w14:solidFill>
          </w14:textFill>
        </w:rPr>
        <w:t>磋商文件的修改</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_Toc2059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11</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00FA6D8A">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_Toc11033 </w:instrText>
      </w:r>
      <w:r>
        <w:rPr>
          <w:rFonts w:ascii="宋体" w:hAnsi="宋体"/>
          <w:bCs/>
          <w:color w:val="000000" w:themeColor="text1"/>
          <w14:textFill>
            <w14:solidFill>
              <w14:schemeClr w14:val="tx1"/>
            </w14:solidFill>
          </w14:textFill>
        </w:rPr>
        <w:fldChar w:fldCharType="separate"/>
      </w:r>
      <w:r>
        <w:rPr>
          <w:rFonts w:hint="eastAsia" w:hAnsi="宋体"/>
          <w:color w:val="000000" w:themeColor="text1"/>
          <w:szCs w:val="24"/>
          <w14:textFill>
            <w14:solidFill>
              <w14:schemeClr w14:val="tx1"/>
            </w14:solidFill>
          </w14:textFill>
        </w:rPr>
        <w:t>磋商响应文件的编写</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_Toc11033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12</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67FFC3A7">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_Toc23296 </w:instrText>
      </w:r>
      <w:r>
        <w:rPr>
          <w:rFonts w:ascii="宋体" w:hAnsi="宋体"/>
          <w:bCs/>
          <w:color w:val="000000" w:themeColor="text1"/>
          <w14:textFill>
            <w14:solidFill>
              <w14:schemeClr w14:val="tx1"/>
            </w14:solidFill>
          </w14:textFill>
        </w:rPr>
        <w:fldChar w:fldCharType="separate"/>
      </w:r>
      <w:r>
        <w:rPr>
          <w:rFonts w:hint="default" w:ascii="宋体" w:hAnsi="宋体"/>
          <w:color w:val="000000" w:themeColor="text1"/>
          <w:szCs w:val="24"/>
          <w14:textFill>
            <w14:solidFill>
              <w14:schemeClr w14:val="tx1"/>
            </w14:solidFill>
          </w14:textFill>
        </w:rPr>
        <w:t xml:space="preserve">7、 </w:t>
      </w:r>
      <w:r>
        <w:rPr>
          <w:rFonts w:hint="eastAsia" w:ascii="宋体" w:hAnsi="宋体"/>
          <w:color w:val="000000" w:themeColor="text1"/>
          <w:szCs w:val="24"/>
          <w14:textFill>
            <w14:solidFill>
              <w14:schemeClr w14:val="tx1"/>
            </w14:solidFill>
          </w14:textFill>
        </w:rPr>
        <w:t>磋商响应文件的语言及度量衡单位</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_Toc23296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12</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3D6007BD">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_Toc3720 </w:instrText>
      </w:r>
      <w:r>
        <w:rPr>
          <w:rFonts w:ascii="宋体" w:hAnsi="宋体"/>
          <w:bCs/>
          <w:color w:val="000000" w:themeColor="text1"/>
          <w14:textFill>
            <w14:solidFill>
              <w14:schemeClr w14:val="tx1"/>
            </w14:solidFill>
          </w14:textFill>
        </w:rPr>
        <w:fldChar w:fldCharType="separate"/>
      </w:r>
      <w:r>
        <w:rPr>
          <w:rFonts w:hint="default" w:ascii="宋体" w:hAnsi="宋体"/>
          <w:color w:val="000000" w:themeColor="text1"/>
          <w:szCs w:val="24"/>
          <w14:textFill>
            <w14:solidFill>
              <w14:schemeClr w14:val="tx1"/>
            </w14:solidFill>
          </w14:textFill>
        </w:rPr>
        <w:t xml:space="preserve">8、 </w:t>
      </w:r>
      <w:r>
        <w:rPr>
          <w:rFonts w:hint="eastAsia" w:ascii="宋体" w:hAnsi="宋体"/>
          <w:color w:val="000000" w:themeColor="text1"/>
          <w:szCs w:val="24"/>
          <w14:textFill>
            <w14:solidFill>
              <w14:schemeClr w14:val="tx1"/>
            </w14:solidFill>
          </w14:textFill>
        </w:rPr>
        <w:t>磋商报价及币种</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_Toc3720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12</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70EF7914">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_Toc16103 </w:instrText>
      </w:r>
      <w:r>
        <w:rPr>
          <w:rFonts w:ascii="宋体" w:hAnsi="宋体"/>
          <w:bCs/>
          <w:color w:val="000000" w:themeColor="text1"/>
          <w14:textFill>
            <w14:solidFill>
              <w14:schemeClr w14:val="tx1"/>
            </w14:solidFill>
          </w14:textFill>
        </w:rPr>
        <w:fldChar w:fldCharType="separate"/>
      </w:r>
      <w:r>
        <w:rPr>
          <w:rFonts w:hint="default" w:ascii="宋体" w:hAnsi="宋体"/>
          <w:color w:val="000000" w:themeColor="text1"/>
          <w14:textFill>
            <w14:solidFill>
              <w14:schemeClr w14:val="tx1"/>
            </w14:solidFill>
          </w14:textFill>
        </w:rPr>
        <w:t xml:space="preserve">9、 </w:t>
      </w:r>
      <w:r>
        <w:rPr>
          <w:rFonts w:hint="eastAsia" w:ascii="宋体" w:hAnsi="宋体"/>
          <w:color w:val="000000" w:themeColor="text1"/>
          <w:szCs w:val="24"/>
          <w14:textFill>
            <w14:solidFill>
              <w14:schemeClr w14:val="tx1"/>
            </w14:solidFill>
          </w14:textFill>
        </w:rPr>
        <w:t>磋商保证金</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_Toc16103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12</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7305F52A">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_Toc20181 </w:instrText>
      </w:r>
      <w:r>
        <w:rPr>
          <w:rFonts w:ascii="宋体" w:hAnsi="宋体"/>
          <w:bCs/>
          <w:color w:val="000000" w:themeColor="text1"/>
          <w14:textFill>
            <w14:solidFill>
              <w14:schemeClr w14:val="tx1"/>
            </w14:solidFill>
          </w14:textFill>
        </w:rPr>
        <w:fldChar w:fldCharType="separate"/>
      </w:r>
      <w:r>
        <w:rPr>
          <w:rFonts w:hint="default" w:ascii="宋体" w:hAnsi="宋体"/>
          <w:color w:val="000000" w:themeColor="text1"/>
          <w:szCs w:val="24"/>
          <w14:textFill>
            <w14:solidFill>
              <w14:schemeClr w14:val="tx1"/>
            </w14:solidFill>
          </w14:textFill>
        </w:rPr>
        <w:t xml:space="preserve">10、 </w:t>
      </w:r>
      <w:r>
        <w:rPr>
          <w:rFonts w:ascii="宋体" w:hAnsi="宋体"/>
          <w:color w:val="000000" w:themeColor="text1"/>
          <w:szCs w:val="24"/>
          <w14:textFill>
            <w14:solidFill>
              <w14:schemeClr w14:val="tx1"/>
            </w14:solidFill>
          </w14:textFill>
        </w:rPr>
        <w:t>磋商有效期</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_Toc20181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13</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78D9F71C">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_Toc30240 </w:instrText>
      </w:r>
      <w:r>
        <w:rPr>
          <w:rFonts w:ascii="宋体" w:hAnsi="宋体"/>
          <w:bCs/>
          <w:color w:val="000000" w:themeColor="text1"/>
          <w14:textFill>
            <w14:solidFill>
              <w14:schemeClr w14:val="tx1"/>
            </w14:solidFill>
          </w14:textFill>
        </w:rPr>
        <w:fldChar w:fldCharType="separate"/>
      </w:r>
      <w:r>
        <w:rPr>
          <w:rFonts w:hint="default" w:ascii="宋体" w:hAnsi="宋体"/>
          <w:color w:val="000000" w:themeColor="text1"/>
          <w:szCs w:val="24"/>
          <w14:textFill>
            <w14:solidFill>
              <w14:schemeClr w14:val="tx1"/>
            </w14:solidFill>
          </w14:textFill>
        </w:rPr>
        <w:t xml:space="preserve">11、 </w:t>
      </w:r>
      <w:r>
        <w:rPr>
          <w:rFonts w:hint="eastAsia" w:ascii="宋体" w:hAnsi="宋体"/>
          <w:color w:val="000000" w:themeColor="text1"/>
          <w:szCs w:val="24"/>
          <w14:textFill>
            <w14:solidFill>
              <w14:schemeClr w14:val="tx1"/>
            </w14:solidFill>
          </w14:textFill>
        </w:rPr>
        <w:t>磋商响应文件的构成</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_Toc30240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13</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3175BE3F">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_Toc3182 </w:instrText>
      </w:r>
      <w:r>
        <w:rPr>
          <w:rFonts w:ascii="宋体" w:hAnsi="宋体"/>
          <w:bCs/>
          <w:color w:val="000000" w:themeColor="text1"/>
          <w14:textFill>
            <w14:solidFill>
              <w14:schemeClr w14:val="tx1"/>
            </w14:solidFill>
          </w14:textFill>
        </w:rPr>
        <w:fldChar w:fldCharType="separate"/>
      </w:r>
      <w:r>
        <w:rPr>
          <w:rFonts w:hint="default" w:ascii="宋体" w:hAnsi="宋体"/>
          <w:color w:val="000000" w:themeColor="text1"/>
          <w:szCs w:val="24"/>
          <w14:textFill>
            <w14:solidFill>
              <w14:schemeClr w14:val="tx1"/>
            </w14:solidFill>
          </w14:textFill>
        </w:rPr>
        <w:t xml:space="preserve">12、 </w:t>
      </w:r>
      <w:r>
        <w:rPr>
          <w:rFonts w:hint="eastAsia" w:ascii="宋体" w:hAnsi="宋体"/>
          <w:color w:val="000000" w:themeColor="text1"/>
          <w:szCs w:val="24"/>
          <w14:textFill>
            <w14:solidFill>
              <w14:schemeClr w14:val="tx1"/>
            </w14:solidFill>
          </w14:textFill>
        </w:rPr>
        <w:t>磋商响应文件的编制要求</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_Toc3182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14</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1B6C0554">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_Toc12454 </w:instrText>
      </w:r>
      <w:r>
        <w:rPr>
          <w:rFonts w:ascii="宋体" w:hAnsi="宋体"/>
          <w:bCs/>
          <w:color w:val="000000" w:themeColor="text1"/>
          <w14:textFill>
            <w14:solidFill>
              <w14:schemeClr w14:val="tx1"/>
            </w14:solidFill>
          </w14:textFill>
        </w:rPr>
        <w:fldChar w:fldCharType="separate"/>
      </w:r>
      <w:r>
        <w:rPr>
          <w:rFonts w:hint="eastAsia" w:hAnsi="宋体"/>
          <w:color w:val="000000" w:themeColor="text1"/>
          <w:szCs w:val="24"/>
          <w14:textFill>
            <w14:solidFill>
              <w14:schemeClr w14:val="tx1"/>
            </w14:solidFill>
          </w14:textFill>
        </w:rPr>
        <w:t>磋商响应文件的递交</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_Toc12454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14</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3C614F39">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_Toc11142 </w:instrText>
      </w:r>
      <w:r>
        <w:rPr>
          <w:rFonts w:ascii="宋体" w:hAnsi="宋体"/>
          <w:bCs/>
          <w:color w:val="000000" w:themeColor="text1"/>
          <w14:textFill>
            <w14:solidFill>
              <w14:schemeClr w14:val="tx1"/>
            </w14:solidFill>
          </w14:textFill>
        </w:rPr>
        <w:fldChar w:fldCharType="separate"/>
      </w:r>
      <w:r>
        <w:rPr>
          <w:rFonts w:hint="eastAsia" w:hAnsi="宋体"/>
          <w:color w:val="000000" w:themeColor="text1"/>
          <w:szCs w:val="24"/>
          <w14:textFill>
            <w14:solidFill>
              <w14:schemeClr w14:val="tx1"/>
            </w14:solidFill>
          </w14:textFill>
        </w:rPr>
        <w:t>磋商过程</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_Toc11142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14</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0F48AEC7">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_Toc28029 </w:instrText>
      </w:r>
      <w:r>
        <w:rPr>
          <w:rFonts w:ascii="宋体" w:hAnsi="宋体"/>
          <w:bCs/>
          <w:color w:val="000000" w:themeColor="text1"/>
          <w14:textFill>
            <w14:solidFill>
              <w14:schemeClr w14:val="tx1"/>
            </w14:solidFill>
          </w14:textFill>
        </w:rPr>
        <w:fldChar w:fldCharType="separate"/>
      </w:r>
      <w:r>
        <w:rPr>
          <w:rFonts w:hint="eastAsia" w:hAnsi="宋体"/>
          <w:color w:val="000000" w:themeColor="text1"/>
          <w:szCs w:val="24"/>
          <w14:textFill>
            <w14:solidFill>
              <w14:schemeClr w14:val="tx1"/>
            </w14:solidFill>
          </w14:textFill>
        </w:rPr>
        <w:t>资格审查</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_Toc28029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14</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46CB1E5C">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_Toc5188 </w:instrText>
      </w:r>
      <w:r>
        <w:rPr>
          <w:rFonts w:ascii="宋体" w:hAnsi="宋体"/>
          <w:bCs/>
          <w:color w:val="000000" w:themeColor="text1"/>
          <w14:textFill>
            <w14:solidFill>
              <w14:schemeClr w14:val="tx1"/>
            </w14:solidFill>
          </w14:textFill>
        </w:rPr>
        <w:fldChar w:fldCharType="separate"/>
      </w:r>
      <w:r>
        <w:rPr>
          <w:rFonts w:hint="eastAsia" w:hAnsi="宋体"/>
          <w:color w:val="000000" w:themeColor="text1"/>
          <w:szCs w:val="24"/>
          <w14:textFill>
            <w14:solidFill>
              <w14:schemeClr w14:val="tx1"/>
            </w14:solidFill>
          </w14:textFill>
        </w:rPr>
        <w:t>评审程序及方法</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_Toc5188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15</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519A1F71">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_Toc3226 </w:instrText>
      </w:r>
      <w:r>
        <w:rPr>
          <w:rFonts w:ascii="宋体" w:hAnsi="宋体"/>
          <w:bCs/>
          <w:color w:val="000000" w:themeColor="text1"/>
          <w14:textFill>
            <w14:solidFill>
              <w14:schemeClr w14:val="tx1"/>
            </w14:solidFill>
          </w14:textFill>
        </w:rPr>
        <w:fldChar w:fldCharType="separate"/>
      </w:r>
      <w:r>
        <w:rPr>
          <w:rFonts w:hint="default" w:ascii="宋体" w:hAnsi="宋体"/>
          <w:color w:val="000000" w:themeColor="text1"/>
          <w:szCs w:val="24"/>
          <w14:textFill>
            <w14:solidFill>
              <w14:schemeClr w14:val="tx1"/>
            </w14:solidFill>
          </w14:textFill>
        </w:rPr>
        <w:t xml:space="preserve">13、 </w:t>
      </w:r>
      <w:r>
        <w:rPr>
          <w:rFonts w:hint="eastAsia" w:ascii="宋体" w:hAnsi="宋体"/>
          <w:color w:val="000000" w:themeColor="text1"/>
          <w:szCs w:val="24"/>
          <w14:textFill>
            <w14:solidFill>
              <w14:schemeClr w14:val="tx1"/>
            </w14:solidFill>
          </w14:textFill>
        </w:rPr>
        <w:t>评标委员会</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_Toc3226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15</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1800536C">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_Toc1419 </w:instrText>
      </w:r>
      <w:r>
        <w:rPr>
          <w:rFonts w:ascii="宋体" w:hAnsi="宋体"/>
          <w:bCs/>
          <w:color w:val="000000" w:themeColor="text1"/>
          <w14:textFill>
            <w14:solidFill>
              <w14:schemeClr w14:val="tx1"/>
            </w14:solidFill>
          </w14:textFill>
        </w:rPr>
        <w:fldChar w:fldCharType="separate"/>
      </w:r>
      <w:r>
        <w:rPr>
          <w:rFonts w:hint="default" w:ascii="宋体" w:hAnsi="宋体"/>
          <w:color w:val="000000" w:themeColor="text1"/>
          <w:szCs w:val="24"/>
          <w14:textFill>
            <w14:solidFill>
              <w14:schemeClr w14:val="tx1"/>
            </w14:solidFill>
          </w14:textFill>
        </w:rPr>
        <w:t xml:space="preserve">14、 </w:t>
      </w:r>
      <w:r>
        <w:rPr>
          <w:rFonts w:hint="eastAsia" w:ascii="宋体" w:hAnsi="宋体"/>
          <w:color w:val="000000" w:themeColor="text1"/>
          <w:szCs w:val="24"/>
          <w14:textFill>
            <w14:solidFill>
              <w14:schemeClr w14:val="tx1"/>
            </w14:solidFill>
          </w14:textFill>
        </w:rPr>
        <w:t>磋商程序</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_Toc1419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16</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2C05D0EB">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_Toc15627 </w:instrText>
      </w:r>
      <w:r>
        <w:rPr>
          <w:rFonts w:ascii="宋体" w:hAnsi="宋体"/>
          <w:bCs/>
          <w:color w:val="000000" w:themeColor="text1"/>
          <w14:textFill>
            <w14:solidFill>
              <w14:schemeClr w14:val="tx1"/>
            </w14:solidFill>
          </w14:textFill>
        </w:rPr>
        <w:fldChar w:fldCharType="separate"/>
      </w:r>
      <w:r>
        <w:rPr>
          <w:rFonts w:hint="default" w:ascii="宋体" w:hAnsi="宋体"/>
          <w:color w:val="000000" w:themeColor="text1"/>
          <w:szCs w:val="24"/>
          <w14:textFill>
            <w14:solidFill>
              <w14:schemeClr w14:val="tx1"/>
            </w14:solidFill>
          </w14:textFill>
        </w:rPr>
        <w:t xml:space="preserve">15、 </w:t>
      </w:r>
      <w:r>
        <w:rPr>
          <w:rFonts w:hint="eastAsia" w:ascii="宋体" w:hAnsi="宋体"/>
          <w:color w:val="000000" w:themeColor="text1"/>
          <w:szCs w:val="24"/>
          <w14:textFill>
            <w14:solidFill>
              <w14:schemeClr w14:val="tx1"/>
            </w14:solidFill>
          </w14:textFill>
        </w:rPr>
        <w:t>评审办法</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_Toc15627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18</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0DCB0B11">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_Toc5889 </w:instrText>
      </w:r>
      <w:r>
        <w:rPr>
          <w:rFonts w:ascii="宋体" w:hAnsi="宋体"/>
          <w:bCs/>
          <w:color w:val="000000" w:themeColor="text1"/>
          <w14:textFill>
            <w14:solidFill>
              <w14:schemeClr w14:val="tx1"/>
            </w14:solidFill>
          </w14:textFill>
        </w:rPr>
        <w:fldChar w:fldCharType="separate"/>
      </w:r>
      <w:r>
        <w:rPr>
          <w:rFonts w:hint="eastAsia" w:hAnsi="宋体"/>
          <w:color w:val="000000" w:themeColor="text1"/>
          <w:szCs w:val="24"/>
          <w14:textFill>
            <w14:solidFill>
              <w14:schemeClr w14:val="tx1"/>
            </w14:solidFill>
          </w14:textFill>
        </w:rPr>
        <w:t>定标</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_Toc5889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20</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33B07C93">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_Toc4461 </w:instrText>
      </w:r>
      <w:r>
        <w:rPr>
          <w:rFonts w:ascii="宋体" w:hAnsi="宋体"/>
          <w:bCs/>
          <w:color w:val="000000" w:themeColor="text1"/>
          <w14:textFill>
            <w14:solidFill>
              <w14:schemeClr w14:val="tx1"/>
            </w14:solidFill>
          </w14:textFill>
        </w:rPr>
        <w:fldChar w:fldCharType="separate"/>
      </w:r>
      <w:r>
        <w:rPr>
          <w:rFonts w:hint="default" w:ascii="宋体" w:hAnsi="宋体"/>
          <w:color w:val="000000" w:themeColor="text1"/>
          <w:szCs w:val="24"/>
          <w14:textFill>
            <w14:solidFill>
              <w14:schemeClr w14:val="tx1"/>
            </w14:solidFill>
          </w14:textFill>
        </w:rPr>
        <w:t xml:space="preserve">16、 </w:t>
      </w:r>
      <w:r>
        <w:rPr>
          <w:rFonts w:hint="eastAsia" w:ascii="宋体" w:hAnsi="宋体"/>
          <w:color w:val="000000" w:themeColor="text1"/>
          <w:szCs w:val="24"/>
          <w14:textFill>
            <w14:solidFill>
              <w14:schemeClr w14:val="tx1"/>
            </w14:solidFill>
          </w14:textFill>
        </w:rPr>
        <w:t>推荐并确定成交磋商供应商</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_Toc4461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20</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5F6BE755">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_Toc11317 </w:instrText>
      </w:r>
      <w:r>
        <w:rPr>
          <w:rFonts w:ascii="宋体" w:hAnsi="宋体"/>
          <w:bCs/>
          <w:color w:val="000000" w:themeColor="text1"/>
          <w14:textFill>
            <w14:solidFill>
              <w14:schemeClr w14:val="tx1"/>
            </w14:solidFill>
          </w14:textFill>
        </w:rPr>
        <w:fldChar w:fldCharType="separate"/>
      </w:r>
      <w:r>
        <w:rPr>
          <w:rFonts w:hint="default" w:ascii="宋体" w:hAnsi="宋体"/>
          <w:color w:val="000000" w:themeColor="text1"/>
          <w:szCs w:val="24"/>
          <w14:textFill>
            <w14:solidFill>
              <w14:schemeClr w14:val="tx1"/>
            </w14:solidFill>
          </w14:textFill>
        </w:rPr>
        <w:t xml:space="preserve">17、 </w:t>
      </w:r>
      <w:r>
        <w:rPr>
          <w:rFonts w:hint="eastAsia" w:ascii="宋体" w:hAnsi="宋体"/>
          <w:color w:val="000000" w:themeColor="text1"/>
          <w:szCs w:val="24"/>
          <w14:textFill>
            <w14:solidFill>
              <w14:schemeClr w14:val="tx1"/>
            </w14:solidFill>
          </w14:textFill>
        </w:rPr>
        <w:t>成交通知</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_Toc11317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20</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02E9A714">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_Toc5353 </w:instrText>
      </w:r>
      <w:r>
        <w:rPr>
          <w:rFonts w:ascii="宋体" w:hAnsi="宋体"/>
          <w:bCs/>
          <w:color w:val="000000" w:themeColor="text1"/>
          <w14:textFill>
            <w14:solidFill>
              <w14:schemeClr w14:val="tx1"/>
            </w14:solidFill>
          </w14:textFill>
        </w:rPr>
        <w:fldChar w:fldCharType="separate"/>
      </w:r>
      <w:r>
        <w:rPr>
          <w:rFonts w:hint="eastAsia" w:hAnsi="宋体"/>
          <w:color w:val="000000" w:themeColor="text1"/>
          <w:szCs w:val="24"/>
          <w14:textFill>
            <w14:solidFill>
              <w14:schemeClr w14:val="tx1"/>
            </w14:solidFill>
          </w14:textFill>
        </w:rPr>
        <w:t>授予合同</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_Toc5353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21</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4B5381E9">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_Toc27160 </w:instrText>
      </w:r>
      <w:r>
        <w:rPr>
          <w:rFonts w:ascii="宋体" w:hAnsi="宋体"/>
          <w:bCs/>
          <w:color w:val="000000" w:themeColor="text1"/>
          <w14:textFill>
            <w14:solidFill>
              <w14:schemeClr w14:val="tx1"/>
            </w14:solidFill>
          </w14:textFill>
        </w:rPr>
        <w:fldChar w:fldCharType="separate"/>
      </w:r>
      <w:r>
        <w:rPr>
          <w:rFonts w:hint="default" w:ascii="宋体" w:hAnsi="宋体"/>
          <w:color w:val="000000" w:themeColor="text1"/>
          <w:szCs w:val="24"/>
          <w14:textFill>
            <w14:solidFill>
              <w14:schemeClr w14:val="tx1"/>
            </w14:solidFill>
          </w14:textFill>
        </w:rPr>
        <w:t xml:space="preserve">18、 </w:t>
      </w:r>
      <w:r>
        <w:rPr>
          <w:rFonts w:hint="eastAsia" w:ascii="宋体" w:hAnsi="宋体"/>
          <w:color w:val="000000" w:themeColor="text1"/>
          <w:szCs w:val="24"/>
          <w14:textFill>
            <w14:solidFill>
              <w14:schemeClr w14:val="tx1"/>
            </w14:solidFill>
          </w14:textFill>
        </w:rPr>
        <w:t>签订合同</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_Toc27160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21</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6B876C10">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_Toc19799 </w:instrText>
      </w:r>
      <w:r>
        <w:rPr>
          <w:rFonts w:ascii="宋体" w:hAnsi="宋体"/>
          <w:bCs/>
          <w:color w:val="000000" w:themeColor="text1"/>
          <w14:textFill>
            <w14:solidFill>
              <w14:schemeClr w14:val="tx1"/>
            </w14:solidFill>
          </w14:textFill>
        </w:rPr>
        <w:fldChar w:fldCharType="separate"/>
      </w:r>
      <w:r>
        <w:rPr>
          <w:rFonts w:hint="eastAsia" w:hAnsi="宋体"/>
          <w:color w:val="000000" w:themeColor="text1"/>
          <w:szCs w:val="24"/>
          <w14:textFill>
            <w14:solidFill>
              <w14:schemeClr w14:val="tx1"/>
            </w14:solidFill>
          </w14:textFill>
        </w:rPr>
        <w:t>废标条款</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_Toc19799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22</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0CADA140">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_Toc2344 </w:instrText>
      </w:r>
      <w:r>
        <w:rPr>
          <w:rFonts w:ascii="宋体" w:hAnsi="宋体"/>
          <w:bCs/>
          <w:color w:val="000000" w:themeColor="text1"/>
          <w14:textFill>
            <w14:solidFill>
              <w14:schemeClr w14:val="tx1"/>
            </w14:solidFill>
          </w14:textFill>
        </w:rPr>
        <w:fldChar w:fldCharType="separate"/>
      </w:r>
      <w:r>
        <w:rPr>
          <w:rFonts w:hint="default" w:ascii="宋体" w:hAnsi="宋体"/>
          <w:color w:val="000000" w:themeColor="text1"/>
          <w:szCs w:val="24"/>
          <w14:textFill>
            <w14:solidFill>
              <w14:schemeClr w14:val="tx1"/>
            </w14:solidFill>
          </w14:textFill>
        </w:rPr>
        <w:t xml:space="preserve">19、 </w:t>
      </w:r>
      <w:r>
        <w:rPr>
          <w:rFonts w:hint="eastAsia" w:ascii="宋体" w:hAnsi="宋体"/>
          <w:color w:val="000000" w:themeColor="text1"/>
          <w:szCs w:val="24"/>
          <w14:textFill>
            <w14:solidFill>
              <w14:schemeClr w14:val="tx1"/>
            </w14:solidFill>
          </w14:textFill>
        </w:rPr>
        <w:t>废标情形</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_Toc2344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22</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43C6BE7C">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_Toc15158 </w:instrText>
      </w:r>
      <w:r>
        <w:rPr>
          <w:rFonts w:ascii="宋体" w:hAnsi="宋体"/>
          <w:bCs/>
          <w:color w:val="000000" w:themeColor="text1"/>
          <w14:textFill>
            <w14:solidFill>
              <w14:schemeClr w14:val="tx1"/>
            </w14:solidFill>
          </w14:textFill>
        </w:rPr>
        <w:fldChar w:fldCharType="separate"/>
      </w:r>
      <w:r>
        <w:rPr>
          <w:rFonts w:hint="eastAsia" w:hAnsi="宋体"/>
          <w:color w:val="000000" w:themeColor="text1"/>
          <w:szCs w:val="24"/>
          <w14:textFill>
            <w14:solidFill>
              <w14:schemeClr w14:val="tx1"/>
            </w14:solidFill>
          </w14:textFill>
        </w:rPr>
        <w:t>其他</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_Toc15158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22</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724A748D">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_Toc29178 </w:instrText>
      </w:r>
      <w:r>
        <w:rPr>
          <w:rFonts w:ascii="宋体" w:hAnsi="宋体"/>
          <w:bCs/>
          <w:color w:val="000000" w:themeColor="text1"/>
          <w14:textFill>
            <w14:solidFill>
              <w14:schemeClr w14:val="tx1"/>
            </w14:solidFill>
          </w14:textFill>
        </w:rPr>
        <w:fldChar w:fldCharType="separate"/>
      </w:r>
      <w:r>
        <w:rPr>
          <w:rFonts w:hint="default" w:ascii="宋体" w:hAnsi="宋体"/>
          <w:color w:val="000000" w:themeColor="text1"/>
          <w:szCs w:val="24"/>
          <w14:textFill>
            <w14:solidFill>
              <w14:schemeClr w14:val="tx1"/>
            </w14:solidFill>
          </w14:textFill>
        </w:rPr>
        <w:t xml:space="preserve">20、 </w:t>
      </w:r>
      <w:r>
        <w:rPr>
          <w:rFonts w:hint="eastAsia" w:ascii="宋体" w:hAnsi="宋体"/>
          <w:color w:val="000000" w:themeColor="text1"/>
          <w:szCs w:val="24"/>
          <w14:textFill>
            <w14:solidFill>
              <w14:schemeClr w14:val="tx1"/>
            </w14:solidFill>
          </w14:textFill>
        </w:rPr>
        <w:t>串标情形</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_Toc29178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22</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739236CB">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_Toc11924 </w:instrText>
      </w:r>
      <w:r>
        <w:rPr>
          <w:rFonts w:ascii="宋体" w:hAnsi="宋体"/>
          <w:bCs/>
          <w:color w:val="000000" w:themeColor="text1"/>
          <w14:textFill>
            <w14:solidFill>
              <w14:schemeClr w14:val="tx1"/>
            </w14:solidFill>
          </w14:textFill>
        </w:rPr>
        <w:fldChar w:fldCharType="separate"/>
      </w:r>
      <w:r>
        <w:rPr>
          <w:rFonts w:hint="eastAsia" w:ascii="宋体" w:hAnsi="宋体"/>
          <w:color w:val="000000" w:themeColor="text1"/>
          <w:szCs w:val="48"/>
          <w14:textFill>
            <w14:solidFill>
              <w14:schemeClr w14:val="tx1"/>
            </w14:solidFill>
          </w14:textFill>
        </w:rPr>
        <w:t>第四部分青海省政府采购合同文本样式</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_Toc11924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24</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701AA0CC">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_Toc16132 </w:instrText>
      </w:r>
      <w:r>
        <w:rPr>
          <w:rFonts w:ascii="宋体" w:hAnsi="宋体"/>
          <w:bCs/>
          <w:color w:val="000000" w:themeColor="text1"/>
          <w14:textFill>
            <w14:solidFill>
              <w14:schemeClr w14:val="tx1"/>
            </w14:solidFill>
          </w14:textFill>
        </w:rPr>
        <w:fldChar w:fldCharType="separate"/>
      </w:r>
      <w:r>
        <w:rPr>
          <w:rFonts w:hint="eastAsia" w:ascii="宋体" w:hAnsi="宋体"/>
          <w:color w:val="000000" w:themeColor="text1"/>
          <w:szCs w:val="48"/>
          <w14:textFill>
            <w14:solidFill>
              <w14:schemeClr w14:val="tx1"/>
            </w14:solidFill>
          </w14:textFill>
        </w:rPr>
        <w:t>第五部分  磋商响应文件格式</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_Toc16132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38</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5DE303C2">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_Toc16422 </w:instrText>
      </w:r>
      <w:r>
        <w:rPr>
          <w:rFonts w:ascii="宋体" w:hAnsi="宋体"/>
          <w:bCs/>
          <w:color w:val="000000" w:themeColor="text1"/>
          <w14:textFill>
            <w14:solidFill>
              <w14:schemeClr w14:val="tx1"/>
            </w14:solidFill>
          </w14:textFill>
        </w:rPr>
        <w:fldChar w:fldCharType="separate"/>
      </w:r>
      <w:r>
        <w:rPr>
          <w:rFonts w:hint="eastAsia" w:hAnsi="宋体"/>
          <w:color w:val="000000" w:themeColor="text1"/>
          <w:szCs w:val="24"/>
          <w:lang w:val="zh-CN"/>
          <w14:textFill>
            <w14:solidFill>
              <w14:schemeClr w14:val="tx1"/>
            </w14:solidFill>
          </w14:textFill>
        </w:rPr>
        <w:t>磋商响应文件封面</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_Toc16422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39</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26473ACF">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_Toc21980 </w:instrText>
      </w:r>
      <w:r>
        <w:rPr>
          <w:rFonts w:ascii="宋体" w:hAnsi="宋体"/>
          <w:bCs/>
          <w:color w:val="000000" w:themeColor="text1"/>
          <w14:textFill>
            <w14:solidFill>
              <w14:schemeClr w14:val="tx1"/>
            </w14:solidFill>
          </w14:textFill>
        </w:rPr>
        <w:fldChar w:fldCharType="separate"/>
      </w:r>
      <w:r>
        <w:rPr>
          <w:rFonts w:hint="eastAsia" w:hAnsi="宋体"/>
          <w:color w:val="000000" w:themeColor="text1"/>
          <w:szCs w:val="24"/>
          <w:lang w:val="zh-CN"/>
          <w14:textFill>
            <w14:solidFill>
              <w14:schemeClr w14:val="tx1"/>
            </w14:solidFill>
          </w14:textFill>
        </w:rPr>
        <w:t>磋商响应文件目录</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_Toc21980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40</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08FBD129">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_Toc30742 </w:instrText>
      </w:r>
      <w:r>
        <w:rPr>
          <w:rFonts w:ascii="宋体" w:hAnsi="宋体"/>
          <w:bCs/>
          <w:color w:val="000000" w:themeColor="text1"/>
          <w14:textFill>
            <w14:solidFill>
              <w14:schemeClr w14:val="tx1"/>
            </w14:solidFill>
          </w14:textFill>
        </w:rPr>
        <w:fldChar w:fldCharType="separate"/>
      </w:r>
      <w:r>
        <w:rPr>
          <w:rFonts w:hint="eastAsia" w:hAnsi="宋体"/>
          <w:color w:val="000000" w:themeColor="text1"/>
          <w:szCs w:val="24"/>
          <w:lang w:val="zh-CN"/>
          <w14:textFill>
            <w14:solidFill>
              <w14:schemeClr w14:val="tx1"/>
            </w14:solidFill>
          </w14:textFill>
        </w:rPr>
        <w:t>格式1、磋商函</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_Toc30742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41</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3D0EBE93">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_Toc6981 </w:instrText>
      </w:r>
      <w:r>
        <w:rPr>
          <w:rFonts w:ascii="宋体" w:hAnsi="宋体"/>
          <w:bCs/>
          <w:color w:val="000000" w:themeColor="text1"/>
          <w14:textFill>
            <w14:solidFill>
              <w14:schemeClr w14:val="tx1"/>
            </w14:solidFill>
          </w14:textFill>
        </w:rPr>
        <w:fldChar w:fldCharType="separate"/>
      </w:r>
      <w:r>
        <w:rPr>
          <w:rFonts w:hint="eastAsia" w:hAnsi="宋体"/>
          <w:color w:val="000000" w:themeColor="text1"/>
          <w:szCs w:val="24"/>
          <w:lang w:val="zh-CN"/>
          <w14:textFill>
            <w14:solidFill>
              <w14:schemeClr w14:val="tx1"/>
            </w14:solidFill>
          </w14:textFill>
        </w:rPr>
        <w:t>格式2、法定代表人证明书</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_Toc6981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42</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1918AEA6">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_Toc14421 </w:instrText>
      </w:r>
      <w:r>
        <w:rPr>
          <w:rFonts w:ascii="宋体" w:hAnsi="宋体"/>
          <w:bCs/>
          <w:color w:val="000000" w:themeColor="text1"/>
          <w14:textFill>
            <w14:solidFill>
              <w14:schemeClr w14:val="tx1"/>
            </w14:solidFill>
          </w14:textFill>
        </w:rPr>
        <w:fldChar w:fldCharType="separate"/>
      </w:r>
      <w:r>
        <w:rPr>
          <w:rFonts w:hint="eastAsia" w:hAnsi="宋体"/>
          <w:color w:val="000000" w:themeColor="text1"/>
          <w:szCs w:val="24"/>
          <w:lang w:val="zh-CN"/>
          <w14:textFill>
            <w14:solidFill>
              <w14:schemeClr w14:val="tx1"/>
            </w14:solidFill>
          </w14:textFill>
        </w:rPr>
        <w:t>格式3、法定代表人授权书</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_Toc14421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43</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2CF08F1F">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_Toc8379 </w:instrText>
      </w:r>
      <w:r>
        <w:rPr>
          <w:rFonts w:ascii="宋体" w:hAnsi="宋体"/>
          <w:bCs/>
          <w:color w:val="000000" w:themeColor="text1"/>
          <w14:textFill>
            <w14:solidFill>
              <w14:schemeClr w14:val="tx1"/>
            </w14:solidFill>
          </w14:textFill>
        </w:rPr>
        <w:fldChar w:fldCharType="separate"/>
      </w:r>
      <w:r>
        <w:rPr>
          <w:rFonts w:hint="eastAsia" w:hAnsi="宋体"/>
          <w:color w:val="000000" w:themeColor="text1"/>
          <w:szCs w:val="24"/>
          <w:lang w:val="zh-CN"/>
          <w14:textFill>
            <w14:solidFill>
              <w14:schemeClr w14:val="tx1"/>
            </w14:solidFill>
          </w14:textFill>
        </w:rPr>
        <w:t>格式4、磋商供应商承诺书</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_Toc8379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44</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0AA17B2F">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_Toc28279 </w:instrText>
      </w:r>
      <w:r>
        <w:rPr>
          <w:rFonts w:ascii="宋体" w:hAnsi="宋体"/>
          <w:bCs/>
          <w:color w:val="000000" w:themeColor="text1"/>
          <w14:textFill>
            <w14:solidFill>
              <w14:schemeClr w14:val="tx1"/>
            </w14:solidFill>
          </w14:textFill>
        </w:rPr>
        <w:fldChar w:fldCharType="separate"/>
      </w:r>
      <w:r>
        <w:rPr>
          <w:rFonts w:hint="eastAsia" w:hAnsi="宋体"/>
          <w:color w:val="000000" w:themeColor="text1"/>
          <w:szCs w:val="24"/>
          <w:lang w:val="zh-CN"/>
          <w14:textFill>
            <w14:solidFill>
              <w14:schemeClr w14:val="tx1"/>
            </w14:solidFill>
          </w14:textFill>
        </w:rPr>
        <w:t>格式5、供应商诚信承诺书</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_Toc28279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45</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340D344F">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_Toc24424 </w:instrText>
      </w:r>
      <w:r>
        <w:rPr>
          <w:rFonts w:ascii="宋体" w:hAnsi="宋体"/>
          <w:bCs/>
          <w:color w:val="000000" w:themeColor="text1"/>
          <w14:textFill>
            <w14:solidFill>
              <w14:schemeClr w14:val="tx1"/>
            </w14:solidFill>
          </w14:textFill>
        </w:rPr>
        <w:fldChar w:fldCharType="separate"/>
      </w:r>
      <w:r>
        <w:rPr>
          <w:rFonts w:hint="eastAsia" w:hAnsi="宋体"/>
          <w:color w:val="000000" w:themeColor="text1"/>
          <w:szCs w:val="24"/>
          <w:lang w:val="zh-CN"/>
          <w14:textFill>
            <w14:solidFill>
              <w14:schemeClr w14:val="tx1"/>
            </w14:solidFill>
          </w14:textFill>
        </w:rPr>
        <w:t>格式6、资格证明材料</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_Toc24424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46</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0C281F1D">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_Toc29019 </w:instrText>
      </w:r>
      <w:r>
        <w:rPr>
          <w:rFonts w:ascii="宋体" w:hAnsi="宋体"/>
          <w:bCs/>
          <w:color w:val="000000" w:themeColor="text1"/>
          <w14:textFill>
            <w14:solidFill>
              <w14:schemeClr w14:val="tx1"/>
            </w14:solidFill>
          </w14:textFill>
        </w:rPr>
        <w:fldChar w:fldCharType="separate"/>
      </w:r>
      <w:r>
        <w:rPr>
          <w:rFonts w:hint="eastAsia" w:hAnsi="宋体"/>
          <w:color w:val="000000" w:themeColor="text1"/>
          <w:szCs w:val="24"/>
          <w:lang w:val="zh-CN"/>
          <w14:textFill>
            <w14:solidFill>
              <w14:schemeClr w14:val="tx1"/>
            </w14:solidFill>
          </w14:textFill>
        </w:rPr>
        <w:t>格式7、财务状况、缴纳税收和社会保障资金证明</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_Toc29019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47</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63B8CEAD">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_Toc29598 </w:instrText>
      </w:r>
      <w:r>
        <w:rPr>
          <w:rFonts w:ascii="宋体" w:hAnsi="宋体"/>
          <w:bCs/>
          <w:color w:val="000000" w:themeColor="text1"/>
          <w14:textFill>
            <w14:solidFill>
              <w14:schemeClr w14:val="tx1"/>
            </w14:solidFill>
          </w14:textFill>
        </w:rPr>
        <w:fldChar w:fldCharType="separate"/>
      </w:r>
      <w:r>
        <w:rPr>
          <w:rFonts w:hint="eastAsia" w:hAnsi="宋体"/>
          <w:color w:val="000000" w:themeColor="text1"/>
          <w:szCs w:val="24"/>
          <w:lang w:val="zh-CN"/>
          <w14:textFill>
            <w14:solidFill>
              <w14:schemeClr w14:val="tx1"/>
            </w14:solidFill>
          </w14:textFill>
        </w:rPr>
        <w:t>格式8、具备履行合同所必须的设备和专业技术能力证明</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_Toc29598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48</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5126DAB3">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_Toc20785 </w:instrText>
      </w:r>
      <w:r>
        <w:rPr>
          <w:rFonts w:ascii="宋体" w:hAnsi="宋体"/>
          <w:bCs/>
          <w:color w:val="000000" w:themeColor="text1"/>
          <w14:textFill>
            <w14:solidFill>
              <w14:schemeClr w14:val="tx1"/>
            </w14:solidFill>
          </w14:textFill>
        </w:rPr>
        <w:fldChar w:fldCharType="separate"/>
      </w:r>
      <w:r>
        <w:rPr>
          <w:rFonts w:hint="eastAsia" w:hAnsi="宋体"/>
          <w:color w:val="000000" w:themeColor="text1"/>
          <w:lang w:val="zh-CN"/>
          <w14:textFill>
            <w14:solidFill>
              <w14:schemeClr w14:val="tx1"/>
            </w14:solidFill>
          </w14:textFill>
        </w:rPr>
        <w:t>格式9、磋商保证金证明</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_Toc20785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49</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2E5F304F">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_Toc21664 </w:instrText>
      </w:r>
      <w:r>
        <w:rPr>
          <w:rFonts w:ascii="宋体" w:hAnsi="宋体"/>
          <w:bCs/>
          <w:color w:val="000000" w:themeColor="text1"/>
          <w14:textFill>
            <w14:solidFill>
              <w14:schemeClr w14:val="tx1"/>
            </w14:solidFill>
          </w14:textFill>
        </w:rPr>
        <w:fldChar w:fldCharType="separate"/>
      </w:r>
      <w:r>
        <w:rPr>
          <w:rFonts w:hint="eastAsia" w:hAnsi="宋体"/>
          <w:color w:val="000000" w:themeColor="text1"/>
          <w:szCs w:val="24"/>
          <w:lang w:val="zh-CN"/>
          <w14:textFill>
            <w14:solidFill>
              <w14:schemeClr w14:val="tx1"/>
            </w14:solidFill>
          </w14:textFill>
        </w:rPr>
        <w:t>格式</w:t>
      </w:r>
      <w:r>
        <w:rPr>
          <w:rFonts w:hint="eastAsia" w:hAnsi="宋体"/>
          <w:color w:val="000000" w:themeColor="text1"/>
          <w:szCs w:val="24"/>
          <w:lang w:val="en-US" w:eastAsia="zh-CN"/>
          <w14:textFill>
            <w14:solidFill>
              <w14:schemeClr w14:val="tx1"/>
            </w14:solidFill>
          </w14:textFill>
        </w:rPr>
        <w:t>10</w:t>
      </w:r>
      <w:r>
        <w:rPr>
          <w:rFonts w:hint="eastAsia" w:hAnsi="宋体"/>
          <w:color w:val="000000" w:themeColor="text1"/>
          <w:szCs w:val="24"/>
          <w:lang w:val="zh-CN"/>
          <w14:textFill>
            <w14:solidFill>
              <w14:schemeClr w14:val="tx1"/>
            </w14:solidFill>
          </w14:textFill>
        </w:rPr>
        <w:t>、无重大违法记录声明</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_Toc21664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50</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63FC11EC">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_Toc11548 </w:instrText>
      </w:r>
      <w:r>
        <w:rPr>
          <w:rFonts w:ascii="宋体" w:hAnsi="宋体"/>
          <w:bCs/>
          <w:color w:val="000000" w:themeColor="text1"/>
          <w14:textFill>
            <w14:solidFill>
              <w14:schemeClr w14:val="tx1"/>
            </w14:solidFill>
          </w14:textFill>
        </w:rPr>
        <w:fldChar w:fldCharType="separate"/>
      </w:r>
      <w:r>
        <w:rPr>
          <w:rFonts w:hint="eastAsia" w:hAnsi="宋体"/>
          <w:color w:val="000000" w:themeColor="text1"/>
          <w:szCs w:val="24"/>
          <w:lang w:val="zh-CN"/>
          <w14:textFill>
            <w14:solidFill>
              <w14:schemeClr w14:val="tx1"/>
            </w14:solidFill>
          </w14:textFill>
        </w:rPr>
        <w:t>格式1</w:t>
      </w:r>
      <w:r>
        <w:rPr>
          <w:rFonts w:hint="eastAsia" w:hAnsi="宋体"/>
          <w:color w:val="000000" w:themeColor="text1"/>
          <w:szCs w:val="24"/>
          <w:lang w:val="en-US" w:eastAsia="zh-CN"/>
          <w14:textFill>
            <w14:solidFill>
              <w14:schemeClr w14:val="tx1"/>
            </w14:solidFill>
          </w14:textFill>
        </w:rPr>
        <w:t>1</w:t>
      </w:r>
      <w:r>
        <w:rPr>
          <w:rFonts w:hint="eastAsia" w:hAnsi="宋体"/>
          <w:color w:val="000000" w:themeColor="text1"/>
          <w:szCs w:val="24"/>
          <w:lang w:val="zh-CN"/>
          <w14:textFill>
            <w14:solidFill>
              <w14:schemeClr w14:val="tx1"/>
            </w14:solidFill>
          </w14:textFill>
        </w:rPr>
        <w:t>、</w:t>
      </w:r>
      <w:r>
        <w:rPr>
          <w:rFonts w:hint="eastAsia" w:hAnsi="宋体"/>
          <w:color w:val="000000" w:themeColor="text1"/>
          <w:szCs w:val="24"/>
          <w14:textFill>
            <w14:solidFill>
              <w14:schemeClr w14:val="tx1"/>
            </w14:solidFill>
          </w14:textFill>
        </w:rPr>
        <w:t>竞争性磋商首次报价表</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_Toc11548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51</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244F0F0C">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_Toc29713 </w:instrText>
      </w:r>
      <w:r>
        <w:rPr>
          <w:rFonts w:ascii="宋体" w:hAnsi="宋体"/>
          <w:bCs/>
          <w:color w:val="000000" w:themeColor="text1"/>
          <w14:textFill>
            <w14:solidFill>
              <w14:schemeClr w14:val="tx1"/>
            </w14:solidFill>
          </w14:textFill>
        </w:rPr>
        <w:fldChar w:fldCharType="separate"/>
      </w:r>
      <w:r>
        <w:rPr>
          <w:rFonts w:hint="eastAsia" w:hAnsi="宋体"/>
          <w:color w:val="000000" w:themeColor="text1"/>
          <w:szCs w:val="24"/>
          <w:lang w:val="zh-CN"/>
          <w14:textFill>
            <w14:solidFill>
              <w14:schemeClr w14:val="tx1"/>
            </w14:solidFill>
          </w14:textFill>
        </w:rPr>
        <w:t>格式</w:t>
      </w:r>
      <w:r>
        <w:rPr>
          <w:rFonts w:hint="eastAsia" w:hAnsi="宋体"/>
          <w:color w:val="000000" w:themeColor="text1"/>
          <w:szCs w:val="24"/>
          <w:lang w:val="en-US" w:eastAsia="zh-CN"/>
          <w14:textFill>
            <w14:solidFill>
              <w14:schemeClr w14:val="tx1"/>
            </w14:solidFill>
          </w14:textFill>
        </w:rPr>
        <w:t>12</w:t>
      </w:r>
      <w:r>
        <w:rPr>
          <w:rFonts w:hint="eastAsia" w:hAnsi="宋体"/>
          <w:color w:val="000000" w:themeColor="text1"/>
          <w:szCs w:val="24"/>
          <w:lang w:val="zh-CN"/>
          <w14:textFill>
            <w14:solidFill>
              <w14:schemeClr w14:val="tx1"/>
            </w14:solidFill>
          </w14:textFill>
        </w:rPr>
        <w:t>、分项报价表</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_Toc29713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52</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261C67A7">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_Toc25319 </w:instrText>
      </w:r>
      <w:r>
        <w:rPr>
          <w:rFonts w:ascii="宋体" w:hAnsi="宋体"/>
          <w:bCs/>
          <w:color w:val="000000" w:themeColor="text1"/>
          <w14:textFill>
            <w14:solidFill>
              <w14:schemeClr w14:val="tx1"/>
            </w14:solidFill>
          </w14:textFill>
        </w:rPr>
        <w:fldChar w:fldCharType="separate"/>
      </w:r>
      <w:r>
        <w:rPr>
          <w:rFonts w:hint="eastAsia" w:hAnsi="宋体"/>
          <w:color w:val="000000" w:themeColor="text1"/>
          <w:szCs w:val="24"/>
          <w:lang w:val="zh-CN"/>
          <w14:textFill>
            <w14:solidFill>
              <w14:schemeClr w14:val="tx1"/>
            </w14:solidFill>
          </w14:textFill>
        </w:rPr>
        <w:t>格式1</w:t>
      </w:r>
      <w:r>
        <w:rPr>
          <w:rFonts w:hint="eastAsia" w:hAnsi="宋体"/>
          <w:color w:val="000000" w:themeColor="text1"/>
          <w:szCs w:val="24"/>
          <w:lang w:val="en-US" w:eastAsia="zh-CN"/>
          <w14:textFill>
            <w14:solidFill>
              <w14:schemeClr w14:val="tx1"/>
            </w14:solidFill>
          </w14:textFill>
        </w:rPr>
        <w:t>3</w:t>
      </w:r>
      <w:r>
        <w:rPr>
          <w:rFonts w:hint="eastAsia" w:hAnsi="宋体"/>
          <w:color w:val="000000" w:themeColor="text1"/>
          <w:szCs w:val="24"/>
          <w:lang w:val="zh-CN"/>
          <w14:textFill>
            <w14:solidFill>
              <w14:schemeClr w14:val="tx1"/>
            </w14:solidFill>
          </w14:textFill>
        </w:rPr>
        <w:t>、技术规格响应表</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_Toc25319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53</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4BB27B80">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_Toc27762 </w:instrText>
      </w:r>
      <w:r>
        <w:rPr>
          <w:rFonts w:ascii="宋体" w:hAnsi="宋体"/>
          <w:bCs/>
          <w:color w:val="000000" w:themeColor="text1"/>
          <w14:textFill>
            <w14:solidFill>
              <w14:schemeClr w14:val="tx1"/>
            </w14:solidFill>
          </w14:textFill>
        </w:rPr>
        <w:fldChar w:fldCharType="separate"/>
      </w:r>
      <w:r>
        <w:rPr>
          <w:rFonts w:hint="eastAsia" w:hAnsi="宋体"/>
          <w:color w:val="000000" w:themeColor="text1"/>
          <w:szCs w:val="24"/>
          <w:lang w:val="zh-CN"/>
          <w14:textFill>
            <w14:solidFill>
              <w14:schemeClr w14:val="tx1"/>
            </w14:solidFill>
          </w14:textFill>
        </w:rPr>
        <w:t>格式1</w:t>
      </w:r>
      <w:r>
        <w:rPr>
          <w:rFonts w:hint="eastAsia" w:hAnsi="宋体"/>
          <w:color w:val="000000" w:themeColor="text1"/>
          <w:szCs w:val="24"/>
          <w:lang w:val="en-US" w:eastAsia="zh-CN"/>
          <w14:textFill>
            <w14:solidFill>
              <w14:schemeClr w14:val="tx1"/>
            </w14:solidFill>
          </w14:textFill>
        </w:rPr>
        <w:t>4</w:t>
      </w:r>
      <w:r>
        <w:rPr>
          <w:rFonts w:hint="eastAsia" w:hAnsi="宋体"/>
          <w:color w:val="000000" w:themeColor="text1"/>
          <w:szCs w:val="24"/>
          <w:lang w:val="zh-CN"/>
          <w14:textFill>
            <w14:solidFill>
              <w14:schemeClr w14:val="tx1"/>
            </w14:solidFill>
          </w14:textFill>
        </w:rPr>
        <w:t>、磋商产品相关资料</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_Toc27762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54</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038827D1">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_Toc10781 </w:instrText>
      </w:r>
      <w:r>
        <w:rPr>
          <w:rFonts w:ascii="宋体" w:hAnsi="宋体"/>
          <w:bCs/>
          <w:color w:val="000000" w:themeColor="text1"/>
          <w14:textFill>
            <w14:solidFill>
              <w14:schemeClr w14:val="tx1"/>
            </w14:solidFill>
          </w14:textFill>
        </w:rPr>
        <w:fldChar w:fldCharType="separate"/>
      </w:r>
      <w:r>
        <w:rPr>
          <w:rFonts w:hint="eastAsia" w:hAnsi="宋体"/>
          <w:color w:val="000000" w:themeColor="text1"/>
          <w:szCs w:val="24"/>
          <w:lang w:val="zh-CN"/>
          <w14:textFill>
            <w14:solidFill>
              <w14:schemeClr w14:val="tx1"/>
            </w14:solidFill>
          </w14:textFill>
        </w:rPr>
        <w:t>格式</w:t>
      </w:r>
      <w:r>
        <w:rPr>
          <w:rFonts w:hint="eastAsia" w:hAnsi="宋体"/>
          <w:color w:val="000000" w:themeColor="text1"/>
          <w:szCs w:val="24"/>
          <w:lang w:val="en-US" w:eastAsia="zh-CN"/>
          <w14:textFill>
            <w14:solidFill>
              <w14:schemeClr w14:val="tx1"/>
            </w14:solidFill>
          </w14:textFill>
        </w:rPr>
        <w:t>15</w:t>
      </w:r>
      <w:r>
        <w:rPr>
          <w:rFonts w:hint="eastAsia" w:hAnsi="宋体"/>
          <w:color w:val="000000" w:themeColor="text1"/>
          <w:szCs w:val="24"/>
          <w:lang w:val="zh-CN"/>
          <w14:textFill>
            <w14:solidFill>
              <w14:schemeClr w14:val="tx1"/>
            </w14:solidFill>
          </w14:textFill>
        </w:rPr>
        <w:t>、磋商供应商的类似业绩证明材料</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_Toc10781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55</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2CFCC3C2">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_Toc3305 </w:instrText>
      </w:r>
      <w:r>
        <w:rPr>
          <w:rFonts w:ascii="宋体" w:hAnsi="宋体"/>
          <w:bCs/>
          <w:color w:val="000000" w:themeColor="text1"/>
          <w14:textFill>
            <w14:solidFill>
              <w14:schemeClr w14:val="tx1"/>
            </w14:solidFill>
          </w14:textFill>
        </w:rPr>
        <w:fldChar w:fldCharType="separate"/>
      </w:r>
      <w:r>
        <w:rPr>
          <w:rFonts w:hint="eastAsia" w:hAnsi="宋体"/>
          <w:color w:val="000000" w:themeColor="text1"/>
          <w:szCs w:val="24"/>
          <w:lang w:val="zh-CN"/>
          <w14:textFill>
            <w14:solidFill>
              <w14:schemeClr w14:val="tx1"/>
            </w14:solidFill>
          </w14:textFill>
        </w:rPr>
        <w:t>格式</w:t>
      </w:r>
      <w:r>
        <w:rPr>
          <w:rFonts w:hint="eastAsia" w:hAnsi="宋体"/>
          <w:color w:val="000000" w:themeColor="text1"/>
          <w:szCs w:val="24"/>
          <w:lang w:val="en-US" w:eastAsia="zh-CN"/>
          <w14:textFill>
            <w14:solidFill>
              <w14:schemeClr w14:val="tx1"/>
            </w14:solidFill>
          </w14:textFill>
        </w:rPr>
        <w:t>16</w:t>
      </w:r>
      <w:r>
        <w:rPr>
          <w:rFonts w:hint="eastAsia" w:hAnsi="宋体"/>
          <w:color w:val="000000" w:themeColor="text1"/>
          <w:szCs w:val="24"/>
          <w:lang w:val="zh-CN"/>
          <w14:textFill>
            <w14:solidFill>
              <w14:schemeClr w14:val="tx1"/>
            </w14:solidFill>
          </w14:textFill>
        </w:rPr>
        <w:t>、享受政府采购政策优惠的证明资料</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_Toc3305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56</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0398206B">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_Toc20744 </w:instrText>
      </w:r>
      <w:r>
        <w:rPr>
          <w:rFonts w:ascii="宋体" w:hAnsi="宋体"/>
          <w:bCs/>
          <w:color w:val="000000" w:themeColor="text1"/>
          <w14:textFill>
            <w14:solidFill>
              <w14:schemeClr w14:val="tx1"/>
            </w14:solidFill>
          </w14:textFill>
        </w:rPr>
        <w:fldChar w:fldCharType="separate"/>
      </w:r>
      <w:r>
        <w:rPr>
          <w:rFonts w:hint="eastAsia" w:hAnsi="宋体"/>
          <w:color w:val="000000" w:themeColor="text1"/>
          <w:szCs w:val="24"/>
          <w:lang w:val="zh-CN"/>
          <w14:textFill>
            <w14:solidFill>
              <w14:schemeClr w14:val="tx1"/>
            </w14:solidFill>
          </w14:textFill>
        </w:rPr>
        <w:t>格式1</w:t>
      </w:r>
      <w:r>
        <w:rPr>
          <w:rFonts w:hint="eastAsia" w:hAnsi="宋体"/>
          <w:color w:val="000000" w:themeColor="text1"/>
          <w:szCs w:val="24"/>
          <w:lang w:val="en-US" w:eastAsia="zh-CN"/>
          <w14:textFill>
            <w14:solidFill>
              <w14:schemeClr w14:val="tx1"/>
            </w14:solidFill>
          </w14:textFill>
        </w:rPr>
        <w:t>7</w:t>
      </w:r>
      <w:r>
        <w:rPr>
          <w:rFonts w:hint="eastAsia" w:hAnsi="宋体"/>
          <w:color w:val="000000" w:themeColor="text1"/>
          <w:szCs w:val="24"/>
          <w:lang w:val="zh-CN"/>
          <w14:textFill>
            <w14:solidFill>
              <w14:schemeClr w14:val="tx1"/>
            </w14:solidFill>
          </w14:textFill>
        </w:rPr>
        <w:t>、磋商供应商认为在其他方面有必要说明的事项</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_Toc20744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60</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2132E12D">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_Toc16212 </w:instrText>
      </w:r>
      <w:r>
        <w:rPr>
          <w:rFonts w:ascii="宋体" w:hAnsi="宋体"/>
          <w:bCs/>
          <w:color w:val="000000" w:themeColor="text1"/>
          <w14:textFill>
            <w14:solidFill>
              <w14:schemeClr w14:val="tx1"/>
            </w14:solidFill>
          </w14:textFill>
        </w:rPr>
        <w:fldChar w:fldCharType="separate"/>
      </w:r>
      <w:r>
        <w:rPr>
          <w:rFonts w:hAnsi="宋体"/>
          <w:color w:val="000000" w:themeColor="text1"/>
          <w:szCs w:val="24"/>
          <w:lang w:val="zh-CN"/>
          <w14:textFill>
            <w14:solidFill>
              <w14:schemeClr w14:val="tx1"/>
            </w14:solidFill>
          </w14:textFill>
        </w:rPr>
        <w:t>格式</w:t>
      </w:r>
      <w:r>
        <w:rPr>
          <w:rFonts w:hint="eastAsia" w:hAnsi="宋体"/>
          <w:color w:val="000000" w:themeColor="text1"/>
          <w:szCs w:val="24"/>
          <w:lang w:val="zh-CN"/>
          <w14:textFill>
            <w14:solidFill>
              <w14:schemeClr w14:val="tx1"/>
            </w14:solidFill>
          </w14:textFill>
        </w:rPr>
        <w:t>1</w:t>
      </w:r>
      <w:r>
        <w:rPr>
          <w:rFonts w:hint="eastAsia" w:hAnsi="宋体"/>
          <w:color w:val="000000" w:themeColor="text1"/>
          <w:szCs w:val="24"/>
          <w:lang w:val="en-US" w:eastAsia="zh-CN"/>
          <w14:textFill>
            <w14:solidFill>
              <w14:schemeClr w14:val="tx1"/>
            </w14:solidFill>
          </w14:textFill>
        </w:rPr>
        <w:t>8</w:t>
      </w:r>
      <w:r>
        <w:rPr>
          <w:rFonts w:hint="eastAsia" w:hAnsi="宋体"/>
          <w:color w:val="000000" w:themeColor="text1"/>
          <w:szCs w:val="24"/>
          <w:lang w:val="zh-CN"/>
          <w14:textFill>
            <w14:solidFill>
              <w14:schemeClr w14:val="tx1"/>
            </w14:solidFill>
          </w14:textFill>
        </w:rPr>
        <w:t>、磋商最终报价表</w:t>
      </w:r>
      <w:r>
        <w:rPr>
          <w:rFonts w:hint="eastAsia" w:hAnsi="宋体"/>
          <w:color w:val="000000" w:themeColor="text1"/>
          <w:szCs w:val="24"/>
          <w14:textFill>
            <w14:solidFill>
              <w14:schemeClr w14:val="tx1"/>
            </w14:solidFill>
          </w14:textFill>
        </w:rPr>
        <w:t>（单独提交）</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_Toc16212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61</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71E9D817">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_Toc997 </w:instrText>
      </w:r>
      <w:r>
        <w:rPr>
          <w:rFonts w:ascii="宋体" w:hAnsi="宋体"/>
          <w:bCs/>
          <w:color w:val="000000" w:themeColor="text1"/>
          <w14:textFill>
            <w14:solidFill>
              <w14:schemeClr w14:val="tx1"/>
            </w14:solidFill>
          </w14:textFill>
        </w:rPr>
        <w:fldChar w:fldCharType="separate"/>
      </w:r>
      <w:r>
        <w:rPr>
          <w:rFonts w:hint="eastAsia" w:ascii="宋体" w:hAnsi="宋体"/>
          <w:color w:val="000000" w:themeColor="text1"/>
          <w:szCs w:val="48"/>
          <w14:textFill>
            <w14:solidFill>
              <w14:schemeClr w14:val="tx1"/>
            </w14:solidFill>
          </w14:textFill>
        </w:rPr>
        <w:t>第六部分  采购项目要求及技术参数</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_Toc997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62</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776D1D57">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_Toc2438 </w:instrText>
      </w:r>
      <w:r>
        <w:rPr>
          <w:rFonts w:ascii="宋体" w:hAnsi="宋体"/>
          <w:bCs/>
          <w:color w:val="000000" w:themeColor="text1"/>
          <w14:textFill>
            <w14:solidFill>
              <w14:schemeClr w14:val="tx1"/>
            </w14:solidFill>
          </w14:textFill>
        </w:rPr>
        <w:fldChar w:fldCharType="separate"/>
      </w:r>
      <w:r>
        <w:rPr>
          <w:rFonts w:hint="eastAsia" w:hAnsi="宋体"/>
          <w:bCs/>
          <w:color w:val="000000" w:themeColor="text1"/>
          <w:kern w:val="0"/>
          <w:szCs w:val="24"/>
          <w14:textFill>
            <w14:solidFill>
              <w14:schemeClr w14:val="tx1"/>
            </w14:solidFill>
          </w14:textFill>
        </w:rPr>
        <w:t>一、磋商要求</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_Toc2438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62</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505E18BE">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_Toc14749 </w:instrText>
      </w:r>
      <w:r>
        <w:rPr>
          <w:rFonts w:ascii="宋体" w:hAnsi="宋体"/>
          <w:bCs/>
          <w:color w:val="000000" w:themeColor="text1"/>
          <w14:textFill>
            <w14:solidFill>
              <w14:schemeClr w14:val="tx1"/>
            </w14:solidFill>
          </w14:textFill>
        </w:rPr>
        <w:fldChar w:fldCharType="separate"/>
      </w:r>
      <w:r>
        <w:rPr>
          <w:rFonts w:hint="eastAsia" w:cs="宋体"/>
          <w:color w:val="000000" w:themeColor="text1"/>
          <w14:textFill>
            <w14:solidFill>
              <w14:schemeClr w14:val="tx1"/>
            </w14:solidFill>
          </w14:textFill>
        </w:rPr>
        <w:t>1.</w:t>
      </w:r>
      <w:r>
        <w:rPr>
          <w:rFonts w:hint="eastAsia" w:hAnsi="宋体" w:cs="宋体"/>
          <w:color w:val="000000" w:themeColor="text1"/>
          <w:szCs w:val="21"/>
          <w14:textFill>
            <w14:solidFill>
              <w14:schemeClr w14:val="tx1"/>
            </w14:solidFill>
          </w14:textFill>
        </w:rPr>
        <w:t>项目概况</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_Toc14749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63</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27B85D2A">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_Toc30105 </w:instrText>
      </w:r>
      <w:r>
        <w:rPr>
          <w:rFonts w:ascii="宋体" w:hAnsi="宋体"/>
          <w:bCs/>
          <w:color w:val="000000" w:themeColor="text1"/>
          <w14:textFill>
            <w14:solidFill>
              <w14:schemeClr w14:val="tx1"/>
            </w14:solidFill>
          </w14:textFill>
        </w:rPr>
        <w:fldChar w:fldCharType="separate"/>
      </w:r>
      <w:r>
        <w:rPr>
          <w:rFonts w:hint="eastAsia" w:hAnsi="宋体" w:cs="宋体"/>
          <w:color w:val="000000" w:themeColor="text1"/>
          <w:szCs w:val="21"/>
          <w14:textFill>
            <w14:solidFill>
              <w14:schemeClr w14:val="tx1"/>
            </w14:solidFill>
          </w14:textFill>
        </w:rPr>
        <w:t>2.建设内容</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_Toc30105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63</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53FDD143">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_Toc28494 </w:instrText>
      </w:r>
      <w:r>
        <w:rPr>
          <w:rFonts w:ascii="宋体" w:hAnsi="宋体"/>
          <w:bCs/>
          <w:color w:val="000000" w:themeColor="text1"/>
          <w14:textFill>
            <w14:solidFill>
              <w14:schemeClr w14:val="tx1"/>
            </w14:solidFill>
          </w14:textFill>
        </w:rPr>
        <w:fldChar w:fldCharType="separate"/>
      </w:r>
      <w:r>
        <w:rPr>
          <w:rFonts w:hAnsi="宋体" w:cs="宋体"/>
          <w:color w:val="000000" w:themeColor="text1"/>
          <w:szCs w:val="21"/>
          <w14:textFill>
            <w14:solidFill>
              <w14:schemeClr w14:val="tx1"/>
            </w14:solidFill>
          </w14:textFill>
        </w:rPr>
        <w:t xml:space="preserve">3. </w:t>
      </w:r>
      <w:r>
        <w:rPr>
          <w:rFonts w:hint="eastAsia" w:hAnsi="宋体" w:cs="宋体"/>
          <w:color w:val="000000" w:themeColor="text1"/>
          <w:szCs w:val="21"/>
          <w14:textFill>
            <w14:solidFill>
              <w14:schemeClr w14:val="tx1"/>
            </w14:solidFill>
          </w14:textFill>
        </w:rPr>
        <w:t>技术规格和配置要求</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_Toc28494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63</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6DEEF236">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_Toc481 </w:instrText>
      </w:r>
      <w:r>
        <w:rPr>
          <w:rFonts w:ascii="宋体" w:hAnsi="宋体"/>
          <w:bCs/>
          <w:color w:val="000000" w:themeColor="text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3.1系统设计要求</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_Toc481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63</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29F3BA23">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_Toc28932 </w:instrText>
      </w:r>
      <w:r>
        <w:rPr>
          <w:rFonts w:ascii="宋体" w:hAnsi="宋体"/>
          <w:bCs/>
          <w:color w:val="000000" w:themeColor="text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3.2康复数字化管理系统技术要求</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_Toc28932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63</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05747F78">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_Toc32050 </w:instrText>
      </w:r>
      <w:r>
        <w:rPr>
          <w:rFonts w:ascii="宋体" w:hAnsi="宋体"/>
          <w:bCs/>
          <w:color w:val="000000" w:themeColor="text1"/>
          <w14:textFill>
            <w14:solidFill>
              <w14:schemeClr w14:val="tx1"/>
            </w14:solidFill>
          </w14:textFill>
        </w:rPr>
        <w:fldChar w:fldCharType="separate"/>
      </w:r>
      <w:r>
        <w:rPr>
          <w:rFonts w:hint="eastAsia" w:hAnsi="宋体" w:cs="宋体"/>
          <w:color w:val="000000" w:themeColor="text1"/>
          <w:szCs w:val="21"/>
          <w14:textFill>
            <w14:solidFill>
              <w14:schemeClr w14:val="tx1"/>
            </w14:solidFill>
          </w14:textFill>
        </w:rPr>
        <w:t>4.系统、设备的安装、调试及上线</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_Toc32050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73</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55AEB773">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_Toc8532 </w:instrText>
      </w:r>
      <w:r>
        <w:rPr>
          <w:rFonts w:ascii="宋体" w:hAnsi="宋体"/>
          <w:bCs/>
          <w:color w:val="000000" w:themeColor="text1"/>
          <w14:textFill>
            <w14:solidFill>
              <w14:schemeClr w14:val="tx1"/>
            </w14:solidFill>
          </w14:textFill>
        </w:rPr>
        <w:fldChar w:fldCharType="separate"/>
      </w:r>
      <w:r>
        <w:rPr>
          <w:rFonts w:hint="eastAsia" w:hAnsi="宋体" w:cs="宋体"/>
          <w:color w:val="000000" w:themeColor="text1"/>
          <w:szCs w:val="21"/>
          <w14:textFill>
            <w14:solidFill>
              <w14:schemeClr w14:val="tx1"/>
            </w14:solidFill>
          </w14:textFill>
        </w:rPr>
        <w:t>5.履约验收方案</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_Toc8532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73</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16100B06">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_Toc6809 </w:instrText>
      </w:r>
      <w:r>
        <w:rPr>
          <w:rFonts w:ascii="宋体" w:hAnsi="宋体"/>
          <w:bCs/>
          <w:color w:val="000000" w:themeColor="text1"/>
          <w14:textFill>
            <w14:solidFill>
              <w14:schemeClr w14:val="tx1"/>
            </w14:solidFill>
          </w14:textFill>
        </w:rPr>
        <w:fldChar w:fldCharType="separate"/>
      </w:r>
      <w:r>
        <w:rPr>
          <w:rFonts w:hint="eastAsia" w:hAnsi="宋体" w:cs="宋体"/>
          <w:color w:val="000000" w:themeColor="text1"/>
          <w:szCs w:val="21"/>
          <w14:textFill>
            <w14:solidFill>
              <w14:schemeClr w14:val="tx1"/>
            </w14:solidFill>
          </w14:textFill>
        </w:rPr>
        <w:t>6.付款条件和方式</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_Toc6809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74</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3ADA1583">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_Toc32440 </w:instrText>
      </w:r>
      <w:r>
        <w:rPr>
          <w:rFonts w:ascii="宋体" w:hAnsi="宋体"/>
          <w:bCs/>
          <w:color w:val="000000" w:themeColor="text1"/>
          <w14:textFill>
            <w14:solidFill>
              <w14:schemeClr w14:val="tx1"/>
            </w14:solidFill>
          </w14:textFill>
        </w:rPr>
        <w:fldChar w:fldCharType="separate"/>
      </w:r>
      <w:r>
        <w:rPr>
          <w:rFonts w:hint="eastAsia" w:hAnsi="宋体" w:cs="宋体"/>
          <w:color w:val="000000" w:themeColor="text1"/>
          <w:szCs w:val="21"/>
          <w14:textFill>
            <w14:solidFill>
              <w14:schemeClr w14:val="tx1"/>
            </w14:solidFill>
          </w14:textFill>
        </w:rPr>
        <w:t>7.售后服务及培训</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_Toc32440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74</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679B45E9">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_Toc8133 </w:instrText>
      </w:r>
      <w:r>
        <w:rPr>
          <w:rFonts w:ascii="宋体" w:hAnsi="宋体"/>
          <w:bCs/>
          <w:color w:val="000000" w:themeColor="text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7.1售后服务</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_Toc8133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74</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4603B9A0">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_Toc23767 </w:instrText>
      </w:r>
      <w:r>
        <w:rPr>
          <w:rFonts w:ascii="宋体" w:hAnsi="宋体"/>
          <w:bCs/>
          <w:color w:val="000000" w:themeColor="text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7.2 培训</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_Toc23767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74</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283FD493">
      <w:pPr>
        <w:pStyle w:val="25"/>
        <w:tabs>
          <w:tab w:val="right" w:leader="dot" w:pos="9752"/>
          <w:tab w:val="clear" w:pos="8296"/>
        </w:tabs>
        <w:rPr>
          <w:color w:val="000000" w:themeColor="text1"/>
          <w14:textFill>
            <w14:solidFill>
              <w14:schemeClr w14:val="tx1"/>
            </w14:solidFill>
          </w14:textFill>
        </w:rPr>
      </w:pPr>
      <w:r>
        <w:rPr>
          <w:rFonts w:ascii="宋体" w:hAnsi="宋体"/>
          <w:bCs/>
          <w:color w:val="000000" w:themeColor="text1"/>
          <w14:textFill>
            <w14:solidFill>
              <w14:schemeClr w14:val="tx1"/>
            </w14:solidFill>
          </w14:textFill>
        </w:rPr>
        <w:fldChar w:fldCharType="begin"/>
      </w:r>
      <w:r>
        <w:rPr>
          <w:rFonts w:ascii="宋体" w:hAnsi="宋体"/>
          <w:bCs/>
          <w:color w:val="000000" w:themeColor="text1"/>
          <w14:textFill>
            <w14:solidFill>
              <w14:schemeClr w14:val="tx1"/>
            </w14:solidFill>
          </w14:textFill>
        </w:rPr>
        <w:instrText xml:space="preserve"> HYPERLINK \l _Toc27553 </w:instrText>
      </w:r>
      <w:r>
        <w:rPr>
          <w:rFonts w:ascii="宋体" w:hAnsi="宋体"/>
          <w:bCs/>
          <w:color w:val="000000" w:themeColor="text1"/>
          <w14:textFill>
            <w14:solidFill>
              <w14:schemeClr w14:val="tx1"/>
            </w14:solidFill>
          </w14:textFill>
        </w:rPr>
        <w:fldChar w:fldCharType="separate"/>
      </w:r>
      <w:r>
        <w:rPr>
          <w:rFonts w:hint="eastAsia" w:hAnsi="宋体" w:cs="宋体"/>
          <w:color w:val="000000" w:themeColor="text1"/>
          <w:szCs w:val="21"/>
          <w14:textFill>
            <w14:solidFill>
              <w14:schemeClr w14:val="tx1"/>
            </w14:solidFill>
          </w14:textFill>
        </w:rPr>
        <w:t>8.项目预算说明</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_Toc27553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74</w:t>
      </w:r>
      <w:r>
        <w:rPr>
          <w:color w:val="000000" w:themeColor="text1"/>
          <w14:textFill>
            <w14:solidFill>
              <w14:schemeClr w14:val="tx1"/>
            </w14:solidFill>
          </w14:textFill>
        </w:rPr>
        <w:fldChar w:fldCharType="end"/>
      </w:r>
      <w:r>
        <w:rPr>
          <w:rFonts w:ascii="宋体" w:hAnsi="宋体"/>
          <w:bCs/>
          <w:color w:val="000000" w:themeColor="text1"/>
          <w14:textFill>
            <w14:solidFill>
              <w14:schemeClr w14:val="tx1"/>
            </w14:solidFill>
          </w14:textFill>
        </w:rPr>
        <w:fldChar w:fldCharType="end"/>
      </w:r>
    </w:p>
    <w:p w14:paraId="52EC5AF5">
      <w:pPr>
        <w:pStyle w:val="25"/>
        <w:spacing w:line="360" w:lineRule="auto"/>
        <w:jc w:val="center"/>
        <w:rPr>
          <w:rFonts w:ascii="宋体" w:hAnsi="宋体"/>
          <w:bCs/>
          <w:color w:val="000000" w:themeColor="text1"/>
          <w:sz w:val="24"/>
          <w14:textFill>
            <w14:solidFill>
              <w14:schemeClr w14:val="tx1"/>
            </w14:solidFill>
          </w14:textFill>
        </w:rPr>
      </w:pPr>
      <w:r>
        <w:rPr>
          <w:rFonts w:ascii="宋体" w:hAnsi="宋体"/>
          <w:bCs/>
          <w:color w:val="000000" w:themeColor="text1"/>
          <w14:textFill>
            <w14:solidFill>
              <w14:schemeClr w14:val="tx1"/>
            </w14:solidFill>
          </w14:textFill>
        </w:rPr>
        <w:fldChar w:fldCharType="end"/>
      </w:r>
    </w:p>
    <w:p w14:paraId="4FA8043F">
      <w:pPr>
        <w:pStyle w:val="26"/>
        <w:spacing w:before="0" w:after="0" w:line="360" w:lineRule="auto"/>
        <w:rPr>
          <w:rFonts w:ascii="宋体" w:hAnsi="宋体"/>
          <w:color w:val="000000" w:themeColor="text1"/>
          <w:sz w:val="48"/>
          <w:szCs w:val="48"/>
          <w14:textFill>
            <w14:solidFill>
              <w14:schemeClr w14:val="tx1"/>
            </w14:solidFill>
          </w14:textFill>
        </w:rPr>
      </w:pPr>
      <w:r>
        <w:rPr>
          <w:rFonts w:ascii="宋体" w:hAnsi="宋体"/>
          <w:color w:val="000000" w:themeColor="text1"/>
          <w:sz w:val="24"/>
          <w:szCs w:val="24"/>
          <w14:textFill>
            <w14:solidFill>
              <w14:schemeClr w14:val="tx1"/>
            </w14:solidFill>
          </w14:textFill>
        </w:rPr>
        <w:br w:type="page"/>
      </w:r>
      <w:bookmarkStart w:id="1" w:name="_Toc21192"/>
      <w:bookmarkStart w:id="2" w:name="_Toc444715732"/>
      <w:bookmarkStart w:id="3" w:name="_Hlk503427406"/>
      <w:r>
        <w:rPr>
          <w:rFonts w:hint="eastAsia" w:ascii="宋体" w:hAnsi="宋体"/>
          <w:color w:val="000000" w:themeColor="text1"/>
          <w:sz w:val="48"/>
          <w:szCs w:val="48"/>
          <w14:textFill>
            <w14:solidFill>
              <w14:schemeClr w14:val="tx1"/>
            </w14:solidFill>
          </w14:textFill>
        </w:rPr>
        <w:t>第一部分   磋商邀请</w:t>
      </w:r>
      <w:bookmarkEnd w:id="1"/>
      <w:bookmarkEnd w:id="2"/>
    </w:p>
    <w:p w14:paraId="40174807">
      <w:pPr>
        <w:spacing w:line="360" w:lineRule="auto"/>
        <w:ind w:firstLine="480" w:firstLineChars="200"/>
        <w:rPr>
          <w:rFonts w:ascii="宋体" w:hAnsi="宋体" w:cs="宋体"/>
          <w:color w:val="000000" w:themeColor="text1"/>
          <w:sz w:val="24"/>
          <w:lang w:val="zh-CN"/>
          <w14:textFill>
            <w14:solidFill>
              <w14:schemeClr w14:val="tx1"/>
            </w14:solidFill>
          </w14:textFill>
        </w:rPr>
      </w:pPr>
      <w:bookmarkStart w:id="4" w:name="_Hlk503427571"/>
      <w:r>
        <w:rPr>
          <w:rFonts w:hint="eastAsia" w:ascii="宋体" w:hAnsi="宋体" w:cs="宋体"/>
          <w:color w:val="000000" w:themeColor="text1"/>
          <w:sz w:val="24"/>
          <w:lang w:val="zh-CN"/>
          <w14:textFill>
            <w14:solidFill>
              <w14:schemeClr w14:val="tx1"/>
            </w14:solidFill>
          </w14:textFill>
        </w:rPr>
        <w:t>青海国焱工程项目管理有限公司（以下均简称“采购代理机构”）受青海红十字医院（以下均简称“采购单位”）委托，拟对青海红十字医院康复数字化信息管理系统等三项（包一第二次）（采购项目编号：青海国焱竞磋（货物）2025-083号）进行国内竞争性磋商采购，现予以公告，欢迎潜在的磋商供应商参加本次政府采购活动。</w:t>
      </w:r>
    </w:p>
    <w:tbl>
      <w:tblPr>
        <w:tblStyle w:val="36"/>
        <w:tblW w:w="9669" w:type="dxa"/>
        <w:jc w:val="center"/>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Layout w:type="fixed"/>
        <w:tblCellMar>
          <w:top w:w="0" w:type="dxa"/>
          <w:left w:w="0" w:type="dxa"/>
          <w:bottom w:w="0" w:type="dxa"/>
          <w:right w:w="0" w:type="dxa"/>
        </w:tblCellMar>
      </w:tblPr>
      <w:tblGrid>
        <w:gridCol w:w="1944"/>
        <w:gridCol w:w="7725"/>
      </w:tblGrid>
      <w:tr w14:paraId="20A971EE">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90" w:hRule="atLeast"/>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5A29C961">
            <w:pPr>
              <w:pStyle w:val="52"/>
              <w:spacing w:line="360" w:lineRule="auto"/>
              <w:jc w:val="left"/>
              <w:rPr>
                <w:rFonts w:ascii="宋体" w:hAnsi="宋体" w:cs="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采购项目编号</w:t>
            </w:r>
          </w:p>
        </w:tc>
        <w:tc>
          <w:tcPr>
            <w:tcW w:w="7725" w:type="dxa"/>
            <w:tcBorders>
              <w:top w:val="outset" w:color="000000" w:sz="6" w:space="0"/>
              <w:left w:val="outset" w:color="000000" w:sz="6" w:space="0"/>
              <w:bottom w:val="outset" w:color="000000" w:sz="6" w:space="0"/>
              <w:right w:val="outset" w:color="000000" w:sz="6" w:space="0"/>
            </w:tcBorders>
            <w:vAlign w:val="center"/>
          </w:tcPr>
          <w:p w14:paraId="631AC8D8">
            <w:pPr>
              <w:pStyle w:val="52"/>
              <w:spacing w:line="360" w:lineRule="auto"/>
              <w:rPr>
                <w:rFonts w:ascii="宋体" w:hAnsi="宋体" w:cs="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青海国焱竞磋（货物）2025-083号</w:t>
            </w:r>
          </w:p>
        </w:tc>
      </w:tr>
      <w:tr w14:paraId="614B9DF8">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0B537D3A">
            <w:pPr>
              <w:pStyle w:val="52"/>
              <w:spacing w:line="360" w:lineRule="auto"/>
              <w:jc w:val="left"/>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采购项目名称</w:t>
            </w:r>
          </w:p>
        </w:tc>
        <w:tc>
          <w:tcPr>
            <w:tcW w:w="7725" w:type="dxa"/>
            <w:tcBorders>
              <w:top w:val="outset" w:color="000000" w:sz="6" w:space="0"/>
              <w:left w:val="outset" w:color="000000" w:sz="6" w:space="0"/>
              <w:bottom w:val="outset" w:color="000000" w:sz="6" w:space="0"/>
              <w:right w:val="outset" w:color="000000" w:sz="6" w:space="0"/>
            </w:tcBorders>
            <w:vAlign w:val="center"/>
          </w:tcPr>
          <w:p w14:paraId="2655D0EE">
            <w:pPr>
              <w:pStyle w:val="52"/>
              <w:spacing w:line="360" w:lineRule="auto"/>
              <w:rPr>
                <w:rFonts w:ascii="宋体" w:hAnsi="宋体" w:cs="Tahoma"/>
                <w:color w:val="000000" w:themeColor="text1"/>
                <w:sz w:val="24"/>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青海红十字医院康复数字化信息管理系统等三项（包一第二次）</w:t>
            </w:r>
          </w:p>
        </w:tc>
      </w:tr>
      <w:tr w14:paraId="1F70A75B">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478" w:hRule="atLeast"/>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3464795C">
            <w:pPr>
              <w:pStyle w:val="52"/>
              <w:spacing w:line="360" w:lineRule="auto"/>
              <w:jc w:val="left"/>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采购方式</w:t>
            </w:r>
          </w:p>
        </w:tc>
        <w:tc>
          <w:tcPr>
            <w:tcW w:w="7725" w:type="dxa"/>
            <w:tcBorders>
              <w:top w:val="outset" w:color="000000" w:sz="6" w:space="0"/>
              <w:left w:val="outset" w:color="000000" w:sz="6" w:space="0"/>
              <w:bottom w:val="outset" w:color="000000" w:sz="6" w:space="0"/>
              <w:right w:val="outset" w:color="000000" w:sz="6" w:space="0"/>
            </w:tcBorders>
            <w:vAlign w:val="center"/>
          </w:tcPr>
          <w:p w14:paraId="1E2A0DE2">
            <w:pPr>
              <w:pStyle w:val="52"/>
              <w:spacing w:line="360" w:lineRule="auto"/>
              <w:rPr>
                <w:rFonts w:ascii="宋体" w:hAnsi="宋体"/>
                <w:color w:val="000000" w:themeColor="text1"/>
                <w:kern w:val="0"/>
                <w:sz w:val="24"/>
                <w14:textFill>
                  <w14:solidFill>
                    <w14:schemeClr w14:val="tx1"/>
                  </w14:solidFill>
                </w14:textFill>
              </w:rPr>
            </w:pPr>
            <w:r>
              <w:rPr>
                <w:rFonts w:ascii="宋体" w:hAnsi="宋体"/>
                <w:color w:val="000000" w:themeColor="text1"/>
                <w:kern w:val="0"/>
                <w:sz w:val="24"/>
                <w14:textFill>
                  <w14:solidFill>
                    <w14:schemeClr w14:val="tx1"/>
                  </w14:solidFill>
                </w14:textFill>
              </w:rPr>
              <w:t>竞争性磋商</w:t>
            </w:r>
          </w:p>
        </w:tc>
      </w:tr>
      <w:tr w14:paraId="19EB94A6">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36D7FA5C">
            <w:pPr>
              <w:pStyle w:val="52"/>
              <w:spacing w:line="360" w:lineRule="auto"/>
              <w:jc w:val="left"/>
              <w:rPr>
                <w:rFonts w:hint="eastAsia"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采购预算控制额度</w:t>
            </w:r>
          </w:p>
        </w:tc>
        <w:tc>
          <w:tcPr>
            <w:tcW w:w="7725" w:type="dxa"/>
            <w:tcBorders>
              <w:top w:val="outset" w:color="000000" w:sz="6" w:space="0"/>
              <w:left w:val="outset" w:color="000000" w:sz="6" w:space="0"/>
              <w:bottom w:val="outset" w:color="000000" w:sz="6" w:space="0"/>
              <w:right w:val="outset" w:color="000000" w:sz="6" w:space="0"/>
            </w:tcBorders>
            <w:vAlign w:val="center"/>
          </w:tcPr>
          <w:p w14:paraId="574A610F">
            <w:pPr>
              <w:pStyle w:val="52"/>
              <w:spacing w:line="360" w:lineRule="auto"/>
              <w:jc w:val="left"/>
              <w:rPr>
                <w:rFonts w:hint="default" w:ascii="宋体" w:hAnsi="宋体"/>
                <w:color w:val="000000" w:themeColor="text1"/>
                <w:kern w:val="0"/>
                <w:sz w:val="24"/>
                <w:lang w:val="en-US" w:eastAsia="zh-CN"/>
                <w14:textFill>
                  <w14:solidFill>
                    <w14:schemeClr w14:val="tx1"/>
                  </w14:solidFill>
                </w14:textFill>
              </w:rPr>
            </w:pPr>
            <w:r>
              <w:rPr>
                <w:rFonts w:hint="eastAsia" w:ascii="宋体" w:hAnsi="宋体"/>
                <w:color w:val="000000" w:themeColor="text1"/>
                <w:kern w:val="0"/>
                <w:sz w:val="24"/>
                <w:lang w:val="en-US" w:eastAsia="zh-CN"/>
                <w14:textFill>
                  <w14:solidFill>
                    <w14:schemeClr w14:val="tx1"/>
                  </w14:solidFill>
                </w14:textFill>
              </w:rPr>
              <w:t>人民币</w:t>
            </w:r>
            <w:r>
              <w:rPr>
                <w:rFonts w:hint="eastAsia" w:ascii="宋体" w:hAnsi="宋体"/>
                <w:color w:val="000000" w:themeColor="text1"/>
                <w:kern w:val="0"/>
                <w:sz w:val="24"/>
                <w14:textFill>
                  <w14:solidFill>
                    <w14:schemeClr w14:val="tx1"/>
                  </w14:solidFill>
                </w14:textFill>
              </w:rPr>
              <w:t>225</w:t>
            </w:r>
            <w:r>
              <w:rPr>
                <w:rFonts w:hint="eastAsia" w:ascii="宋体" w:hAnsi="宋体"/>
                <w:color w:val="000000" w:themeColor="text1"/>
                <w:kern w:val="0"/>
                <w:sz w:val="24"/>
                <w:lang w:val="en-US" w:eastAsia="zh-CN"/>
                <w14:textFill>
                  <w14:solidFill>
                    <w14:schemeClr w14:val="tx1"/>
                  </w14:solidFill>
                </w14:textFill>
              </w:rPr>
              <w:t>万元（包一：</w:t>
            </w:r>
            <w:r>
              <w:rPr>
                <w:rFonts w:hint="eastAsia" w:ascii="宋体" w:hAnsi="宋体"/>
                <w:color w:val="000000" w:themeColor="text1"/>
                <w:kern w:val="0"/>
                <w:sz w:val="24"/>
                <w:lang w:eastAsia="zh-CN"/>
                <w14:textFill>
                  <w14:solidFill>
                    <w14:schemeClr w14:val="tx1"/>
                  </w14:solidFill>
                </w14:textFill>
              </w:rPr>
              <w:t>85万元</w:t>
            </w:r>
            <w:r>
              <w:rPr>
                <w:rFonts w:hint="eastAsia" w:ascii="宋体" w:hAnsi="宋体"/>
                <w:color w:val="000000" w:themeColor="text1"/>
                <w:kern w:val="0"/>
                <w:sz w:val="24"/>
                <w:lang w:val="en-US" w:eastAsia="zh-CN"/>
                <w14:textFill>
                  <w14:solidFill>
                    <w14:schemeClr w14:val="tx1"/>
                  </w14:solidFill>
                </w14:textFill>
              </w:rPr>
              <w:t>)</w:t>
            </w:r>
          </w:p>
        </w:tc>
      </w:tr>
      <w:tr w14:paraId="2E8C23BB">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4C931D63">
            <w:pPr>
              <w:pStyle w:val="52"/>
              <w:spacing w:line="360" w:lineRule="auto"/>
              <w:jc w:val="left"/>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项目分包个数</w:t>
            </w:r>
          </w:p>
        </w:tc>
        <w:tc>
          <w:tcPr>
            <w:tcW w:w="7725" w:type="dxa"/>
            <w:tcBorders>
              <w:top w:val="outset" w:color="000000" w:sz="6" w:space="0"/>
              <w:left w:val="outset" w:color="000000" w:sz="6" w:space="0"/>
              <w:bottom w:val="outset" w:color="000000" w:sz="6" w:space="0"/>
              <w:right w:val="outset" w:color="000000" w:sz="6" w:space="0"/>
            </w:tcBorders>
            <w:vAlign w:val="center"/>
          </w:tcPr>
          <w:p w14:paraId="1CF45326">
            <w:pPr>
              <w:pStyle w:val="52"/>
              <w:spacing w:line="360" w:lineRule="auto"/>
              <w:rPr>
                <w:rFonts w:hint="default" w:ascii="宋体" w:hAnsi="宋体" w:eastAsia="宋体"/>
                <w:color w:val="000000" w:themeColor="text1"/>
                <w:kern w:val="0"/>
                <w:sz w:val="24"/>
                <w:lang w:val="en-US" w:eastAsia="zh-CN"/>
                <w14:textFill>
                  <w14:solidFill>
                    <w14:schemeClr w14:val="tx1"/>
                  </w14:solidFill>
                </w14:textFill>
              </w:rPr>
            </w:pPr>
            <w:r>
              <w:rPr>
                <w:rFonts w:hint="eastAsia" w:ascii="宋体" w:hAnsi="宋体"/>
                <w:color w:val="000000" w:themeColor="text1"/>
                <w:kern w:val="0"/>
                <w:sz w:val="24"/>
                <w:lang w:val="en-US" w:eastAsia="zh-CN"/>
                <w14:textFill>
                  <w14:solidFill>
                    <w14:schemeClr w14:val="tx1"/>
                  </w14:solidFill>
                </w14:textFill>
              </w:rPr>
              <w:t>三个包</w:t>
            </w:r>
          </w:p>
        </w:tc>
      </w:tr>
      <w:tr w14:paraId="3E01026C">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446" w:hRule="atLeast"/>
          <w:jc w:val="center"/>
        </w:trPr>
        <w:tc>
          <w:tcPr>
            <w:tcW w:w="1944" w:type="dxa"/>
            <w:tcBorders>
              <w:top w:val="outset" w:color="000000" w:sz="6" w:space="0"/>
              <w:left w:val="outset" w:color="000000" w:sz="6" w:space="0"/>
              <w:right w:val="outset" w:color="000000" w:sz="6" w:space="0"/>
            </w:tcBorders>
            <w:vAlign w:val="center"/>
          </w:tcPr>
          <w:p w14:paraId="6655F419">
            <w:pPr>
              <w:pStyle w:val="52"/>
              <w:spacing w:line="360" w:lineRule="auto"/>
              <w:jc w:val="left"/>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项目要求</w:t>
            </w:r>
          </w:p>
        </w:tc>
        <w:tc>
          <w:tcPr>
            <w:tcW w:w="7725" w:type="dxa"/>
            <w:tcBorders>
              <w:top w:val="outset" w:color="000000" w:sz="6" w:space="0"/>
              <w:left w:val="outset" w:color="000000" w:sz="6" w:space="0"/>
              <w:right w:val="outset" w:color="000000" w:sz="6" w:space="0"/>
            </w:tcBorders>
            <w:vAlign w:val="center"/>
          </w:tcPr>
          <w:p w14:paraId="44B41292">
            <w:pPr>
              <w:pStyle w:val="95"/>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lang w:val="en-US" w:eastAsia="zh-CN"/>
                <w14:textFill>
                  <w14:solidFill>
                    <w14:schemeClr w14:val="tx1"/>
                  </w14:solidFill>
                </w14:textFill>
              </w:rPr>
              <w:t>本项目共分为三个包，本次采购包一（包一，康复数字化信息管理系统）；具体内容详见《磋商文件》</w:t>
            </w:r>
          </w:p>
        </w:tc>
      </w:tr>
      <w:tr w14:paraId="1277067E">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14ADB356">
            <w:pPr>
              <w:pStyle w:val="52"/>
              <w:spacing w:line="360" w:lineRule="auto"/>
              <w:jc w:val="left"/>
              <w:rPr>
                <w:rFonts w:ascii="宋体" w:hAnsi="宋体"/>
                <w:color w:val="000000" w:themeColor="text1"/>
                <w:kern w:val="0"/>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磋商供应商</w:t>
            </w:r>
            <w:r>
              <w:rPr>
                <w:rFonts w:hint="eastAsia" w:ascii="宋体" w:hAnsi="宋体"/>
                <w:color w:val="000000" w:themeColor="text1"/>
                <w:kern w:val="0"/>
                <w:sz w:val="24"/>
                <w14:textFill>
                  <w14:solidFill>
                    <w14:schemeClr w14:val="tx1"/>
                  </w14:solidFill>
                </w14:textFill>
              </w:rPr>
              <w:t>资格条件</w:t>
            </w:r>
          </w:p>
        </w:tc>
        <w:tc>
          <w:tcPr>
            <w:tcW w:w="7725" w:type="dxa"/>
            <w:tcBorders>
              <w:top w:val="outset" w:color="000000" w:sz="6" w:space="0"/>
              <w:left w:val="outset" w:color="000000" w:sz="6" w:space="0"/>
              <w:bottom w:val="outset" w:color="000000" w:sz="6" w:space="0"/>
              <w:right w:val="outset" w:color="000000" w:sz="6" w:space="0"/>
            </w:tcBorders>
            <w:vAlign w:val="center"/>
          </w:tcPr>
          <w:p w14:paraId="18B983EF">
            <w:pPr>
              <w:autoSpaceDE w:val="0"/>
              <w:autoSpaceDN w:val="0"/>
              <w:spacing w:line="360" w:lineRule="auto"/>
              <w:rPr>
                <w:rFonts w:ascii="宋体" w:hAnsi="宋体" w:cs="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1.符合《政府采购法》第22条条件，并提供下列材料：</w:t>
            </w:r>
          </w:p>
          <w:p w14:paraId="01307C61">
            <w:pPr>
              <w:autoSpaceDE w:val="0"/>
              <w:autoSpaceDN w:val="0"/>
              <w:spacing w:line="360" w:lineRule="auto"/>
              <w:rPr>
                <w:rFonts w:ascii="宋体" w:hAnsi="宋体" w:cs="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&lt;1&gt;磋商人的营业执照等证明文件，自然人的身份证明。</w:t>
            </w:r>
          </w:p>
          <w:p w14:paraId="0EBB41B7">
            <w:pPr>
              <w:autoSpaceDE w:val="0"/>
              <w:autoSpaceDN w:val="0"/>
              <w:spacing w:line="360" w:lineRule="auto"/>
              <w:rPr>
                <w:rFonts w:ascii="宋体" w:hAnsi="宋体" w:cs="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&lt;2&gt;财务状况报告，依法缴纳税收和社会保障资金的相关材料。</w:t>
            </w:r>
          </w:p>
          <w:p w14:paraId="04F021BA">
            <w:pPr>
              <w:autoSpaceDE w:val="0"/>
              <w:autoSpaceDN w:val="0"/>
              <w:spacing w:line="360" w:lineRule="auto"/>
              <w:rPr>
                <w:rFonts w:ascii="宋体" w:hAnsi="宋体" w:cs="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&lt;3&gt;具备履行合同所必需的设备和专业技术能力的证明材料。</w:t>
            </w:r>
          </w:p>
          <w:p w14:paraId="190ACF29">
            <w:pPr>
              <w:autoSpaceDE w:val="0"/>
              <w:autoSpaceDN w:val="0"/>
              <w:spacing w:line="360" w:lineRule="auto"/>
              <w:rPr>
                <w:rFonts w:ascii="宋体" w:hAnsi="宋体" w:cs="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&lt;4&gt;参加政府采购活动前3年内在经营活动中没有重大违法记录的书面声明。</w:t>
            </w:r>
          </w:p>
          <w:p w14:paraId="35971334">
            <w:pPr>
              <w:autoSpaceDE w:val="0"/>
              <w:autoSpaceDN w:val="0"/>
              <w:spacing w:line="360" w:lineRule="auto"/>
              <w:rPr>
                <w:rFonts w:ascii="宋体" w:hAnsi="宋体" w:cs="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&lt;5&gt;具备法律、行政法规规定的其他条件的证明材料 。</w:t>
            </w:r>
          </w:p>
          <w:p w14:paraId="7F68FA31">
            <w:pPr>
              <w:autoSpaceDE w:val="0"/>
              <w:autoSpaceDN w:val="0"/>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2.单位负责人为同一人或者存在直接控股、管理关系的不同磋商人，不得参加同一合同项下的政府采购活动。否则，皆取消投标资格；</w:t>
            </w:r>
          </w:p>
          <w:p w14:paraId="696AC77D">
            <w:pPr>
              <w:autoSpaceDE w:val="0"/>
              <w:autoSpaceDN w:val="0"/>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w:t>
            </w:r>
            <w:r>
              <w:rPr>
                <w:rFonts w:hint="eastAsia" w:ascii="宋体" w:hAnsi="宋体" w:cs="宋体"/>
                <w:color w:val="000000" w:themeColor="text1"/>
                <w:sz w:val="24"/>
                <w:lang w:val="zh-CN"/>
                <w14:textFill>
                  <w14:solidFill>
                    <w14:schemeClr w14:val="tx1"/>
                  </w14:solidFill>
                </w14:textFill>
              </w:rPr>
              <w:t>经信用中</w:t>
            </w:r>
            <w:r>
              <w:rPr>
                <w:rFonts w:hint="eastAsia" w:ascii="宋体" w:hAnsi="宋体" w:cs="宋体"/>
                <w:color w:val="000000" w:themeColor="text1"/>
                <w:sz w:val="24"/>
                <w14:textFill>
                  <w14:solidFill>
                    <w14:schemeClr w14:val="tx1"/>
                  </w14:solidFill>
                </w14:textFill>
              </w:rPr>
              <w:t>国（www.creditchina.gov.cn）、中国政府采购网（www.ccgp.gov.cn）等渠道查询后，列入失信被执行人、重大税收违法失信主体、政府采购严重违法失信行为记录名单的，取消投标资格(提供“信用中国”网站的查询截图)；</w:t>
            </w:r>
          </w:p>
          <w:p w14:paraId="253CFF15">
            <w:pPr>
              <w:autoSpaceDE w:val="0"/>
              <w:autoSpaceDN w:val="0"/>
              <w:spacing w:line="360" w:lineRule="auto"/>
              <w:rPr>
                <w:color w:val="000000" w:themeColor="text1"/>
                <w14:textFill>
                  <w14:solidFill>
                    <w14:schemeClr w14:val="tx1"/>
                  </w14:solidFill>
                </w14:textFill>
              </w:rPr>
            </w:pPr>
            <w:r>
              <w:rPr>
                <w:rFonts w:hint="eastAsia" w:ascii="宋体" w:hAnsi="宋体" w:cs="宋体"/>
                <w:color w:val="000000" w:themeColor="text1"/>
                <w:sz w:val="24"/>
                <w14:textFill>
                  <w14:solidFill>
                    <w14:schemeClr w14:val="tx1"/>
                  </w14:solidFill>
                </w14:textFill>
              </w:rPr>
              <w:t>4</w:t>
            </w:r>
            <w:r>
              <w:rPr>
                <w:rFonts w:hint="eastAsia" w:ascii="宋体" w:hAnsi="宋体" w:cs="宋体"/>
                <w:color w:val="000000" w:themeColor="text1"/>
                <w:sz w:val="24"/>
                <w:lang w:val="zh-CN"/>
                <w14:textFill>
                  <w14:solidFill>
                    <w14:schemeClr w14:val="tx1"/>
                  </w14:solidFill>
                </w14:textFill>
              </w:rPr>
              <w:t>.本项目不接受磋商人以联合体方式进行投标。</w:t>
            </w:r>
          </w:p>
        </w:tc>
      </w:tr>
      <w:tr w14:paraId="45824A57">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1AECB9B6">
            <w:pPr>
              <w:pStyle w:val="52"/>
              <w:spacing w:line="360" w:lineRule="auto"/>
              <w:jc w:val="left"/>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公告发布时间</w:t>
            </w:r>
          </w:p>
        </w:tc>
        <w:tc>
          <w:tcPr>
            <w:tcW w:w="7725" w:type="dxa"/>
            <w:tcBorders>
              <w:top w:val="outset" w:color="000000" w:sz="6" w:space="0"/>
              <w:left w:val="outset" w:color="000000" w:sz="6" w:space="0"/>
              <w:bottom w:val="outset" w:color="000000" w:sz="6" w:space="0"/>
              <w:right w:val="outset" w:color="000000" w:sz="6" w:space="0"/>
            </w:tcBorders>
            <w:vAlign w:val="center"/>
          </w:tcPr>
          <w:p w14:paraId="2FEC510C">
            <w:pPr>
              <w:pStyle w:val="52"/>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2025年0</w:t>
            </w:r>
            <w:r>
              <w:rPr>
                <w:rFonts w:hint="eastAsia" w:ascii="宋体" w:hAnsi="宋体"/>
                <w:color w:val="000000" w:themeColor="text1"/>
                <w:kern w:val="0"/>
                <w:sz w:val="24"/>
                <w:lang w:val="en-US" w:eastAsia="zh-CN"/>
                <w14:textFill>
                  <w14:solidFill>
                    <w14:schemeClr w14:val="tx1"/>
                  </w14:solidFill>
                </w14:textFill>
              </w:rPr>
              <w:t>3</w:t>
            </w:r>
            <w:r>
              <w:rPr>
                <w:rFonts w:hint="eastAsia" w:ascii="宋体" w:hAnsi="宋体"/>
                <w:color w:val="000000" w:themeColor="text1"/>
                <w:kern w:val="0"/>
                <w:sz w:val="24"/>
                <w14:textFill>
                  <w14:solidFill>
                    <w14:schemeClr w14:val="tx1"/>
                  </w14:solidFill>
                </w14:textFill>
              </w:rPr>
              <w:t>月</w:t>
            </w:r>
            <w:r>
              <w:rPr>
                <w:rFonts w:hint="eastAsia" w:ascii="宋体" w:hAnsi="宋体"/>
                <w:color w:val="000000" w:themeColor="text1"/>
                <w:kern w:val="0"/>
                <w:sz w:val="24"/>
                <w:lang w:val="en-US" w:eastAsia="zh-CN"/>
                <w14:textFill>
                  <w14:solidFill>
                    <w14:schemeClr w14:val="tx1"/>
                  </w14:solidFill>
                </w14:textFill>
              </w:rPr>
              <w:t>31</w:t>
            </w:r>
            <w:r>
              <w:rPr>
                <w:rFonts w:hint="eastAsia" w:ascii="宋体" w:hAnsi="宋体"/>
                <w:color w:val="000000" w:themeColor="text1"/>
                <w:kern w:val="0"/>
                <w:sz w:val="24"/>
                <w14:textFill>
                  <w14:solidFill>
                    <w14:schemeClr w14:val="tx1"/>
                  </w14:solidFill>
                </w14:textFill>
              </w:rPr>
              <w:t>日</w:t>
            </w:r>
          </w:p>
        </w:tc>
      </w:tr>
      <w:tr w14:paraId="7F559351">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cantSplit/>
          <w:jc w:val="center"/>
        </w:trPr>
        <w:tc>
          <w:tcPr>
            <w:tcW w:w="1944" w:type="dxa"/>
            <w:tcBorders>
              <w:top w:val="outset" w:color="000000" w:sz="6" w:space="0"/>
              <w:left w:val="outset" w:color="000000" w:sz="6" w:space="0"/>
              <w:bottom w:val="outset" w:color="000000" w:sz="6" w:space="0"/>
              <w:right w:val="outset" w:color="000000" w:sz="6" w:space="0"/>
            </w:tcBorders>
          </w:tcPr>
          <w:p w14:paraId="327A3E6C">
            <w:pPr>
              <w:pStyle w:val="52"/>
              <w:spacing w:line="360" w:lineRule="auto"/>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磋商文件发售起止时间</w:t>
            </w:r>
          </w:p>
        </w:tc>
        <w:tc>
          <w:tcPr>
            <w:tcW w:w="7725" w:type="dxa"/>
            <w:tcBorders>
              <w:top w:val="outset" w:color="000000" w:sz="6" w:space="0"/>
              <w:left w:val="outset" w:color="000000" w:sz="6" w:space="0"/>
              <w:bottom w:val="outset" w:color="000000" w:sz="6" w:space="0"/>
              <w:right w:val="outset" w:color="000000" w:sz="6" w:space="0"/>
            </w:tcBorders>
          </w:tcPr>
          <w:p w14:paraId="6EFCC2B0">
            <w:pPr>
              <w:pStyle w:val="52"/>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自2025年0</w:t>
            </w:r>
            <w:r>
              <w:rPr>
                <w:rFonts w:hint="eastAsia" w:ascii="宋体" w:hAnsi="宋体"/>
                <w:color w:val="000000" w:themeColor="text1"/>
                <w:kern w:val="0"/>
                <w:sz w:val="24"/>
                <w:lang w:val="en-US" w:eastAsia="zh-CN"/>
                <w14:textFill>
                  <w14:solidFill>
                    <w14:schemeClr w14:val="tx1"/>
                  </w14:solidFill>
                </w14:textFill>
              </w:rPr>
              <w:t>4</w:t>
            </w:r>
            <w:r>
              <w:rPr>
                <w:rFonts w:hint="eastAsia" w:ascii="宋体" w:hAnsi="宋体"/>
                <w:color w:val="000000" w:themeColor="text1"/>
                <w:kern w:val="0"/>
                <w:sz w:val="24"/>
                <w14:textFill>
                  <w14:solidFill>
                    <w14:schemeClr w14:val="tx1"/>
                  </w14:solidFill>
                </w14:textFill>
              </w:rPr>
              <w:t>月</w:t>
            </w:r>
            <w:r>
              <w:rPr>
                <w:rFonts w:hint="eastAsia" w:ascii="宋体" w:hAnsi="宋体"/>
                <w:color w:val="000000" w:themeColor="text1"/>
                <w:kern w:val="0"/>
                <w:sz w:val="24"/>
                <w:lang w:val="en-US" w:eastAsia="zh-CN"/>
                <w14:textFill>
                  <w14:solidFill>
                    <w14:schemeClr w14:val="tx1"/>
                  </w14:solidFill>
                </w14:textFill>
              </w:rPr>
              <w:t>01</w:t>
            </w:r>
            <w:r>
              <w:rPr>
                <w:rFonts w:hint="eastAsia" w:ascii="宋体" w:hAnsi="宋体"/>
                <w:color w:val="000000" w:themeColor="text1"/>
                <w:kern w:val="0"/>
                <w:sz w:val="24"/>
                <w14:textFill>
                  <w14:solidFill>
                    <w14:schemeClr w14:val="tx1"/>
                  </w14:solidFill>
                </w14:textFill>
              </w:rPr>
              <w:t>日至2025年0</w:t>
            </w:r>
            <w:r>
              <w:rPr>
                <w:rFonts w:hint="eastAsia" w:ascii="宋体" w:hAnsi="宋体"/>
                <w:color w:val="000000" w:themeColor="text1"/>
                <w:kern w:val="0"/>
                <w:sz w:val="24"/>
                <w:lang w:val="en-US" w:eastAsia="zh-CN"/>
                <w14:textFill>
                  <w14:solidFill>
                    <w14:schemeClr w14:val="tx1"/>
                  </w14:solidFill>
                </w14:textFill>
              </w:rPr>
              <w:t>4</w:t>
            </w:r>
            <w:r>
              <w:rPr>
                <w:rFonts w:hint="eastAsia" w:ascii="宋体" w:hAnsi="宋体"/>
                <w:color w:val="000000" w:themeColor="text1"/>
                <w:kern w:val="0"/>
                <w:sz w:val="24"/>
                <w14:textFill>
                  <w14:solidFill>
                    <w14:schemeClr w14:val="tx1"/>
                  </w14:solidFill>
                </w14:textFill>
              </w:rPr>
              <w:t>月</w:t>
            </w:r>
            <w:r>
              <w:rPr>
                <w:rFonts w:hint="eastAsia" w:ascii="宋体" w:hAnsi="宋体"/>
                <w:color w:val="000000" w:themeColor="text1"/>
                <w:kern w:val="0"/>
                <w:sz w:val="24"/>
                <w:lang w:val="en-US" w:eastAsia="zh-CN"/>
                <w14:textFill>
                  <w14:solidFill>
                    <w14:schemeClr w14:val="tx1"/>
                  </w14:solidFill>
                </w14:textFill>
              </w:rPr>
              <w:t>08</w:t>
            </w:r>
            <w:r>
              <w:rPr>
                <w:rFonts w:hint="eastAsia" w:ascii="宋体" w:hAnsi="宋体"/>
                <w:color w:val="000000" w:themeColor="text1"/>
                <w:kern w:val="0"/>
                <w:sz w:val="24"/>
                <w14:textFill>
                  <w14:solidFill>
                    <w14:schemeClr w14:val="tx1"/>
                  </w14:solidFill>
                </w14:textFill>
              </w:rPr>
              <w:t>日（上午0:00-12:00，下午12:</w:t>
            </w:r>
            <w:r>
              <w:rPr>
                <w:rFonts w:ascii="宋体" w:hAnsi="宋体"/>
                <w:color w:val="000000" w:themeColor="text1"/>
                <w:kern w:val="0"/>
                <w:sz w:val="24"/>
                <w14:textFill>
                  <w14:solidFill>
                    <w14:schemeClr w14:val="tx1"/>
                  </w14:solidFill>
                </w14:textFill>
              </w:rPr>
              <w:t>0</w:t>
            </w:r>
            <w:r>
              <w:rPr>
                <w:rFonts w:hint="eastAsia" w:ascii="宋体" w:hAnsi="宋体"/>
                <w:color w:val="000000" w:themeColor="text1"/>
                <w:kern w:val="0"/>
                <w:sz w:val="24"/>
                <w14:textFill>
                  <w14:solidFill>
                    <w14:schemeClr w14:val="tx1"/>
                  </w14:solidFill>
                </w14:textFill>
              </w:rPr>
              <w:t>0-23:59休息日、节假日除外）。</w:t>
            </w:r>
          </w:p>
        </w:tc>
      </w:tr>
      <w:tr w14:paraId="66B4B8AD">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26605A68">
            <w:pPr>
              <w:pStyle w:val="52"/>
              <w:spacing w:line="360" w:lineRule="auto"/>
              <w:jc w:val="left"/>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磋商文件发售方式</w:t>
            </w:r>
          </w:p>
        </w:tc>
        <w:tc>
          <w:tcPr>
            <w:tcW w:w="7725" w:type="dxa"/>
            <w:tcBorders>
              <w:top w:val="outset" w:color="000000" w:sz="6" w:space="0"/>
              <w:left w:val="outset" w:color="000000" w:sz="6" w:space="0"/>
              <w:bottom w:val="outset" w:color="000000" w:sz="6" w:space="0"/>
              <w:right w:val="outset" w:color="000000" w:sz="6" w:space="0"/>
            </w:tcBorders>
            <w:vAlign w:val="center"/>
          </w:tcPr>
          <w:p w14:paraId="4314BE81">
            <w:pPr>
              <w:pStyle w:val="52"/>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政采云线上报名，</w:t>
            </w:r>
            <w:r>
              <w:rPr>
                <w:rFonts w:ascii="宋体" w:hAnsi="宋体"/>
                <w:color w:val="000000" w:themeColor="text1"/>
                <w:kern w:val="0"/>
                <w:sz w:val="24"/>
                <w14:textFill>
                  <w14:solidFill>
                    <w14:schemeClr w14:val="tx1"/>
                  </w14:solidFill>
                </w14:textFill>
              </w:rPr>
              <w:t>供应商登录政采云平台</w:t>
            </w:r>
            <w:r>
              <w:rPr>
                <w:rFonts w:ascii="宋体" w:hAnsi="宋体"/>
                <w:color w:val="000000" w:themeColor="text1"/>
                <w:kern w:val="0"/>
                <w:sz w:val="24"/>
                <w14:textFill>
                  <w14:solidFill>
                    <w14:schemeClr w14:val="tx1"/>
                  </w14:solidFill>
                </w14:textFill>
              </w:rPr>
              <w:fldChar w:fldCharType="begin"/>
            </w:r>
            <w:r>
              <w:rPr>
                <w:rFonts w:ascii="宋体" w:hAnsi="宋体"/>
                <w:color w:val="000000" w:themeColor="text1"/>
                <w:kern w:val="0"/>
                <w:sz w:val="24"/>
                <w14:textFill>
                  <w14:solidFill>
                    <w14:schemeClr w14:val="tx1"/>
                  </w14:solidFill>
                </w14:textFill>
              </w:rPr>
              <w:instrText xml:space="preserve"> INCLUDEPICTURE "C:\\Users\\GY\\AppData\\Roaming\\Tencent\\QQTempSys\\%W@GJ$ACOF(TYDYECOKVDYB.png" \* MERGEFORMATINET </w:instrText>
            </w:r>
            <w:r>
              <w:rPr>
                <w:rFonts w:ascii="宋体" w:hAnsi="宋体"/>
                <w:color w:val="000000" w:themeColor="text1"/>
                <w:kern w:val="0"/>
                <w:sz w:val="24"/>
                <w14:textFill>
                  <w14:solidFill>
                    <w14:schemeClr w14:val="tx1"/>
                  </w14:solidFill>
                </w14:textFill>
              </w:rPr>
              <w:fldChar w:fldCharType="end"/>
            </w:r>
            <w:r>
              <w:rPr>
                <w:rFonts w:ascii="宋体" w:hAnsi="宋体"/>
                <w:color w:val="000000" w:themeColor="text1"/>
                <w:kern w:val="0"/>
                <w:sz w:val="24"/>
                <w14:textFill>
                  <w14:solidFill>
                    <w14:schemeClr w14:val="tx1"/>
                  </w14:solidFill>
                </w14:textFill>
              </w:rPr>
              <w:t>https://www.zcygov.cn/在线申请获取采购文件（进入“项目采购”应用，在获取采购文件菜单中选择项目，申请获取采购文件）</w:t>
            </w:r>
          </w:p>
          <w:p w14:paraId="506C7D45">
            <w:pPr>
              <w:pStyle w:val="52"/>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（提示：请潜在供应商报名前务必完成网上企业注册及CA锁办理等手续；具体操作详见附件操作指南）</w:t>
            </w:r>
          </w:p>
        </w:tc>
      </w:tr>
      <w:tr w14:paraId="1C38FF67">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78769673">
            <w:pPr>
              <w:pStyle w:val="52"/>
              <w:spacing w:line="360" w:lineRule="auto"/>
              <w:jc w:val="left"/>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磋商文件售价</w:t>
            </w:r>
          </w:p>
        </w:tc>
        <w:tc>
          <w:tcPr>
            <w:tcW w:w="7725" w:type="dxa"/>
            <w:tcBorders>
              <w:top w:val="outset" w:color="000000" w:sz="6" w:space="0"/>
              <w:left w:val="outset" w:color="000000" w:sz="6" w:space="0"/>
              <w:bottom w:val="outset" w:color="000000" w:sz="6" w:space="0"/>
              <w:right w:val="outset" w:color="000000" w:sz="6" w:space="0"/>
            </w:tcBorders>
            <w:vAlign w:val="center"/>
          </w:tcPr>
          <w:p w14:paraId="796C6B88">
            <w:pPr>
              <w:pStyle w:val="52"/>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0</w:t>
            </w:r>
          </w:p>
        </w:tc>
      </w:tr>
      <w:tr w14:paraId="732CFCDC">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41485891">
            <w:pPr>
              <w:pStyle w:val="52"/>
              <w:spacing w:line="360" w:lineRule="auto"/>
              <w:jc w:val="left"/>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磋商文件发售地点</w:t>
            </w:r>
          </w:p>
        </w:tc>
        <w:tc>
          <w:tcPr>
            <w:tcW w:w="7725" w:type="dxa"/>
            <w:tcBorders>
              <w:top w:val="outset" w:color="000000" w:sz="6" w:space="0"/>
              <w:left w:val="outset" w:color="000000" w:sz="6" w:space="0"/>
              <w:bottom w:val="outset" w:color="000000" w:sz="6" w:space="0"/>
              <w:right w:val="outset" w:color="000000" w:sz="6" w:space="0"/>
            </w:tcBorders>
            <w:vAlign w:val="center"/>
          </w:tcPr>
          <w:p w14:paraId="3E7076FA">
            <w:pPr>
              <w:pStyle w:val="52"/>
              <w:spacing w:line="360" w:lineRule="auto"/>
              <w:rPr>
                <w:rFonts w:ascii="宋体" w:hAnsi="宋体"/>
                <w:color w:val="000000" w:themeColor="text1"/>
                <w:kern w:val="0"/>
                <w:sz w:val="24"/>
                <w14:textFill>
                  <w14:solidFill>
                    <w14:schemeClr w14:val="tx1"/>
                  </w14:solidFill>
                </w14:textFill>
              </w:rPr>
            </w:pPr>
            <w:r>
              <w:rPr>
                <w:rFonts w:ascii="宋体" w:hAnsi="宋体"/>
                <w:color w:val="000000" w:themeColor="text1"/>
                <w:kern w:val="0"/>
                <w:sz w:val="24"/>
                <w14:textFill>
                  <w14:solidFill>
                    <w14:schemeClr w14:val="tx1"/>
                  </w14:solidFill>
                </w14:textFill>
              </w:rPr>
              <w:t>线上获取通过政采云平台（</w:t>
            </w:r>
            <w:r>
              <w:rPr>
                <w:rFonts w:ascii="宋体" w:hAnsi="宋体"/>
                <w:color w:val="000000" w:themeColor="text1"/>
                <w:kern w:val="0"/>
                <w:sz w:val="24"/>
                <w14:textFill>
                  <w14:solidFill>
                    <w14:schemeClr w14:val="tx1"/>
                  </w14:solidFill>
                </w14:textFill>
              </w:rPr>
              <w:drawing>
                <wp:inline distT="0" distB="0" distL="0" distR="0">
                  <wp:extent cx="189865" cy="146685"/>
                  <wp:effectExtent l="0" t="0" r="635" b="5715"/>
                  <wp:docPr id="1" name="图片 1" descr="%W@GJ$ACOF(TYDYECOKVDY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W@GJ$ACOF(TYDYECOKVDYB"/>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189865" cy="146685"/>
                          </a:xfrm>
                          <a:prstGeom prst="rect">
                            <a:avLst/>
                          </a:prstGeom>
                          <a:noFill/>
                          <a:ln>
                            <a:noFill/>
                          </a:ln>
                        </pic:spPr>
                      </pic:pic>
                    </a:graphicData>
                  </a:graphic>
                </wp:inline>
              </w:drawing>
            </w:r>
            <w:r>
              <w:rPr>
                <w:rFonts w:ascii="宋体" w:hAnsi="宋体"/>
                <w:color w:val="000000" w:themeColor="text1"/>
                <w:kern w:val="0"/>
                <w:sz w:val="24"/>
                <w14:textFill>
                  <w14:solidFill>
                    <w14:schemeClr w14:val="tx1"/>
                  </w14:solidFill>
                </w14:textFill>
              </w:rPr>
              <w:t>www.zcygov.cn）获取</w:t>
            </w:r>
          </w:p>
        </w:tc>
      </w:tr>
      <w:tr w14:paraId="7DE38167">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6088502C">
            <w:pPr>
              <w:pStyle w:val="52"/>
              <w:spacing w:line="360" w:lineRule="auto"/>
              <w:jc w:val="left"/>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磋商截止时间</w:t>
            </w:r>
          </w:p>
        </w:tc>
        <w:tc>
          <w:tcPr>
            <w:tcW w:w="7725" w:type="dxa"/>
            <w:tcBorders>
              <w:top w:val="outset" w:color="000000" w:sz="6" w:space="0"/>
              <w:left w:val="outset" w:color="000000" w:sz="6" w:space="0"/>
              <w:bottom w:val="outset" w:color="000000" w:sz="6" w:space="0"/>
              <w:right w:val="outset" w:color="000000" w:sz="6" w:space="0"/>
            </w:tcBorders>
            <w:vAlign w:val="center"/>
          </w:tcPr>
          <w:p w14:paraId="28D7899B">
            <w:pPr>
              <w:pStyle w:val="52"/>
              <w:spacing w:line="360" w:lineRule="auto"/>
              <w:rPr>
                <w:rFonts w:hint="eastAsia" w:ascii="宋体" w:hAnsi="宋体" w:eastAsia="宋体"/>
                <w:color w:val="000000" w:themeColor="text1"/>
                <w:kern w:val="0"/>
                <w:sz w:val="24"/>
                <w:lang w:eastAsia="zh-CN"/>
                <w14:textFill>
                  <w14:solidFill>
                    <w14:schemeClr w14:val="tx1"/>
                  </w14:solidFill>
                </w14:textFill>
              </w:rPr>
            </w:pPr>
            <w:r>
              <w:rPr>
                <w:rFonts w:hint="eastAsia" w:ascii="宋体" w:hAnsi="宋体"/>
                <w:color w:val="000000" w:themeColor="text1"/>
                <w:kern w:val="0"/>
                <w:sz w:val="24"/>
                <w:lang w:eastAsia="zh-CN"/>
                <w14:textFill>
                  <w14:solidFill>
                    <w14:schemeClr w14:val="tx1"/>
                  </w14:solidFill>
                </w14:textFill>
              </w:rPr>
              <w:t>2025年04月</w:t>
            </w:r>
            <w:r>
              <w:rPr>
                <w:rFonts w:hint="eastAsia" w:ascii="宋体" w:hAnsi="宋体"/>
                <w:color w:val="000000" w:themeColor="text1"/>
                <w:kern w:val="0"/>
                <w:sz w:val="24"/>
                <w:lang w:val="en-US" w:eastAsia="zh-CN"/>
                <w14:textFill>
                  <w14:solidFill>
                    <w14:schemeClr w14:val="tx1"/>
                  </w14:solidFill>
                </w14:textFill>
              </w:rPr>
              <w:t>11</w:t>
            </w:r>
            <w:r>
              <w:rPr>
                <w:rFonts w:hint="eastAsia" w:ascii="宋体" w:hAnsi="宋体"/>
                <w:color w:val="000000" w:themeColor="text1"/>
                <w:kern w:val="0"/>
                <w:sz w:val="24"/>
                <w:lang w:eastAsia="zh-CN"/>
                <w14:textFill>
                  <w14:solidFill>
                    <w14:schemeClr w14:val="tx1"/>
                  </w14:solidFill>
                </w14:textFill>
              </w:rPr>
              <w:t>日</w:t>
            </w:r>
            <w:r>
              <w:rPr>
                <w:rFonts w:hint="eastAsia" w:ascii="宋体" w:hAnsi="宋体"/>
                <w:color w:val="000000" w:themeColor="text1"/>
                <w:kern w:val="0"/>
                <w:sz w:val="24"/>
                <w:lang w:val="en-US" w:eastAsia="zh-CN"/>
                <w14:textFill>
                  <w14:solidFill>
                    <w14:schemeClr w14:val="tx1"/>
                  </w14:solidFill>
                </w14:textFill>
              </w:rPr>
              <w:t>下</w:t>
            </w:r>
            <w:r>
              <w:rPr>
                <w:rFonts w:hint="eastAsia" w:ascii="宋体" w:hAnsi="宋体"/>
                <w:color w:val="000000" w:themeColor="text1"/>
                <w:kern w:val="0"/>
                <w:sz w:val="24"/>
                <w:lang w:eastAsia="zh-CN"/>
                <w14:textFill>
                  <w14:solidFill>
                    <w14:schemeClr w14:val="tx1"/>
                  </w14:solidFill>
                </w14:textFill>
              </w:rPr>
              <w:t>午</w:t>
            </w:r>
            <w:r>
              <w:rPr>
                <w:rFonts w:hint="eastAsia" w:ascii="宋体" w:hAnsi="宋体"/>
                <w:color w:val="000000" w:themeColor="text1"/>
                <w:kern w:val="0"/>
                <w:sz w:val="24"/>
                <w:lang w:val="en-US" w:eastAsia="zh-CN"/>
                <w14:textFill>
                  <w14:solidFill>
                    <w14:schemeClr w14:val="tx1"/>
                  </w14:solidFill>
                </w14:textFill>
              </w:rPr>
              <w:t>14</w:t>
            </w:r>
            <w:r>
              <w:rPr>
                <w:rFonts w:hint="eastAsia" w:ascii="宋体" w:hAnsi="宋体"/>
                <w:color w:val="000000" w:themeColor="text1"/>
                <w:kern w:val="0"/>
                <w:sz w:val="24"/>
                <w:lang w:eastAsia="zh-CN"/>
                <w14:textFill>
                  <w14:solidFill>
                    <w14:schemeClr w14:val="tx1"/>
                  </w14:solidFill>
                </w14:textFill>
              </w:rPr>
              <w:t>:30（北京时间）</w:t>
            </w:r>
          </w:p>
        </w:tc>
      </w:tr>
      <w:tr w14:paraId="6346C6A8">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66AD70C2">
            <w:pPr>
              <w:pStyle w:val="52"/>
              <w:spacing w:line="360" w:lineRule="auto"/>
              <w:jc w:val="left"/>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磋商时间</w:t>
            </w:r>
          </w:p>
        </w:tc>
        <w:tc>
          <w:tcPr>
            <w:tcW w:w="7725" w:type="dxa"/>
            <w:tcBorders>
              <w:top w:val="outset" w:color="000000" w:sz="6" w:space="0"/>
              <w:left w:val="outset" w:color="000000" w:sz="6" w:space="0"/>
              <w:bottom w:val="outset" w:color="000000" w:sz="6" w:space="0"/>
              <w:right w:val="outset" w:color="000000" w:sz="6" w:space="0"/>
            </w:tcBorders>
            <w:vAlign w:val="center"/>
          </w:tcPr>
          <w:p w14:paraId="2C9CF159">
            <w:pPr>
              <w:pStyle w:val="52"/>
              <w:spacing w:line="360" w:lineRule="auto"/>
              <w:rPr>
                <w:rFonts w:hint="eastAsia" w:ascii="宋体" w:hAnsi="宋体" w:eastAsia="宋体"/>
                <w:color w:val="000000" w:themeColor="text1"/>
                <w:kern w:val="0"/>
                <w:sz w:val="24"/>
                <w:lang w:eastAsia="zh-CN"/>
                <w14:textFill>
                  <w14:solidFill>
                    <w14:schemeClr w14:val="tx1"/>
                  </w14:solidFill>
                </w14:textFill>
              </w:rPr>
            </w:pPr>
            <w:r>
              <w:rPr>
                <w:rFonts w:hint="eastAsia" w:ascii="宋体" w:hAnsi="宋体"/>
                <w:color w:val="000000" w:themeColor="text1"/>
                <w:kern w:val="0"/>
                <w:sz w:val="24"/>
                <w:lang w:eastAsia="zh-CN"/>
                <w14:textFill>
                  <w14:solidFill>
                    <w14:schemeClr w14:val="tx1"/>
                  </w14:solidFill>
                </w14:textFill>
              </w:rPr>
              <w:t>2025年04月11日下午14:30（北京时间）</w:t>
            </w:r>
          </w:p>
        </w:tc>
      </w:tr>
      <w:tr w14:paraId="2EF7AEAB">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638AD274">
            <w:pPr>
              <w:pStyle w:val="52"/>
              <w:spacing w:line="360" w:lineRule="auto"/>
              <w:jc w:val="left"/>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磋商及磋商地点</w:t>
            </w:r>
          </w:p>
        </w:tc>
        <w:tc>
          <w:tcPr>
            <w:tcW w:w="7725" w:type="dxa"/>
            <w:tcBorders>
              <w:top w:val="outset" w:color="000000" w:sz="6" w:space="0"/>
              <w:left w:val="outset" w:color="000000" w:sz="6" w:space="0"/>
              <w:bottom w:val="outset" w:color="000000" w:sz="6" w:space="0"/>
              <w:right w:val="outset" w:color="000000" w:sz="6" w:space="0"/>
            </w:tcBorders>
            <w:vAlign w:val="center"/>
          </w:tcPr>
          <w:p w14:paraId="5CEB85F4">
            <w:pPr>
              <w:pStyle w:val="52"/>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西宁市城西区盐湖巷6号10号楼（城西区总部经济大厦)16楼青海国焱工程项目管理有限公司</w:t>
            </w:r>
          </w:p>
        </w:tc>
      </w:tr>
      <w:tr w14:paraId="60D06015">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3AD9AFA6">
            <w:pPr>
              <w:pStyle w:val="52"/>
              <w:spacing w:line="360" w:lineRule="auto"/>
              <w:jc w:val="left"/>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采购单位及联系人电话</w:t>
            </w:r>
          </w:p>
        </w:tc>
        <w:tc>
          <w:tcPr>
            <w:tcW w:w="7725" w:type="dxa"/>
            <w:tcBorders>
              <w:top w:val="outset" w:color="000000" w:sz="6" w:space="0"/>
              <w:left w:val="outset" w:color="000000" w:sz="6" w:space="0"/>
              <w:bottom w:val="outset" w:color="000000" w:sz="6" w:space="0"/>
              <w:right w:val="outset" w:color="000000" w:sz="6" w:space="0"/>
            </w:tcBorders>
            <w:vAlign w:val="center"/>
          </w:tcPr>
          <w:p w14:paraId="3C30FB50">
            <w:pPr>
              <w:spacing w:line="360" w:lineRule="auto"/>
              <w:rPr>
                <w:rFonts w:hint="eastAsia" w:ascii="宋体" w:hAnsi="宋体" w:eastAsia="宋体"/>
                <w:color w:val="000000" w:themeColor="text1"/>
                <w:kern w:val="0"/>
                <w:sz w:val="24"/>
                <w:lang w:eastAsia="zh-CN"/>
                <w14:textFill>
                  <w14:solidFill>
                    <w14:schemeClr w14:val="tx1"/>
                  </w14:solidFill>
                </w14:textFill>
              </w:rPr>
            </w:pPr>
            <w:r>
              <w:rPr>
                <w:rFonts w:ascii="宋体" w:hAnsi="宋体"/>
                <w:color w:val="000000" w:themeColor="text1"/>
                <w:kern w:val="0"/>
                <w:sz w:val="24"/>
                <w14:textFill>
                  <w14:solidFill>
                    <w14:schemeClr w14:val="tx1"/>
                  </w14:solidFill>
                </w14:textFill>
              </w:rPr>
              <w:t>采</w:t>
            </w:r>
            <w:r>
              <w:rPr>
                <w:rFonts w:hint="eastAsia" w:ascii="宋体" w:hAnsi="宋体"/>
                <w:color w:val="000000" w:themeColor="text1"/>
                <w:kern w:val="0"/>
                <w:sz w:val="24"/>
                <w14:textFill>
                  <w14:solidFill>
                    <w14:schemeClr w14:val="tx1"/>
                  </w14:solidFill>
                </w14:textFill>
              </w:rPr>
              <w:t xml:space="preserve"> </w:t>
            </w:r>
            <w:r>
              <w:rPr>
                <w:rFonts w:ascii="宋体" w:hAnsi="宋体"/>
                <w:color w:val="000000" w:themeColor="text1"/>
                <w:kern w:val="0"/>
                <w:sz w:val="24"/>
                <w14:textFill>
                  <w14:solidFill>
                    <w14:schemeClr w14:val="tx1"/>
                  </w14:solidFill>
                </w14:textFill>
              </w:rPr>
              <w:t>购</w:t>
            </w:r>
            <w:r>
              <w:rPr>
                <w:rFonts w:hint="eastAsia" w:ascii="宋体" w:hAnsi="宋体"/>
                <w:color w:val="000000" w:themeColor="text1"/>
                <w:kern w:val="0"/>
                <w:sz w:val="24"/>
                <w14:textFill>
                  <w14:solidFill>
                    <w14:schemeClr w14:val="tx1"/>
                  </w14:solidFill>
                </w14:textFill>
              </w:rPr>
              <w:t xml:space="preserve"> </w:t>
            </w:r>
            <w:r>
              <w:rPr>
                <w:rFonts w:ascii="宋体" w:hAnsi="宋体"/>
                <w:color w:val="000000" w:themeColor="text1"/>
                <w:kern w:val="0"/>
                <w:sz w:val="24"/>
                <w14:textFill>
                  <w14:solidFill>
                    <w14:schemeClr w14:val="tx1"/>
                  </w14:solidFill>
                </w14:textFill>
              </w:rPr>
              <w:t>人</w:t>
            </w:r>
            <w:r>
              <w:rPr>
                <w:rFonts w:hint="eastAsia" w:ascii="宋体" w:hAnsi="宋体"/>
                <w:color w:val="000000" w:themeColor="text1"/>
                <w:kern w:val="0"/>
                <w:sz w:val="24"/>
                <w14:textFill>
                  <w14:solidFill>
                    <w14:schemeClr w14:val="tx1"/>
                  </w14:solidFill>
                </w14:textFill>
              </w:rPr>
              <w:t>：</w:t>
            </w:r>
            <w:r>
              <w:rPr>
                <w:rFonts w:hint="eastAsia" w:ascii="宋体" w:hAnsi="宋体"/>
                <w:color w:val="000000" w:themeColor="text1"/>
                <w:kern w:val="0"/>
                <w:sz w:val="24"/>
                <w:lang w:eastAsia="zh-CN"/>
                <w14:textFill>
                  <w14:solidFill>
                    <w14:schemeClr w14:val="tx1"/>
                  </w14:solidFill>
                </w14:textFill>
              </w:rPr>
              <w:t>青海红十字医院</w:t>
            </w:r>
          </w:p>
          <w:p w14:paraId="5A7F538F">
            <w:pPr>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联 系 人：</w:t>
            </w:r>
            <w:r>
              <w:rPr>
                <w:rFonts w:hint="eastAsia" w:ascii="宋体" w:hAnsi="宋体"/>
                <w:color w:val="000000" w:themeColor="text1"/>
                <w:kern w:val="0"/>
                <w:sz w:val="24"/>
                <w:lang w:val="en-US" w:eastAsia="zh-CN"/>
                <w14:textFill>
                  <w14:solidFill>
                    <w14:schemeClr w14:val="tx1"/>
                  </w14:solidFill>
                </w14:textFill>
              </w:rPr>
              <w:t>赵</w:t>
            </w:r>
            <w:r>
              <w:rPr>
                <w:rFonts w:hint="eastAsia" w:ascii="宋体" w:hAnsi="宋体" w:cs="宋体"/>
                <w:bCs/>
                <w:color w:val="000000" w:themeColor="text1"/>
                <w:kern w:val="0"/>
                <w:sz w:val="24"/>
                <w:lang w:val="zh-CN"/>
                <w14:textFill>
                  <w14:solidFill>
                    <w14:schemeClr w14:val="tx1"/>
                  </w14:solidFill>
                </w14:textFill>
              </w:rPr>
              <w:t>老师</w:t>
            </w:r>
          </w:p>
          <w:p w14:paraId="76C4EED8">
            <w:pPr>
              <w:spacing w:line="360" w:lineRule="auto"/>
              <w:rPr>
                <w:rFonts w:ascii="宋体" w:hAnsi="宋体"/>
                <w:color w:val="000000" w:themeColor="text1"/>
                <w:kern w:val="0"/>
                <w:sz w:val="24"/>
                <w14:textFill>
                  <w14:solidFill>
                    <w14:schemeClr w14:val="tx1"/>
                  </w14:solidFill>
                </w14:textFill>
              </w:rPr>
            </w:pPr>
            <w:r>
              <w:rPr>
                <w:rFonts w:ascii="宋体" w:hAnsi="宋体"/>
                <w:color w:val="000000" w:themeColor="text1"/>
                <w:kern w:val="0"/>
                <w:sz w:val="24"/>
                <w14:textFill>
                  <w14:solidFill>
                    <w14:schemeClr w14:val="tx1"/>
                  </w14:solidFill>
                </w14:textFill>
              </w:rPr>
              <w:t>联系电话</w:t>
            </w:r>
            <w:r>
              <w:rPr>
                <w:rFonts w:hint="eastAsia" w:ascii="宋体" w:hAnsi="宋体"/>
                <w:color w:val="000000" w:themeColor="text1"/>
                <w:kern w:val="0"/>
                <w:sz w:val="24"/>
                <w14:textFill>
                  <w14:solidFill>
                    <w14:schemeClr w14:val="tx1"/>
                  </w14:solidFill>
                </w14:textFill>
              </w:rPr>
              <w:t>：</w:t>
            </w:r>
            <w:r>
              <w:rPr>
                <w:rFonts w:hint="eastAsia"/>
                <w:color w:val="000000" w:themeColor="text1"/>
                <w:kern w:val="0"/>
                <w:sz w:val="24"/>
                <w:lang w:eastAsia="zh-CN"/>
                <w14:textFill>
                  <w14:solidFill>
                    <w14:schemeClr w14:val="tx1"/>
                  </w14:solidFill>
                </w14:textFill>
              </w:rPr>
              <w:t>0971-8250089 </w:t>
            </w:r>
            <w:r>
              <w:rPr>
                <w:rFonts w:hint="eastAsia" w:ascii="宋体" w:hAnsi="宋体" w:cs="宋体"/>
                <w:bCs/>
                <w:color w:val="000000" w:themeColor="text1"/>
                <w:kern w:val="0"/>
                <w:sz w:val="24"/>
                <w:lang w:val="zh-CN"/>
                <w14:textFill>
                  <w14:solidFill>
                    <w14:schemeClr w14:val="tx1"/>
                  </w14:solidFill>
                </w14:textFill>
              </w:rPr>
              <w:t> </w:t>
            </w:r>
          </w:p>
          <w:p w14:paraId="56940BAD">
            <w:pPr>
              <w:pStyle w:val="52"/>
              <w:spacing w:line="360" w:lineRule="auto"/>
              <w:jc w:val="left"/>
              <w:rPr>
                <w:rFonts w:hint="eastAsia" w:ascii="宋体" w:hAnsi="宋体" w:eastAsia="宋体"/>
                <w:color w:val="000000" w:themeColor="text1"/>
                <w:kern w:val="0"/>
                <w:sz w:val="24"/>
                <w:lang w:eastAsia="zh-CN"/>
                <w14:textFill>
                  <w14:solidFill>
                    <w14:schemeClr w14:val="tx1"/>
                  </w14:solidFill>
                </w14:textFill>
              </w:rPr>
            </w:pPr>
            <w:r>
              <w:rPr>
                <w:rFonts w:ascii="宋体" w:hAnsi="宋体"/>
                <w:color w:val="000000" w:themeColor="text1"/>
                <w:kern w:val="0"/>
                <w:sz w:val="24"/>
                <w14:textFill>
                  <w14:solidFill>
                    <w14:schemeClr w14:val="tx1"/>
                  </w14:solidFill>
                </w14:textFill>
              </w:rPr>
              <w:t>联系地址</w:t>
            </w:r>
            <w:r>
              <w:rPr>
                <w:rFonts w:hint="eastAsia" w:ascii="宋体" w:hAnsi="宋体"/>
                <w:color w:val="000000" w:themeColor="text1"/>
                <w:kern w:val="0"/>
                <w:sz w:val="24"/>
                <w14:textFill>
                  <w14:solidFill>
                    <w14:schemeClr w14:val="tx1"/>
                  </w14:solidFill>
                </w14:textFill>
              </w:rPr>
              <w:t>：</w:t>
            </w:r>
            <w:r>
              <w:rPr>
                <w:rFonts w:hint="eastAsia" w:ascii="宋体" w:hAnsi="宋体"/>
                <w:color w:val="000000" w:themeColor="text1"/>
                <w:kern w:val="0"/>
                <w:sz w:val="24"/>
                <w:lang w:eastAsia="zh-CN"/>
                <w14:textFill>
                  <w14:solidFill>
                    <w14:schemeClr w14:val="tx1"/>
                  </w14:solidFill>
                </w14:textFill>
              </w:rPr>
              <w:t>西宁市南大街55号</w:t>
            </w:r>
          </w:p>
        </w:tc>
      </w:tr>
      <w:tr w14:paraId="093463ED">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2A67926E">
            <w:pPr>
              <w:pStyle w:val="52"/>
              <w:spacing w:line="360" w:lineRule="auto"/>
              <w:jc w:val="left"/>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采购代理机构及联系人电话</w:t>
            </w:r>
          </w:p>
        </w:tc>
        <w:tc>
          <w:tcPr>
            <w:tcW w:w="7725" w:type="dxa"/>
            <w:tcBorders>
              <w:top w:val="outset" w:color="000000" w:sz="6" w:space="0"/>
              <w:left w:val="outset" w:color="000000" w:sz="6" w:space="0"/>
              <w:bottom w:val="outset" w:color="000000" w:sz="6" w:space="0"/>
              <w:right w:val="outset" w:color="000000" w:sz="6" w:space="0"/>
            </w:tcBorders>
            <w:vAlign w:val="center"/>
          </w:tcPr>
          <w:p w14:paraId="3DB7A413">
            <w:pPr>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采购代理机构：青海国焱工程项目管理有限公司</w:t>
            </w:r>
          </w:p>
          <w:p w14:paraId="5E8C6C91">
            <w:pPr>
              <w:spacing w:line="360" w:lineRule="auto"/>
              <w:rPr>
                <w:rFonts w:hint="eastAsia" w:ascii="宋体" w:hAnsi="宋体" w:eastAsia="宋体"/>
                <w:color w:val="000000" w:themeColor="text1"/>
                <w:kern w:val="0"/>
                <w:sz w:val="24"/>
                <w:lang w:eastAsia="zh-CN"/>
                <w14:textFill>
                  <w14:solidFill>
                    <w14:schemeClr w14:val="tx1"/>
                  </w14:solidFill>
                </w14:textFill>
              </w:rPr>
            </w:pPr>
            <w:r>
              <w:rPr>
                <w:rFonts w:hint="eastAsia" w:ascii="宋体" w:hAnsi="宋体"/>
                <w:color w:val="000000" w:themeColor="text1"/>
                <w:kern w:val="0"/>
                <w:sz w:val="24"/>
                <w14:textFill>
                  <w14:solidFill>
                    <w14:schemeClr w14:val="tx1"/>
                  </w14:solidFill>
                </w14:textFill>
              </w:rPr>
              <w:t>联   系   人：</w:t>
            </w:r>
            <w:r>
              <w:rPr>
                <w:rFonts w:hint="eastAsia" w:ascii="宋体" w:hAnsi="宋体"/>
                <w:color w:val="000000" w:themeColor="text1"/>
                <w:kern w:val="0"/>
                <w:sz w:val="24"/>
                <w:lang w:eastAsia="zh-CN"/>
                <w14:textFill>
                  <w14:solidFill>
                    <w14:schemeClr w14:val="tx1"/>
                  </w14:solidFill>
                </w14:textFill>
              </w:rPr>
              <w:t>李女士</w:t>
            </w:r>
          </w:p>
          <w:p w14:paraId="5847AB0C">
            <w:pPr>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联 系  电 话：0971-8456071</w:t>
            </w:r>
          </w:p>
          <w:p w14:paraId="493B9A85">
            <w:pPr>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邮        箱：qhgyzb@126.com</w:t>
            </w:r>
          </w:p>
          <w:p w14:paraId="564B7BD6">
            <w:pPr>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联 系  地 址：西宁市城西区盐湖巷6号10号楼（城西区总部经济大厦)16楼</w:t>
            </w:r>
          </w:p>
        </w:tc>
      </w:tr>
      <w:tr w14:paraId="7E685301">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3A2392D3">
            <w:pPr>
              <w:pStyle w:val="52"/>
              <w:spacing w:line="360" w:lineRule="auto"/>
              <w:jc w:val="left"/>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采购代理机构开户银行</w:t>
            </w:r>
          </w:p>
        </w:tc>
        <w:tc>
          <w:tcPr>
            <w:tcW w:w="7725" w:type="dxa"/>
            <w:tcBorders>
              <w:top w:val="outset" w:color="000000" w:sz="6" w:space="0"/>
              <w:left w:val="outset" w:color="000000" w:sz="6" w:space="0"/>
              <w:bottom w:val="outset" w:color="000000" w:sz="6" w:space="0"/>
              <w:right w:val="outset" w:color="000000" w:sz="6" w:space="0"/>
            </w:tcBorders>
            <w:vAlign w:val="center"/>
          </w:tcPr>
          <w:p w14:paraId="37D2A7B3">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中国工商银行股份有限公司西宁五四大街支行</w:t>
            </w:r>
          </w:p>
        </w:tc>
      </w:tr>
      <w:tr w14:paraId="251C8418">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7C474B0D">
            <w:pPr>
              <w:pStyle w:val="52"/>
              <w:spacing w:line="360" w:lineRule="auto"/>
              <w:jc w:val="left"/>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收款人</w:t>
            </w:r>
          </w:p>
        </w:tc>
        <w:tc>
          <w:tcPr>
            <w:tcW w:w="7725" w:type="dxa"/>
            <w:tcBorders>
              <w:top w:val="outset" w:color="000000" w:sz="6" w:space="0"/>
              <w:left w:val="outset" w:color="000000" w:sz="6" w:space="0"/>
              <w:bottom w:val="outset" w:color="000000" w:sz="6" w:space="0"/>
              <w:right w:val="outset" w:color="000000" w:sz="6" w:space="0"/>
            </w:tcBorders>
            <w:vAlign w:val="center"/>
          </w:tcPr>
          <w:p w14:paraId="515E385A">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青海国焱工程项目管理有限公司</w:t>
            </w:r>
          </w:p>
        </w:tc>
      </w:tr>
      <w:tr w14:paraId="03C7C752">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15040749">
            <w:pPr>
              <w:pStyle w:val="52"/>
              <w:spacing w:line="360" w:lineRule="auto"/>
              <w:jc w:val="left"/>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银行账号</w:t>
            </w:r>
          </w:p>
        </w:tc>
        <w:tc>
          <w:tcPr>
            <w:tcW w:w="7725" w:type="dxa"/>
            <w:tcBorders>
              <w:top w:val="outset" w:color="000000" w:sz="6" w:space="0"/>
              <w:left w:val="outset" w:color="000000" w:sz="6" w:space="0"/>
              <w:bottom w:val="outset" w:color="000000" w:sz="6" w:space="0"/>
              <w:right w:val="outset" w:color="000000" w:sz="6" w:space="0"/>
            </w:tcBorders>
            <w:vAlign w:val="center"/>
          </w:tcPr>
          <w:p w14:paraId="47228C85">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2806001309000043259（开户行号：102851000139）</w:t>
            </w:r>
          </w:p>
        </w:tc>
      </w:tr>
      <w:tr w14:paraId="4C3006E1">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1181" w:hRule="atLeast"/>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1C034C92">
            <w:pPr>
              <w:pStyle w:val="52"/>
              <w:spacing w:line="360" w:lineRule="auto"/>
              <w:jc w:val="left"/>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其他事项</w:t>
            </w:r>
          </w:p>
        </w:tc>
        <w:tc>
          <w:tcPr>
            <w:tcW w:w="7725" w:type="dxa"/>
            <w:tcBorders>
              <w:top w:val="outset" w:color="000000" w:sz="6" w:space="0"/>
              <w:left w:val="outset" w:color="000000" w:sz="6" w:space="0"/>
              <w:bottom w:val="outset" w:color="000000" w:sz="6" w:space="0"/>
              <w:right w:val="outset" w:color="000000" w:sz="6" w:space="0"/>
            </w:tcBorders>
            <w:vAlign w:val="center"/>
          </w:tcPr>
          <w:p w14:paraId="2AB41B48">
            <w:pPr>
              <w:pStyle w:val="92"/>
              <w:numPr>
                <w:ilvl w:val="0"/>
                <w:numId w:val="2"/>
              </w:numPr>
              <w:spacing w:line="360" w:lineRule="auto"/>
              <w:ind w:firstLineChars="0"/>
              <w:rPr>
                <w:rFonts w:ascii="宋体" w:hAnsi="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本公告发布于《青海政府采购网》、《青海项目信息网》同时发布；（公告内容以青海政府采购网发布的为准）</w:t>
            </w:r>
            <w:r>
              <w:rPr>
                <w:rFonts w:hint="eastAsia" w:ascii="宋体" w:hAnsi="宋体"/>
                <w:color w:val="000000" w:themeColor="text1"/>
                <w:kern w:val="0"/>
                <w:sz w:val="24"/>
                <w14:textFill>
                  <w14:solidFill>
                    <w14:schemeClr w14:val="tx1"/>
                  </w14:solidFill>
                </w14:textFill>
              </w:rPr>
              <w:t>。</w:t>
            </w:r>
          </w:p>
          <w:p w14:paraId="222D3D58">
            <w:pPr>
              <w:pStyle w:val="92"/>
              <w:numPr>
                <w:ilvl w:val="0"/>
                <w:numId w:val="2"/>
              </w:numPr>
              <w:spacing w:line="360" w:lineRule="auto"/>
              <w:ind w:firstLineChars="0"/>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本次招标采用线上提交投标文件的方式进行采购，投标文件必须在投标文件递交截止时间前上传平台。</w:t>
            </w:r>
          </w:p>
          <w:p w14:paraId="6AEBFE72">
            <w:pPr>
              <w:pStyle w:val="92"/>
              <w:numPr>
                <w:ilvl w:val="0"/>
                <w:numId w:val="2"/>
              </w:numPr>
              <w:spacing w:line="360" w:lineRule="auto"/>
              <w:ind w:firstLineChars="0"/>
              <w:rPr>
                <w:rFonts w:ascii="宋体" w:hAnsi="宋体"/>
                <w:color w:val="000000" w:themeColor="text1"/>
                <w:kern w:val="0"/>
                <w:sz w:val="24"/>
                <w14:textFill>
                  <w14:solidFill>
                    <w14:schemeClr w14:val="tx1"/>
                  </w14:solidFill>
                </w14:textFill>
              </w:rPr>
            </w:pPr>
            <w:r>
              <w:rPr>
                <w:rFonts w:ascii="宋体" w:hAnsi="宋体" w:cs="宋体"/>
                <w:color w:val="000000" w:themeColor="text1"/>
                <w:sz w:val="24"/>
                <w14:textFill>
                  <w14:solidFill>
                    <w14:schemeClr w14:val="tx1"/>
                  </w14:solidFill>
                </w14:textFill>
              </w:rPr>
              <w:t>若对项目采购电子交易系统操作有疑问，可登录政采云（https://www.zcygov.cn/），点击右侧咨询小采，获取采小蜜智能服务管家帮助，或拨打政采云服务热线400-881-7190获取热线服务帮助。 CA问题</w:t>
            </w:r>
            <w:r>
              <w:rPr>
                <w:rFonts w:hint="eastAsia" w:ascii="宋体" w:hAnsi="宋体" w:cs="宋体"/>
                <w:color w:val="000000" w:themeColor="text1"/>
                <w:sz w:val="24"/>
                <w14:textFill>
                  <w14:solidFill>
                    <w14:schemeClr w14:val="tx1"/>
                  </w14:solidFill>
                </w14:textFill>
              </w:rPr>
              <w:t>PC咨询网址（可及时反馈问题截图，让客服快速定位问题）:http://tseal.cn/k.html，</w:t>
            </w:r>
            <w:r>
              <w:rPr>
                <w:rFonts w:ascii="宋体" w:hAnsi="宋体" w:cs="宋体"/>
                <w:color w:val="000000" w:themeColor="text1"/>
                <w:sz w:val="24"/>
                <w14:textFill>
                  <w14:solidFill>
                    <w14:schemeClr w14:val="tx1"/>
                  </w14:solidFill>
                </w14:textFill>
              </w:rPr>
              <w:t>联系电话（人工）：400-087-8198。</w:t>
            </w:r>
          </w:p>
          <w:p w14:paraId="12DA0AF7">
            <w:pPr>
              <w:pStyle w:val="92"/>
              <w:numPr>
                <w:ilvl w:val="0"/>
                <w:numId w:val="2"/>
              </w:numPr>
              <w:spacing w:line="360" w:lineRule="auto"/>
              <w:ind w:firstLineChars="0"/>
              <w:rPr>
                <w:rFonts w:ascii="宋体" w:hAnsi="宋体"/>
                <w:color w:val="000000" w:themeColor="text1"/>
                <w:kern w:val="0"/>
                <w:sz w:val="24"/>
                <w14:textFill>
                  <w14:solidFill>
                    <w14:schemeClr w14:val="tx1"/>
                  </w14:solidFill>
                </w14:textFill>
              </w:rPr>
            </w:pPr>
            <w:r>
              <w:rPr>
                <w:rFonts w:ascii="宋体" w:hAnsi="宋体" w:cs="宋体"/>
                <w:color w:val="000000" w:themeColor="text1"/>
                <w:sz w:val="24"/>
                <w14:textFill>
                  <w14:solidFill>
                    <w14:schemeClr w14:val="tx1"/>
                  </w14:solidFill>
                </w14:textFill>
              </w:rPr>
              <w:t>磋商供应商解密和磋商报价时必须</w:t>
            </w:r>
            <w:r>
              <w:rPr>
                <w:rFonts w:hint="eastAsia" w:ascii="宋体" w:hAnsi="宋体" w:cs="宋体"/>
                <w:color w:val="000000" w:themeColor="text1"/>
                <w:sz w:val="24"/>
                <w14:textFill>
                  <w14:solidFill>
                    <w14:schemeClr w14:val="tx1"/>
                  </w14:solidFill>
                </w14:textFill>
              </w:rPr>
              <w:t>由</w:t>
            </w:r>
            <w:r>
              <w:rPr>
                <w:rFonts w:ascii="宋体" w:hAnsi="宋体" w:cs="宋体"/>
                <w:color w:val="000000" w:themeColor="text1"/>
                <w:sz w:val="24"/>
                <w14:textFill>
                  <w14:solidFill>
                    <w14:schemeClr w14:val="tx1"/>
                  </w14:solidFill>
                </w14:textFill>
              </w:rPr>
              <w:t>e签宝注册人办理，磋商供应商须在固定电脑设备前登陆等待解密和磋商报价，磋商供应商</w:t>
            </w:r>
            <w:r>
              <w:rPr>
                <w:rFonts w:hint="eastAsia" w:ascii="宋体" w:hAnsi="宋体" w:cs="宋体"/>
                <w:color w:val="000000" w:themeColor="text1"/>
                <w:sz w:val="24"/>
                <w14:textFill>
                  <w14:solidFill>
                    <w14:schemeClr w14:val="tx1"/>
                  </w14:solidFill>
                </w14:textFill>
              </w:rPr>
              <w:t>须在规定的时间内完成</w:t>
            </w:r>
            <w:r>
              <w:rPr>
                <w:rFonts w:ascii="宋体" w:hAnsi="宋体" w:cs="宋体"/>
                <w:color w:val="000000" w:themeColor="text1"/>
                <w:sz w:val="24"/>
                <w14:textFill>
                  <w14:solidFill>
                    <w14:schemeClr w14:val="tx1"/>
                  </w14:solidFill>
                </w14:textFill>
              </w:rPr>
              <w:t>。</w:t>
            </w:r>
          </w:p>
          <w:p w14:paraId="709793DA">
            <w:pPr>
              <w:pStyle w:val="92"/>
              <w:numPr>
                <w:ilvl w:val="0"/>
                <w:numId w:val="2"/>
              </w:numPr>
              <w:spacing w:line="360" w:lineRule="auto"/>
              <w:ind w:firstLineChars="0"/>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本项目共分为三个包，本次采购包一，在包二和包三中已中标的供应商不再重复中标。</w:t>
            </w:r>
          </w:p>
        </w:tc>
      </w:tr>
      <w:tr w14:paraId="6ADB5837">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7F5BF081">
            <w:pPr>
              <w:autoSpaceDE w:val="0"/>
              <w:autoSpaceDN w:val="0"/>
              <w:spacing w:line="360" w:lineRule="auto"/>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财政部门监督电话</w:t>
            </w:r>
          </w:p>
        </w:tc>
        <w:tc>
          <w:tcPr>
            <w:tcW w:w="7725" w:type="dxa"/>
            <w:tcBorders>
              <w:top w:val="outset" w:color="000000" w:sz="6" w:space="0"/>
              <w:left w:val="outset" w:color="000000" w:sz="6" w:space="0"/>
              <w:bottom w:val="outset" w:color="000000" w:sz="6" w:space="0"/>
              <w:right w:val="outset" w:color="000000" w:sz="6" w:space="0"/>
            </w:tcBorders>
            <w:vAlign w:val="center"/>
          </w:tcPr>
          <w:p w14:paraId="39672331">
            <w:pPr>
              <w:autoSpaceDE w:val="0"/>
              <w:autoSpaceDN w:val="0"/>
              <w:spacing w:line="360" w:lineRule="auto"/>
              <w:rPr>
                <w:rFonts w:hint="eastAsia" w:ascii="宋体" w:hAnsi="宋体" w:eastAsia="宋体" w:cs="Times New Roman"/>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单位名称：</w:t>
            </w:r>
            <w:r>
              <w:rPr>
                <w:rFonts w:hint="eastAsia" w:ascii="宋体" w:hAnsi="宋体" w:eastAsia="宋体" w:cs="Times New Roman"/>
                <w:color w:val="000000" w:themeColor="text1"/>
                <w:kern w:val="0"/>
                <w:sz w:val="24"/>
                <w14:textFill>
                  <w14:solidFill>
                    <w14:schemeClr w14:val="tx1"/>
                  </w14:solidFill>
                </w14:textFill>
              </w:rPr>
              <w:t>青海省财政厅</w:t>
            </w:r>
          </w:p>
          <w:p w14:paraId="3194D71B">
            <w:pPr>
              <w:autoSpaceDE w:val="0"/>
              <w:autoSpaceDN w:val="0"/>
              <w:spacing w:line="360" w:lineRule="auto"/>
              <w:rPr>
                <w:rFonts w:ascii="宋体" w:hAnsi="宋体" w:cs="宋体"/>
                <w:color w:val="000000" w:themeColor="text1"/>
                <w:sz w:val="24"/>
                <w14:textFill>
                  <w14:solidFill>
                    <w14:schemeClr w14:val="tx1"/>
                  </w14:solidFill>
                </w14:textFill>
              </w:rPr>
            </w:pPr>
            <w:r>
              <w:rPr>
                <w:rFonts w:hint="eastAsia" w:ascii="宋体" w:hAnsi="宋体" w:eastAsia="宋体" w:cs="Times New Roman"/>
                <w:color w:val="000000" w:themeColor="text1"/>
                <w:kern w:val="0"/>
                <w:sz w:val="24"/>
                <w14:textFill>
                  <w14:solidFill>
                    <w14:schemeClr w14:val="tx1"/>
                  </w14:solidFill>
                </w14:textFill>
              </w:rPr>
              <w:t>联系电话：0971-3660357</w:t>
            </w:r>
          </w:p>
        </w:tc>
      </w:tr>
    </w:tbl>
    <w:p w14:paraId="30D8FAB0">
      <w:pPr>
        <w:adjustRightInd w:val="0"/>
        <w:spacing w:line="360" w:lineRule="auto"/>
        <w:jc w:val="right"/>
        <w:textAlignment w:val="baseline"/>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青海国焱工程项目管理有限公司</w:t>
      </w:r>
    </w:p>
    <w:p w14:paraId="48D2F4C2">
      <w:pPr>
        <w:adjustRightInd w:val="0"/>
        <w:spacing w:line="360" w:lineRule="auto"/>
        <w:jc w:val="center"/>
        <w:textAlignment w:val="baseline"/>
        <w:outlineLvl w:val="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 xml:space="preserve">                                                         </w:t>
      </w:r>
      <w:bookmarkEnd w:id="3"/>
      <w:bookmarkEnd w:id="4"/>
      <w:r>
        <w:rPr>
          <w:rFonts w:hint="eastAsia" w:ascii="宋体" w:hAnsi="宋体"/>
          <w:color w:val="000000" w:themeColor="text1"/>
          <w:sz w:val="24"/>
          <w14:textFill>
            <w14:solidFill>
              <w14:schemeClr w14:val="tx1"/>
            </w14:solidFill>
          </w14:textFill>
        </w:rPr>
        <w:t>2025年0</w:t>
      </w:r>
      <w:r>
        <w:rPr>
          <w:rFonts w:hint="eastAsia" w:ascii="宋体" w:hAnsi="宋体"/>
          <w:color w:val="000000" w:themeColor="text1"/>
          <w:sz w:val="24"/>
          <w:lang w:val="en-US" w:eastAsia="zh-CN"/>
          <w14:textFill>
            <w14:solidFill>
              <w14:schemeClr w14:val="tx1"/>
            </w14:solidFill>
          </w14:textFill>
        </w:rPr>
        <w:t>3</w:t>
      </w:r>
      <w:r>
        <w:rPr>
          <w:rFonts w:hint="eastAsia" w:ascii="宋体" w:hAnsi="宋体"/>
          <w:color w:val="000000" w:themeColor="text1"/>
          <w:sz w:val="24"/>
          <w14:textFill>
            <w14:solidFill>
              <w14:schemeClr w14:val="tx1"/>
            </w14:solidFill>
          </w14:textFill>
        </w:rPr>
        <w:t>月</w:t>
      </w:r>
      <w:r>
        <w:rPr>
          <w:rFonts w:hint="eastAsia" w:ascii="宋体" w:hAnsi="宋体"/>
          <w:color w:val="000000" w:themeColor="text1"/>
          <w:sz w:val="24"/>
          <w:lang w:val="en-US" w:eastAsia="zh-CN"/>
          <w14:textFill>
            <w14:solidFill>
              <w14:schemeClr w14:val="tx1"/>
            </w14:solidFill>
          </w14:textFill>
        </w:rPr>
        <w:t>31</w:t>
      </w:r>
      <w:r>
        <w:rPr>
          <w:rFonts w:hint="eastAsia" w:ascii="宋体" w:hAnsi="宋体"/>
          <w:color w:val="000000" w:themeColor="text1"/>
          <w:sz w:val="24"/>
          <w14:textFill>
            <w14:solidFill>
              <w14:schemeClr w14:val="tx1"/>
            </w14:solidFill>
          </w14:textFill>
        </w:rPr>
        <w:t>日</w:t>
      </w:r>
    </w:p>
    <w:p w14:paraId="5073B42C">
      <w:pPr>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br w:type="page"/>
      </w:r>
    </w:p>
    <w:p w14:paraId="2A34E6E2">
      <w:pPr>
        <w:pStyle w:val="26"/>
        <w:rPr>
          <w:color w:val="000000" w:themeColor="text1"/>
          <w:sz w:val="48"/>
          <w:szCs w:val="48"/>
          <w14:textFill>
            <w14:solidFill>
              <w14:schemeClr w14:val="tx1"/>
            </w14:solidFill>
          </w14:textFill>
        </w:rPr>
      </w:pPr>
      <w:bookmarkStart w:id="5" w:name="_Toc55"/>
      <w:bookmarkStart w:id="6" w:name="_Toc444715733"/>
      <w:r>
        <w:rPr>
          <w:rFonts w:hint="eastAsia"/>
          <w:color w:val="000000" w:themeColor="text1"/>
          <w:sz w:val="48"/>
          <w:szCs w:val="48"/>
          <w14:textFill>
            <w14:solidFill>
              <w14:schemeClr w14:val="tx1"/>
            </w14:solidFill>
          </w14:textFill>
        </w:rPr>
        <w:t>第二部分  磋商供应商须知前附表</w:t>
      </w:r>
      <w:bookmarkEnd w:id="5"/>
      <w:bookmarkEnd w:id="6"/>
    </w:p>
    <w:tbl>
      <w:tblPr>
        <w:tblStyle w:val="36"/>
        <w:tblW w:w="10433" w:type="dxa"/>
        <w:jc w:val="center"/>
        <w:tblLayout w:type="fixed"/>
        <w:tblCellMar>
          <w:top w:w="0" w:type="dxa"/>
          <w:left w:w="57" w:type="dxa"/>
          <w:bottom w:w="0" w:type="dxa"/>
          <w:right w:w="57" w:type="dxa"/>
        </w:tblCellMar>
      </w:tblPr>
      <w:tblGrid>
        <w:gridCol w:w="653"/>
        <w:gridCol w:w="2327"/>
        <w:gridCol w:w="7453"/>
      </w:tblGrid>
      <w:tr w14:paraId="59A0A437">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75F5DC5">
            <w:pPr>
              <w:autoSpaceDE w:val="0"/>
              <w:autoSpaceDN w:val="0"/>
              <w:spacing w:line="360" w:lineRule="auto"/>
              <w:jc w:val="center"/>
              <w:rPr>
                <w:rFonts w:ascii="宋体" w:hAnsi="宋体" w:cs="宋体"/>
                <w:color w:val="000000" w:themeColor="text1"/>
                <w:kern w:val="0"/>
                <w:sz w:val="24"/>
                <w:lang w:val="zh-CN"/>
                <w14:textFill>
                  <w14:solidFill>
                    <w14:schemeClr w14:val="tx1"/>
                  </w14:solidFill>
                </w14:textFill>
              </w:rPr>
            </w:pPr>
            <w:r>
              <w:rPr>
                <w:rFonts w:hint="eastAsia" w:ascii="宋体" w:hAnsi="宋体" w:cs="宋体"/>
                <w:bCs/>
                <w:color w:val="000000" w:themeColor="text1"/>
                <w:kern w:val="0"/>
                <w:sz w:val="24"/>
                <w:lang w:val="zh-CN"/>
                <w14:textFill>
                  <w14:solidFill>
                    <w14:schemeClr w14:val="tx1"/>
                  </w14:solidFill>
                </w14:textFill>
              </w:rPr>
              <w:t>序号</w:t>
            </w:r>
          </w:p>
        </w:tc>
        <w:tc>
          <w:tcPr>
            <w:tcW w:w="9780" w:type="dxa"/>
            <w:gridSpan w:val="2"/>
            <w:tcBorders>
              <w:top w:val="single" w:color="000000" w:sz="6" w:space="0"/>
              <w:left w:val="single" w:color="000000" w:sz="6" w:space="0"/>
              <w:bottom w:val="single" w:color="000000" w:sz="6" w:space="0"/>
              <w:right w:val="single" w:color="000000" w:sz="6" w:space="0"/>
            </w:tcBorders>
            <w:shd w:val="clear" w:color="000000" w:fill="FFFFFF"/>
            <w:vAlign w:val="center"/>
          </w:tcPr>
          <w:p w14:paraId="61F37FC1">
            <w:pPr>
              <w:autoSpaceDE w:val="0"/>
              <w:autoSpaceDN w:val="0"/>
              <w:spacing w:line="360" w:lineRule="auto"/>
              <w:jc w:val="center"/>
              <w:rPr>
                <w:rFonts w:ascii="宋体" w:hAnsi="宋体" w:cs="宋体"/>
                <w:color w:val="000000" w:themeColor="text1"/>
                <w:kern w:val="0"/>
                <w:sz w:val="24"/>
                <w:lang w:val="zh-CN"/>
                <w14:textFill>
                  <w14:solidFill>
                    <w14:schemeClr w14:val="tx1"/>
                  </w14:solidFill>
                </w14:textFill>
              </w:rPr>
            </w:pPr>
            <w:r>
              <w:rPr>
                <w:rFonts w:hint="eastAsia" w:ascii="宋体" w:hAnsi="宋体" w:cs="宋体"/>
                <w:bCs/>
                <w:color w:val="000000" w:themeColor="text1"/>
                <w:kern w:val="0"/>
                <w:sz w:val="24"/>
                <w:lang w:val="zh-CN"/>
                <w14:textFill>
                  <w14:solidFill>
                    <w14:schemeClr w14:val="tx1"/>
                  </w14:solidFill>
                </w14:textFill>
              </w:rPr>
              <w:t>内容</w:t>
            </w:r>
          </w:p>
        </w:tc>
      </w:tr>
      <w:tr w14:paraId="5C8C55ED">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874C54D">
            <w:pPr>
              <w:numPr>
                <w:ilvl w:val="0"/>
                <w:numId w:val="3"/>
              </w:numPr>
              <w:autoSpaceDE w:val="0"/>
              <w:autoSpaceDN w:val="0"/>
              <w:spacing w:line="360" w:lineRule="auto"/>
              <w:jc w:val="center"/>
              <w:rPr>
                <w:rFonts w:ascii="宋体" w:hAnsi="宋体" w:cs="宋体"/>
                <w:bCs/>
                <w:color w:val="000000" w:themeColor="text1"/>
                <w:kern w:val="0"/>
                <w:sz w:val="24"/>
                <w:lang w:val="zh-CN"/>
                <w14:textFill>
                  <w14:solidFill>
                    <w14:schemeClr w14:val="tx1"/>
                  </w14:solidFill>
                </w14:textFill>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E83DBEA">
            <w:pPr>
              <w:autoSpaceDE w:val="0"/>
              <w:autoSpaceDN w:val="0"/>
              <w:spacing w:line="360" w:lineRule="auto"/>
              <w:rPr>
                <w:rFonts w:ascii="宋体" w:hAnsi="宋体" w:cs="宋体"/>
                <w:bCs/>
                <w:color w:val="000000" w:themeColor="text1"/>
                <w:kern w:val="0"/>
                <w:sz w:val="24"/>
                <w:lang w:val="zh-CN"/>
                <w14:textFill>
                  <w14:solidFill>
                    <w14:schemeClr w14:val="tx1"/>
                  </w14:solidFill>
                </w14:textFill>
              </w:rPr>
            </w:pPr>
            <w:r>
              <w:rPr>
                <w:rFonts w:hint="eastAsia" w:ascii="宋体" w:hAnsi="宋体" w:cs="宋体"/>
                <w:bCs/>
                <w:color w:val="000000" w:themeColor="text1"/>
                <w:kern w:val="0"/>
                <w:sz w:val="24"/>
                <w:lang w:val="zh-CN"/>
                <w14:textFill>
                  <w14:solidFill>
                    <w14:schemeClr w14:val="tx1"/>
                  </w14:solidFill>
                </w14:textFill>
              </w:rPr>
              <w:t>采购项目名称</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tcPr>
          <w:p w14:paraId="017203D2">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青海红十字医院康复数字化信息管理系统等三项（包一第二次）</w:t>
            </w:r>
          </w:p>
        </w:tc>
      </w:tr>
      <w:tr w14:paraId="21669FC3">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DD4FC4C">
            <w:pPr>
              <w:numPr>
                <w:ilvl w:val="0"/>
                <w:numId w:val="3"/>
              </w:numPr>
              <w:autoSpaceDE w:val="0"/>
              <w:autoSpaceDN w:val="0"/>
              <w:spacing w:line="360" w:lineRule="auto"/>
              <w:jc w:val="center"/>
              <w:rPr>
                <w:rFonts w:ascii="宋体" w:hAnsi="宋体" w:cs="宋体"/>
                <w:bCs/>
                <w:color w:val="000000" w:themeColor="text1"/>
                <w:kern w:val="0"/>
                <w:sz w:val="24"/>
                <w:lang w:val="zh-CN"/>
                <w14:textFill>
                  <w14:solidFill>
                    <w14:schemeClr w14:val="tx1"/>
                  </w14:solidFill>
                </w14:textFill>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D8ED1BC">
            <w:pPr>
              <w:autoSpaceDE w:val="0"/>
              <w:autoSpaceDN w:val="0"/>
              <w:spacing w:line="360" w:lineRule="auto"/>
              <w:rPr>
                <w:rFonts w:ascii="宋体" w:hAnsi="宋体" w:cs="宋体"/>
                <w:bCs/>
                <w:color w:val="000000" w:themeColor="text1"/>
                <w:kern w:val="0"/>
                <w:sz w:val="24"/>
                <w:lang w:val="zh-CN"/>
                <w14:textFill>
                  <w14:solidFill>
                    <w14:schemeClr w14:val="tx1"/>
                  </w14:solidFill>
                </w14:textFill>
              </w:rPr>
            </w:pPr>
            <w:r>
              <w:rPr>
                <w:rFonts w:hint="eastAsia" w:ascii="宋体" w:hAnsi="宋体" w:cs="宋体"/>
                <w:bCs/>
                <w:color w:val="000000" w:themeColor="text1"/>
                <w:kern w:val="0"/>
                <w:sz w:val="24"/>
                <w:lang w:val="zh-CN"/>
                <w14:textFill>
                  <w14:solidFill>
                    <w14:schemeClr w14:val="tx1"/>
                  </w14:solidFill>
                </w14:textFill>
              </w:rPr>
              <w:t>采购项目编号</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tcPr>
          <w:p w14:paraId="00FCD88F">
            <w:pPr>
              <w:autoSpaceDE w:val="0"/>
              <w:autoSpaceDN w:val="0"/>
              <w:spacing w:line="360" w:lineRule="auto"/>
              <w:rPr>
                <w:rFonts w:ascii="宋体" w:hAnsi="宋体" w:cs="宋体"/>
                <w:bCs/>
                <w:color w:val="000000" w:themeColor="text1"/>
                <w:kern w:val="0"/>
                <w:sz w:val="24"/>
                <w:lang w:val="zh-CN"/>
                <w14:textFill>
                  <w14:solidFill>
                    <w14:schemeClr w14:val="tx1"/>
                  </w14:solidFill>
                </w14:textFill>
              </w:rPr>
            </w:pPr>
            <w:r>
              <w:rPr>
                <w:rFonts w:hint="eastAsia" w:ascii="宋体" w:hAnsi="宋体" w:cs="宋体"/>
                <w:bCs/>
                <w:color w:val="000000" w:themeColor="text1"/>
                <w:kern w:val="0"/>
                <w:sz w:val="24"/>
                <w:lang w:val="zh-CN"/>
                <w14:textFill>
                  <w14:solidFill>
                    <w14:schemeClr w14:val="tx1"/>
                  </w14:solidFill>
                </w14:textFill>
              </w:rPr>
              <w:t>青海国焱竞磋（货物）2025-083号</w:t>
            </w:r>
          </w:p>
        </w:tc>
      </w:tr>
      <w:tr w14:paraId="7E00C0DE">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960A2CA">
            <w:pPr>
              <w:numPr>
                <w:ilvl w:val="0"/>
                <w:numId w:val="3"/>
              </w:numPr>
              <w:autoSpaceDE w:val="0"/>
              <w:autoSpaceDN w:val="0"/>
              <w:spacing w:line="360" w:lineRule="auto"/>
              <w:jc w:val="center"/>
              <w:rPr>
                <w:rFonts w:ascii="宋体" w:hAnsi="宋体" w:cs="宋体"/>
                <w:bCs/>
                <w:color w:val="000000" w:themeColor="text1"/>
                <w:kern w:val="0"/>
                <w:sz w:val="24"/>
                <w:lang w:val="zh-CN"/>
                <w14:textFill>
                  <w14:solidFill>
                    <w14:schemeClr w14:val="tx1"/>
                  </w14:solidFill>
                </w14:textFill>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FD7ED75">
            <w:pPr>
              <w:autoSpaceDE w:val="0"/>
              <w:autoSpaceDN w:val="0"/>
              <w:spacing w:line="360" w:lineRule="auto"/>
              <w:rPr>
                <w:rFonts w:ascii="宋体" w:hAnsi="宋体" w:cs="宋体"/>
                <w:bCs/>
                <w:color w:val="000000" w:themeColor="text1"/>
                <w:kern w:val="0"/>
                <w:sz w:val="24"/>
                <w:lang w:val="zh-CN"/>
                <w14:textFill>
                  <w14:solidFill>
                    <w14:schemeClr w14:val="tx1"/>
                  </w14:solidFill>
                </w14:textFill>
              </w:rPr>
            </w:pPr>
            <w:r>
              <w:rPr>
                <w:rFonts w:hint="eastAsia" w:ascii="宋体" w:hAnsi="宋体" w:cs="宋体"/>
                <w:bCs/>
                <w:color w:val="000000" w:themeColor="text1"/>
                <w:kern w:val="0"/>
                <w:sz w:val="24"/>
                <w:lang w:val="zh-CN"/>
                <w14:textFill>
                  <w14:solidFill>
                    <w14:schemeClr w14:val="tx1"/>
                  </w14:solidFill>
                </w14:textFill>
              </w:rPr>
              <w:t>采购单位</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tcPr>
          <w:p w14:paraId="1F3D42DD">
            <w:pPr>
              <w:autoSpaceDE w:val="0"/>
              <w:autoSpaceDN w:val="0"/>
              <w:spacing w:line="360" w:lineRule="auto"/>
              <w:rPr>
                <w:rFonts w:ascii="宋体" w:hAnsi="宋体" w:cs="宋体"/>
                <w:bCs/>
                <w:color w:val="000000" w:themeColor="text1"/>
                <w:kern w:val="0"/>
                <w:sz w:val="24"/>
                <w:lang w:val="zh-CN"/>
                <w14:textFill>
                  <w14:solidFill>
                    <w14:schemeClr w14:val="tx1"/>
                  </w14:solidFill>
                </w14:textFill>
              </w:rPr>
            </w:pPr>
            <w:r>
              <w:rPr>
                <w:rFonts w:hint="eastAsia" w:ascii="宋体" w:hAnsi="宋体" w:cs="宋体"/>
                <w:bCs/>
                <w:color w:val="000000" w:themeColor="text1"/>
                <w:kern w:val="0"/>
                <w:sz w:val="24"/>
                <w:lang w:val="zh-CN"/>
                <w14:textFill>
                  <w14:solidFill>
                    <w14:schemeClr w14:val="tx1"/>
                  </w14:solidFill>
                </w14:textFill>
              </w:rPr>
              <w:t>青海红十字医院</w:t>
            </w:r>
          </w:p>
        </w:tc>
      </w:tr>
      <w:tr w14:paraId="57CD883D">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626C043">
            <w:pPr>
              <w:numPr>
                <w:ilvl w:val="0"/>
                <w:numId w:val="3"/>
              </w:numPr>
              <w:autoSpaceDE w:val="0"/>
              <w:autoSpaceDN w:val="0"/>
              <w:spacing w:line="360" w:lineRule="auto"/>
              <w:jc w:val="center"/>
              <w:rPr>
                <w:rFonts w:ascii="宋体" w:hAnsi="宋体" w:cs="宋体"/>
                <w:bCs/>
                <w:color w:val="000000" w:themeColor="text1"/>
                <w:kern w:val="0"/>
                <w:sz w:val="24"/>
                <w:lang w:val="zh-CN"/>
                <w14:textFill>
                  <w14:solidFill>
                    <w14:schemeClr w14:val="tx1"/>
                  </w14:solidFill>
                </w14:textFill>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F3D6AE9">
            <w:pPr>
              <w:autoSpaceDE w:val="0"/>
              <w:autoSpaceDN w:val="0"/>
              <w:spacing w:line="360" w:lineRule="auto"/>
              <w:rPr>
                <w:rFonts w:ascii="宋体" w:hAnsi="宋体" w:cs="宋体"/>
                <w:bCs/>
                <w:color w:val="000000" w:themeColor="text1"/>
                <w:kern w:val="0"/>
                <w:sz w:val="24"/>
                <w:lang w:val="zh-CN"/>
                <w14:textFill>
                  <w14:solidFill>
                    <w14:schemeClr w14:val="tx1"/>
                  </w14:solidFill>
                </w14:textFill>
              </w:rPr>
            </w:pPr>
            <w:r>
              <w:rPr>
                <w:rFonts w:hint="eastAsia" w:ascii="宋体" w:hAnsi="宋体" w:cs="宋体"/>
                <w:bCs/>
                <w:color w:val="000000" w:themeColor="text1"/>
                <w:kern w:val="0"/>
                <w:sz w:val="24"/>
                <w:lang w:val="zh-CN"/>
                <w14:textFill>
                  <w14:solidFill>
                    <w14:schemeClr w14:val="tx1"/>
                  </w14:solidFill>
                </w14:textFill>
              </w:rPr>
              <w:t>采购代理机构</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tcPr>
          <w:p w14:paraId="5A048629">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青海国焱工程项目管理有限公司</w:t>
            </w:r>
          </w:p>
        </w:tc>
      </w:tr>
      <w:tr w14:paraId="3C1BB01B">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1260BBA">
            <w:pPr>
              <w:numPr>
                <w:ilvl w:val="0"/>
                <w:numId w:val="3"/>
              </w:numPr>
              <w:autoSpaceDE w:val="0"/>
              <w:autoSpaceDN w:val="0"/>
              <w:spacing w:line="360" w:lineRule="auto"/>
              <w:jc w:val="center"/>
              <w:rPr>
                <w:rFonts w:ascii="宋体" w:hAnsi="宋体" w:cs="宋体"/>
                <w:bCs/>
                <w:color w:val="000000" w:themeColor="text1"/>
                <w:kern w:val="0"/>
                <w:sz w:val="24"/>
                <w:lang w:val="zh-CN"/>
                <w14:textFill>
                  <w14:solidFill>
                    <w14:schemeClr w14:val="tx1"/>
                  </w14:solidFill>
                </w14:textFill>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C83F820">
            <w:pPr>
              <w:autoSpaceDE w:val="0"/>
              <w:autoSpaceDN w:val="0"/>
              <w:spacing w:line="360" w:lineRule="auto"/>
              <w:rPr>
                <w:rFonts w:ascii="宋体" w:hAnsi="宋体" w:cs="宋体"/>
                <w:bCs/>
                <w:color w:val="000000" w:themeColor="text1"/>
                <w:kern w:val="0"/>
                <w:sz w:val="24"/>
                <w:lang w:val="zh-CN"/>
                <w14:textFill>
                  <w14:solidFill>
                    <w14:schemeClr w14:val="tx1"/>
                  </w14:solidFill>
                </w14:textFill>
              </w:rPr>
            </w:pPr>
            <w:r>
              <w:rPr>
                <w:rFonts w:hint="eastAsia" w:ascii="宋体" w:hAnsi="宋体" w:cs="宋体"/>
                <w:bCs/>
                <w:color w:val="000000" w:themeColor="text1"/>
                <w:kern w:val="0"/>
                <w:sz w:val="24"/>
                <w:lang w:val="zh-CN"/>
                <w14:textFill>
                  <w14:solidFill>
                    <w14:schemeClr w14:val="tx1"/>
                  </w14:solidFill>
                </w14:textFill>
              </w:rPr>
              <w:t>采购方式</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tcPr>
          <w:p w14:paraId="220D5692">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竞争性磋商</w:t>
            </w:r>
          </w:p>
        </w:tc>
      </w:tr>
      <w:tr w14:paraId="641179D8">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27151C4">
            <w:pPr>
              <w:numPr>
                <w:ilvl w:val="0"/>
                <w:numId w:val="3"/>
              </w:numPr>
              <w:autoSpaceDE w:val="0"/>
              <w:autoSpaceDN w:val="0"/>
              <w:spacing w:line="360" w:lineRule="auto"/>
              <w:jc w:val="center"/>
              <w:rPr>
                <w:rFonts w:ascii="宋体" w:hAnsi="宋体" w:cs="宋体"/>
                <w:bCs/>
                <w:color w:val="000000" w:themeColor="text1"/>
                <w:kern w:val="0"/>
                <w:sz w:val="24"/>
                <w:lang w:val="zh-CN"/>
                <w14:textFill>
                  <w14:solidFill>
                    <w14:schemeClr w14:val="tx1"/>
                  </w14:solidFill>
                </w14:textFill>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EE17B69">
            <w:pPr>
              <w:autoSpaceDE w:val="0"/>
              <w:autoSpaceDN w:val="0"/>
              <w:spacing w:line="360" w:lineRule="auto"/>
              <w:rPr>
                <w:rFonts w:ascii="宋体" w:hAnsi="宋体" w:cs="宋体"/>
                <w:bCs/>
                <w:color w:val="000000" w:themeColor="text1"/>
                <w:kern w:val="0"/>
                <w:sz w:val="24"/>
                <w:lang w:val="zh-CN"/>
                <w14:textFill>
                  <w14:solidFill>
                    <w14:schemeClr w14:val="tx1"/>
                  </w14:solidFill>
                </w14:textFill>
              </w:rPr>
            </w:pPr>
            <w:r>
              <w:rPr>
                <w:rFonts w:hint="eastAsia" w:ascii="宋体" w:hAnsi="宋体" w:cs="宋体"/>
                <w:bCs/>
                <w:color w:val="000000" w:themeColor="text1"/>
                <w:kern w:val="0"/>
                <w:sz w:val="24"/>
                <w:lang w:val="zh-CN"/>
                <w14:textFill>
                  <w14:solidFill>
                    <w14:schemeClr w14:val="tx1"/>
                  </w14:solidFill>
                </w14:textFill>
              </w:rPr>
              <w:t>评分办法</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tcPr>
          <w:p w14:paraId="29F82126">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综合评分法</w:t>
            </w:r>
          </w:p>
        </w:tc>
      </w:tr>
      <w:tr w14:paraId="62792113">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C0EEBF8">
            <w:pPr>
              <w:numPr>
                <w:ilvl w:val="0"/>
                <w:numId w:val="3"/>
              </w:numPr>
              <w:autoSpaceDE w:val="0"/>
              <w:autoSpaceDN w:val="0"/>
              <w:spacing w:line="360" w:lineRule="auto"/>
              <w:jc w:val="center"/>
              <w:rPr>
                <w:rFonts w:ascii="宋体" w:hAnsi="宋体" w:cs="宋体"/>
                <w:bCs/>
                <w:color w:val="000000" w:themeColor="text1"/>
                <w:kern w:val="0"/>
                <w:sz w:val="24"/>
                <w:lang w:val="zh-CN"/>
                <w14:textFill>
                  <w14:solidFill>
                    <w14:schemeClr w14:val="tx1"/>
                  </w14:solidFill>
                </w14:textFill>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78B38B6">
            <w:pPr>
              <w:autoSpaceDE w:val="0"/>
              <w:autoSpaceDN w:val="0"/>
              <w:spacing w:line="360" w:lineRule="auto"/>
              <w:rPr>
                <w:rFonts w:ascii="宋体" w:hAnsi="宋体" w:cs="宋体"/>
                <w:bCs/>
                <w:color w:val="000000" w:themeColor="text1"/>
                <w:kern w:val="0"/>
                <w:sz w:val="24"/>
                <w:lang w:val="zh-CN"/>
                <w14:textFill>
                  <w14:solidFill>
                    <w14:schemeClr w14:val="tx1"/>
                  </w14:solidFill>
                </w14:textFill>
              </w:rPr>
            </w:pPr>
            <w:r>
              <w:rPr>
                <w:rFonts w:hint="eastAsia" w:ascii="宋体" w:hAnsi="宋体" w:cs="宋体"/>
                <w:bCs/>
                <w:color w:val="000000" w:themeColor="text1"/>
                <w:kern w:val="0"/>
                <w:sz w:val="24"/>
                <w:lang w:val="zh-CN"/>
                <w14:textFill>
                  <w14:solidFill>
                    <w14:schemeClr w14:val="tx1"/>
                  </w14:solidFill>
                </w14:textFill>
              </w:rPr>
              <w:t>采购预算控制额度</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6C9F4C4">
            <w:pPr>
              <w:spacing w:line="360" w:lineRule="auto"/>
              <w:rPr>
                <w:rFonts w:hint="eastAsia" w:ascii="宋体" w:hAnsi="宋体" w:eastAsia="宋体" w:cs="宋体"/>
                <w:color w:val="000000" w:themeColor="text1"/>
                <w:kern w:val="0"/>
                <w:sz w:val="24"/>
                <w:lang w:val="zh-CN" w:eastAsia="zh-CN"/>
                <w14:textFill>
                  <w14:solidFill>
                    <w14:schemeClr w14:val="tx1"/>
                  </w14:solidFill>
                </w14:textFill>
              </w:rPr>
            </w:pPr>
            <w:r>
              <w:rPr>
                <w:rFonts w:hint="eastAsia" w:ascii="宋体" w:hAnsi="宋体" w:cs="宋体"/>
                <w:color w:val="000000" w:themeColor="text1"/>
                <w:sz w:val="24"/>
                <w14:textFill>
                  <w14:solidFill>
                    <w14:schemeClr w14:val="tx1"/>
                  </w14:solidFill>
                </w14:textFill>
              </w:rPr>
              <w:t>人民币</w:t>
            </w:r>
            <w:r>
              <w:rPr>
                <w:rFonts w:hint="eastAsia" w:ascii="宋体" w:hAnsi="宋体" w:cs="宋体"/>
                <w:color w:val="000000" w:themeColor="text1"/>
                <w:sz w:val="24"/>
                <w:lang w:eastAsia="zh-CN"/>
                <w14:textFill>
                  <w14:solidFill>
                    <w14:schemeClr w14:val="tx1"/>
                  </w14:solidFill>
                </w14:textFill>
              </w:rPr>
              <w:t>85万元</w:t>
            </w:r>
          </w:p>
        </w:tc>
      </w:tr>
      <w:tr w14:paraId="35E5D828">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34DE202">
            <w:pPr>
              <w:numPr>
                <w:ilvl w:val="0"/>
                <w:numId w:val="3"/>
              </w:numPr>
              <w:autoSpaceDE w:val="0"/>
              <w:autoSpaceDN w:val="0"/>
              <w:spacing w:line="360" w:lineRule="auto"/>
              <w:jc w:val="center"/>
              <w:rPr>
                <w:rFonts w:ascii="宋体" w:hAnsi="宋体" w:cs="宋体"/>
                <w:bCs/>
                <w:color w:val="000000" w:themeColor="text1"/>
                <w:kern w:val="0"/>
                <w:sz w:val="24"/>
                <w:lang w:val="zh-CN"/>
                <w14:textFill>
                  <w14:solidFill>
                    <w14:schemeClr w14:val="tx1"/>
                  </w14:solidFill>
                </w14:textFill>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AD77525">
            <w:pPr>
              <w:autoSpaceDE w:val="0"/>
              <w:autoSpaceDN w:val="0"/>
              <w:spacing w:line="360" w:lineRule="auto"/>
              <w:rPr>
                <w:rFonts w:ascii="宋体" w:hAnsi="宋体" w:cs="宋体"/>
                <w:bCs/>
                <w:color w:val="000000" w:themeColor="text1"/>
                <w:kern w:val="0"/>
                <w:sz w:val="24"/>
                <w:lang w:val="zh-CN"/>
                <w14:textFill>
                  <w14:solidFill>
                    <w14:schemeClr w14:val="tx1"/>
                  </w14:solidFill>
                </w14:textFill>
              </w:rPr>
            </w:pPr>
            <w:r>
              <w:rPr>
                <w:rFonts w:hint="eastAsia" w:ascii="宋体" w:hAnsi="宋体" w:cs="宋体"/>
                <w:bCs/>
                <w:color w:val="000000" w:themeColor="text1"/>
                <w:kern w:val="0"/>
                <w:sz w:val="24"/>
                <w:lang w:val="zh-CN"/>
                <w14:textFill>
                  <w14:solidFill>
                    <w14:schemeClr w14:val="tx1"/>
                  </w14:solidFill>
                </w14:textFill>
              </w:rPr>
              <w:t>项目分包个数</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A5BA7B9">
            <w:pPr>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olor w:val="000000" w:themeColor="text1"/>
                <w:kern w:val="0"/>
                <w:sz w:val="24"/>
                <w:lang w:val="en-US" w:eastAsia="zh-CN"/>
                <w14:textFill>
                  <w14:solidFill>
                    <w14:schemeClr w14:val="tx1"/>
                  </w14:solidFill>
                </w14:textFill>
              </w:rPr>
              <w:t>三个包</w:t>
            </w:r>
            <w:bookmarkStart w:id="154" w:name="_GoBack"/>
            <w:bookmarkEnd w:id="154"/>
          </w:p>
        </w:tc>
      </w:tr>
      <w:tr w14:paraId="7A5EE2DD">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auto" w:sz="4" w:space="0"/>
              <w:right w:val="single" w:color="000000" w:sz="6" w:space="0"/>
            </w:tcBorders>
            <w:shd w:val="clear" w:color="000000" w:fill="FFFFFF"/>
            <w:vAlign w:val="center"/>
          </w:tcPr>
          <w:p w14:paraId="72D4F875">
            <w:pPr>
              <w:numPr>
                <w:ilvl w:val="0"/>
                <w:numId w:val="3"/>
              </w:numPr>
              <w:autoSpaceDE w:val="0"/>
              <w:autoSpaceDN w:val="0"/>
              <w:spacing w:line="360" w:lineRule="auto"/>
              <w:jc w:val="center"/>
              <w:rPr>
                <w:rFonts w:ascii="宋体" w:hAnsi="宋体" w:cs="宋体"/>
                <w:bCs/>
                <w:color w:val="000000" w:themeColor="text1"/>
                <w:kern w:val="0"/>
                <w:sz w:val="24"/>
                <w:lang w:val="zh-CN"/>
                <w14:textFill>
                  <w14:solidFill>
                    <w14:schemeClr w14:val="tx1"/>
                  </w14:solidFill>
                </w14:textFill>
              </w:rPr>
            </w:pPr>
          </w:p>
        </w:tc>
        <w:tc>
          <w:tcPr>
            <w:tcW w:w="2327" w:type="dxa"/>
            <w:tcBorders>
              <w:top w:val="single" w:color="000000" w:sz="6" w:space="0"/>
              <w:left w:val="single" w:color="000000" w:sz="6" w:space="0"/>
              <w:bottom w:val="single" w:color="auto" w:sz="4" w:space="0"/>
              <w:right w:val="single" w:color="000000" w:sz="6" w:space="0"/>
            </w:tcBorders>
            <w:shd w:val="clear" w:color="000000" w:fill="FFFFFF"/>
            <w:vAlign w:val="center"/>
          </w:tcPr>
          <w:p w14:paraId="07A74CBA">
            <w:pPr>
              <w:autoSpaceDE w:val="0"/>
              <w:autoSpaceDN w:val="0"/>
              <w:spacing w:line="360" w:lineRule="auto"/>
              <w:rPr>
                <w:rFonts w:ascii="宋体" w:hAnsi="宋体" w:cs="宋体"/>
                <w:bCs/>
                <w:color w:val="000000" w:themeColor="text1"/>
                <w:kern w:val="0"/>
                <w:sz w:val="24"/>
                <w:lang w:val="zh-CN"/>
                <w14:textFill>
                  <w14:solidFill>
                    <w14:schemeClr w14:val="tx1"/>
                  </w14:solidFill>
                </w14:textFill>
              </w:rPr>
            </w:pPr>
            <w:r>
              <w:rPr>
                <w:rFonts w:hint="eastAsia" w:ascii="宋体" w:hAnsi="宋体" w:cs="宋体"/>
                <w:bCs/>
                <w:color w:val="000000" w:themeColor="text1"/>
                <w:kern w:val="0"/>
                <w:sz w:val="24"/>
                <w:lang w:val="zh-CN"/>
                <w14:textFill>
                  <w14:solidFill>
                    <w14:schemeClr w14:val="tx1"/>
                  </w14:solidFill>
                </w14:textFill>
              </w:rPr>
              <w:t>采购要求</w:t>
            </w:r>
          </w:p>
        </w:tc>
        <w:tc>
          <w:tcPr>
            <w:tcW w:w="7453" w:type="dxa"/>
            <w:tcBorders>
              <w:top w:val="single" w:color="000000" w:sz="6" w:space="0"/>
              <w:left w:val="single" w:color="000000" w:sz="6" w:space="0"/>
              <w:bottom w:val="single" w:color="auto" w:sz="4" w:space="0"/>
              <w:right w:val="single" w:color="000000" w:sz="6" w:space="0"/>
            </w:tcBorders>
            <w:shd w:val="clear" w:color="000000" w:fill="FFFFFF"/>
            <w:vAlign w:val="center"/>
          </w:tcPr>
          <w:p w14:paraId="5E0A3FDB">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详见磋商文件“第六部分 采购项目要求及技术参数”</w:t>
            </w:r>
          </w:p>
        </w:tc>
      </w:tr>
      <w:tr w14:paraId="4B6870F3">
        <w:tblPrEx>
          <w:tblCellMar>
            <w:top w:w="0" w:type="dxa"/>
            <w:left w:w="57" w:type="dxa"/>
            <w:bottom w:w="0" w:type="dxa"/>
            <w:right w:w="57" w:type="dxa"/>
          </w:tblCellMar>
        </w:tblPrEx>
        <w:trPr>
          <w:trHeight w:val="20" w:hRule="atLeast"/>
          <w:jc w:val="center"/>
        </w:trPr>
        <w:tc>
          <w:tcPr>
            <w:tcW w:w="653" w:type="dxa"/>
            <w:tcBorders>
              <w:top w:val="single" w:color="auto" w:sz="4" w:space="0"/>
              <w:left w:val="single" w:color="auto" w:sz="4" w:space="0"/>
              <w:bottom w:val="single" w:color="000000" w:sz="6" w:space="0"/>
              <w:right w:val="single" w:color="000000" w:sz="6" w:space="0"/>
            </w:tcBorders>
            <w:shd w:val="clear" w:color="000000" w:fill="FFFFFF"/>
            <w:vAlign w:val="center"/>
          </w:tcPr>
          <w:p w14:paraId="01EB938F">
            <w:pPr>
              <w:numPr>
                <w:ilvl w:val="0"/>
                <w:numId w:val="3"/>
              </w:numPr>
              <w:autoSpaceDE w:val="0"/>
              <w:autoSpaceDN w:val="0"/>
              <w:spacing w:line="360" w:lineRule="auto"/>
              <w:jc w:val="center"/>
              <w:rPr>
                <w:rFonts w:ascii="宋体" w:hAnsi="宋体" w:cs="宋体"/>
                <w:bCs/>
                <w:color w:val="000000" w:themeColor="text1"/>
                <w:kern w:val="0"/>
                <w:sz w:val="24"/>
                <w:lang w:val="zh-CN"/>
                <w14:textFill>
                  <w14:solidFill>
                    <w14:schemeClr w14:val="tx1"/>
                  </w14:solidFill>
                </w14:textFill>
              </w:rPr>
            </w:pPr>
          </w:p>
        </w:tc>
        <w:tc>
          <w:tcPr>
            <w:tcW w:w="2327" w:type="dxa"/>
            <w:tcBorders>
              <w:top w:val="single" w:color="auto" w:sz="4" w:space="0"/>
              <w:left w:val="single" w:color="000000" w:sz="6" w:space="0"/>
              <w:bottom w:val="single" w:color="000000" w:sz="6" w:space="0"/>
              <w:right w:val="single" w:color="000000" w:sz="6" w:space="0"/>
            </w:tcBorders>
            <w:shd w:val="clear" w:color="000000" w:fill="FFFFFF"/>
            <w:vAlign w:val="center"/>
          </w:tcPr>
          <w:p w14:paraId="5B4D975D">
            <w:pPr>
              <w:autoSpaceDE w:val="0"/>
              <w:autoSpaceDN w:val="0"/>
              <w:spacing w:line="360" w:lineRule="auto"/>
              <w:rPr>
                <w:rFonts w:ascii="宋体" w:hAnsi="宋体" w:cs="宋体"/>
                <w:bCs/>
                <w:color w:val="000000" w:themeColor="text1"/>
                <w:kern w:val="0"/>
                <w:sz w:val="24"/>
                <w:lang w:val="zh-CN"/>
                <w14:textFill>
                  <w14:solidFill>
                    <w14:schemeClr w14:val="tx1"/>
                  </w14:solidFill>
                </w14:textFill>
              </w:rPr>
            </w:pPr>
            <w:r>
              <w:rPr>
                <w:rFonts w:hint="eastAsia" w:ascii="宋体" w:hAnsi="宋体" w:cs="宋体"/>
                <w:color w:val="000000" w:themeColor="text1"/>
                <w:sz w:val="24"/>
                <w14:textFill>
                  <w14:solidFill>
                    <w14:schemeClr w14:val="tx1"/>
                  </w14:solidFill>
                </w14:textFill>
              </w:rPr>
              <w:t>磋商供应商</w:t>
            </w:r>
            <w:r>
              <w:rPr>
                <w:rFonts w:hint="eastAsia" w:ascii="宋体" w:hAnsi="宋体" w:cs="宋体"/>
                <w:bCs/>
                <w:color w:val="000000" w:themeColor="text1"/>
                <w:kern w:val="0"/>
                <w:sz w:val="24"/>
                <w:lang w:val="zh-CN"/>
                <w14:textFill>
                  <w14:solidFill>
                    <w14:schemeClr w14:val="tx1"/>
                  </w14:solidFill>
                </w14:textFill>
              </w:rPr>
              <w:t>资格条件</w:t>
            </w:r>
          </w:p>
        </w:tc>
        <w:tc>
          <w:tcPr>
            <w:tcW w:w="7453" w:type="dxa"/>
            <w:tcBorders>
              <w:top w:val="single" w:color="auto" w:sz="4" w:space="0"/>
              <w:left w:val="single" w:color="000000" w:sz="6" w:space="0"/>
              <w:bottom w:val="single" w:color="000000" w:sz="6" w:space="0"/>
              <w:right w:val="single" w:color="auto" w:sz="4" w:space="0"/>
            </w:tcBorders>
            <w:shd w:val="clear" w:color="000000" w:fill="FFFFFF"/>
          </w:tcPr>
          <w:p w14:paraId="3C59C977">
            <w:pPr>
              <w:autoSpaceDE w:val="0"/>
              <w:autoSpaceDN w:val="0"/>
              <w:spacing w:line="360" w:lineRule="auto"/>
              <w:rPr>
                <w:rFonts w:ascii="宋体" w:hAnsi="宋体" w:cs="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1.符合《政府采购法》第22条条件，并提供下列材料：</w:t>
            </w:r>
          </w:p>
          <w:p w14:paraId="3222659F">
            <w:pPr>
              <w:autoSpaceDE w:val="0"/>
              <w:autoSpaceDN w:val="0"/>
              <w:spacing w:line="360" w:lineRule="auto"/>
              <w:rPr>
                <w:rFonts w:ascii="宋体" w:hAnsi="宋体" w:cs="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&lt;1&gt;磋商人的营业执照等证明文件，自然人的身份证明。</w:t>
            </w:r>
          </w:p>
          <w:p w14:paraId="36DF14C5">
            <w:pPr>
              <w:autoSpaceDE w:val="0"/>
              <w:autoSpaceDN w:val="0"/>
              <w:spacing w:line="360" w:lineRule="auto"/>
              <w:rPr>
                <w:rFonts w:ascii="宋体" w:hAnsi="宋体" w:cs="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&lt;2&gt;财务状况报告，依法缴纳税收和社会保障资金的相关材料。</w:t>
            </w:r>
          </w:p>
          <w:p w14:paraId="6276004C">
            <w:pPr>
              <w:autoSpaceDE w:val="0"/>
              <w:autoSpaceDN w:val="0"/>
              <w:spacing w:line="360" w:lineRule="auto"/>
              <w:rPr>
                <w:rFonts w:ascii="宋体" w:hAnsi="宋体" w:cs="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&lt;3&gt;具备履行合同所必需的设备和专业技术能力的证明材料。</w:t>
            </w:r>
          </w:p>
          <w:p w14:paraId="04D9B3C3">
            <w:pPr>
              <w:autoSpaceDE w:val="0"/>
              <w:autoSpaceDN w:val="0"/>
              <w:spacing w:line="360" w:lineRule="auto"/>
              <w:rPr>
                <w:rFonts w:ascii="宋体" w:hAnsi="宋体" w:cs="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&lt;4&gt;参加政府采购活动前3年内在经营活动中没有重大违法记录的书面声明。</w:t>
            </w:r>
          </w:p>
          <w:p w14:paraId="4B3B0109">
            <w:pPr>
              <w:autoSpaceDE w:val="0"/>
              <w:autoSpaceDN w:val="0"/>
              <w:spacing w:line="360" w:lineRule="auto"/>
              <w:rPr>
                <w:rFonts w:ascii="宋体" w:hAnsi="宋体" w:cs="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&lt;5&gt;具备法律、行政法规规定的其他条件的证明材料。</w:t>
            </w:r>
          </w:p>
          <w:p w14:paraId="0A9298EE">
            <w:pPr>
              <w:autoSpaceDE w:val="0"/>
              <w:autoSpaceDN w:val="0"/>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2.单位负责人为同一人或者存在直接控股、管理关系的不同磋商人，不得参加同一合同项下的政府采购活动。否则，皆取消投标资格；</w:t>
            </w:r>
          </w:p>
          <w:p w14:paraId="5B11FF58">
            <w:pPr>
              <w:autoSpaceDE w:val="0"/>
              <w:autoSpaceDN w:val="0"/>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w:t>
            </w:r>
            <w:r>
              <w:rPr>
                <w:rFonts w:hint="eastAsia" w:ascii="宋体" w:hAnsi="宋体" w:cs="宋体"/>
                <w:color w:val="000000" w:themeColor="text1"/>
                <w:sz w:val="24"/>
                <w:lang w:val="zh-CN"/>
                <w14:textFill>
                  <w14:solidFill>
                    <w14:schemeClr w14:val="tx1"/>
                  </w14:solidFill>
                </w14:textFill>
              </w:rPr>
              <w:t>经信用中</w:t>
            </w:r>
            <w:r>
              <w:rPr>
                <w:rFonts w:hint="eastAsia" w:ascii="宋体" w:hAnsi="宋体" w:cs="宋体"/>
                <w:color w:val="000000" w:themeColor="text1"/>
                <w:sz w:val="24"/>
                <w14:textFill>
                  <w14:solidFill>
                    <w14:schemeClr w14:val="tx1"/>
                  </w14:solidFill>
                </w14:textFill>
              </w:rPr>
              <w:t>国（www.creditchina.gov.cn）、中国政府采购网（www.ccgp.gov.cn）等渠道查询后，列入失信被执行人、重大税收违法失信主体、政府采购严重违法失信行为记录名单的，取消投标资格(提供“信用中国”网站的查询截图)；</w:t>
            </w:r>
          </w:p>
          <w:p w14:paraId="0190A6BE">
            <w:pPr>
              <w:autoSpaceDE w:val="0"/>
              <w:autoSpaceDN w:val="0"/>
              <w:spacing w:line="360" w:lineRule="auto"/>
              <w:rPr>
                <w:color w:val="000000" w:themeColor="text1"/>
                <w14:textFill>
                  <w14:solidFill>
                    <w14:schemeClr w14:val="tx1"/>
                  </w14:solidFill>
                </w14:textFill>
              </w:rPr>
            </w:pPr>
            <w:r>
              <w:rPr>
                <w:rFonts w:hint="eastAsia" w:ascii="宋体" w:hAnsi="宋体" w:cs="宋体"/>
                <w:color w:val="000000" w:themeColor="text1"/>
                <w:sz w:val="24"/>
                <w14:textFill>
                  <w14:solidFill>
                    <w14:schemeClr w14:val="tx1"/>
                  </w14:solidFill>
                </w14:textFill>
              </w:rPr>
              <w:t>4</w:t>
            </w:r>
            <w:r>
              <w:rPr>
                <w:rFonts w:hint="eastAsia" w:ascii="宋体" w:hAnsi="宋体" w:cs="宋体"/>
                <w:color w:val="000000" w:themeColor="text1"/>
                <w:sz w:val="24"/>
                <w:lang w:val="zh-CN"/>
                <w14:textFill>
                  <w14:solidFill>
                    <w14:schemeClr w14:val="tx1"/>
                  </w14:solidFill>
                </w14:textFill>
              </w:rPr>
              <w:t>.本项目不接受磋商人以联合体方式进行投标。</w:t>
            </w:r>
          </w:p>
        </w:tc>
      </w:tr>
      <w:tr w14:paraId="25B81F90">
        <w:tblPrEx>
          <w:tblCellMar>
            <w:top w:w="0" w:type="dxa"/>
            <w:left w:w="57" w:type="dxa"/>
            <w:bottom w:w="0" w:type="dxa"/>
            <w:right w:w="57" w:type="dxa"/>
          </w:tblCellMar>
        </w:tblPrEx>
        <w:trPr>
          <w:trHeight w:val="552" w:hRule="atLeast"/>
          <w:jc w:val="center"/>
        </w:trPr>
        <w:tc>
          <w:tcPr>
            <w:tcW w:w="653" w:type="dxa"/>
            <w:tcBorders>
              <w:top w:val="single" w:color="000000" w:sz="6" w:space="0"/>
              <w:left w:val="single" w:color="auto" w:sz="4" w:space="0"/>
              <w:bottom w:val="single" w:color="auto" w:sz="4" w:space="0"/>
              <w:right w:val="single" w:color="000000" w:sz="6" w:space="0"/>
            </w:tcBorders>
            <w:shd w:val="clear" w:color="000000" w:fill="FFFFFF"/>
            <w:vAlign w:val="center"/>
          </w:tcPr>
          <w:p w14:paraId="332F8576">
            <w:pPr>
              <w:numPr>
                <w:ilvl w:val="0"/>
                <w:numId w:val="3"/>
              </w:numPr>
              <w:autoSpaceDE w:val="0"/>
              <w:autoSpaceDN w:val="0"/>
              <w:spacing w:line="360" w:lineRule="auto"/>
              <w:jc w:val="center"/>
              <w:rPr>
                <w:rFonts w:ascii="宋体" w:hAnsi="宋体" w:cs="宋体"/>
                <w:bCs/>
                <w:color w:val="000000" w:themeColor="text1"/>
                <w:kern w:val="0"/>
                <w:sz w:val="24"/>
                <w14:textFill>
                  <w14:solidFill>
                    <w14:schemeClr w14:val="tx1"/>
                  </w14:solidFill>
                </w14:textFill>
              </w:rPr>
            </w:pPr>
          </w:p>
        </w:tc>
        <w:tc>
          <w:tcPr>
            <w:tcW w:w="2327" w:type="dxa"/>
            <w:tcBorders>
              <w:top w:val="single" w:color="000000" w:sz="6" w:space="0"/>
              <w:left w:val="single" w:color="000000" w:sz="6" w:space="0"/>
              <w:bottom w:val="single" w:color="auto" w:sz="4" w:space="0"/>
              <w:right w:val="single" w:color="000000" w:sz="6" w:space="0"/>
            </w:tcBorders>
            <w:shd w:val="clear" w:color="000000" w:fill="FFFFFF"/>
            <w:vAlign w:val="center"/>
          </w:tcPr>
          <w:p w14:paraId="090A682F">
            <w:pPr>
              <w:autoSpaceDE w:val="0"/>
              <w:autoSpaceDN w:val="0"/>
              <w:spacing w:line="360" w:lineRule="auto"/>
              <w:rPr>
                <w:rFonts w:ascii="宋体" w:hAnsi="宋体" w:cs="宋体"/>
                <w:bCs/>
                <w:color w:val="000000" w:themeColor="text1"/>
                <w:kern w:val="0"/>
                <w:sz w:val="24"/>
                <w:lang w:val="zh-CN"/>
                <w14:textFill>
                  <w14:solidFill>
                    <w14:schemeClr w14:val="tx1"/>
                  </w14:solidFill>
                </w14:textFill>
              </w:rPr>
            </w:pPr>
            <w:r>
              <w:rPr>
                <w:rFonts w:hint="eastAsia" w:ascii="宋体" w:hAnsi="宋体" w:cs="宋体"/>
                <w:bCs/>
                <w:color w:val="000000" w:themeColor="text1"/>
                <w:kern w:val="0"/>
                <w:sz w:val="24"/>
                <w:lang w:val="zh-CN"/>
                <w14:textFill>
                  <w14:solidFill>
                    <w14:schemeClr w14:val="tx1"/>
                  </w14:solidFill>
                </w14:textFill>
              </w:rPr>
              <w:t>磋商保证金</w:t>
            </w:r>
          </w:p>
        </w:tc>
        <w:tc>
          <w:tcPr>
            <w:tcW w:w="7453" w:type="dxa"/>
            <w:tcBorders>
              <w:top w:val="single" w:color="000000" w:sz="6" w:space="0"/>
              <w:left w:val="single" w:color="000000" w:sz="6" w:space="0"/>
              <w:bottom w:val="single" w:color="auto" w:sz="4" w:space="0"/>
              <w:right w:val="single" w:color="auto" w:sz="4" w:space="0"/>
            </w:tcBorders>
            <w:shd w:val="clear" w:color="000000" w:fill="FFFFFF"/>
          </w:tcPr>
          <w:p w14:paraId="5E4CE073">
            <w:pPr>
              <w:autoSpaceDE w:val="0"/>
              <w:autoSpaceDN w:val="0"/>
              <w:spacing w:line="360" w:lineRule="auto"/>
              <w:rPr>
                <w:rFonts w:hint="eastAsia" w:ascii="宋体" w:hAnsi="宋体" w:eastAsia="宋体" w:cs="宋体"/>
                <w:color w:val="000000" w:themeColor="text1"/>
                <w:sz w:val="24"/>
                <w:lang w:val="zh-CN"/>
                <w14:textFill>
                  <w14:solidFill>
                    <w14:schemeClr w14:val="tx1"/>
                  </w14:solidFill>
                </w14:textFill>
              </w:rPr>
            </w:pPr>
            <w:bookmarkStart w:id="7" w:name="_Toc421873478"/>
            <w:bookmarkStart w:id="8" w:name="_Toc435175539"/>
            <w:bookmarkStart w:id="9" w:name="_Toc435176391"/>
            <w:bookmarkStart w:id="10" w:name="_Toc444762753"/>
            <w:r>
              <w:rPr>
                <w:rFonts w:hint="eastAsia" w:ascii="宋体" w:hAnsi="宋体" w:eastAsia="宋体" w:cs="宋体"/>
                <w:color w:val="000000" w:themeColor="text1"/>
                <w:sz w:val="24"/>
                <w:lang w:val="zh-CN"/>
                <w14:textFill>
                  <w14:solidFill>
                    <w14:schemeClr w14:val="tx1"/>
                  </w14:solidFill>
                </w14:textFill>
              </w:rPr>
              <w:t>各磋商供应商须在磋商响应文件递交截止时间前，缴纳磋商保证金（磋商保证金应当从其基本账户汇出</w:t>
            </w:r>
            <w:bookmarkEnd w:id="7"/>
            <w:r>
              <w:rPr>
                <w:rFonts w:hint="eastAsia" w:ascii="宋体" w:hAnsi="宋体" w:eastAsia="宋体" w:cs="宋体"/>
                <w:color w:val="000000" w:themeColor="text1"/>
                <w:sz w:val="24"/>
                <w:lang w:val="zh-CN"/>
                <w14:textFill>
                  <w14:solidFill>
                    <w14:schemeClr w14:val="tx1"/>
                  </w14:solidFill>
                </w14:textFill>
              </w:rPr>
              <w:t>，磋商响应文件中须附企业基本账户开户许可证并加盖磋商企业公章）</w:t>
            </w:r>
            <w:bookmarkEnd w:id="8"/>
            <w:bookmarkEnd w:id="9"/>
            <w:bookmarkEnd w:id="10"/>
          </w:p>
          <w:p w14:paraId="4E82FF9F">
            <w:pPr>
              <w:pStyle w:val="52"/>
              <w:spacing w:line="360" w:lineRule="auto"/>
              <w:rPr>
                <w:rFonts w:hint="eastAsia" w:ascii="宋体" w:hAnsi="宋体" w:cs="宋体"/>
                <w:bCs/>
                <w:color w:val="000000" w:themeColor="text1"/>
                <w:kern w:val="0"/>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磋商保证金金额：</w:t>
            </w:r>
            <w:r>
              <w:rPr>
                <w:rFonts w:hint="eastAsia" w:ascii="宋体" w:hAnsi="宋体" w:cs="宋体"/>
                <w:bCs/>
                <w:color w:val="000000" w:themeColor="text1"/>
                <w:kern w:val="0"/>
                <w:sz w:val="24"/>
                <w14:textFill>
                  <w14:solidFill>
                    <w14:schemeClr w14:val="tx1"/>
                  </w14:solidFill>
                </w14:textFill>
              </w:rPr>
              <w:t>包</w:t>
            </w:r>
            <w:r>
              <w:rPr>
                <w:rFonts w:ascii="宋体" w:hAnsi="宋体" w:cs="宋体"/>
                <w:bCs/>
                <w:color w:val="000000" w:themeColor="text1"/>
                <w:kern w:val="0"/>
                <w:sz w:val="24"/>
                <w14:textFill>
                  <w14:solidFill>
                    <w14:schemeClr w14:val="tx1"/>
                  </w14:solidFill>
                </w14:textFill>
              </w:rPr>
              <w:t>1</w:t>
            </w:r>
            <w:r>
              <w:rPr>
                <w:rFonts w:hint="eastAsia" w:ascii="宋体" w:hAnsi="宋体" w:cs="宋体"/>
                <w:bCs/>
                <w:color w:val="000000" w:themeColor="text1"/>
                <w:kern w:val="0"/>
                <w:sz w:val="24"/>
                <w14:textFill>
                  <w14:solidFill>
                    <w14:schemeClr w14:val="tx1"/>
                  </w14:solidFill>
                </w14:textFill>
              </w:rPr>
              <w:t>：</w:t>
            </w:r>
            <w:r>
              <w:rPr>
                <w:rFonts w:hint="eastAsia" w:ascii="宋体" w:hAnsi="宋体" w:cs="宋体"/>
                <w:bCs/>
                <w:color w:val="000000" w:themeColor="text1"/>
                <w:kern w:val="0"/>
                <w:sz w:val="24"/>
                <w:lang w:val="zh-CN"/>
                <w14:textFill>
                  <w14:solidFill>
                    <w14:schemeClr w14:val="tx1"/>
                  </w14:solidFill>
                </w14:textFill>
              </w:rPr>
              <w:t>小写：￥</w:t>
            </w:r>
            <w:r>
              <w:rPr>
                <w:rFonts w:hint="eastAsia" w:ascii="宋体" w:hAnsi="宋体" w:cs="宋体"/>
                <w:bCs/>
                <w:color w:val="000000" w:themeColor="text1"/>
                <w:kern w:val="0"/>
                <w:sz w:val="24"/>
                <w14:textFill>
                  <w14:solidFill>
                    <w14:schemeClr w14:val="tx1"/>
                  </w14:solidFill>
                </w14:textFill>
              </w:rPr>
              <w:t>17,000.00元整</w:t>
            </w:r>
            <w:r>
              <w:rPr>
                <w:rFonts w:hint="eastAsia" w:ascii="宋体" w:hAnsi="宋体" w:cs="宋体"/>
                <w:bCs/>
                <w:color w:val="000000" w:themeColor="text1"/>
                <w:kern w:val="0"/>
                <w:sz w:val="24"/>
                <w:lang w:val="zh-CN"/>
                <w14:textFill>
                  <w14:solidFill>
                    <w14:schemeClr w14:val="tx1"/>
                  </w14:solidFill>
                </w14:textFill>
              </w:rPr>
              <w:t>；</w:t>
            </w:r>
          </w:p>
          <w:p w14:paraId="51AC5509">
            <w:pPr>
              <w:pStyle w:val="52"/>
              <w:spacing w:line="360" w:lineRule="auto"/>
              <w:ind w:firstLine="2640" w:firstLineChars="1100"/>
              <w:rPr>
                <w:rFonts w:hint="eastAsia" w:ascii="宋体" w:hAnsi="宋体" w:eastAsia="宋体" w:cs="宋体"/>
                <w:color w:val="000000" w:themeColor="text1"/>
                <w:sz w:val="24"/>
                <w:lang w:val="zh-CN"/>
                <w14:textFill>
                  <w14:solidFill>
                    <w14:schemeClr w14:val="tx1"/>
                  </w14:solidFill>
                </w14:textFill>
              </w:rPr>
            </w:pPr>
            <w:r>
              <w:rPr>
                <w:rFonts w:hint="eastAsia" w:ascii="宋体" w:hAnsi="宋体" w:cs="宋体"/>
                <w:bCs/>
                <w:color w:val="000000" w:themeColor="text1"/>
                <w:kern w:val="0"/>
                <w:sz w:val="24"/>
                <w:lang w:val="zh-CN"/>
                <w14:textFill>
                  <w14:solidFill>
                    <w14:schemeClr w14:val="tx1"/>
                  </w14:solidFill>
                </w14:textFill>
              </w:rPr>
              <w:t>大写：</w:t>
            </w:r>
            <w:r>
              <w:rPr>
                <w:rFonts w:hint="eastAsia" w:ascii="宋体" w:hAnsi="宋体" w:cs="宋体"/>
                <w:bCs/>
                <w:color w:val="000000" w:themeColor="text1"/>
                <w:kern w:val="0"/>
                <w:sz w:val="24"/>
                <w14:textFill>
                  <w14:solidFill>
                    <w14:schemeClr w14:val="tx1"/>
                  </w14:solidFill>
                </w14:textFill>
              </w:rPr>
              <w:t>壹万柒仟元整</w:t>
            </w:r>
            <w:r>
              <w:rPr>
                <w:rFonts w:hint="eastAsia" w:ascii="宋体" w:hAnsi="宋体" w:cs="宋体"/>
                <w:bCs/>
                <w:color w:val="000000" w:themeColor="text1"/>
                <w:kern w:val="0"/>
                <w:sz w:val="24"/>
                <w:lang w:val="zh-CN"/>
                <w14:textFill>
                  <w14:solidFill>
                    <w14:schemeClr w14:val="tx1"/>
                  </w14:solidFill>
                </w14:textFill>
              </w:rPr>
              <w:t>；</w:t>
            </w:r>
          </w:p>
          <w:p w14:paraId="2925B795">
            <w:pPr>
              <w:autoSpaceDE w:val="0"/>
              <w:autoSpaceDN w:val="0"/>
              <w:spacing w:line="360" w:lineRule="auto"/>
              <w:rPr>
                <w:rFonts w:hint="eastAsia"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收款单位：青海国焱工程项目管理有限公司</w:t>
            </w:r>
          </w:p>
          <w:p w14:paraId="3D775730">
            <w:pPr>
              <w:autoSpaceDE w:val="0"/>
              <w:autoSpaceDN w:val="0"/>
              <w:spacing w:line="360" w:lineRule="auto"/>
              <w:rPr>
                <w:rFonts w:hint="eastAsia"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开 户 行：中国工商银行股份有限公司西宁五四大街支行</w:t>
            </w:r>
          </w:p>
          <w:p w14:paraId="19EF2B83">
            <w:pPr>
              <w:autoSpaceDE w:val="0"/>
              <w:autoSpaceDN w:val="0"/>
              <w:spacing w:line="360" w:lineRule="auto"/>
              <w:rPr>
                <w:rFonts w:hint="eastAsia"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银行账号：2806001309000043259（开户行号：102851000139）</w:t>
            </w:r>
          </w:p>
          <w:p w14:paraId="56B25185">
            <w:pPr>
              <w:autoSpaceDE w:val="0"/>
              <w:autoSpaceDN w:val="0"/>
              <w:spacing w:line="360" w:lineRule="auto"/>
              <w:rPr>
                <w:rFonts w:hint="eastAsia"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缴纳时间：磋商供应商在磋商截止期前，以银行到账时间为准。</w:t>
            </w:r>
          </w:p>
          <w:p w14:paraId="220792A0">
            <w:pPr>
              <w:autoSpaceDE w:val="0"/>
              <w:autoSpaceDN w:val="0"/>
              <w:spacing w:line="360" w:lineRule="auto"/>
              <w:rPr>
                <w:rFonts w:hint="eastAsia"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（1）不接受个人名义或现金形式递交的磋商保证金，磋商供应商应单独提交磋商保证金，磋商保证金须从企业基本账户中支付，磋商文件中须附企业开户许可证；</w:t>
            </w:r>
          </w:p>
          <w:p w14:paraId="0F0FD0DA">
            <w:p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（2）磋商保证金有效期与磋商有效期一致。</w:t>
            </w:r>
          </w:p>
        </w:tc>
      </w:tr>
      <w:tr w14:paraId="400CF3AC">
        <w:tblPrEx>
          <w:tblCellMar>
            <w:top w:w="0" w:type="dxa"/>
            <w:left w:w="57" w:type="dxa"/>
            <w:bottom w:w="0" w:type="dxa"/>
            <w:right w:w="57" w:type="dxa"/>
          </w:tblCellMar>
        </w:tblPrEx>
        <w:trPr>
          <w:trHeight w:val="20" w:hRule="atLeast"/>
          <w:jc w:val="center"/>
        </w:trPr>
        <w:tc>
          <w:tcPr>
            <w:tcW w:w="653" w:type="dxa"/>
            <w:tcBorders>
              <w:top w:val="single" w:color="auto" w:sz="4" w:space="0"/>
              <w:left w:val="single" w:color="000000" w:sz="6" w:space="0"/>
              <w:bottom w:val="single" w:color="000000" w:sz="6" w:space="0"/>
              <w:right w:val="single" w:color="000000" w:sz="6" w:space="0"/>
            </w:tcBorders>
            <w:shd w:val="clear" w:color="000000" w:fill="FFFFFF"/>
            <w:vAlign w:val="center"/>
          </w:tcPr>
          <w:p w14:paraId="29253234">
            <w:pPr>
              <w:numPr>
                <w:ilvl w:val="0"/>
                <w:numId w:val="3"/>
              </w:numPr>
              <w:autoSpaceDE w:val="0"/>
              <w:autoSpaceDN w:val="0"/>
              <w:spacing w:line="360" w:lineRule="auto"/>
              <w:jc w:val="center"/>
              <w:rPr>
                <w:rFonts w:ascii="宋体" w:hAnsi="宋体" w:cs="宋体"/>
                <w:bCs/>
                <w:color w:val="000000" w:themeColor="text1"/>
                <w:kern w:val="0"/>
                <w:sz w:val="24"/>
                <w:lang w:val="zh-CN"/>
                <w14:textFill>
                  <w14:solidFill>
                    <w14:schemeClr w14:val="tx1"/>
                  </w14:solidFill>
                </w14:textFill>
              </w:rPr>
            </w:pPr>
          </w:p>
        </w:tc>
        <w:tc>
          <w:tcPr>
            <w:tcW w:w="2327" w:type="dxa"/>
            <w:tcBorders>
              <w:top w:val="single" w:color="auto" w:sz="4" w:space="0"/>
              <w:left w:val="single" w:color="000000" w:sz="6" w:space="0"/>
              <w:bottom w:val="single" w:color="000000" w:sz="6" w:space="0"/>
              <w:right w:val="single" w:color="000000" w:sz="6" w:space="0"/>
            </w:tcBorders>
            <w:shd w:val="clear" w:color="000000" w:fill="FFFFFF"/>
            <w:vAlign w:val="center"/>
          </w:tcPr>
          <w:p w14:paraId="0ECB3294">
            <w:pPr>
              <w:autoSpaceDE w:val="0"/>
              <w:autoSpaceDN w:val="0"/>
              <w:spacing w:line="360" w:lineRule="auto"/>
              <w:rPr>
                <w:rFonts w:ascii="宋体" w:hAnsi="宋体" w:cs="宋体"/>
                <w:bCs/>
                <w:color w:val="000000" w:themeColor="text1"/>
                <w:kern w:val="0"/>
                <w:sz w:val="24"/>
                <w:lang w:val="zh-CN"/>
                <w14:textFill>
                  <w14:solidFill>
                    <w14:schemeClr w14:val="tx1"/>
                  </w14:solidFill>
                </w14:textFill>
              </w:rPr>
            </w:pPr>
            <w:r>
              <w:rPr>
                <w:rFonts w:hint="eastAsia" w:ascii="宋体" w:hAnsi="宋体"/>
                <w:color w:val="000000" w:themeColor="text1"/>
                <w:kern w:val="0"/>
                <w:sz w:val="24"/>
                <w14:textFill>
                  <w14:solidFill>
                    <w14:schemeClr w14:val="tx1"/>
                  </w14:solidFill>
                </w14:textFill>
              </w:rPr>
              <w:t>磋商</w:t>
            </w:r>
            <w:r>
              <w:rPr>
                <w:rFonts w:hint="eastAsia" w:ascii="宋体" w:hAnsi="宋体" w:cs="宋体"/>
                <w:bCs/>
                <w:color w:val="000000" w:themeColor="text1"/>
                <w:kern w:val="0"/>
                <w:sz w:val="24"/>
                <w:lang w:val="zh-CN"/>
                <w14:textFill>
                  <w14:solidFill>
                    <w14:schemeClr w14:val="tx1"/>
                  </w14:solidFill>
                </w14:textFill>
              </w:rPr>
              <w:t>保证金缴纳方式</w:t>
            </w:r>
          </w:p>
        </w:tc>
        <w:tc>
          <w:tcPr>
            <w:tcW w:w="7453" w:type="dxa"/>
            <w:tcBorders>
              <w:top w:val="single" w:color="auto" w:sz="4" w:space="0"/>
              <w:left w:val="single" w:color="000000" w:sz="6" w:space="0"/>
              <w:bottom w:val="single" w:color="000000" w:sz="6" w:space="0"/>
              <w:right w:val="single" w:color="000000" w:sz="6" w:space="0"/>
            </w:tcBorders>
            <w:shd w:val="clear" w:color="000000" w:fill="FFFFFF"/>
          </w:tcPr>
          <w:p w14:paraId="4B588238">
            <w:pPr>
              <w:autoSpaceDE w:val="0"/>
              <w:autoSpaceDN w:val="0"/>
              <w:spacing w:line="360" w:lineRule="auto"/>
              <w:jc w:val="left"/>
              <w:rPr>
                <w:rFonts w:ascii="宋体" w:hAnsi="宋体" w:cs="宋体"/>
                <w:color w:val="000000" w:themeColor="text1"/>
                <w:kern w:val="0"/>
                <w:sz w:val="24"/>
                <w:lang w:val="zh-CN"/>
                <w14:textFill>
                  <w14:solidFill>
                    <w14:schemeClr w14:val="tx1"/>
                  </w14:solidFill>
                </w14:textFill>
              </w:rPr>
            </w:pPr>
            <w:r>
              <w:rPr>
                <w:rFonts w:hint="eastAsia" w:ascii="宋体" w:hAnsi="宋体"/>
                <w:color w:val="000000" w:themeColor="text1"/>
                <w:kern w:val="0"/>
                <w:sz w:val="24"/>
                <w14:textFill>
                  <w14:solidFill>
                    <w14:schemeClr w14:val="tx1"/>
                  </w14:solidFill>
                </w14:textFill>
              </w:rPr>
              <w:t>磋商</w:t>
            </w:r>
            <w:r>
              <w:rPr>
                <w:rFonts w:hint="eastAsia" w:ascii="宋体" w:hAnsi="宋体" w:cs="宋体"/>
                <w:color w:val="000000" w:themeColor="text1"/>
                <w:kern w:val="0"/>
                <w:sz w:val="24"/>
                <w:lang w:val="zh-CN"/>
                <w14:textFill>
                  <w14:solidFill>
                    <w14:schemeClr w14:val="tx1"/>
                  </w14:solidFill>
                </w14:textFill>
              </w:rPr>
              <w:t>保证金应当以电汇、支票、汇票、本票或者金融机构、担保机构出具的保函等非现金形式提交。通过银行转账的，必须由磋商供应商从其基本账户（需提供开户许可证）汇（转）入本须知附表中第1</w:t>
            </w:r>
            <w:r>
              <w:rPr>
                <w:rFonts w:ascii="宋体" w:hAnsi="宋体" w:cs="宋体"/>
                <w:color w:val="000000" w:themeColor="text1"/>
                <w:kern w:val="0"/>
                <w:sz w:val="24"/>
                <w:lang w:val="zh-CN"/>
                <w14:textFill>
                  <w14:solidFill>
                    <w14:schemeClr w14:val="tx1"/>
                  </w14:solidFill>
                </w14:textFill>
              </w:rPr>
              <w:t>1</w:t>
            </w:r>
            <w:r>
              <w:rPr>
                <w:rFonts w:hint="eastAsia" w:ascii="宋体" w:hAnsi="宋体" w:cs="宋体"/>
                <w:color w:val="000000" w:themeColor="text1"/>
                <w:kern w:val="0"/>
                <w:sz w:val="24"/>
                <w:lang w:val="zh-CN"/>
                <w14:textFill>
                  <w14:solidFill>
                    <w14:schemeClr w14:val="tx1"/>
                  </w14:solidFill>
                </w14:textFill>
              </w:rPr>
              <w:t>条指定的账户。</w:t>
            </w:r>
          </w:p>
          <w:p w14:paraId="1FCD0F83">
            <w:p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磋商供应商未按照磋商文件要求提交</w:t>
            </w:r>
            <w:r>
              <w:rPr>
                <w:rFonts w:hint="eastAsia" w:ascii="宋体" w:hAnsi="宋体"/>
                <w:color w:val="000000" w:themeColor="text1"/>
                <w:kern w:val="0"/>
                <w:sz w:val="24"/>
                <w14:textFill>
                  <w14:solidFill>
                    <w14:schemeClr w14:val="tx1"/>
                  </w14:solidFill>
                </w14:textFill>
              </w:rPr>
              <w:t>磋商</w:t>
            </w:r>
            <w:r>
              <w:rPr>
                <w:rFonts w:hint="eastAsia" w:ascii="宋体" w:hAnsi="宋体" w:cs="宋体"/>
                <w:color w:val="000000" w:themeColor="text1"/>
                <w:kern w:val="0"/>
                <w:sz w:val="24"/>
                <w:lang w:val="zh-CN"/>
                <w14:textFill>
                  <w14:solidFill>
                    <w14:schemeClr w14:val="tx1"/>
                  </w14:solidFill>
                </w14:textFill>
              </w:rPr>
              <w:t>保证金的，磋商无效。</w:t>
            </w:r>
          </w:p>
        </w:tc>
      </w:tr>
      <w:tr w14:paraId="3BC15D46">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9429567">
            <w:pPr>
              <w:numPr>
                <w:ilvl w:val="0"/>
                <w:numId w:val="3"/>
              </w:numPr>
              <w:autoSpaceDE w:val="0"/>
              <w:autoSpaceDN w:val="0"/>
              <w:spacing w:line="360" w:lineRule="auto"/>
              <w:jc w:val="center"/>
              <w:rPr>
                <w:rFonts w:ascii="宋体" w:hAnsi="宋体" w:cs="宋体"/>
                <w:bCs/>
                <w:color w:val="000000" w:themeColor="text1"/>
                <w:kern w:val="0"/>
                <w:sz w:val="24"/>
                <w:lang w:val="zh-CN"/>
                <w14:textFill>
                  <w14:solidFill>
                    <w14:schemeClr w14:val="tx1"/>
                  </w14:solidFill>
                </w14:textFill>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A4E11B0">
            <w:pPr>
              <w:autoSpaceDE w:val="0"/>
              <w:autoSpaceDN w:val="0"/>
              <w:spacing w:line="360" w:lineRule="auto"/>
              <w:rPr>
                <w:rFonts w:ascii="宋体" w:hAnsi="宋体" w:cs="宋体"/>
                <w:bCs/>
                <w:color w:val="000000" w:themeColor="text1"/>
                <w:kern w:val="0"/>
                <w:sz w:val="24"/>
                <w:lang w:val="zh-CN"/>
                <w14:textFill>
                  <w14:solidFill>
                    <w14:schemeClr w14:val="tx1"/>
                  </w14:solidFill>
                </w14:textFill>
              </w:rPr>
            </w:pPr>
            <w:r>
              <w:rPr>
                <w:rFonts w:hint="eastAsia" w:ascii="宋体" w:hAnsi="宋体"/>
                <w:color w:val="000000" w:themeColor="text1"/>
                <w:kern w:val="0"/>
                <w:sz w:val="24"/>
                <w14:textFill>
                  <w14:solidFill>
                    <w14:schemeClr w14:val="tx1"/>
                  </w14:solidFill>
                </w14:textFill>
              </w:rPr>
              <w:t>磋商</w:t>
            </w:r>
            <w:r>
              <w:rPr>
                <w:rFonts w:hint="eastAsia" w:ascii="宋体" w:hAnsi="宋体" w:cs="宋体"/>
                <w:bCs/>
                <w:color w:val="000000" w:themeColor="text1"/>
                <w:kern w:val="0"/>
                <w:sz w:val="24"/>
                <w:lang w:val="zh-CN"/>
                <w14:textFill>
                  <w14:solidFill>
                    <w14:schemeClr w14:val="tx1"/>
                  </w14:solidFill>
                </w14:textFill>
              </w:rPr>
              <w:t>保证金退还</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tcPr>
          <w:p w14:paraId="2DC6853C">
            <w:pPr>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未成交磋商供应商的</w:t>
            </w:r>
            <w:r>
              <w:rPr>
                <w:rFonts w:hint="eastAsia" w:ascii="宋体" w:hAnsi="宋体"/>
                <w:color w:val="000000" w:themeColor="text1"/>
                <w:kern w:val="0"/>
                <w:sz w:val="24"/>
                <w14:textFill>
                  <w14:solidFill>
                    <w14:schemeClr w14:val="tx1"/>
                  </w14:solidFill>
                </w14:textFill>
              </w:rPr>
              <w:t>磋商</w:t>
            </w:r>
            <w:r>
              <w:rPr>
                <w:rFonts w:hint="eastAsia" w:ascii="宋体" w:hAnsi="宋体" w:cs="宋体"/>
                <w:color w:val="000000" w:themeColor="text1"/>
                <w:kern w:val="0"/>
                <w:sz w:val="24"/>
                <w:lang w:val="zh-CN"/>
                <w14:textFill>
                  <w14:solidFill>
                    <w14:schemeClr w14:val="tx1"/>
                  </w14:solidFill>
                </w14:textFill>
              </w:rPr>
              <w:t>保证金自成交通知书发出之日起5个工作日内退还（不退现金）；成交磋商供应商的磋商保证金，自政府采购合同签订之日起5个工作日内退还（不退现金）。</w:t>
            </w:r>
          </w:p>
        </w:tc>
      </w:tr>
      <w:tr w14:paraId="57A92215">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6BC09A2">
            <w:pPr>
              <w:numPr>
                <w:ilvl w:val="0"/>
                <w:numId w:val="3"/>
              </w:numPr>
              <w:autoSpaceDE w:val="0"/>
              <w:autoSpaceDN w:val="0"/>
              <w:spacing w:line="360" w:lineRule="auto"/>
              <w:jc w:val="center"/>
              <w:rPr>
                <w:rFonts w:ascii="宋体" w:hAnsi="宋体" w:cs="宋体"/>
                <w:bCs/>
                <w:color w:val="000000" w:themeColor="text1"/>
                <w:kern w:val="0"/>
                <w:sz w:val="24"/>
                <w:lang w:val="zh-CN"/>
                <w14:textFill>
                  <w14:solidFill>
                    <w14:schemeClr w14:val="tx1"/>
                  </w14:solidFill>
                </w14:textFill>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B20803B">
            <w:pPr>
              <w:autoSpaceDE w:val="0"/>
              <w:autoSpaceDN w:val="0"/>
              <w:spacing w:line="360" w:lineRule="auto"/>
              <w:rPr>
                <w:rFonts w:ascii="宋体" w:hAnsi="宋体"/>
                <w:color w:val="000000" w:themeColor="text1"/>
                <w:kern w:val="0"/>
                <w:sz w:val="24"/>
                <w14:textFill>
                  <w14:solidFill>
                    <w14:schemeClr w14:val="tx1"/>
                  </w14:solidFill>
                </w14:textFill>
              </w:rPr>
            </w:pPr>
            <w:r>
              <w:rPr>
                <w:rFonts w:hint="eastAsia" w:ascii="宋体" w:hAnsi="宋体" w:cs="宋体"/>
                <w:bCs/>
                <w:color w:val="000000" w:themeColor="text1"/>
                <w:kern w:val="0"/>
                <w:sz w:val="24"/>
                <w:lang w:val="zh-CN"/>
                <w14:textFill>
                  <w14:solidFill>
                    <w14:schemeClr w14:val="tx1"/>
                  </w14:solidFill>
                </w14:textFill>
              </w:rPr>
              <w:t>递交磋商文件方式</w:t>
            </w:r>
          </w:p>
        </w:tc>
        <w:tc>
          <w:tcPr>
            <w:tcW w:w="7453" w:type="dxa"/>
            <w:tcBorders>
              <w:top w:val="outset" w:color="000000" w:sz="6" w:space="0"/>
              <w:left w:val="outset" w:color="000000" w:sz="6" w:space="0"/>
              <w:bottom w:val="outset" w:color="000000" w:sz="6" w:space="0"/>
              <w:right w:val="outset" w:color="000000" w:sz="6" w:space="0"/>
            </w:tcBorders>
            <w:vAlign w:val="center"/>
          </w:tcPr>
          <w:p w14:paraId="084F96CB">
            <w:pPr>
              <w:pStyle w:val="52"/>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通过政采云投标客户端递交响应文件</w:t>
            </w:r>
          </w:p>
        </w:tc>
      </w:tr>
      <w:tr w14:paraId="410E3DF4">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A2C60FB">
            <w:pPr>
              <w:numPr>
                <w:ilvl w:val="0"/>
                <w:numId w:val="3"/>
              </w:numPr>
              <w:autoSpaceDE w:val="0"/>
              <w:autoSpaceDN w:val="0"/>
              <w:spacing w:line="360" w:lineRule="auto"/>
              <w:jc w:val="center"/>
              <w:rPr>
                <w:rFonts w:ascii="宋体" w:hAnsi="宋体" w:cs="宋体"/>
                <w:bCs/>
                <w:color w:val="000000" w:themeColor="text1"/>
                <w:kern w:val="0"/>
                <w:sz w:val="24"/>
                <w:lang w:val="zh-CN"/>
                <w14:textFill>
                  <w14:solidFill>
                    <w14:schemeClr w14:val="tx1"/>
                  </w14:solidFill>
                </w14:textFill>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317BAC5">
            <w:pPr>
              <w:autoSpaceDE w:val="0"/>
              <w:autoSpaceDN w:val="0"/>
              <w:spacing w:line="360" w:lineRule="auto"/>
              <w:rPr>
                <w:rFonts w:ascii="宋体" w:hAnsi="宋体" w:cs="宋体"/>
                <w:bCs/>
                <w:color w:val="000000" w:themeColor="text1"/>
                <w:kern w:val="0"/>
                <w:sz w:val="24"/>
                <w:lang w:val="zh-CN"/>
                <w14:textFill>
                  <w14:solidFill>
                    <w14:schemeClr w14:val="tx1"/>
                  </w14:solidFill>
                </w14:textFill>
              </w:rPr>
            </w:pPr>
            <w:r>
              <w:rPr>
                <w:rFonts w:hint="eastAsia" w:ascii="宋体" w:hAnsi="宋体"/>
                <w:color w:val="000000" w:themeColor="text1"/>
                <w:kern w:val="0"/>
                <w:sz w:val="24"/>
                <w14:textFill>
                  <w14:solidFill>
                    <w14:schemeClr w14:val="tx1"/>
                  </w14:solidFill>
                </w14:textFill>
              </w:rPr>
              <w:t>磋商</w:t>
            </w:r>
            <w:r>
              <w:rPr>
                <w:rFonts w:hint="eastAsia" w:ascii="宋体" w:hAnsi="宋体" w:cs="宋体"/>
                <w:bCs/>
                <w:color w:val="000000" w:themeColor="text1"/>
                <w:kern w:val="0"/>
                <w:sz w:val="24"/>
                <w:lang w:val="zh-CN"/>
                <w14:textFill>
                  <w14:solidFill>
                    <w14:schemeClr w14:val="tx1"/>
                  </w14:solidFill>
                </w14:textFill>
              </w:rPr>
              <w:t>截止时间</w:t>
            </w:r>
          </w:p>
        </w:tc>
        <w:tc>
          <w:tcPr>
            <w:tcW w:w="7453" w:type="dxa"/>
            <w:tcBorders>
              <w:top w:val="outset" w:color="000000" w:sz="6" w:space="0"/>
              <w:left w:val="outset" w:color="000000" w:sz="6" w:space="0"/>
              <w:bottom w:val="outset" w:color="000000" w:sz="6" w:space="0"/>
              <w:right w:val="outset" w:color="000000" w:sz="6" w:space="0"/>
            </w:tcBorders>
            <w:vAlign w:val="center"/>
          </w:tcPr>
          <w:p w14:paraId="2E612535">
            <w:pPr>
              <w:adjustRightInd w:val="0"/>
              <w:spacing w:line="360" w:lineRule="auto"/>
              <w:jc w:val="left"/>
              <w:textAlignment w:val="baseline"/>
              <w:outlineLvl w:val="0"/>
              <w:rPr>
                <w:rFonts w:hint="eastAsia" w:ascii="宋体" w:hAnsi="宋体" w:eastAsia="宋体" w:cs="Times New Roman"/>
                <w:color w:val="000000" w:themeColor="text1"/>
                <w:sz w:val="24"/>
                <w:lang w:eastAsia="zh-CN"/>
                <w14:textFill>
                  <w14:solidFill>
                    <w14:schemeClr w14:val="tx1"/>
                  </w14:solidFill>
                </w14:textFill>
              </w:rPr>
            </w:pPr>
            <w:r>
              <w:rPr>
                <w:rFonts w:hint="eastAsia" w:ascii="宋体" w:hAnsi="宋体" w:cs="Times New Roman"/>
                <w:color w:val="000000" w:themeColor="text1"/>
                <w:sz w:val="24"/>
                <w:lang w:eastAsia="zh-CN"/>
                <w14:textFill>
                  <w14:solidFill>
                    <w14:schemeClr w14:val="tx1"/>
                  </w14:solidFill>
                </w14:textFill>
              </w:rPr>
              <w:t>2025年04月11日下午14:30（北京时间）</w:t>
            </w:r>
          </w:p>
        </w:tc>
      </w:tr>
      <w:tr w14:paraId="2BC18FEF">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4D67475">
            <w:pPr>
              <w:numPr>
                <w:ilvl w:val="0"/>
                <w:numId w:val="3"/>
              </w:numPr>
              <w:autoSpaceDE w:val="0"/>
              <w:autoSpaceDN w:val="0"/>
              <w:spacing w:line="360" w:lineRule="auto"/>
              <w:jc w:val="center"/>
              <w:rPr>
                <w:rFonts w:ascii="宋体" w:hAnsi="宋体" w:cs="宋体"/>
                <w:bCs/>
                <w:color w:val="000000" w:themeColor="text1"/>
                <w:kern w:val="0"/>
                <w:sz w:val="24"/>
                <w:lang w:val="zh-CN"/>
                <w14:textFill>
                  <w14:solidFill>
                    <w14:schemeClr w14:val="tx1"/>
                  </w14:solidFill>
                </w14:textFill>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596F583">
            <w:pPr>
              <w:autoSpaceDE w:val="0"/>
              <w:autoSpaceDN w:val="0"/>
              <w:spacing w:line="360" w:lineRule="auto"/>
              <w:rPr>
                <w:rFonts w:ascii="宋体" w:hAnsi="宋体" w:cs="宋体"/>
                <w:bCs/>
                <w:color w:val="000000" w:themeColor="text1"/>
                <w:kern w:val="0"/>
                <w:sz w:val="24"/>
                <w:lang w:val="zh-CN"/>
                <w14:textFill>
                  <w14:solidFill>
                    <w14:schemeClr w14:val="tx1"/>
                  </w14:solidFill>
                </w14:textFill>
              </w:rPr>
            </w:pPr>
            <w:r>
              <w:rPr>
                <w:rFonts w:hint="eastAsia" w:ascii="宋体" w:hAnsi="宋体" w:cs="宋体"/>
                <w:bCs/>
                <w:color w:val="000000" w:themeColor="text1"/>
                <w:kern w:val="0"/>
                <w:sz w:val="24"/>
                <w:lang w:val="zh-CN"/>
                <w14:textFill>
                  <w14:solidFill>
                    <w14:schemeClr w14:val="tx1"/>
                  </w14:solidFill>
                </w14:textFill>
              </w:rPr>
              <w:t>磋商时间</w:t>
            </w:r>
          </w:p>
        </w:tc>
        <w:tc>
          <w:tcPr>
            <w:tcW w:w="7453" w:type="dxa"/>
            <w:tcBorders>
              <w:top w:val="outset" w:color="000000" w:sz="6" w:space="0"/>
              <w:left w:val="outset" w:color="000000" w:sz="6" w:space="0"/>
              <w:bottom w:val="outset" w:color="000000" w:sz="6" w:space="0"/>
              <w:right w:val="outset" w:color="000000" w:sz="6" w:space="0"/>
            </w:tcBorders>
            <w:vAlign w:val="center"/>
          </w:tcPr>
          <w:p w14:paraId="59654181">
            <w:pPr>
              <w:adjustRightInd w:val="0"/>
              <w:spacing w:line="360" w:lineRule="auto"/>
              <w:jc w:val="left"/>
              <w:textAlignment w:val="baseline"/>
              <w:outlineLvl w:val="0"/>
              <w:rPr>
                <w:rFonts w:hint="eastAsia" w:ascii="宋体" w:hAnsi="宋体" w:eastAsia="宋体" w:cs="Times New Roman"/>
                <w:color w:val="000000" w:themeColor="text1"/>
                <w:sz w:val="24"/>
                <w:lang w:eastAsia="zh-CN"/>
                <w14:textFill>
                  <w14:solidFill>
                    <w14:schemeClr w14:val="tx1"/>
                  </w14:solidFill>
                </w14:textFill>
              </w:rPr>
            </w:pPr>
            <w:r>
              <w:rPr>
                <w:rFonts w:hint="eastAsia" w:ascii="宋体" w:hAnsi="宋体" w:cs="Times New Roman"/>
                <w:color w:val="000000" w:themeColor="text1"/>
                <w:sz w:val="24"/>
                <w:lang w:eastAsia="zh-CN"/>
                <w14:textFill>
                  <w14:solidFill>
                    <w14:schemeClr w14:val="tx1"/>
                  </w14:solidFill>
                </w14:textFill>
              </w:rPr>
              <w:t>2025年04月11日下午14:30（北京时间）</w:t>
            </w:r>
          </w:p>
        </w:tc>
      </w:tr>
      <w:tr w14:paraId="22AC42B9">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C47EDEA">
            <w:pPr>
              <w:numPr>
                <w:ilvl w:val="0"/>
                <w:numId w:val="3"/>
              </w:numPr>
              <w:autoSpaceDE w:val="0"/>
              <w:autoSpaceDN w:val="0"/>
              <w:spacing w:line="360" w:lineRule="auto"/>
              <w:jc w:val="center"/>
              <w:rPr>
                <w:rFonts w:ascii="宋体" w:hAnsi="宋体" w:cs="宋体"/>
                <w:bCs/>
                <w:color w:val="000000" w:themeColor="text1"/>
                <w:kern w:val="0"/>
                <w:sz w:val="24"/>
                <w:lang w:val="zh-CN"/>
                <w14:textFill>
                  <w14:solidFill>
                    <w14:schemeClr w14:val="tx1"/>
                  </w14:solidFill>
                </w14:textFill>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E5005CF">
            <w:pPr>
              <w:autoSpaceDE w:val="0"/>
              <w:autoSpaceDN w:val="0"/>
              <w:spacing w:line="360" w:lineRule="auto"/>
              <w:rPr>
                <w:rFonts w:ascii="宋体" w:hAnsi="宋体" w:cs="宋体"/>
                <w:bCs/>
                <w:color w:val="000000" w:themeColor="text1"/>
                <w:kern w:val="0"/>
                <w:sz w:val="24"/>
                <w:lang w:val="zh-CN"/>
                <w14:textFill>
                  <w14:solidFill>
                    <w14:schemeClr w14:val="tx1"/>
                  </w14:solidFill>
                </w14:textFill>
              </w:rPr>
            </w:pPr>
            <w:r>
              <w:rPr>
                <w:rFonts w:hint="eastAsia" w:ascii="宋体" w:hAnsi="宋体" w:cs="宋体"/>
                <w:bCs/>
                <w:color w:val="000000" w:themeColor="text1"/>
                <w:kern w:val="0"/>
                <w:sz w:val="24"/>
                <w:lang w:val="zh-CN"/>
                <w14:textFill>
                  <w14:solidFill>
                    <w14:schemeClr w14:val="tx1"/>
                  </w14:solidFill>
                </w14:textFill>
              </w:rPr>
              <w:t>磋商及磋商地点</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tcPr>
          <w:p w14:paraId="17EC6A1F">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olor w:val="000000" w:themeColor="text1"/>
                <w:kern w:val="0"/>
                <w:sz w:val="24"/>
                <w14:textFill>
                  <w14:solidFill>
                    <w14:schemeClr w14:val="tx1"/>
                  </w14:solidFill>
                </w14:textFill>
              </w:rPr>
              <w:t>西宁市城西区盐湖巷6号10号楼（城西区总部经济大厦)16楼青海国焱工程项目管理有限公司</w:t>
            </w:r>
          </w:p>
        </w:tc>
      </w:tr>
      <w:tr w14:paraId="415A3F9C">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9895097">
            <w:pPr>
              <w:numPr>
                <w:ilvl w:val="0"/>
                <w:numId w:val="3"/>
              </w:numPr>
              <w:autoSpaceDE w:val="0"/>
              <w:autoSpaceDN w:val="0"/>
              <w:spacing w:line="360" w:lineRule="auto"/>
              <w:jc w:val="center"/>
              <w:rPr>
                <w:rFonts w:ascii="宋体" w:hAnsi="宋体" w:cs="宋体"/>
                <w:bCs/>
                <w:color w:val="000000" w:themeColor="text1"/>
                <w:kern w:val="0"/>
                <w:sz w:val="24"/>
                <w:lang w:val="zh-CN"/>
                <w14:textFill>
                  <w14:solidFill>
                    <w14:schemeClr w14:val="tx1"/>
                  </w14:solidFill>
                </w14:textFill>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3DF6FCF">
            <w:pPr>
              <w:autoSpaceDE w:val="0"/>
              <w:autoSpaceDN w:val="0"/>
              <w:spacing w:line="360" w:lineRule="auto"/>
              <w:rPr>
                <w:rFonts w:ascii="宋体" w:hAnsi="宋体" w:cs="宋体"/>
                <w:bCs/>
                <w:color w:val="000000" w:themeColor="text1"/>
                <w:kern w:val="0"/>
                <w:sz w:val="24"/>
                <w:lang w:val="zh-CN"/>
                <w14:textFill>
                  <w14:solidFill>
                    <w14:schemeClr w14:val="tx1"/>
                  </w14:solidFill>
                </w14:textFill>
              </w:rPr>
            </w:pPr>
            <w:r>
              <w:rPr>
                <w:rFonts w:hint="eastAsia" w:ascii="宋体" w:hAnsi="宋体" w:cs="宋体"/>
                <w:bCs/>
                <w:color w:val="000000" w:themeColor="text1"/>
                <w:kern w:val="0"/>
                <w:sz w:val="24"/>
                <w:lang w:val="zh-CN"/>
                <w14:textFill>
                  <w14:solidFill>
                    <w14:schemeClr w14:val="tx1"/>
                  </w14:solidFill>
                </w14:textFill>
              </w:rPr>
              <w:t>磋商响应文件格式及编制要求</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61033B4">
            <w:pPr>
              <w:autoSpaceDE w:val="0"/>
              <w:autoSpaceDN w:val="0"/>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1、供应商须提交加密电子投标文件1份务必在开标截止前上传至电子开评标系统。加密电子投标文件制作详情请咨询政采云，咨询电话：400-881-7190。</w:t>
            </w:r>
          </w:p>
          <w:p w14:paraId="26212EC3">
            <w:pPr>
              <w:autoSpaceDE w:val="0"/>
              <w:autoSpaceDN w:val="0"/>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2、按照线上磋商响应文件编制要求，编制线上磋商响应文件。</w:t>
            </w:r>
          </w:p>
        </w:tc>
      </w:tr>
      <w:tr w14:paraId="209F4235">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F702914">
            <w:pPr>
              <w:numPr>
                <w:ilvl w:val="0"/>
                <w:numId w:val="3"/>
              </w:numPr>
              <w:autoSpaceDE w:val="0"/>
              <w:autoSpaceDN w:val="0"/>
              <w:spacing w:line="360" w:lineRule="auto"/>
              <w:jc w:val="center"/>
              <w:rPr>
                <w:rFonts w:ascii="宋体" w:hAnsi="宋体" w:cs="宋体"/>
                <w:bCs/>
                <w:color w:val="000000" w:themeColor="text1"/>
                <w:kern w:val="0"/>
                <w:sz w:val="24"/>
                <w:lang w:val="zh-CN"/>
                <w14:textFill>
                  <w14:solidFill>
                    <w14:schemeClr w14:val="tx1"/>
                  </w14:solidFill>
                </w14:textFill>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851B970">
            <w:pPr>
              <w:autoSpaceDE w:val="0"/>
              <w:autoSpaceDN w:val="0"/>
              <w:spacing w:line="360" w:lineRule="auto"/>
              <w:rPr>
                <w:rFonts w:ascii="宋体" w:hAnsi="宋体" w:cs="宋体"/>
                <w:bCs/>
                <w:color w:val="000000" w:themeColor="text1"/>
                <w:kern w:val="0"/>
                <w:sz w:val="24"/>
                <w:lang w:val="zh-CN"/>
                <w14:textFill>
                  <w14:solidFill>
                    <w14:schemeClr w14:val="tx1"/>
                  </w14:solidFill>
                </w14:textFill>
              </w:rPr>
            </w:pPr>
            <w:r>
              <w:rPr>
                <w:rFonts w:hint="eastAsia" w:ascii="宋体" w:hAnsi="宋体" w:cs="宋体"/>
                <w:bCs/>
                <w:color w:val="000000" w:themeColor="text1"/>
                <w:kern w:val="0"/>
                <w:sz w:val="24"/>
                <w:lang w:val="zh-CN"/>
                <w14:textFill>
                  <w14:solidFill>
                    <w14:schemeClr w14:val="tx1"/>
                  </w14:solidFill>
                </w14:textFill>
              </w:rPr>
              <w:t>递交磋商响应文件程序</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6583170">
            <w:pPr>
              <w:autoSpaceDE w:val="0"/>
              <w:autoSpaceDN w:val="0"/>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供应商应当在磋商文件要求的截止时间前，将加密电子投标文件1份务必在开标截止前上传至电子开评标系统并进行签到。</w:t>
            </w:r>
          </w:p>
        </w:tc>
      </w:tr>
      <w:tr w14:paraId="0DDF04C4">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B09D46A">
            <w:pPr>
              <w:numPr>
                <w:ilvl w:val="0"/>
                <w:numId w:val="3"/>
              </w:numPr>
              <w:autoSpaceDE w:val="0"/>
              <w:autoSpaceDN w:val="0"/>
              <w:spacing w:line="360" w:lineRule="auto"/>
              <w:jc w:val="center"/>
              <w:rPr>
                <w:rFonts w:ascii="宋体" w:hAnsi="宋体" w:cs="宋体"/>
                <w:bCs/>
                <w:color w:val="000000" w:themeColor="text1"/>
                <w:kern w:val="0"/>
                <w:sz w:val="24"/>
                <w:lang w:val="zh-CN"/>
                <w14:textFill>
                  <w14:solidFill>
                    <w14:schemeClr w14:val="tx1"/>
                  </w14:solidFill>
                </w14:textFill>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99469B5">
            <w:pPr>
              <w:autoSpaceDE w:val="0"/>
              <w:autoSpaceDN w:val="0"/>
              <w:spacing w:line="360" w:lineRule="auto"/>
              <w:rPr>
                <w:rFonts w:ascii="宋体" w:hAnsi="宋体" w:cs="宋体"/>
                <w:bCs/>
                <w:color w:val="000000" w:themeColor="text1"/>
                <w:kern w:val="0"/>
                <w:sz w:val="24"/>
                <w:lang w:val="zh-CN"/>
                <w14:textFill>
                  <w14:solidFill>
                    <w14:schemeClr w14:val="tx1"/>
                  </w14:solidFill>
                </w14:textFill>
              </w:rPr>
            </w:pPr>
            <w:r>
              <w:rPr>
                <w:rFonts w:hint="eastAsia" w:ascii="宋体" w:hAnsi="宋体" w:cs="宋体"/>
                <w:bCs/>
                <w:color w:val="000000" w:themeColor="text1"/>
                <w:kern w:val="0"/>
                <w:sz w:val="24"/>
                <w:lang w:val="zh-CN"/>
                <w14:textFill>
                  <w14:solidFill>
                    <w14:schemeClr w14:val="tx1"/>
                  </w14:solidFill>
                </w14:textFill>
              </w:rPr>
              <w:t>答疑澄清方式</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tcPr>
          <w:p w14:paraId="1D61346A">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线上答疑，应在规定的时间内通过政采云平台进行答疑澄清，如在规定的时间内未按要求进行澄清，视同放弃答疑。</w:t>
            </w:r>
          </w:p>
        </w:tc>
      </w:tr>
      <w:tr w14:paraId="70C391AB">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D130253">
            <w:pPr>
              <w:numPr>
                <w:ilvl w:val="0"/>
                <w:numId w:val="3"/>
              </w:numPr>
              <w:autoSpaceDE w:val="0"/>
              <w:autoSpaceDN w:val="0"/>
              <w:spacing w:line="360" w:lineRule="auto"/>
              <w:jc w:val="center"/>
              <w:rPr>
                <w:rFonts w:ascii="宋体" w:hAnsi="宋体" w:cs="宋体"/>
                <w:bCs/>
                <w:color w:val="000000" w:themeColor="text1"/>
                <w:kern w:val="0"/>
                <w:sz w:val="24"/>
                <w:lang w:val="zh-CN"/>
                <w14:textFill>
                  <w14:solidFill>
                    <w14:schemeClr w14:val="tx1"/>
                  </w14:solidFill>
                </w14:textFill>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9829729">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代理服务费收取</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tcPr>
          <w:p w14:paraId="09BE581A">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招标代理服务费：</w:t>
            </w:r>
          </w:p>
          <w:p w14:paraId="5BC13AF4">
            <w:pPr>
              <w:autoSpaceDE w:val="0"/>
              <w:autoSpaceDN w:val="0"/>
              <w:spacing w:line="360" w:lineRule="auto"/>
              <w:rPr>
                <w:rFonts w:hint="eastAsia"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收取对象：成交磋商供应商</w:t>
            </w:r>
          </w:p>
          <w:p w14:paraId="0B23B901">
            <w:pPr>
              <w:autoSpaceDE w:val="0"/>
              <w:autoSpaceDN w:val="0"/>
              <w:spacing w:line="360" w:lineRule="auto"/>
              <w:rPr>
                <w:rFonts w:hint="eastAsia"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收取金额：包一：1</w:t>
            </w:r>
            <w:r>
              <w:rPr>
                <w:rFonts w:ascii="宋体" w:hAnsi="宋体" w:cs="宋体"/>
                <w:color w:val="000000" w:themeColor="text1"/>
                <w:kern w:val="0"/>
                <w:sz w:val="24"/>
                <w:lang w:val="zh-CN"/>
                <w14:textFill>
                  <w14:solidFill>
                    <w14:schemeClr w14:val="tx1"/>
                  </w14:solidFill>
                </w14:textFill>
              </w:rPr>
              <w:t>2750</w:t>
            </w:r>
            <w:r>
              <w:rPr>
                <w:rFonts w:hint="eastAsia" w:ascii="宋体" w:hAnsi="宋体" w:cs="宋体"/>
                <w:color w:val="000000" w:themeColor="text1"/>
                <w:kern w:val="0"/>
                <w:sz w:val="24"/>
                <w:lang w:val="zh-CN"/>
                <w14:textFill>
                  <w14:solidFill>
                    <w14:schemeClr w14:val="tx1"/>
                  </w14:solidFill>
                </w14:textFill>
              </w:rPr>
              <w:t>元；</w:t>
            </w:r>
          </w:p>
          <w:p w14:paraId="1CD7AD3F">
            <w:pPr>
              <w:autoSpaceDE w:val="0"/>
              <w:autoSpaceDN w:val="0"/>
              <w:spacing w:line="360" w:lineRule="auto"/>
              <w:rPr>
                <w:rFonts w:hint="eastAsia"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说明：根据《关于进一步放开建设项目专项业务服务价格的通知》（发改价格[2015]299号）规定，实行市场调节价，应严格遵守《价格法》、《关于商品和服务实行明码标价的规定》等法律法规的规定。</w:t>
            </w:r>
          </w:p>
          <w:p w14:paraId="385D1E77">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代理服务费的支付形式：电汇、支票。</w:t>
            </w:r>
          </w:p>
          <w:p w14:paraId="454AC6BE">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账户名：青海国焱工程项目管理有限公司</w:t>
            </w:r>
          </w:p>
          <w:p w14:paraId="08C166B5">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开户行号：102851000139</w:t>
            </w:r>
          </w:p>
          <w:p w14:paraId="7F69A253">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账  号：2806001309000043259</w:t>
            </w:r>
          </w:p>
          <w:p w14:paraId="2636FF48">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开户行：中国工商银行股份有限公司西宁五四大街支行</w:t>
            </w:r>
          </w:p>
          <w:p w14:paraId="4AE99A84">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代理服务费以人民币支付。</w:t>
            </w:r>
          </w:p>
          <w:p w14:paraId="7289B4DB">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代理服务费不在投标报价中单列。</w:t>
            </w:r>
          </w:p>
        </w:tc>
      </w:tr>
      <w:tr w14:paraId="39D5F332">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33BD6C1">
            <w:pPr>
              <w:numPr>
                <w:ilvl w:val="0"/>
                <w:numId w:val="3"/>
              </w:numPr>
              <w:autoSpaceDE w:val="0"/>
              <w:autoSpaceDN w:val="0"/>
              <w:spacing w:line="360" w:lineRule="auto"/>
              <w:jc w:val="center"/>
              <w:rPr>
                <w:rFonts w:ascii="宋体" w:hAnsi="宋体" w:cs="宋体"/>
                <w:bCs/>
                <w:color w:val="000000" w:themeColor="text1"/>
                <w:kern w:val="0"/>
                <w:sz w:val="24"/>
                <w:lang w:val="zh-CN"/>
                <w14:textFill>
                  <w14:solidFill>
                    <w14:schemeClr w14:val="tx1"/>
                  </w14:solidFill>
                </w14:textFill>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227F8BD">
            <w:pPr>
              <w:autoSpaceDE w:val="0"/>
              <w:autoSpaceDN w:val="0"/>
              <w:spacing w:line="360" w:lineRule="auto"/>
              <w:rPr>
                <w:rFonts w:ascii="宋体" w:hAnsi="宋体" w:cs="宋体"/>
                <w:bCs/>
                <w:color w:val="000000" w:themeColor="text1"/>
                <w:kern w:val="0"/>
                <w:sz w:val="24"/>
                <w:lang w:val="zh-CN"/>
                <w14:textFill>
                  <w14:solidFill>
                    <w14:schemeClr w14:val="tx1"/>
                  </w14:solidFill>
                </w14:textFill>
              </w:rPr>
            </w:pPr>
            <w:r>
              <w:rPr>
                <w:rFonts w:hint="eastAsia" w:ascii="宋体" w:hAnsi="宋体" w:cs="宋体"/>
                <w:bCs/>
                <w:color w:val="000000" w:themeColor="text1"/>
                <w:kern w:val="0"/>
                <w:sz w:val="24"/>
                <w:lang w:val="zh-CN"/>
                <w14:textFill>
                  <w14:solidFill>
                    <w14:schemeClr w14:val="tx1"/>
                  </w14:solidFill>
                </w14:textFill>
              </w:rPr>
              <w:t>合同签订有效期</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tcPr>
          <w:p w14:paraId="50FA1450">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自成交通知书发出之日起</w:t>
            </w:r>
            <w:r>
              <w:rPr>
                <w:rFonts w:hint="eastAsia" w:ascii="宋体" w:hAnsi="宋体" w:cs="宋体"/>
                <w:color w:val="000000" w:themeColor="text1"/>
                <w:kern w:val="0"/>
                <w:sz w:val="24"/>
                <w14:textFill>
                  <w14:solidFill>
                    <w14:schemeClr w14:val="tx1"/>
                  </w14:solidFill>
                </w14:textFill>
              </w:rPr>
              <w:t>30</w:t>
            </w:r>
            <w:r>
              <w:rPr>
                <w:rFonts w:hint="eastAsia" w:ascii="宋体" w:hAnsi="宋体" w:cs="宋体"/>
                <w:color w:val="000000" w:themeColor="text1"/>
                <w:kern w:val="0"/>
                <w:sz w:val="24"/>
                <w:lang w:val="zh-CN"/>
                <w14:textFill>
                  <w14:solidFill>
                    <w14:schemeClr w14:val="tx1"/>
                  </w14:solidFill>
                </w14:textFill>
              </w:rPr>
              <w:t>日内与采购单位签订供货合同</w:t>
            </w:r>
          </w:p>
        </w:tc>
      </w:tr>
      <w:tr w14:paraId="2C860D92">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0B4158C">
            <w:pPr>
              <w:numPr>
                <w:ilvl w:val="0"/>
                <w:numId w:val="3"/>
              </w:numPr>
              <w:autoSpaceDE w:val="0"/>
              <w:autoSpaceDN w:val="0"/>
              <w:spacing w:line="360" w:lineRule="auto"/>
              <w:jc w:val="center"/>
              <w:rPr>
                <w:rFonts w:ascii="宋体" w:hAnsi="宋体" w:cs="宋体"/>
                <w:bCs/>
                <w:color w:val="000000" w:themeColor="text1"/>
                <w:kern w:val="0"/>
                <w:sz w:val="24"/>
                <w:lang w:val="zh-CN"/>
                <w14:textFill>
                  <w14:solidFill>
                    <w14:schemeClr w14:val="tx1"/>
                  </w14:solidFill>
                </w14:textFill>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74824E7">
            <w:pPr>
              <w:autoSpaceDE w:val="0"/>
              <w:autoSpaceDN w:val="0"/>
              <w:spacing w:line="360" w:lineRule="auto"/>
              <w:rPr>
                <w:rFonts w:ascii="宋体" w:hAnsi="宋体" w:cs="宋体"/>
                <w:bCs/>
                <w:color w:val="000000" w:themeColor="text1"/>
                <w:kern w:val="0"/>
                <w:sz w:val="24"/>
                <w:lang w:val="zh-CN"/>
                <w14:textFill>
                  <w14:solidFill>
                    <w14:schemeClr w14:val="tx1"/>
                  </w14:solidFill>
                </w14:textFill>
              </w:rPr>
            </w:pPr>
            <w:r>
              <w:rPr>
                <w:rFonts w:hint="eastAsia" w:ascii="宋体" w:hAnsi="宋体" w:cs="宋体"/>
                <w:bCs/>
                <w:color w:val="000000" w:themeColor="text1"/>
                <w:kern w:val="0"/>
                <w:sz w:val="24"/>
                <w:lang w:val="zh-CN"/>
                <w14:textFill>
                  <w14:solidFill>
                    <w14:schemeClr w14:val="tx1"/>
                  </w14:solidFill>
                </w14:textFill>
              </w:rPr>
              <w:t>政府采购合同备案</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5EBFDA8">
            <w:pPr>
              <w:spacing w:line="360" w:lineRule="auto"/>
              <w:rPr>
                <w:rFonts w:ascii="宋体" w:hAnsi="宋体" w:cs="Arial"/>
                <w:color w:val="000000" w:themeColor="text1"/>
                <w:sz w:val="24"/>
                <w14:textFill>
                  <w14:solidFill>
                    <w14:schemeClr w14:val="tx1"/>
                  </w14:solidFill>
                </w14:textFill>
              </w:rPr>
            </w:pPr>
            <w:r>
              <w:rPr>
                <w:rFonts w:ascii="宋体" w:hAnsi="宋体" w:cs="Arial"/>
                <w:color w:val="000000" w:themeColor="text1"/>
                <w:sz w:val="24"/>
                <w14:textFill>
                  <w14:solidFill>
                    <w14:schemeClr w14:val="tx1"/>
                  </w14:solidFill>
                </w14:textFill>
              </w:rPr>
              <w:t>采购合同全数返回采购代理机构签证，盖章。</w:t>
            </w:r>
          </w:p>
          <w:p w14:paraId="72E6A1FB">
            <w:pPr>
              <w:spacing w:line="360" w:lineRule="auto"/>
              <w:rPr>
                <w:rFonts w:ascii="宋体" w:hAnsi="宋体" w:cs="Arial"/>
                <w:color w:val="000000" w:themeColor="text1"/>
                <w:sz w:val="24"/>
                <w14:textFill>
                  <w14:solidFill>
                    <w14:schemeClr w14:val="tx1"/>
                  </w14:solidFill>
                </w14:textFill>
              </w:rPr>
            </w:pPr>
            <w:r>
              <w:rPr>
                <w:rFonts w:ascii="宋体" w:hAnsi="宋体" w:cs="Arial"/>
                <w:color w:val="000000" w:themeColor="text1"/>
                <w:sz w:val="24"/>
                <w14:textFill>
                  <w14:solidFill>
                    <w14:schemeClr w14:val="tx1"/>
                  </w14:solidFill>
                </w14:textFill>
              </w:rPr>
              <w:t>采购代理机构留存</w:t>
            </w:r>
            <w:r>
              <w:rPr>
                <w:rFonts w:hint="eastAsia" w:ascii="宋体" w:hAnsi="宋体" w:cs="Arial"/>
                <w:color w:val="000000" w:themeColor="text1"/>
                <w:sz w:val="24"/>
                <w14:textFill>
                  <w14:solidFill>
                    <w14:schemeClr w14:val="tx1"/>
                  </w14:solidFill>
                </w14:textFill>
              </w:rPr>
              <w:t>叁</w:t>
            </w:r>
            <w:r>
              <w:rPr>
                <w:rFonts w:ascii="宋体" w:hAnsi="宋体" w:cs="Arial"/>
                <w:color w:val="000000" w:themeColor="text1"/>
                <w:sz w:val="24"/>
                <w14:textFill>
                  <w14:solidFill>
                    <w14:schemeClr w14:val="tx1"/>
                  </w14:solidFill>
                </w14:textFill>
              </w:rPr>
              <w:t>份原件备案。</w:t>
            </w:r>
          </w:p>
          <w:p w14:paraId="0BEFBF9D">
            <w:pPr>
              <w:spacing w:line="360" w:lineRule="auto"/>
              <w:rPr>
                <w:rFonts w:ascii="宋体" w:hAnsi="宋体" w:cs="Arial"/>
                <w:color w:val="000000" w:themeColor="text1"/>
                <w:sz w:val="24"/>
                <w14:textFill>
                  <w14:solidFill>
                    <w14:schemeClr w14:val="tx1"/>
                  </w14:solidFill>
                </w14:textFill>
              </w:rPr>
            </w:pPr>
            <w:r>
              <w:rPr>
                <w:rFonts w:ascii="宋体" w:hAnsi="宋体" w:cs="Arial"/>
                <w:color w:val="000000" w:themeColor="text1"/>
                <w:sz w:val="24"/>
                <w14:textFill>
                  <w14:solidFill>
                    <w14:schemeClr w14:val="tx1"/>
                  </w14:solidFill>
                </w14:textFill>
              </w:rPr>
              <w:t>合同返回地址：</w:t>
            </w:r>
            <w:r>
              <w:rPr>
                <w:rFonts w:hint="eastAsia" w:ascii="宋体" w:hAnsi="宋体"/>
                <w:color w:val="000000" w:themeColor="text1"/>
                <w:kern w:val="0"/>
                <w:sz w:val="24"/>
                <w14:textFill>
                  <w14:solidFill>
                    <w14:schemeClr w14:val="tx1"/>
                  </w14:solidFill>
                </w14:textFill>
              </w:rPr>
              <w:t>西宁市城西区盐湖巷6号10号楼(城西区总部经济大厦)16楼</w:t>
            </w:r>
          </w:p>
        </w:tc>
      </w:tr>
      <w:tr w14:paraId="62078CD1">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C0B05E9">
            <w:pPr>
              <w:numPr>
                <w:ilvl w:val="0"/>
                <w:numId w:val="3"/>
              </w:numPr>
              <w:autoSpaceDE w:val="0"/>
              <w:autoSpaceDN w:val="0"/>
              <w:spacing w:line="360" w:lineRule="auto"/>
              <w:jc w:val="center"/>
              <w:rPr>
                <w:rFonts w:ascii="宋体" w:hAnsi="宋体" w:cs="宋体"/>
                <w:bCs/>
                <w:color w:val="000000" w:themeColor="text1"/>
                <w:kern w:val="0"/>
                <w:sz w:val="24"/>
                <w:lang w:val="zh-CN"/>
                <w14:textFill>
                  <w14:solidFill>
                    <w14:schemeClr w14:val="tx1"/>
                  </w14:solidFill>
                </w14:textFill>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0C94487">
            <w:pPr>
              <w:autoSpaceDE w:val="0"/>
              <w:autoSpaceDN w:val="0"/>
              <w:spacing w:line="360" w:lineRule="auto"/>
              <w:rPr>
                <w:rFonts w:ascii="宋体" w:hAnsi="宋体" w:cs="宋体"/>
                <w:bCs/>
                <w:color w:val="000000" w:themeColor="text1"/>
                <w:kern w:val="0"/>
                <w:sz w:val="24"/>
                <w:lang w:val="zh-CN"/>
                <w14:textFill>
                  <w14:solidFill>
                    <w14:schemeClr w14:val="tx1"/>
                  </w14:solidFill>
                </w14:textFill>
              </w:rPr>
            </w:pPr>
            <w:r>
              <w:rPr>
                <w:rFonts w:hint="eastAsia" w:ascii="宋体" w:hAnsi="宋体" w:cs="宋体"/>
                <w:bCs/>
                <w:color w:val="000000" w:themeColor="text1"/>
                <w:kern w:val="0"/>
                <w:sz w:val="24"/>
                <w:lang w:val="zh-CN"/>
                <w14:textFill>
                  <w14:solidFill>
                    <w14:schemeClr w14:val="tx1"/>
                  </w14:solidFill>
                </w14:textFill>
              </w:rPr>
              <w:t>磋商有效期</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tcPr>
          <w:p w14:paraId="1C868A23">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本次磋商有效期为磋商之日起60个日历日</w:t>
            </w:r>
          </w:p>
        </w:tc>
      </w:tr>
      <w:tr w14:paraId="02176D16">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A43A4FA">
            <w:pPr>
              <w:numPr>
                <w:ilvl w:val="0"/>
                <w:numId w:val="3"/>
              </w:numPr>
              <w:autoSpaceDE w:val="0"/>
              <w:autoSpaceDN w:val="0"/>
              <w:spacing w:line="360" w:lineRule="auto"/>
              <w:jc w:val="center"/>
              <w:rPr>
                <w:rFonts w:ascii="宋体" w:hAnsi="宋体" w:cs="宋体"/>
                <w:bCs/>
                <w:color w:val="000000" w:themeColor="text1"/>
                <w:kern w:val="0"/>
                <w:sz w:val="24"/>
                <w:lang w:val="zh-CN"/>
                <w14:textFill>
                  <w14:solidFill>
                    <w14:schemeClr w14:val="tx1"/>
                  </w14:solidFill>
                </w14:textFill>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764A075">
            <w:pPr>
              <w:autoSpaceDE w:val="0"/>
              <w:autoSpaceDN w:val="0"/>
              <w:spacing w:line="360" w:lineRule="auto"/>
              <w:rPr>
                <w:rFonts w:ascii="宋体" w:hAnsi="宋体" w:cs="宋体"/>
                <w:bCs/>
                <w:color w:val="000000" w:themeColor="text1"/>
                <w:kern w:val="0"/>
                <w:sz w:val="24"/>
                <w:lang w:val="zh-CN"/>
                <w14:textFill>
                  <w14:solidFill>
                    <w14:schemeClr w14:val="tx1"/>
                  </w14:solidFill>
                </w14:textFill>
              </w:rPr>
            </w:pPr>
            <w:r>
              <w:rPr>
                <w:rFonts w:hint="eastAsia" w:ascii="宋体" w:hAnsi="宋体" w:cs="宋体"/>
                <w:bCs/>
                <w:color w:val="000000" w:themeColor="text1"/>
                <w:kern w:val="0"/>
                <w:sz w:val="24"/>
                <w:lang w:val="zh-CN"/>
                <w14:textFill>
                  <w14:solidFill>
                    <w14:schemeClr w14:val="tx1"/>
                  </w14:solidFill>
                </w14:textFill>
              </w:rPr>
              <w:t>其他要求</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tcPr>
          <w:p w14:paraId="7C1767CC">
            <w:pPr>
              <w:pStyle w:val="92"/>
              <w:numPr>
                <w:ilvl w:val="0"/>
                <w:numId w:val="4"/>
              </w:numPr>
              <w:spacing w:line="360" w:lineRule="auto"/>
              <w:ind w:firstLineChars="0"/>
              <w:rPr>
                <w:rFonts w:ascii="宋体" w:hAnsi="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本公告发布于《青海政府采购网》、《青海项目信息网》同时发布；（公告内容以青海政府采购网发布的为准）</w:t>
            </w:r>
            <w:r>
              <w:rPr>
                <w:rFonts w:hint="eastAsia" w:ascii="宋体" w:hAnsi="宋体"/>
                <w:color w:val="000000" w:themeColor="text1"/>
                <w:kern w:val="0"/>
                <w:sz w:val="24"/>
                <w14:textFill>
                  <w14:solidFill>
                    <w14:schemeClr w14:val="tx1"/>
                  </w14:solidFill>
                </w14:textFill>
              </w:rPr>
              <w:t>。</w:t>
            </w:r>
          </w:p>
          <w:p w14:paraId="4E516A32">
            <w:pPr>
              <w:pStyle w:val="92"/>
              <w:numPr>
                <w:ilvl w:val="0"/>
                <w:numId w:val="4"/>
              </w:numPr>
              <w:spacing w:line="360" w:lineRule="auto"/>
              <w:ind w:firstLineChars="0"/>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本次招标采用线上提交投标文件的方式进行采购，投标文件必须在投标文件递交截止时间前上传平台。</w:t>
            </w:r>
          </w:p>
          <w:p w14:paraId="7F67AAE2">
            <w:pPr>
              <w:pStyle w:val="92"/>
              <w:numPr>
                <w:ilvl w:val="0"/>
                <w:numId w:val="4"/>
              </w:numPr>
              <w:spacing w:line="360" w:lineRule="auto"/>
              <w:ind w:firstLineChars="0"/>
              <w:rPr>
                <w:rFonts w:ascii="宋体" w:hAnsi="宋体"/>
                <w:color w:val="000000" w:themeColor="text1"/>
                <w:kern w:val="0"/>
                <w:sz w:val="24"/>
                <w14:textFill>
                  <w14:solidFill>
                    <w14:schemeClr w14:val="tx1"/>
                  </w14:solidFill>
                </w14:textFill>
              </w:rPr>
            </w:pPr>
            <w:r>
              <w:rPr>
                <w:rFonts w:ascii="宋体" w:hAnsi="宋体" w:cs="宋体"/>
                <w:color w:val="000000" w:themeColor="text1"/>
                <w:sz w:val="24"/>
                <w14:textFill>
                  <w14:solidFill>
                    <w14:schemeClr w14:val="tx1"/>
                  </w14:solidFill>
                </w14:textFill>
              </w:rPr>
              <w:t>若对项目采购电子交易系统操作有疑问，可登录政采云（https://www.zcygov.cn/），点击右侧咨询小采，获取采小蜜智能服务管家帮助，或拨打政采云服务热线400-881-7190获取热线服务帮助。 CA问题</w:t>
            </w:r>
            <w:r>
              <w:rPr>
                <w:rFonts w:hint="eastAsia" w:ascii="宋体" w:hAnsi="宋体" w:cs="宋体"/>
                <w:color w:val="000000" w:themeColor="text1"/>
                <w:sz w:val="24"/>
                <w14:textFill>
                  <w14:solidFill>
                    <w14:schemeClr w14:val="tx1"/>
                  </w14:solidFill>
                </w14:textFill>
              </w:rPr>
              <w:t>PC咨询网址（可及时反馈问题截图，让客服快速定位问题）:http://tseal.cn/k.html，</w:t>
            </w:r>
            <w:r>
              <w:rPr>
                <w:rFonts w:ascii="宋体" w:hAnsi="宋体" w:cs="宋体"/>
                <w:color w:val="000000" w:themeColor="text1"/>
                <w:sz w:val="24"/>
                <w14:textFill>
                  <w14:solidFill>
                    <w14:schemeClr w14:val="tx1"/>
                  </w14:solidFill>
                </w14:textFill>
              </w:rPr>
              <w:t>联系电话（人工）：400-087-8198。</w:t>
            </w:r>
          </w:p>
          <w:p w14:paraId="66DE7E1E">
            <w:pPr>
              <w:pStyle w:val="92"/>
              <w:numPr>
                <w:ilvl w:val="0"/>
                <w:numId w:val="4"/>
              </w:numPr>
              <w:spacing w:line="360" w:lineRule="auto"/>
              <w:ind w:firstLineChars="0"/>
              <w:rPr>
                <w:rFonts w:ascii="宋体" w:hAnsi="宋体"/>
                <w:color w:val="000000" w:themeColor="text1"/>
                <w:kern w:val="0"/>
                <w:sz w:val="24"/>
                <w14:textFill>
                  <w14:solidFill>
                    <w14:schemeClr w14:val="tx1"/>
                  </w14:solidFill>
                </w14:textFill>
              </w:rPr>
            </w:pPr>
            <w:r>
              <w:rPr>
                <w:rFonts w:ascii="宋体" w:hAnsi="宋体" w:cs="宋体"/>
                <w:color w:val="000000" w:themeColor="text1"/>
                <w:sz w:val="24"/>
                <w14:textFill>
                  <w14:solidFill>
                    <w14:schemeClr w14:val="tx1"/>
                  </w14:solidFill>
                </w14:textFill>
              </w:rPr>
              <w:t>磋商供应商解密和磋商报价时必须</w:t>
            </w:r>
            <w:r>
              <w:rPr>
                <w:rFonts w:hint="eastAsia" w:ascii="宋体" w:hAnsi="宋体" w:cs="宋体"/>
                <w:color w:val="000000" w:themeColor="text1"/>
                <w:sz w:val="24"/>
                <w14:textFill>
                  <w14:solidFill>
                    <w14:schemeClr w14:val="tx1"/>
                  </w14:solidFill>
                </w14:textFill>
              </w:rPr>
              <w:t>由</w:t>
            </w:r>
            <w:r>
              <w:rPr>
                <w:rFonts w:ascii="宋体" w:hAnsi="宋体" w:cs="宋体"/>
                <w:color w:val="000000" w:themeColor="text1"/>
                <w:sz w:val="24"/>
                <w14:textFill>
                  <w14:solidFill>
                    <w14:schemeClr w14:val="tx1"/>
                  </w14:solidFill>
                </w14:textFill>
              </w:rPr>
              <w:t>e签宝注册人办理，磋商供应商须在固定电脑设备前登陆等待解密和磋商报价，磋商供应商</w:t>
            </w:r>
            <w:r>
              <w:rPr>
                <w:rFonts w:hint="eastAsia" w:ascii="宋体" w:hAnsi="宋体" w:cs="宋体"/>
                <w:color w:val="000000" w:themeColor="text1"/>
                <w:sz w:val="24"/>
                <w14:textFill>
                  <w14:solidFill>
                    <w14:schemeClr w14:val="tx1"/>
                  </w14:solidFill>
                </w14:textFill>
              </w:rPr>
              <w:t>须在规定的时间内完成</w:t>
            </w:r>
            <w:r>
              <w:rPr>
                <w:rFonts w:ascii="宋体" w:hAnsi="宋体" w:cs="宋体"/>
                <w:color w:val="000000" w:themeColor="text1"/>
                <w:sz w:val="24"/>
                <w14:textFill>
                  <w14:solidFill>
                    <w14:schemeClr w14:val="tx1"/>
                  </w14:solidFill>
                </w14:textFill>
              </w:rPr>
              <w:t>。</w:t>
            </w:r>
          </w:p>
          <w:p w14:paraId="79916B65">
            <w:pPr>
              <w:pStyle w:val="92"/>
              <w:numPr>
                <w:ilvl w:val="0"/>
                <w:numId w:val="4"/>
              </w:numPr>
              <w:spacing w:line="360" w:lineRule="auto"/>
              <w:ind w:firstLineChars="0"/>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本项目共分为三个包，本次采购包一，在包二和包三中已中标的供应商不再重复中标。 </w:t>
            </w:r>
          </w:p>
        </w:tc>
      </w:tr>
    </w:tbl>
    <w:p w14:paraId="43E12D1B">
      <w:pPr>
        <w:pStyle w:val="26"/>
        <w:spacing w:before="0" w:after="0" w:line="360" w:lineRule="auto"/>
        <w:rPr>
          <w:rFonts w:ascii="宋体" w:hAnsi="宋体"/>
          <w:color w:val="000000" w:themeColor="text1"/>
          <w:sz w:val="48"/>
          <w:szCs w:val="48"/>
          <w:lang w:val="zh-CN"/>
          <w14:textFill>
            <w14:solidFill>
              <w14:schemeClr w14:val="tx1"/>
            </w14:solidFill>
          </w14:textFill>
        </w:rPr>
      </w:pPr>
      <w:r>
        <w:rPr>
          <w:rFonts w:ascii="宋体" w:hAnsi="宋体"/>
          <w:b w:val="0"/>
          <w:color w:val="000000" w:themeColor="text1"/>
          <w:sz w:val="24"/>
          <w:szCs w:val="24"/>
          <w14:textFill>
            <w14:solidFill>
              <w14:schemeClr w14:val="tx1"/>
            </w14:solidFill>
          </w14:textFill>
        </w:rPr>
        <w:br w:type="page"/>
      </w:r>
      <w:bookmarkStart w:id="11" w:name="_Toc444715734"/>
      <w:bookmarkStart w:id="12" w:name="_Toc11017"/>
      <w:r>
        <w:rPr>
          <w:rFonts w:hint="eastAsia" w:ascii="宋体" w:hAnsi="宋体"/>
          <w:color w:val="000000" w:themeColor="text1"/>
          <w:sz w:val="48"/>
          <w:szCs w:val="48"/>
          <w14:textFill>
            <w14:solidFill>
              <w14:schemeClr w14:val="tx1"/>
            </w14:solidFill>
          </w14:textFill>
        </w:rPr>
        <w:t>第三部分  磋商供应商须知</w:t>
      </w:r>
      <w:bookmarkEnd w:id="11"/>
      <w:bookmarkEnd w:id="12"/>
    </w:p>
    <w:p w14:paraId="6AC79F6E">
      <w:pPr>
        <w:pStyle w:val="4"/>
        <w:ind w:left="709"/>
        <w:rPr>
          <w:rFonts w:hAnsi="宋体"/>
          <w:b/>
          <w:color w:val="000000" w:themeColor="text1"/>
          <w:sz w:val="24"/>
          <w:szCs w:val="24"/>
          <w14:textFill>
            <w14:solidFill>
              <w14:schemeClr w14:val="tx1"/>
            </w14:solidFill>
          </w14:textFill>
        </w:rPr>
      </w:pPr>
      <w:bookmarkStart w:id="13" w:name="_Toc25123"/>
      <w:r>
        <w:rPr>
          <w:rFonts w:hint="eastAsia" w:hAnsi="宋体"/>
          <w:b/>
          <w:color w:val="000000" w:themeColor="text1"/>
          <w:sz w:val="24"/>
          <w:szCs w:val="24"/>
          <w14:textFill>
            <w14:solidFill>
              <w14:schemeClr w14:val="tx1"/>
            </w14:solidFill>
          </w14:textFill>
        </w:rPr>
        <w:t>说明</w:t>
      </w:r>
      <w:bookmarkEnd w:id="13"/>
    </w:p>
    <w:p w14:paraId="3B28E40E">
      <w:pPr>
        <w:pStyle w:val="5"/>
        <w:numPr>
          <w:ilvl w:val="0"/>
          <w:numId w:val="5"/>
        </w:numPr>
        <w:spacing w:before="0" w:after="0" w:line="360" w:lineRule="auto"/>
        <w:rPr>
          <w:rFonts w:ascii="宋体" w:hAnsi="宋体"/>
          <w:b w:val="0"/>
          <w:color w:val="000000" w:themeColor="text1"/>
          <w:sz w:val="24"/>
          <w:szCs w:val="24"/>
          <w14:textFill>
            <w14:solidFill>
              <w14:schemeClr w14:val="tx1"/>
            </w14:solidFill>
          </w14:textFill>
        </w:rPr>
      </w:pPr>
      <w:bookmarkStart w:id="14" w:name="_Toc495570969"/>
      <w:bookmarkStart w:id="15" w:name="_Toc488691479"/>
      <w:bookmarkStart w:id="16" w:name="_Toc446427794"/>
      <w:bookmarkStart w:id="17" w:name="_Toc459377860"/>
      <w:bookmarkStart w:id="18" w:name="_Toc25426"/>
      <w:r>
        <w:rPr>
          <w:rFonts w:ascii="宋体" w:hAnsi="宋体"/>
          <w:b w:val="0"/>
          <w:color w:val="000000" w:themeColor="text1"/>
          <w:sz w:val="24"/>
          <w:szCs w:val="24"/>
          <w14:textFill>
            <w14:solidFill>
              <w14:schemeClr w14:val="tx1"/>
            </w14:solidFill>
          </w14:textFill>
        </w:rPr>
        <w:t>磋商内容及要求</w:t>
      </w:r>
      <w:bookmarkEnd w:id="14"/>
      <w:bookmarkEnd w:id="15"/>
      <w:bookmarkEnd w:id="16"/>
      <w:bookmarkEnd w:id="17"/>
      <w:bookmarkEnd w:id="18"/>
    </w:p>
    <w:p w14:paraId="54E1EEAA">
      <w:pPr>
        <w:pStyle w:val="19"/>
        <w:spacing w:line="360" w:lineRule="auto"/>
        <w:ind w:firstLine="480" w:firstLineChars="200"/>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本次采购依据采购单位的采购计划，仅适用于本竞争性磋商文件（以下简称“磋商文件”）中所叙述的项目。</w:t>
      </w:r>
    </w:p>
    <w:p w14:paraId="1F090E6A">
      <w:pPr>
        <w:pStyle w:val="5"/>
        <w:numPr>
          <w:ilvl w:val="0"/>
          <w:numId w:val="5"/>
        </w:numPr>
        <w:spacing w:before="0" w:after="0" w:line="360" w:lineRule="auto"/>
        <w:rPr>
          <w:rFonts w:ascii="宋体" w:hAnsi="宋体"/>
          <w:b w:val="0"/>
          <w:color w:val="000000" w:themeColor="text1"/>
          <w:sz w:val="24"/>
          <w:szCs w:val="24"/>
          <w14:textFill>
            <w14:solidFill>
              <w14:schemeClr w14:val="tx1"/>
            </w14:solidFill>
          </w14:textFill>
        </w:rPr>
      </w:pPr>
      <w:bookmarkStart w:id="19" w:name="_Toc17602"/>
      <w:bookmarkStart w:id="20" w:name="_Toc488673614"/>
      <w:r>
        <w:rPr>
          <w:rFonts w:hint="eastAsia" w:ascii="宋体" w:hAnsi="宋体"/>
          <w:b w:val="0"/>
          <w:color w:val="000000" w:themeColor="text1"/>
          <w:sz w:val="24"/>
          <w:szCs w:val="24"/>
          <w14:textFill>
            <w14:solidFill>
              <w14:schemeClr w14:val="tx1"/>
            </w14:solidFill>
          </w14:textFill>
        </w:rPr>
        <w:t>采购方式、合格的磋商供应商</w:t>
      </w:r>
      <w:bookmarkEnd w:id="19"/>
      <w:bookmarkEnd w:id="20"/>
    </w:p>
    <w:p w14:paraId="4D361698">
      <w:pPr>
        <w:pStyle w:val="19"/>
        <w:numPr>
          <w:ilvl w:val="1"/>
          <w:numId w:val="6"/>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本次磋商采取竞争性磋商方式；</w:t>
      </w:r>
    </w:p>
    <w:p w14:paraId="43CF79D1">
      <w:pPr>
        <w:pStyle w:val="19"/>
        <w:numPr>
          <w:ilvl w:val="1"/>
          <w:numId w:val="6"/>
        </w:numPr>
        <w:spacing w:line="360" w:lineRule="auto"/>
        <w:rPr>
          <w:rFonts w:hAnsi="宋体"/>
          <w:color w:val="000000" w:themeColor="text1"/>
          <w:sz w:val="24"/>
          <w:szCs w:val="24"/>
          <w14:textFill>
            <w14:solidFill>
              <w14:schemeClr w14:val="tx1"/>
            </w14:solidFill>
          </w14:textFill>
        </w:rPr>
      </w:pPr>
      <w:r>
        <w:rPr>
          <w:rFonts w:hAnsi="宋体" w:cs="Arial"/>
          <w:color w:val="000000" w:themeColor="text1"/>
          <w:sz w:val="24"/>
          <w:szCs w:val="24"/>
          <w14:textFill>
            <w14:solidFill>
              <w14:schemeClr w14:val="tx1"/>
            </w14:solidFill>
          </w14:textFill>
        </w:rPr>
        <w:t>合格的磋商供应商：</w:t>
      </w:r>
    </w:p>
    <w:p w14:paraId="1F284237">
      <w:pPr>
        <w:pStyle w:val="52"/>
        <w:numPr>
          <w:ilvl w:val="0"/>
          <w:numId w:val="7"/>
        </w:numPr>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参加政府采购活动的供应商应当具备政府采购法第二十二条第一款规定的条件，提供下列材料：</w:t>
      </w:r>
    </w:p>
    <w:p w14:paraId="24E06112">
      <w:pPr>
        <w:numPr>
          <w:ilvl w:val="0"/>
          <w:numId w:val="8"/>
        </w:numPr>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磋商人的营业执照等证明文件，自然人的身份证明。</w:t>
      </w:r>
    </w:p>
    <w:p w14:paraId="10F75BDD">
      <w:pPr>
        <w:numPr>
          <w:ilvl w:val="0"/>
          <w:numId w:val="8"/>
        </w:numPr>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财务状况报告，依法缴纳税收和社会保障资金的相关材料。</w:t>
      </w:r>
    </w:p>
    <w:p w14:paraId="4A12C7EC">
      <w:pPr>
        <w:numPr>
          <w:ilvl w:val="0"/>
          <w:numId w:val="8"/>
        </w:numPr>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具备履行合同所必需的设备和专业技术能力的证明材料。</w:t>
      </w:r>
    </w:p>
    <w:p w14:paraId="21833A38">
      <w:pPr>
        <w:numPr>
          <w:ilvl w:val="0"/>
          <w:numId w:val="8"/>
        </w:numPr>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参加政府采购活动前3年内在经营活动中没有重大违法记录的书面声明。</w:t>
      </w:r>
    </w:p>
    <w:p w14:paraId="322BDCB7">
      <w:pPr>
        <w:numPr>
          <w:ilvl w:val="0"/>
          <w:numId w:val="8"/>
        </w:numPr>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具备法律、行政法规规定的其他条件的证明材料。</w:t>
      </w:r>
    </w:p>
    <w:p w14:paraId="61DC67D7">
      <w:pPr>
        <w:numPr>
          <w:ilvl w:val="0"/>
          <w:numId w:val="7"/>
        </w:numPr>
        <w:spacing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单位负责人为同一人或者存在直接控股、管理关系的不同供应商，不得参加同一合同项下的政府采购活动。否则，皆取消磋商资格；</w:t>
      </w:r>
    </w:p>
    <w:p w14:paraId="6E30D713">
      <w:pPr>
        <w:numPr>
          <w:ilvl w:val="0"/>
          <w:numId w:val="7"/>
        </w:numPr>
        <w:spacing w:line="360" w:lineRule="auto"/>
        <w:rPr>
          <w:rFonts w:ascii="宋体" w:hAnsi="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经信用中</w:t>
      </w:r>
      <w:r>
        <w:rPr>
          <w:rFonts w:hint="eastAsia" w:ascii="宋体" w:hAnsi="宋体"/>
          <w:color w:val="000000" w:themeColor="text1"/>
          <w:kern w:val="0"/>
          <w:sz w:val="24"/>
          <w14:textFill>
            <w14:solidFill>
              <w14:schemeClr w14:val="tx1"/>
            </w14:solidFill>
          </w14:textFill>
        </w:rPr>
        <w:t>国（www.creditchina.gov.cn）、中国政府采购网（www.ccgp.gov.cn）等渠道查询后，列入失信被执行人、重大税收违法失信主体、政府采购严重违法失信行为记录名单的，取消投标资格。(提供“信用中国”网站的查询截图)；</w:t>
      </w:r>
    </w:p>
    <w:p w14:paraId="59DAC7B6">
      <w:pPr>
        <w:numPr>
          <w:ilvl w:val="0"/>
          <w:numId w:val="7"/>
        </w:numPr>
        <w:spacing w:line="360" w:lineRule="auto"/>
        <w:rPr>
          <w:color w:val="000000" w:themeColor="text1"/>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本项目不接受磋商人以联合体方式进行投标</w:t>
      </w:r>
      <w:r>
        <w:rPr>
          <w:rFonts w:hint="eastAsia" w:ascii="宋体" w:hAnsi="宋体"/>
          <w:color w:val="000000" w:themeColor="text1"/>
          <w:kern w:val="0"/>
          <w:sz w:val="24"/>
          <w14:textFill>
            <w14:solidFill>
              <w14:schemeClr w14:val="tx1"/>
            </w14:solidFill>
          </w14:textFill>
        </w:rPr>
        <w:t>；</w:t>
      </w:r>
    </w:p>
    <w:p w14:paraId="13059485">
      <w:pPr>
        <w:pStyle w:val="5"/>
        <w:numPr>
          <w:ilvl w:val="0"/>
          <w:numId w:val="5"/>
        </w:numPr>
        <w:spacing w:before="0" w:after="0" w:line="360" w:lineRule="auto"/>
        <w:rPr>
          <w:rFonts w:ascii="宋体" w:hAnsi="宋体"/>
          <w:b w:val="0"/>
          <w:color w:val="000000" w:themeColor="text1"/>
          <w:sz w:val="24"/>
          <w:szCs w:val="24"/>
          <w14:textFill>
            <w14:solidFill>
              <w14:schemeClr w14:val="tx1"/>
            </w14:solidFill>
          </w14:textFill>
        </w:rPr>
      </w:pPr>
      <w:bookmarkStart w:id="21" w:name="_Toc488673615"/>
      <w:bookmarkStart w:id="22" w:name="_Toc10281"/>
      <w:r>
        <w:rPr>
          <w:rFonts w:hint="eastAsia" w:ascii="宋体" w:hAnsi="宋体"/>
          <w:b w:val="0"/>
          <w:color w:val="000000" w:themeColor="text1"/>
          <w:sz w:val="24"/>
          <w:szCs w:val="24"/>
          <w14:textFill>
            <w14:solidFill>
              <w14:schemeClr w14:val="tx1"/>
            </w14:solidFill>
          </w14:textFill>
        </w:rPr>
        <w:t>磋商费用</w:t>
      </w:r>
      <w:bookmarkEnd w:id="21"/>
      <w:bookmarkEnd w:id="22"/>
    </w:p>
    <w:p w14:paraId="230A5765">
      <w:pPr>
        <w:pStyle w:val="19"/>
        <w:spacing w:line="360" w:lineRule="auto"/>
        <w:ind w:firstLine="480" w:firstLineChars="200"/>
        <w:rPr>
          <w:rFonts w:hAnsi="宋体"/>
          <w:b/>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磋商供应商应自愿承担与参加本次磋商有关的费用。采购代理机构对磋商供应商发生的费用不承担任何责任。</w:t>
      </w:r>
    </w:p>
    <w:p w14:paraId="39ADEBAA">
      <w:pPr>
        <w:pStyle w:val="4"/>
        <w:ind w:left="709"/>
        <w:rPr>
          <w:rFonts w:hAnsi="宋体"/>
          <w:b/>
          <w:color w:val="000000" w:themeColor="text1"/>
          <w:sz w:val="24"/>
          <w:szCs w:val="24"/>
          <w14:textFill>
            <w14:solidFill>
              <w14:schemeClr w14:val="tx1"/>
            </w14:solidFill>
          </w14:textFill>
        </w:rPr>
      </w:pPr>
      <w:bookmarkStart w:id="23" w:name="_Toc704"/>
      <w:r>
        <w:rPr>
          <w:rFonts w:hint="eastAsia" w:hAnsi="宋体"/>
          <w:b/>
          <w:color w:val="000000" w:themeColor="text1"/>
          <w:sz w:val="24"/>
          <w:szCs w:val="24"/>
          <w14:textFill>
            <w14:solidFill>
              <w14:schemeClr w14:val="tx1"/>
            </w14:solidFill>
          </w14:textFill>
        </w:rPr>
        <w:t>磋商文件说明</w:t>
      </w:r>
      <w:bookmarkEnd w:id="23"/>
    </w:p>
    <w:p w14:paraId="262F9B96">
      <w:pPr>
        <w:pStyle w:val="5"/>
        <w:numPr>
          <w:ilvl w:val="0"/>
          <w:numId w:val="5"/>
        </w:numPr>
        <w:spacing w:before="0" w:after="0" w:line="360" w:lineRule="auto"/>
        <w:rPr>
          <w:rFonts w:ascii="宋体" w:hAnsi="宋体"/>
          <w:b w:val="0"/>
          <w:color w:val="000000" w:themeColor="text1"/>
          <w:sz w:val="24"/>
          <w:szCs w:val="24"/>
          <w14:textFill>
            <w14:solidFill>
              <w14:schemeClr w14:val="tx1"/>
            </w14:solidFill>
          </w14:textFill>
        </w:rPr>
      </w:pPr>
      <w:bookmarkStart w:id="24" w:name="_Toc488673617"/>
      <w:bookmarkStart w:id="25" w:name="_Toc20675"/>
      <w:r>
        <w:rPr>
          <w:rFonts w:hint="eastAsia" w:ascii="宋体" w:hAnsi="宋体"/>
          <w:b w:val="0"/>
          <w:color w:val="000000" w:themeColor="text1"/>
          <w:sz w:val="24"/>
          <w:szCs w:val="24"/>
          <w14:textFill>
            <w14:solidFill>
              <w14:schemeClr w14:val="tx1"/>
            </w14:solidFill>
          </w14:textFill>
        </w:rPr>
        <w:t>磋商文件的构成</w:t>
      </w:r>
      <w:bookmarkEnd w:id="24"/>
      <w:bookmarkEnd w:id="25"/>
    </w:p>
    <w:p w14:paraId="4CE16A16">
      <w:pPr>
        <w:pStyle w:val="19"/>
        <w:numPr>
          <w:ilvl w:val="1"/>
          <w:numId w:val="9"/>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磋商文件包括：</w:t>
      </w:r>
    </w:p>
    <w:p w14:paraId="031FEEFD">
      <w:pPr>
        <w:pStyle w:val="19"/>
        <w:numPr>
          <w:ilvl w:val="0"/>
          <w:numId w:val="10"/>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磋商邀请；</w:t>
      </w:r>
    </w:p>
    <w:p w14:paraId="20B1A806">
      <w:pPr>
        <w:pStyle w:val="19"/>
        <w:numPr>
          <w:ilvl w:val="0"/>
          <w:numId w:val="10"/>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磋商供应商须知前附表；</w:t>
      </w:r>
    </w:p>
    <w:p w14:paraId="5F004B41">
      <w:pPr>
        <w:pStyle w:val="19"/>
        <w:numPr>
          <w:ilvl w:val="0"/>
          <w:numId w:val="10"/>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磋商供应商须知；</w:t>
      </w:r>
    </w:p>
    <w:p w14:paraId="6254CB53">
      <w:pPr>
        <w:pStyle w:val="19"/>
        <w:numPr>
          <w:ilvl w:val="0"/>
          <w:numId w:val="10"/>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青海省政府采购合同文本样式；</w:t>
      </w:r>
    </w:p>
    <w:p w14:paraId="12B2B90A">
      <w:pPr>
        <w:pStyle w:val="19"/>
        <w:numPr>
          <w:ilvl w:val="0"/>
          <w:numId w:val="10"/>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磋商响应文件格式；</w:t>
      </w:r>
    </w:p>
    <w:p w14:paraId="5141D469">
      <w:pPr>
        <w:pStyle w:val="19"/>
        <w:numPr>
          <w:ilvl w:val="0"/>
          <w:numId w:val="10"/>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采购项目要求及技术参数；</w:t>
      </w:r>
    </w:p>
    <w:p w14:paraId="4A5FF24D">
      <w:pPr>
        <w:pStyle w:val="19"/>
        <w:numPr>
          <w:ilvl w:val="0"/>
          <w:numId w:val="10"/>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采购过程中发生的澄清、变更和补充文件；</w:t>
      </w:r>
    </w:p>
    <w:p w14:paraId="03139037">
      <w:pPr>
        <w:pStyle w:val="19"/>
        <w:numPr>
          <w:ilvl w:val="1"/>
          <w:numId w:val="9"/>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磋商供应商应认真阅读磋商文件中列示的事项、格式、条款和要求等内容。如果磋商供应商未按磋商文件要求提交全部资料，或者对磋商文件未作出实质性响应的，根据相关法规要求，此类磋商将被拒绝（视为无效磋商）。</w:t>
      </w:r>
    </w:p>
    <w:p w14:paraId="78E9708F">
      <w:pPr>
        <w:pStyle w:val="5"/>
        <w:numPr>
          <w:ilvl w:val="0"/>
          <w:numId w:val="5"/>
        </w:numPr>
        <w:spacing w:before="0" w:after="0" w:line="360" w:lineRule="auto"/>
        <w:rPr>
          <w:rFonts w:ascii="宋体" w:hAnsi="宋体"/>
          <w:b w:val="0"/>
          <w:color w:val="000000" w:themeColor="text1"/>
          <w:sz w:val="24"/>
          <w:szCs w:val="24"/>
          <w14:textFill>
            <w14:solidFill>
              <w14:schemeClr w14:val="tx1"/>
            </w14:solidFill>
          </w14:textFill>
        </w:rPr>
      </w:pPr>
      <w:bookmarkStart w:id="26" w:name="_Toc18643"/>
      <w:bookmarkStart w:id="27" w:name="_Toc488673618"/>
      <w:r>
        <w:rPr>
          <w:rFonts w:hint="eastAsia" w:ascii="宋体" w:hAnsi="宋体"/>
          <w:b w:val="0"/>
          <w:color w:val="000000" w:themeColor="text1"/>
          <w:sz w:val="24"/>
          <w:szCs w:val="24"/>
          <w14:textFill>
            <w14:solidFill>
              <w14:schemeClr w14:val="tx1"/>
            </w14:solidFill>
          </w14:textFill>
        </w:rPr>
        <w:t>磋商文件、磋商活动和成交结果的质疑</w:t>
      </w:r>
      <w:bookmarkEnd w:id="26"/>
      <w:bookmarkEnd w:id="27"/>
    </w:p>
    <w:p w14:paraId="5DF3F412">
      <w:pPr>
        <w:pStyle w:val="19"/>
        <w:numPr>
          <w:ilvl w:val="1"/>
          <w:numId w:val="11"/>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参加磋商的磋商供应商认为磋商文件、磋商活动和成交、成交结果使自己的权益受到损害的，可以在知道或者应知其权益受到损害之日起7个工作日内以书面形式（如信件、传真等）向采购单位或者采购代理机构提出质疑，不接受匿名质疑。潜在供应商已依法获取其可质疑的磋商文件的，可以对该文件提出质疑，对磋商文件提出质疑的，应当在获取磋商文件或者磋商文件公告期限届满之日起7个工作日内提出。供应商须在法定质疑期内一次性提出针对同一采购程序环节的质疑。采购人或采购代理机构在收到书面质疑函后7个工作日内作出答复。</w:t>
      </w:r>
    </w:p>
    <w:p w14:paraId="038F2D7C">
      <w:pPr>
        <w:pStyle w:val="19"/>
        <w:numPr>
          <w:ilvl w:val="1"/>
          <w:numId w:val="11"/>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参与采购活动的磋商人对评审过程或者结果提出质疑的，采购人或采购代理机构可以组织原评审委员会协助处理质疑事项，并依据评审委员会出具的意见进行答复。质疑事项处理完成后，采购人或采购代理机构应按照规定填写《青海省政府采购磋商人质疑处理情况表》，并在15日内报同级政府采购监督管理部门备案。</w:t>
      </w:r>
    </w:p>
    <w:p w14:paraId="53A6CA23">
      <w:pPr>
        <w:pStyle w:val="19"/>
        <w:numPr>
          <w:ilvl w:val="1"/>
          <w:numId w:val="11"/>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质疑时效期间的计算</w:t>
      </w:r>
    </w:p>
    <w:p w14:paraId="09F3EEEB">
      <w:pPr>
        <w:pStyle w:val="19"/>
        <w:numPr>
          <w:ilvl w:val="0"/>
          <w:numId w:val="12"/>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对可以质疑的磋商文件提出质疑的，为收到磋商文件之日或磋商文件公告期限届满之日；</w:t>
      </w:r>
    </w:p>
    <w:p w14:paraId="60339279">
      <w:pPr>
        <w:pStyle w:val="19"/>
        <w:numPr>
          <w:ilvl w:val="0"/>
          <w:numId w:val="12"/>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对磋商过程提出质疑的，为磋商程序各环节结束之日；</w:t>
      </w:r>
    </w:p>
    <w:p w14:paraId="5301C581">
      <w:pPr>
        <w:pStyle w:val="19"/>
        <w:numPr>
          <w:ilvl w:val="0"/>
          <w:numId w:val="12"/>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对成交结果提出质疑的，为成交公告期限届满之日。</w:t>
      </w:r>
    </w:p>
    <w:p w14:paraId="393E7D31">
      <w:pPr>
        <w:pStyle w:val="5"/>
        <w:numPr>
          <w:ilvl w:val="0"/>
          <w:numId w:val="5"/>
        </w:numPr>
        <w:spacing w:before="0" w:after="0" w:line="360" w:lineRule="auto"/>
        <w:rPr>
          <w:rFonts w:ascii="宋体" w:hAnsi="宋体"/>
          <w:b w:val="0"/>
          <w:color w:val="000000" w:themeColor="text1"/>
          <w:sz w:val="24"/>
          <w:szCs w:val="24"/>
          <w14:textFill>
            <w14:solidFill>
              <w14:schemeClr w14:val="tx1"/>
            </w14:solidFill>
          </w14:textFill>
        </w:rPr>
      </w:pPr>
      <w:bookmarkStart w:id="28" w:name="_Toc488673619"/>
      <w:bookmarkStart w:id="29" w:name="_Toc2059"/>
      <w:r>
        <w:rPr>
          <w:rFonts w:hint="eastAsia" w:ascii="宋体" w:hAnsi="宋体"/>
          <w:b w:val="0"/>
          <w:color w:val="000000" w:themeColor="text1"/>
          <w:sz w:val="24"/>
          <w:szCs w:val="24"/>
          <w14:textFill>
            <w14:solidFill>
              <w14:schemeClr w14:val="tx1"/>
            </w14:solidFill>
          </w14:textFill>
        </w:rPr>
        <w:t>磋商文件的修改</w:t>
      </w:r>
      <w:bookmarkEnd w:id="28"/>
      <w:bookmarkEnd w:id="29"/>
    </w:p>
    <w:p w14:paraId="00FFEBA5">
      <w:pPr>
        <w:pStyle w:val="19"/>
        <w:numPr>
          <w:ilvl w:val="1"/>
          <w:numId w:val="13"/>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在磋商截止期前，采购单位或采购代理机构可对磋商文件进行必要的修改或者澄清；</w:t>
      </w:r>
    </w:p>
    <w:p w14:paraId="61186663">
      <w:pPr>
        <w:pStyle w:val="19"/>
        <w:numPr>
          <w:ilvl w:val="1"/>
          <w:numId w:val="13"/>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采购代理机构对已发出的磋商文件进行必要的澄清或者修改的，澄清或者修改的内容可能影响磋商响应文件编制的，在磋商文件要求提交磋商响应文件截止时间</w:t>
      </w:r>
      <w:r>
        <w:rPr>
          <w:rFonts w:hAnsi="宋体"/>
          <w:color w:val="000000" w:themeColor="text1"/>
          <w:sz w:val="24"/>
          <w:szCs w:val="24"/>
          <w14:textFill>
            <w14:solidFill>
              <w14:schemeClr w14:val="tx1"/>
            </w14:solidFill>
          </w14:textFill>
        </w:rPr>
        <w:t>5</w:t>
      </w:r>
      <w:r>
        <w:rPr>
          <w:rFonts w:hint="eastAsia" w:hAnsi="宋体"/>
          <w:color w:val="000000" w:themeColor="text1"/>
          <w:sz w:val="24"/>
          <w:szCs w:val="24"/>
          <w14:textFill>
            <w14:solidFill>
              <w14:schemeClr w14:val="tx1"/>
            </w14:solidFill>
          </w14:textFill>
        </w:rPr>
        <w:t>日前，在青海政府采购网、青海项目信息网等媒体上发布公告。不足</w:t>
      </w:r>
      <w:r>
        <w:rPr>
          <w:rFonts w:hAnsi="宋体"/>
          <w:color w:val="000000" w:themeColor="text1"/>
          <w:sz w:val="24"/>
          <w:szCs w:val="24"/>
          <w14:textFill>
            <w14:solidFill>
              <w14:schemeClr w14:val="tx1"/>
            </w14:solidFill>
          </w14:textFill>
        </w:rPr>
        <w:t>5</w:t>
      </w:r>
      <w:r>
        <w:rPr>
          <w:rFonts w:hint="eastAsia" w:hAnsi="宋体"/>
          <w:color w:val="000000" w:themeColor="text1"/>
          <w:sz w:val="24"/>
          <w:szCs w:val="24"/>
          <w14:textFill>
            <w14:solidFill>
              <w14:schemeClr w14:val="tx1"/>
            </w14:solidFill>
          </w14:textFill>
        </w:rPr>
        <w:t>日的，顺延提交磋商响应文件的截止时间。该澄清或者修改的内容为磋商文件的组成部分；</w:t>
      </w:r>
    </w:p>
    <w:p w14:paraId="67D77E80">
      <w:pPr>
        <w:pStyle w:val="19"/>
        <w:numPr>
          <w:ilvl w:val="1"/>
          <w:numId w:val="13"/>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在磋商截止时间前，采购单位或采购代理机构可以视采购具体情况，延长磋商截止时间和磋商时间，并在磋商文件要求提交磋商响应文件的截止时间3日前，将变更时间以书面形式通知所有购买了磋商文件的潜在磋商供应商，同时在发布本次磋商公告的网站发布变更公告。</w:t>
      </w:r>
    </w:p>
    <w:p w14:paraId="1794C622">
      <w:pPr>
        <w:pStyle w:val="4"/>
        <w:ind w:left="709"/>
        <w:rPr>
          <w:rFonts w:hAnsi="宋体"/>
          <w:b/>
          <w:color w:val="000000" w:themeColor="text1"/>
          <w:sz w:val="24"/>
          <w:szCs w:val="24"/>
          <w14:textFill>
            <w14:solidFill>
              <w14:schemeClr w14:val="tx1"/>
            </w14:solidFill>
          </w14:textFill>
        </w:rPr>
      </w:pPr>
      <w:bookmarkStart w:id="30" w:name="_Toc11033"/>
      <w:r>
        <w:rPr>
          <w:rFonts w:hint="eastAsia" w:hAnsi="宋体"/>
          <w:b/>
          <w:color w:val="000000" w:themeColor="text1"/>
          <w:sz w:val="24"/>
          <w:szCs w:val="24"/>
          <w14:textFill>
            <w14:solidFill>
              <w14:schemeClr w14:val="tx1"/>
            </w14:solidFill>
          </w14:textFill>
        </w:rPr>
        <w:t>磋商响应文件的编写</w:t>
      </w:r>
      <w:bookmarkEnd w:id="30"/>
    </w:p>
    <w:p w14:paraId="2C20D6CE">
      <w:pPr>
        <w:pStyle w:val="5"/>
        <w:numPr>
          <w:ilvl w:val="0"/>
          <w:numId w:val="5"/>
        </w:numPr>
        <w:spacing w:before="0" w:after="0" w:line="360" w:lineRule="auto"/>
        <w:rPr>
          <w:rFonts w:ascii="宋体" w:hAnsi="宋体"/>
          <w:b w:val="0"/>
          <w:color w:val="000000" w:themeColor="text1"/>
          <w:sz w:val="24"/>
          <w:szCs w:val="24"/>
          <w14:textFill>
            <w14:solidFill>
              <w14:schemeClr w14:val="tx1"/>
            </w14:solidFill>
          </w14:textFill>
        </w:rPr>
      </w:pPr>
      <w:bookmarkStart w:id="31" w:name="_Toc23296"/>
      <w:bookmarkStart w:id="32" w:name="_Toc488673621"/>
      <w:r>
        <w:rPr>
          <w:rFonts w:hint="eastAsia" w:ascii="宋体" w:hAnsi="宋体"/>
          <w:b w:val="0"/>
          <w:color w:val="000000" w:themeColor="text1"/>
          <w:sz w:val="24"/>
          <w:szCs w:val="24"/>
          <w14:textFill>
            <w14:solidFill>
              <w14:schemeClr w14:val="tx1"/>
            </w14:solidFill>
          </w14:textFill>
        </w:rPr>
        <w:t>磋商响应文件的语言及度量衡单位</w:t>
      </w:r>
      <w:bookmarkEnd w:id="31"/>
      <w:bookmarkEnd w:id="32"/>
    </w:p>
    <w:p w14:paraId="6135685D">
      <w:pPr>
        <w:pStyle w:val="19"/>
        <w:numPr>
          <w:ilvl w:val="1"/>
          <w:numId w:val="14"/>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磋商供应商提交的磋商响应文件以及磋商供应商与采购代理机构就此磋商发生的所有来往函电均应使用简体中文；</w:t>
      </w:r>
    </w:p>
    <w:p w14:paraId="6AB753F9">
      <w:pPr>
        <w:pStyle w:val="19"/>
        <w:numPr>
          <w:ilvl w:val="1"/>
          <w:numId w:val="14"/>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除磋商文件中另有规定外，磋商文件所使用的度量衡单位，均须采用国家法定计量单位；</w:t>
      </w:r>
    </w:p>
    <w:p w14:paraId="7B4D4FFA">
      <w:pPr>
        <w:pStyle w:val="19"/>
        <w:numPr>
          <w:ilvl w:val="1"/>
          <w:numId w:val="14"/>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附有外文资料的须翻译成中文，并加盖磋商供应商公章，如果翻译的中文资料与外文资料出现差异与矛盾时，以中文为准，其准确性由磋商供应商负责。</w:t>
      </w:r>
    </w:p>
    <w:p w14:paraId="0E73268B">
      <w:pPr>
        <w:pStyle w:val="5"/>
        <w:numPr>
          <w:ilvl w:val="0"/>
          <w:numId w:val="5"/>
        </w:numPr>
        <w:spacing w:before="0" w:after="0" w:line="360" w:lineRule="auto"/>
        <w:rPr>
          <w:rFonts w:ascii="宋体" w:hAnsi="宋体"/>
          <w:b w:val="0"/>
          <w:color w:val="000000" w:themeColor="text1"/>
          <w:sz w:val="24"/>
          <w:szCs w:val="24"/>
          <w14:textFill>
            <w14:solidFill>
              <w14:schemeClr w14:val="tx1"/>
            </w14:solidFill>
          </w14:textFill>
        </w:rPr>
      </w:pPr>
      <w:bookmarkStart w:id="33" w:name="_Toc3720"/>
      <w:bookmarkStart w:id="34" w:name="_Toc488673622"/>
      <w:r>
        <w:rPr>
          <w:rFonts w:hint="eastAsia" w:ascii="宋体" w:hAnsi="宋体"/>
          <w:b w:val="0"/>
          <w:color w:val="000000" w:themeColor="text1"/>
          <w:sz w:val="24"/>
          <w:szCs w:val="24"/>
          <w14:textFill>
            <w14:solidFill>
              <w14:schemeClr w14:val="tx1"/>
            </w14:solidFill>
          </w14:textFill>
        </w:rPr>
        <w:t>磋商报价及币种</w:t>
      </w:r>
      <w:bookmarkEnd w:id="33"/>
      <w:bookmarkEnd w:id="34"/>
    </w:p>
    <w:p w14:paraId="67EBF2AB">
      <w:pPr>
        <w:pStyle w:val="19"/>
        <w:numPr>
          <w:ilvl w:val="1"/>
          <w:numId w:val="15"/>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磋商报价为磋商总价。磋商报价必须包括：</w:t>
      </w:r>
      <w:r>
        <w:rPr>
          <w:rFonts w:hint="eastAsia" w:hAnsi="宋体"/>
          <w:color w:val="000000" w:themeColor="text1"/>
          <w:sz w:val="24"/>
          <w:lang w:eastAsia="zh-CN"/>
          <w14:textFill>
            <w14:solidFill>
              <w14:schemeClr w14:val="tx1"/>
            </w14:solidFill>
          </w14:textFill>
        </w:rPr>
        <w:t>完成本项目可能发生的各项费用，含安装调试、验收、售后维保、培训、实施人员工资、交通、利润、税收、医院现有软件信息系统接口费以及所有有关的管理成本和其他不可预见费等全部费用；</w:t>
      </w:r>
    </w:p>
    <w:p w14:paraId="5BECF5DB">
      <w:pPr>
        <w:pStyle w:val="19"/>
        <w:numPr>
          <w:ilvl w:val="1"/>
          <w:numId w:val="15"/>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磋商报价应注明有效期，有效期应与磋商有效期一致；</w:t>
      </w:r>
    </w:p>
    <w:p w14:paraId="33C8CD9E">
      <w:pPr>
        <w:pStyle w:val="19"/>
        <w:numPr>
          <w:ilvl w:val="1"/>
          <w:numId w:val="15"/>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磋商供应商应根据磋商文件规定的格式完整填写所有内容，并保证所提供的全部资料真实可靠，自愿承担相应责任；</w:t>
      </w:r>
    </w:p>
    <w:p w14:paraId="7FD5278A">
      <w:pPr>
        <w:pStyle w:val="19"/>
        <w:numPr>
          <w:ilvl w:val="1"/>
          <w:numId w:val="15"/>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磋商报价为闭口价，即成交后在合同有效期内价格不变；</w:t>
      </w:r>
    </w:p>
    <w:p w14:paraId="044D7376">
      <w:pPr>
        <w:pStyle w:val="19"/>
        <w:numPr>
          <w:ilvl w:val="1"/>
          <w:numId w:val="15"/>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磋商币种为人民币。</w:t>
      </w:r>
    </w:p>
    <w:p w14:paraId="3C23A775">
      <w:pPr>
        <w:pStyle w:val="5"/>
        <w:numPr>
          <w:ilvl w:val="0"/>
          <w:numId w:val="5"/>
        </w:numPr>
        <w:spacing w:before="0" w:after="0" w:line="360" w:lineRule="auto"/>
        <w:rPr>
          <w:rFonts w:ascii="宋体" w:hAnsi="宋体"/>
          <w:b w:val="0"/>
          <w:color w:val="000000" w:themeColor="text1"/>
          <w14:textFill>
            <w14:solidFill>
              <w14:schemeClr w14:val="tx1"/>
            </w14:solidFill>
          </w14:textFill>
        </w:rPr>
      </w:pPr>
      <w:bookmarkStart w:id="35" w:name="_Toc16103"/>
      <w:bookmarkStart w:id="36" w:name="_Toc488673623"/>
      <w:r>
        <w:rPr>
          <w:rFonts w:hint="eastAsia" w:ascii="宋体" w:hAnsi="宋体"/>
          <w:b w:val="0"/>
          <w:color w:val="000000" w:themeColor="text1"/>
          <w:sz w:val="24"/>
          <w:szCs w:val="24"/>
          <w14:textFill>
            <w14:solidFill>
              <w14:schemeClr w14:val="tx1"/>
            </w14:solidFill>
          </w14:textFill>
        </w:rPr>
        <w:t>磋商保证金</w:t>
      </w:r>
      <w:bookmarkEnd w:id="35"/>
      <w:bookmarkEnd w:id="36"/>
      <w:r>
        <w:rPr>
          <w:rFonts w:hint="eastAsia" w:ascii="宋体" w:hAnsi="宋体"/>
          <w:color w:val="000000" w:themeColor="text1"/>
          <w:sz w:val="24"/>
          <w14:textFill>
            <w14:solidFill>
              <w14:schemeClr w14:val="tx1"/>
            </w14:solidFill>
          </w14:textFill>
        </w:rPr>
        <w:t xml:space="preserve">    </w:t>
      </w:r>
    </w:p>
    <w:p w14:paraId="398590CB">
      <w:pPr>
        <w:pStyle w:val="19"/>
        <w:numPr>
          <w:ilvl w:val="1"/>
          <w:numId w:val="16"/>
        </w:numPr>
        <w:spacing w:line="360" w:lineRule="auto"/>
        <w:rPr>
          <w:rFonts w:hint="eastAsia" w:hAnsi="宋体"/>
          <w:color w:val="000000" w:themeColor="text1"/>
          <w:sz w:val="24"/>
          <w:szCs w:val="28"/>
          <w14:textFill>
            <w14:solidFill>
              <w14:schemeClr w14:val="tx1"/>
            </w14:solidFill>
          </w14:textFill>
        </w:rPr>
      </w:pPr>
      <w:r>
        <w:rPr>
          <w:rFonts w:hint="eastAsia" w:hAnsi="宋体"/>
          <w:color w:val="000000" w:themeColor="text1"/>
          <w:sz w:val="24"/>
          <w:szCs w:val="28"/>
          <w14:textFill>
            <w14:solidFill>
              <w14:schemeClr w14:val="tx1"/>
            </w14:solidFill>
          </w14:textFill>
        </w:rPr>
        <w:t>磋商供应商应将磋商保证金缴纳证明作为磋商文件的内容一并提供。缴纳的磋商保证金用于因磋商供应商的行为使本次磋商活动受到损失的抵项；</w:t>
      </w:r>
    </w:p>
    <w:p w14:paraId="291486E7">
      <w:pPr>
        <w:pStyle w:val="19"/>
        <w:numPr>
          <w:ilvl w:val="1"/>
          <w:numId w:val="16"/>
        </w:numPr>
        <w:spacing w:line="360" w:lineRule="auto"/>
        <w:rPr>
          <w:rFonts w:hint="eastAsia" w:hAnsi="宋体"/>
          <w:color w:val="000000" w:themeColor="text1"/>
          <w:sz w:val="24"/>
          <w:szCs w:val="28"/>
          <w14:textFill>
            <w14:solidFill>
              <w14:schemeClr w14:val="tx1"/>
            </w14:solidFill>
          </w14:textFill>
        </w:rPr>
      </w:pPr>
      <w:r>
        <w:rPr>
          <w:rFonts w:hint="eastAsia" w:hAnsi="宋体"/>
          <w:color w:val="000000" w:themeColor="text1"/>
          <w:sz w:val="24"/>
          <w:szCs w:val="28"/>
          <w14:textFill>
            <w14:solidFill>
              <w14:schemeClr w14:val="tx1"/>
            </w14:solidFill>
          </w14:textFill>
        </w:rPr>
        <w:t>磋商供应商须在磋商截止期前按以下要求交纳磋商保证金：</w:t>
      </w:r>
    </w:p>
    <w:p w14:paraId="0AAC2336">
      <w:pPr>
        <w:pStyle w:val="52"/>
        <w:spacing w:line="360" w:lineRule="auto"/>
        <w:ind w:firstLine="480" w:firstLineChars="200"/>
        <w:rPr>
          <w:rFonts w:hint="eastAsia" w:ascii="宋体" w:hAnsi="宋体" w:cs="Arial"/>
          <w:color w:val="000000" w:themeColor="text1"/>
          <w:sz w:val="24"/>
          <w14:textFill>
            <w14:solidFill>
              <w14:schemeClr w14:val="tx1"/>
            </w14:solidFill>
          </w14:textFill>
        </w:rPr>
      </w:pPr>
      <w:r>
        <w:rPr>
          <w:rFonts w:hint="eastAsia" w:ascii="宋体" w:hAnsi="宋体" w:cs="Arial"/>
          <w:color w:val="000000" w:themeColor="text1"/>
          <w:kern w:val="0"/>
          <w:sz w:val="24"/>
          <w14:textFill>
            <w14:solidFill>
              <w14:schemeClr w14:val="tx1"/>
            </w14:solidFill>
          </w14:textFill>
        </w:rPr>
        <w:t>磋商</w:t>
      </w:r>
      <w:r>
        <w:rPr>
          <w:rFonts w:ascii="宋体" w:hAnsi="宋体" w:cs="Arial"/>
          <w:color w:val="000000" w:themeColor="text1"/>
          <w:sz w:val="24"/>
          <w14:textFill>
            <w14:solidFill>
              <w14:schemeClr w14:val="tx1"/>
            </w14:solidFill>
          </w14:textFill>
        </w:rPr>
        <w:t>保证金的金额（人民币）</w:t>
      </w:r>
      <w:bookmarkStart w:id="37" w:name="_Toc421873480"/>
      <w:r>
        <w:rPr>
          <w:rFonts w:hint="eastAsia" w:ascii="宋体" w:hAnsi="宋体" w:cs="Arial"/>
          <w:color w:val="000000" w:themeColor="text1"/>
          <w:sz w:val="24"/>
          <w14:textFill>
            <w14:solidFill>
              <w14:schemeClr w14:val="tx1"/>
            </w14:solidFill>
          </w14:textFill>
        </w:rPr>
        <w:t>：</w:t>
      </w:r>
      <w:bookmarkEnd w:id="37"/>
      <w:bookmarkStart w:id="38" w:name="_Toc421873483"/>
      <w:r>
        <w:rPr>
          <w:rFonts w:hint="eastAsia" w:ascii="宋体" w:hAnsi="宋体" w:cs="宋体"/>
          <w:bCs/>
          <w:color w:val="000000" w:themeColor="text1"/>
          <w:kern w:val="0"/>
          <w:sz w:val="24"/>
          <w14:textFill>
            <w14:solidFill>
              <w14:schemeClr w14:val="tx1"/>
            </w14:solidFill>
          </w14:textFill>
        </w:rPr>
        <w:t>包</w:t>
      </w:r>
      <w:r>
        <w:rPr>
          <w:rFonts w:ascii="宋体" w:hAnsi="宋体" w:cs="宋体"/>
          <w:bCs/>
          <w:color w:val="000000" w:themeColor="text1"/>
          <w:kern w:val="0"/>
          <w:sz w:val="24"/>
          <w14:textFill>
            <w14:solidFill>
              <w14:schemeClr w14:val="tx1"/>
            </w14:solidFill>
          </w14:textFill>
        </w:rPr>
        <w:t>1</w:t>
      </w:r>
      <w:r>
        <w:rPr>
          <w:rFonts w:hint="eastAsia" w:ascii="宋体" w:hAnsi="宋体" w:cs="宋体"/>
          <w:bCs/>
          <w:color w:val="000000" w:themeColor="text1"/>
          <w:kern w:val="0"/>
          <w:sz w:val="24"/>
          <w14:textFill>
            <w14:solidFill>
              <w14:schemeClr w14:val="tx1"/>
            </w14:solidFill>
          </w14:textFill>
        </w:rPr>
        <w:t>：</w:t>
      </w:r>
      <w:r>
        <w:rPr>
          <w:rFonts w:hint="eastAsia" w:ascii="宋体" w:hAnsi="宋体" w:cs="宋体"/>
          <w:bCs/>
          <w:color w:val="000000" w:themeColor="text1"/>
          <w:kern w:val="0"/>
          <w:sz w:val="24"/>
          <w:lang w:val="zh-CN"/>
          <w14:textFill>
            <w14:solidFill>
              <w14:schemeClr w14:val="tx1"/>
            </w14:solidFill>
          </w14:textFill>
        </w:rPr>
        <w:t>小写：￥</w:t>
      </w:r>
      <w:r>
        <w:rPr>
          <w:rFonts w:hint="eastAsia" w:ascii="宋体" w:hAnsi="宋体" w:cs="宋体"/>
          <w:bCs/>
          <w:color w:val="000000" w:themeColor="text1"/>
          <w:kern w:val="0"/>
          <w:sz w:val="24"/>
          <w14:textFill>
            <w14:solidFill>
              <w14:schemeClr w14:val="tx1"/>
            </w14:solidFill>
          </w14:textFill>
        </w:rPr>
        <w:t>17,000.00元整</w:t>
      </w:r>
      <w:r>
        <w:rPr>
          <w:rFonts w:hint="eastAsia" w:ascii="宋体" w:hAnsi="宋体" w:cs="宋体"/>
          <w:bCs/>
          <w:color w:val="000000" w:themeColor="text1"/>
          <w:kern w:val="0"/>
          <w:sz w:val="24"/>
          <w:lang w:val="zh-CN"/>
          <w14:textFill>
            <w14:solidFill>
              <w14:schemeClr w14:val="tx1"/>
            </w14:solidFill>
          </w14:textFill>
        </w:rPr>
        <w:t>；大写：</w:t>
      </w:r>
      <w:r>
        <w:rPr>
          <w:rFonts w:hint="eastAsia" w:ascii="宋体" w:hAnsi="宋体" w:cs="宋体"/>
          <w:bCs/>
          <w:color w:val="000000" w:themeColor="text1"/>
          <w:kern w:val="0"/>
          <w:sz w:val="24"/>
          <w14:textFill>
            <w14:solidFill>
              <w14:schemeClr w14:val="tx1"/>
            </w14:solidFill>
          </w14:textFill>
        </w:rPr>
        <w:t>壹万柒仟元整</w:t>
      </w:r>
      <w:r>
        <w:rPr>
          <w:rFonts w:hint="eastAsia" w:ascii="宋体" w:hAnsi="宋体" w:cs="宋体"/>
          <w:bCs/>
          <w:color w:val="000000" w:themeColor="text1"/>
          <w:kern w:val="0"/>
          <w:sz w:val="24"/>
          <w:lang w:val="zh-CN"/>
          <w14:textFill>
            <w14:solidFill>
              <w14:schemeClr w14:val="tx1"/>
            </w14:solidFill>
          </w14:textFill>
        </w:rPr>
        <w:t>；</w:t>
      </w:r>
    </w:p>
    <w:p w14:paraId="3DDC4D0A">
      <w:pPr>
        <w:widowControl/>
        <w:adjustRightInd w:val="0"/>
        <w:snapToGrid w:val="0"/>
        <w:spacing w:line="360" w:lineRule="auto"/>
        <w:ind w:firstLine="480" w:firstLineChars="200"/>
        <w:jc w:val="left"/>
        <w:rPr>
          <w:rFonts w:ascii="宋体" w:hAnsi="宋体" w:cs="Arial"/>
          <w:color w:val="000000" w:themeColor="text1"/>
          <w:kern w:val="0"/>
          <w:sz w:val="24"/>
          <w14:textFill>
            <w14:solidFill>
              <w14:schemeClr w14:val="tx1"/>
            </w14:solidFill>
          </w14:textFill>
        </w:rPr>
      </w:pPr>
      <w:r>
        <w:rPr>
          <w:rFonts w:ascii="宋体" w:hAnsi="宋体" w:cs="Arial"/>
          <w:color w:val="000000" w:themeColor="text1"/>
          <w:kern w:val="0"/>
          <w:sz w:val="24"/>
          <w14:textFill>
            <w14:solidFill>
              <w14:schemeClr w14:val="tx1"/>
            </w14:solidFill>
          </w14:textFill>
        </w:rPr>
        <w:t>磋商供应商可以采用现金支票、银行汇票、银行保函等非现金形式交纳</w:t>
      </w:r>
      <w:r>
        <w:rPr>
          <w:rFonts w:hint="eastAsia" w:ascii="宋体" w:hAnsi="宋体" w:cs="Arial"/>
          <w:color w:val="000000" w:themeColor="text1"/>
          <w:kern w:val="0"/>
          <w:sz w:val="24"/>
          <w14:textFill>
            <w14:solidFill>
              <w14:schemeClr w14:val="tx1"/>
            </w14:solidFill>
          </w14:textFill>
        </w:rPr>
        <w:t>磋商</w:t>
      </w:r>
      <w:r>
        <w:rPr>
          <w:rFonts w:ascii="宋体" w:hAnsi="宋体" w:cs="Arial"/>
          <w:color w:val="000000" w:themeColor="text1"/>
          <w:kern w:val="0"/>
          <w:sz w:val="24"/>
          <w14:textFill>
            <w14:solidFill>
              <w14:schemeClr w14:val="tx1"/>
            </w14:solidFill>
          </w14:textFill>
        </w:rPr>
        <w:t>保证金（注明此次项目磋商文件编号，例：</w:t>
      </w:r>
      <w:r>
        <w:rPr>
          <w:rFonts w:hint="eastAsia" w:ascii="宋体" w:hAnsi="宋体" w:cs="Arial"/>
          <w:color w:val="000000" w:themeColor="text1"/>
          <w:kern w:val="0"/>
          <w:sz w:val="24"/>
          <w:lang w:eastAsia="zh-CN"/>
          <w14:textFill>
            <w14:solidFill>
              <w14:schemeClr w14:val="tx1"/>
            </w14:solidFill>
          </w14:textFill>
        </w:rPr>
        <w:t>青海国焱竞磋（</w:t>
      </w:r>
      <w:r>
        <w:rPr>
          <w:rFonts w:hint="eastAsia" w:ascii="宋体" w:hAnsi="宋体" w:cs="Arial"/>
          <w:color w:val="000000" w:themeColor="text1"/>
          <w:kern w:val="0"/>
          <w:sz w:val="24"/>
          <w:lang w:val="en-US" w:eastAsia="zh-CN"/>
          <w14:textFill>
            <w14:solidFill>
              <w14:schemeClr w14:val="tx1"/>
            </w14:solidFill>
          </w14:textFill>
        </w:rPr>
        <w:t>货物</w:t>
      </w:r>
      <w:r>
        <w:rPr>
          <w:rFonts w:hint="eastAsia" w:ascii="宋体" w:hAnsi="宋体" w:cs="Arial"/>
          <w:color w:val="000000" w:themeColor="text1"/>
          <w:kern w:val="0"/>
          <w:sz w:val="24"/>
          <w:lang w:eastAsia="zh-CN"/>
          <w14:textFill>
            <w14:solidFill>
              <w14:schemeClr w14:val="tx1"/>
            </w14:solidFill>
          </w14:textFill>
        </w:rPr>
        <w:t>）2025-0</w:t>
      </w:r>
      <w:r>
        <w:rPr>
          <w:rFonts w:hint="eastAsia" w:ascii="宋体" w:hAnsi="宋体" w:cs="Arial"/>
          <w:color w:val="000000" w:themeColor="text1"/>
          <w:kern w:val="0"/>
          <w:sz w:val="24"/>
          <w:lang w:val="en-US" w:eastAsia="zh-CN"/>
          <w14:textFill>
            <w14:solidFill>
              <w14:schemeClr w14:val="tx1"/>
            </w14:solidFill>
          </w14:textFill>
        </w:rPr>
        <w:t>83</w:t>
      </w:r>
      <w:r>
        <w:rPr>
          <w:rFonts w:hint="eastAsia" w:ascii="宋体" w:hAnsi="宋体" w:cs="Arial"/>
          <w:color w:val="000000" w:themeColor="text1"/>
          <w:kern w:val="0"/>
          <w:sz w:val="24"/>
          <w:lang w:eastAsia="zh-CN"/>
          <w14:textFill>
            <w14:solidFill>
              <w14:schemeClr w14:val="tx1"/>
            </w14:solidFill>
          </w14:textFill>
        </w:rPr>
        <w:t>号</w:t>
      </w:r>
      <w:r>
        <w:rPr>
          <w:rFonts w:ascii="宋体" w:hAnsi="宋体" w:cs="Arial"/>
          <w:color w:val="000000" w:themeColor="text1"/>
          <w:kern w:val="0"/>
          <w:sz w:val="24"/>
          <w14:textFill>
            <w14:solidFill>
              <w14:schemeClr w14:val="tx1"/>
            </w14:solidFill>
          </w14:textFill>
        </w:rPr>
        <w:t>）；提交账号如下：</w:t>
      </w:r>
      <w:bookmarkEnd w:id="38"/>
    </w:p>
    <w:p w14:paraId="37ACF412">
      <w:pPr>
        <w:widowControl/>
        <w:adjustRightInd w:val="0"/>
        <w:snapToGrid w:val="0"/>
        <w:spacing w:line="360" w:lineRule="auto"/>
        <w:ind w:firstLine="480" w:firstLineChars="200"/>
        <w:jc w:val="left"/>
        <w:rPr>
          <w:rFonts w:ascii="宋体" w:hAnsi="宋体" w:cs="Arial"/>
          <w:color w:val="000000" w:themeColor="text1"/>
          <w:kern w:val="0"/>
          <w:sz w:val="24"/>
          <w14:textFill>
            <w14:solidFill>
              <w14:schemeClr w14:val="tx1"/>
            </w14:solidFill>
          </w14:textFill>
        </w:rPr>
      </w:pPr>
      <w:r>
        <w:rPr>
          <w:rFonts w:hint="eastAsia" w:ascii="宋体" w:hAnsi="宋体" w:cs="Arial"/>
          <w:color w:val="000000" w:themeColor="text1"/>
          <w:kern w:val="0"/>
          <w:sz w:val="24"/>
          <w14:textFill>
            <w14:solidFill>
              <w14:schemeClr w14:val="tx1"/>
            </w14:solidFill>
          </w14:textFill>
        </w:rPr>
        <w:t>开户行：中国工商银行股份有限公司西宁五四大街支行</w:t>
      </w:r>
    </w:p>
    <w:p w14:paraId="2E70A55B">
      <w:pPr>
        <w:widowControl/>
        <w:adjustRightInd w:val="0"/>
        <w:snapToGrid w:val="0"/>
        <w:spacing w:line="360" w:lineRule="auto"/>
        <w:ind w:firstLine="480" w:firstLineChars="200"/>
        <w:jc w:val="left"/>
        <w:rPr>
          <w:rFonts w:ascii="宋体" w:hAnsi="宋体" w:cs="Arial"/>
          <w:color w:val="000000" w:themeColor="text1"/>
          <w:kern w:val="0"/>
          <w:sz w:val="24"/>
          <w14:textFill>
            <w14:solidFill>
              <w14:schemeClr w14:val="tx1"/>
            </w14:solidFill>
          </w14:textFill>
        </w:rPr>
      </w:pPr>
      <w:r>
        <w:rPr>
          <w:rFonts w:hint="eastAsia" w:ascii="宋体" w:hAnsi="宋体" w:cs="Arial"/>
          <w:color w:val="000000" w:themeColor="text1"/>
          <w:kern w:val="0"/>
          <w:sz w:val="24"/>
          <w14:textFill>
            <w14:solidFill>
              <w14:schemeClr w14:val="tx1"/>
            </w14:solidFill>
          </w14:textFill>
        </w:rPr>
        <w:t>账户名：青海国焱工程项目管理有限公司</w:t>
      </w:r>
    </w:p>
    <w:p w14:paraId="731C5E00">
      <w:pPr>
        <w:widowControl/>
        <w:adjustRightInd w:val="0"/>
        <w:snapToGrid w:val="0"/>
        <w:spacing w:line="360" w:lineRule="auto"/>
        <w:ind w:firstLine="480" w:firstLineChars="200"/>
        <w:jc w:val="left"/>
        <w:rPr>
          <w:rFonts w:ascii="宋体" w:hAnsi="宋体" w:cs="Arial"/>
          <w:color w:val="000000" w:themeColor="text1"/>
          <w:kern w:val="0"/>
          <w:sz w:val="24"/>
          <w14:textFill>
            <w14:solidFill>
              <w14:schemeClr w14:val="tx1"/>
            </w14:solidFill>
          </w14:textFill>
        </w:rPr>
      </w:pPr>
      <w:r>
        <w:rPr>
          <w:rFonts w:hint="eastAsia" w:ascii="宋体" w:hAnsi="宋体" w:cs="Arial"/>
          <w:color w:val="000000" w:themeColor="text1"/>
          <w:kern w:val="0"/>
          <w:sz w:val="24"/>
          <w14:textFill>
            <w14:solidFill>
              <w14:schemeClr w14:val="tx1"/>
            </w14:solidFill>
          </w14:textFill>
        </w:rPr>
        <w:t xml:space="preserve">账 </w:t>
      </w:r>
      <w:r>
        <w:rPr>
          <w:rFonts w:ascii="宋体" w:hAnsi="宋体" w:cs="Arial"/>
          <w:color w:val="000000" w:themeColor="text1"/>
          <w:kern w:val="0"/>
          <w:sz w:val="24"/>
          <w14:textFill>
            <w14:solidFill>
              <w14:schemeClr w14:val="tx1"/>
            </w14:solidFill>
          </w14:textFill>
        </w:rPr>
        <w:t xml:space="preserve"> </w:t>
      </w:r>
      <w:r>
        <w:rPr>
          <w:rFonts w:hint="eastAsia" w:ascii="宋体" w:hAnsi="宋体" w:cs="Arial"/>
          <w:color w:val="000000" w:themeColor="text1"/>
          <w:kern w:val="0"/>
          <w:sz w:val="24"/>
          <w14:textFill>
            <w14:solidFill>
              <w14:schemeClr w14:val="tx1"/>
            </w14:solidFill>
          </w14:textFill>
        </w:rPr>
        <w:t>号：2806001309000043259（开户行号：102851000139）</w:t>
      </w:r>
    </w:p>
    <w:p w14:paraId="1B3EEFFC">
      <w:pPr>
        <w:pStyle w:val="19"/>
        <w:spacing w:line="360" w:lineRule="auto"/>
        <w:ind w:left="141" w:leftChars="67" w:firstLine="354" w:firstLineChars="147"/>
        <w:rPr>
          <w:rFonts w:hint="eastAsia" w:hAnsi="宋体" w:cs="宋体"/>
          <w:b/>
          <w:color w:val="000000" w:themeColor="text1"/>
          <w:sz w:val="24"/>
          <w:szCs w:val="24"/>
          <w14:textFill>
            <w14:solidFill>
              <w14:schemeClr w14:val="tx1"/>
            </w14:solidFill>
          </w14:textFill>
        </w:rPr>
      </w:pPr>
      <w:r>
        <w:rPr>
          <w:rFonts w:hint="eastAsia" w:hAnsi="宋体" w:cs="宋体"/>
          <w:b/>
          <w:bCs/>
          <w:color w:val="000000" w:themeColor="text1"/>
          <w:sz w:val="24"/>
          <w:lang w:val="zh-CN"/>
          <w14:textFill>
            <w14:solidFill>
              <w14:schemeClr w14:val="tx1"/>
            </w14:solidFill>
          </w14:textFill>
        </w:rPr>
        <w:t>磋商供应商在磋商截止期前，以银行到账时间为准。</w:t>
      </w:r>
    </w:p>
    <w:p w14:paraId="1C01EF72">
      <w:pPr>
        <w:pStyle w:val="19"/>
        <w:numPr>
          <w:ilvl w:val="1"/>
          <w:numId w:val="16"/>
        </w:numPr>
        <w:spacing w:line="360" w:lineRule="auto"/>
        <w:rPr>
          <w:rFonts w:hAnsi="宋体"/>
          <w:color w:val="000000" w:themeColor="text1"/>
          <w:sz w:val="24"/>
          <w:szCs w:val="28"/>
          <w14:textFill>
            <w14:solidFill>
              <w14:schemeClr w14:val="tx1"/>
            </w14:solidFill>
          </w14:textFill>
        </w:rPr>
      </w:pPr>
      <w:r>
        <w:rPr>
          <w:rFonts w:hint="eastAsia" w:hAnsi="宋体"/>
          <w:color w:val="000000" w:themeColor="text1"/>
          <w:sz w:val="24"/>
          <w:szCs w:val="28"/>
          <w14:textFill>
            <w14:solidFill>
              <w14:schemeClr w14:val="tx1"/>
            </w14:solidFill>
          </w14:textFill>
        </w:rPr>
        <w:t>磋商保证金应当以电汇、支票、汇票、本票或者金融机构、担保机构出具的保函等非现金形式提交，通过银行转账的，必须从磋商供应商基本账户直接汇（转）入采购代理机构指定账户；</w:t>
      </w:r>
    </w:p>
    <w:p w14:paraId="53ACE00D">
      <w:pPr>
        <w:pStyle w:val="19"/>
        <w:numPr>
          <w:ilvl w:val="1"/>
          <w:numId w:val="16"/>
        </w:numPr>
        <w:spacing w:line="360" w:lineRule="auto"/>
        <w:rPr>
          <w:rFonts w:hAnsi="宋体"/>
          <w:color w:val="000000" w:themeColor="text1"/>
          <w:sz w:val="24"/>
          <w:szCs w:val="28"/>
          <w14:textFill>
            <w14:solidFill>
              <w14:schemeClr w14:val="tx1"/>
            </w14:solidFill>
          </w14:textFill>
        </w:rPr>
      </w:pPr>
      <w:r>
        <w:rPr>
          <w:rFonts w:hint="eastAsia" w:hAnsi="宋体"/>
          <w:color w:val="000000" w:themeColor="text1"/>
          <w:sz w:val="24"/>
          <w:szCs w:val="28"/>
          <w14:textFill>
            <w14:solidFill>
              <w14:schemeClr w14:val="tx1"/>
            </w14:solidFill>
          </w14:textFill>
        </w:rPr>
        <w:t>未按磋商文件要求在规定时间前交纳规定数额磋商保证金的磋商将被拒绝；</w:t>
      </w:r>
    </w:p>
    <w:p w14:paraId="6254ABA4">
      <w:pPr>
        <w:pStyle w:val="19"/>
        <w:numPr>
          <w:ilvl w:val="1"/>
          <w:numId w:val="16"/>
        </w:numPr>
        <w:spacing w:line="360" w:lineRule="auto"/>
        <w:rPr>
          <w:rFonts w:hAnsi="宋体"/>
          <w:color w:val="000000" w:themeColor="text1"/>
          <w:sz w:val="24"/>
          <w:szCs w:val="28"/>
          <w14:textFill>
            <w14:solidFill>
              <w14:schemeClr w14:val="tx1"/>
            </w14:solidFill>
          </w14:textFill>
        </w:rPr>
      </w:pPr>
      <w:r>
        <w:rPr>
          <w:rFonts w:hint="eastAsia" w:hAnsi="宋体"/>
          <w:color w:val="000000" w:themeColor="text1"/>
          <w:sz w:val="24"/>
          <w:szCs w:val="28"/>
          <w14:textFill>
            <w14:solidFill>
              <w14:schemeClr w14:val="tx1"/>
            </w14:solidFill>
          </w14:textFill>
        </w:rPr>
        <w:t>未成交磋商供应商的磋商保证金自成交通知书发出之日起5个工作日内全额无息退还（不退现金）；成交磋商供应商的磋商保证金，自政府采购合同签订之日起5个工作日内全额无息退还（不退现金）；</w:t>
      </w:r>
    </w:p>
    <w:p w14:paraId="15F0CD36">
      <w:pPr>
        <w:pStyle w:val="19"/>
        <w:numPr>
          <w:ilvl w:val="1"/>
          <w:numId w:val="16"/>
        </w:numPr>
        <w:spacing w:line="360" w:lineRule="auto"/>
        <w:rPr>
          <w:rFonts w:hAnsi="宋体"/>
          <w:color w:val="000000" w:themeColor="text1"/>
          <w:sz w:val="24"/>
          <w:szCs w:val="28"/>
          <w14:textFill>
            <w14:solidFill>
              <w14:schemeClr w14:val="tx1"/>
            </w14:solidFill>
          </w14:textFill>
        </w:rPr>
      </w:pPr>
      <w:r>
        <w:rPr>
          <w:rFonts w:hint="eastAsia" w:hAnsi="宋体"/>
          <w:color w:val="000000" w:themeColor="text1"/>
          <w:sz w:val="24"/>
          <w:szCs w:val="28"/>
          <w14:textFill>
            <w14:solidFill>
              <w14:schemeClr w14:val="tx1"/>
            </w14:solidFill>
          </w14:textFill>
        </w:rPr>
        <w:t>下列任何情况发生时，磋商保证金将不予退还：</w:t>
      </w:r>
    </w:p>
    <w:p w14:paraId="0B225792">
      <w:pPr>
        <w:pStyle w:val="19"/>
        <w:numPr>
          <w:ilvl w:val="0"/>
          <w:numId w:val="17"/>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磋商供应商在递交磋商响应文件的截止时间前未到达现场并且没有以书面形式如信函、传真等告知采购代理机构要撤其磋商的；</w:t>
      </w:r>
    </w:p>
    <w:p w14:paraId="7B703D25">
      <w:pPr>
        <w:pStyle w:val="19"/>
        <w:numPr>
          <w:ilvl w:val="0"/>
          <w:numId w:val="17"/>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成交磋商供应商在规定期限内未能按规定签订合同或未按规定缴纳成交服务费；</w:t>
      </w:r>
    </w:p>
    <w:p w14:paraId="5EB2DD54">
      <w:pPr>
        <w:pStyle w:val="19"/>
        <w:numPr>
          <w:ilvl w:val="0"/>
          <w:numId w:val="17"/>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提供虚假材料谋取成交的；</w:t>
      </w:r>
    </w:p>
    <w:p w14:paraId="2BF99713">
      <w:pPr>
        <w:pStyle w:val="19"/>
        <w:numPr>
          <w:ilvl w:val="0"/>
          <w:numId w:val="17"/>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将成交项目转让给他人，或者在磋商响应文件中未说明，将成交项目分包给他人的；</w:t>
      </w:r>
    </w:p>
    <w:p w14:paraId="40D543B5">
      <w:pPr>
        <w:pStyle w:val="19"/>
        <w:numPr>
          <w:ilvl w:val="0"/>
          <w:numId w:val="17"/>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拒绝履行合同义务的；</w:t>
      </w:r>
    </w:p>
    <w:p w14:paraId="29EC41E1">
      <w:pPr>
        <w:pStyle w:val="19"/>
        <w:numPr>
          <w:ilvl w:val="0"/>
          <w:numId w:val="17"/>
        </w:numPr>
        <w:spacing w:line="360" w:lineRule="auto"/>
        <w:rPr>
          <w:color w:val="000000" w:themeColor="text1"/>
          <w14:textFill>
            <w14:solidFill>
              <w14:schemeClr w14:val="tx1"/>
            </w14:solidFill>
          </w14:textFill>
        </w:rPr>
      </w:pPr>
      <w:r>
        <w:rPr>
          <w:rFonts w:hint="eastAsia" w:hAnsi="宋体" w:cs="Arial"/>
          <w:color w:val="000000" w:themeColor="text1"/>
          <w:sz w:val="24"/>
          <w:szCs w:val="24"/>
          <w14:textFill>
            <w14:solidFill>
              <w14:schemeClr w14:val="tx1"/>
            </w14:solidFill>
          </w14:textFill>
        </w:rPr>
        <w:t>法律、法规规定的其他情形。</w:t>
      </w:r>
      <w:r>
        <w:rPr>
          <w:rFonts w:hint="eastAsia" w:ascii="宋体" w:hAnsi="宋体"/>
          <w:color w:val="000000" w:themeColor="text1"/>
          <w:sz w:val="24"/>
          <w14:textFill>
            <w14:solidFill>
              <w14:schemeClr w14:val="tx1"/>
            </w14:solidFill>
          </w14:textFill>
        </w:rPr>
        <w:t xml:space="preserve"> </w:t>
      </w:r>
    </w:p>
    <w:p w14:paraId="18665E82">
      <w:pPr>
        <w:pStyle w:val="5"/>
        <w:numPr>
          <w:ilvl w:val="0"/>
          <w:numId w:val="5"/>
        </w:numPr>
        <w:spacing w:before="0" w:after="0" w:line="360" w:lineRule="auto"/>
        <w:rPr>
          <w:rFonts w:ascii="宋体" w:hAnsi="宋体"/>
          <w:b w:val="0"/>
          <w:color w:val="000000" w:themeColor="text1"/>
          <w:sz w:val="24"/>
          <w:szCs w:val="24"/>
          <w14:textFill>
            <w14:solidFill>
              <w14:schemeClr w14:val="tx1"/>
            </w14:solidFill>
          </w14:textFill>
        </w:rPr>
      </w:pPr>
      <w:bookmarkStart w:id="39" w:name="_Toc20181"/>
      <w:bookmarkStart w:id="40" w:name="_Toc488673624"/>
      <w:r>
        <w:rPr>
          <w:rFonts w:ascii="宋体" w:hAnsi="宋体"/>
          <w:b w:val="0"/>
          <w:color w:val="000000" w:themeColor="text1"/>
          <w:sz w:val="24"/>
          <w:szCs w:val="24"/>
          <w14:textFill>
            <w14:solidFill>
              <w14:schemeClr w14:val="tx1"/>
            </w14:solidFill>
          </w14:textFill>
        </w:rPr>
        <w:t>磋商有效期</w:t>
      </w:r>
      <w:bookmarkEnd w:id="39"/>
      <w:bookmarkEnd w:id="40"/>
    </w:p>
    <w:p w14:paraId="7D1111D5">
      <w:pPr>
        <w:pStyle w:val="19"/>
        <w:spacing w:line="360" w:lineRule="auto"/>
        <w:ind w:firstLine="480" w:firstLineChars="200"/>
        <w:rPr>
          <w:rFonts w:hAnsi="宋体"/>
          <w:b/>
          <w:color w:val="000000" w:themeColor="text1"/>
          <w:sz w:val="24"/>
          <w:szCs w:val="24"/>
          <w14:textFill>
            <w14:solidFill>
              <w14:schemeClr w14:val="tx1"/>
            </w14:solidFill>
          </w14:textFill>
        </w:rPr>
      </w:pPr>
      <w:r>
        <w:rPr>
          <w:rFonts w:hAnsi="宋体" w:cs="Arial"/>
          <w:color w:val="000000" w:themeColor="text1"/>
          <w:sz w:val="24"/>
          <w:szCs w:val="24"/>
          <w14:textFill>
            <w14:solidFill>
              <w14:schemeClr w14:val="tx1"/>
            </w14:solidFill>
          </w14:textFill>
        </w:rPr>
        <w:t>本次磋商有效期为自</w:t>
      </w:r>
      <w:r>
        <w:rPr>
          <w:rFonts w:hint="eastAsia" w:hAnsi="宋体" w:cs="Arial"/>
          <w:color w:val="000000" w:themeColor="text1"/>
          <w:sz w:val="24"/>
          <w:szCs w:val="24"/>
          <w14:textFill>
            <w14:solidFill>
              <w14:schemeClr w14:val="tx1"/>
            </w14:solidFill>
          </w14:textFill>
        </w:rPr>
        <w:t>磋商</w:t>
      </w:r>
      <w:r>
        <w:rPr>
          <w:rFonts w:hAnsi="宋体" w:cs="Arial"/>
          <w:color w:val="000000" w:themeColor="text1"/>
          <w:sz w:val="24"/>
          <w:szCs w:val="24"/>
          <w14:textFill>
            <w14:solidFill>
              <w14:schemeClr w14:val="tx1"/>
            </w14:solidFill>
          </w14:textFill>
        </w:rPr>
        <w:t>之日起</w:t>
      </w:r>
      <w:r>
        <w:rPr>
          <w:rFonts w:hint="eastAsia" w:hAnsi="宋体" w:cs="Arial"/>
          <w:color w:val="000000" w:themeColor="text1"/>
          <w:sz w:val="24"/>
          <w:szCs w:val="24"/>
          <w14:textFill>
            <w14:solidFill>
              <w14:schemeClr w14:val="tx1"/>
            </w14:solidFill>
          </w14:textFill>
        </w:rPr>
        <w:t>60</w:t>
      </w:r>
      <w:r>
        <w:rPr>
          <w:rFonts w:hAnsi="宋体" w:cs="Arial"/>
          <w:color w:val="000000" w:themeColor="text1"/>
          <w:sz w:val="24"/>
          <w:szCs w:val="24"/>
          <w14:textFill>
            <w14:solidFill>
              <w14:schemeClr w14:val="tx1"/>
            </w14:solidFill>
          </w14:textFill>
        </w:rPr>
        <w:t>个</w:t>
      </w:r>
      <w:r>
        <w:rPr>
          <w:rFonts w:hint="eastAsia" w:hAnsi="宋体" w:cs="Arial"/>
          <w:color w:val="000000" w:themeColor="text1"/>
          <w:sz w:val="24"/>
          <w:szCs w:val="24"/>
          <w14:textFill>
            <w14:solidFill>
              <w14:schemeClr w14:val="tx1"/>
            </w14:solidFill>
          </w14:textFill>
        </w:rPr>
        <w:t>日历日。</w:t>
      </w:r>
    </w:p>
    <w:p w14:paraId="6D6F7413">
      <w:pPr>
        <w:pStyle w:val="5"/>
        <w:numPr>
          <w:ilvl w:val="0"/>
          <w:numId w:val="5"/>
        </w:numPr>
        <w:spacing w:before="0" w:after="0" w:line="360" w:lineRule="auto"/>
        <w:rPr>
          <w:rFonts w:ascii="宋体" w:hAnsi="宋体"/>
          <w:b w:val="0"/>
          <w:color w:val="000000" w:themeColor="text1"/>
          <w:sz w:val="24"/>
          <w:szCs w:val="24"/>
          <w14:textFill>
            <w14:solidFill>
              <w14:schemeClr w14:val="tx1"/>
            </w14:solidFill>
          </w14:textFill>
        </w:rPr>
      </w:pPr>
      <w:bookmarkStart w:id="41" w:name="_Toc488673625"/>
      <w:bookmarkStart w:id="42" w:name="_Toc30240"/>
      <w:r>
        <w:rPr>
          <w:rFonts w:hint="eastAsia" w:ascii="宋体" w:hAnsi="宋体"/>
          <w:b w:val="0"/>
          <w:color w:val="000000" w:themeColor="text1"/>
          <w:sz w:val="24"/>
          <w:szCs w:val="24"/>
          <w14:textFill>
            <w14:solidFill>
              <w14:schemeClr w14:val="tx1"/>
            </w14:solidFill>
          </w14:textFill>
        </w:rPr>
        <w:t>磋商响应文件的构成</w:t>
      </w:r>
      <w:bookmarkEnd w:id="41"/>
      <w:bookmarkEnd w:id="42"/>
    </w:p>
    <w:p w14:paraId="14086C73">
      <w:pPr>
        <w:pStyle w:val="19"/>
        <w:spacing w:line="360" w:lineRule="auto"/>
        <w:ind w:firstLine="600" w:firstLineChars="250"/>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磋商供应商应提交相关证明材料，作为其参加磋商和成交后有能力履行合同的证明。编写的磋商响应文件须包括以下内容（格式见磋商文件“第五部分 磋商响应文件格式”）：</w:t>
      </w:r>
    </w:p>
    <w:p w14:paraId="41200C8B">
      <w:pPr>
        <w:autoSpaceDE w:val="0"/>
        <w:autoSpaceDN w:val="0"/>
        <w:spacing w:line="360" w:lineRule="auto"/>
        <w:ind w:left="426"/>
        <w:rPr>
          <w:rFonts w:ascii="宋体" w:hAnsi="宋体"/>
          <w:color w:val="000000" w:themeColor="text1"/>
          <w:kern w:val="0"/>
          <w:sz w:val="24"/>
          <w:lang w:val="zh-CN"/>
          <w14:textFill>
            <w14:solidFill>
              <w14:schemeClr w14:val="tx1"/>
            </w14:solidFill>
          </w14:textFill>
        </w:rPr>
      </w:pPr>
      <w:r>
        <w:rPr>
          <w:rFonts w:hint="eastAsia" w:ascii="宋体" w:hAnsi="宋体"/>
          <w:color w:val="000000" w:themeColor="text1"/>
          <w:kern w:val="0"/>
          <w:sz w:val="24"/>
          <w:lang w:val="zh-CN"/>
          <w14:textFill>
            <w14:solidFill>
              <w14:schemeClr w14:val="tx1"/>
            </w14:solidFill>
          </w14:textFill>
        </w:rPr>
        <w:t>11.1 磋商响应</w:t>
      </w:r>
      <w:r>
        <w:rPr>
          <w:rFonts w:ascii="宋体" w:hAnsi="宋体"/>
          <w:color w:val="000000" w:themeColor="text1"/>
          <w:kern w:val="0"/>
          <w:sz w:val="24"/>
          <w:lang w:val="zh-CN"/>
          <w14:textFill>
            <w14:solidFill>
              <w14:schemeClr w14:val="tx1"/>
            </w14:solidFill>
          </w14:textFill>
        </w:rPr>
        <w:t>文件</w:t>
      </w:r>
    </w:p>
    <w:p w14:paraId="3B5264B1">
      <w:pPr>
        <w:pStyle w:val="19"/>
        <w:numPr>
          <w:ilvl w:val="0"/>
          <w:numId w:val="18"/>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磋商函；</w:t>
      </w:r>
    </w:p>
    <w:p w14:paraId="40DD042C">
      <w:pPr>
        <w:pStyle w:val="19"/>
        <w:numPr>
          <w:ilvl w:val="0"/>
          <w:numId w:val="18"/>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法定代表人证明书；</w:t>
      </w:r>
    </w:p>
    <w:p w14:paraId="733D4007">
      <w:pPr>
        <w:pStyle w:val="19"/>
        <w:numPr>
          <w:ilvl w:val="0"/>
          <w:numId w:val="18"/>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法定代表人授权书；</w:t>
      </w:r>
    </w:p>
    <w:p w14:paraId="5EAF694A">
      <w:pPr>
        <w:pStyle w:val="19"/>
        <w:numPr>
          <w:ilvl w:val="0"/>
          <w:numId w:val="18"/>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磋商供应商承诺书；</w:t>
      </w:r>
    </w:p>
    <w:p w14:paraId="499F8F64">
      <w:pPr>
        <w:pStyle w:val="19"/>
        <w:numPr>
          <w:ilvl w:val="0"/>
          <w:numId w:val="18"/>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供应商诚信承诺书；</w:t>
      </w:r>
    </w:p>
    <w:p w14:paraId="6C5C318D">
      <w:pPr>
        <w:pStyle w:val="19"/>
        <w:numPr>
          <w:ilvl w:val="0"/>
          <w:numId w:val="18"/>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资格证明材料；</w:t>
      </w:r>
    </w:p>
    <w:p w14:paraId="31392368">
      <w:pPr>
        <w:pStyle w:val="19"/>
        <w:numPr>
          <w:ilvl w:val="0"/>
          <w:numId w:val="18"/>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财务状况、缴纳税收和社会保障资金证明；</w:t>
      </w:r>
    </w:p>
    <w:p w14:paraId="30FD22F6">
      <w:pPr>
        <w:pStyle w:val="19"/>
        <w:numPr>
          <w:ilvl w:val="0"/>
          <w:numId w:val="18"/>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具备履行合同所必须的设备和专业技术能力证明；</w:t>
      </w:r>
    </w:p>
    <w:p w14:paraId="698803E3">
      <w:pPr>
        <w:pStyle w:val="19"/>
        <w:numPr>
          <w:ilvl w:val="0"/>
          <w:numId w:val="18"/>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无重大违法记录声明；</w:t>
      </w:r>
    </w:p>
    <w:p w14:paraId="2209FD06">
      <w:pPr>
        <w:pStyle w:val="19"/>
        <w:numPr>
          <w:ilvl w:val="0"/>
          <w:numId w:val="18"/>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磋商保证金证明；</w:t>
      </w:r>
    </w:p>
    <w:p w14:paraId="743C95AF">
      <w:pPr>
        <w:pStyle w:val="19"/>
        <w:numPr>
          <w:ilvl w:val="0"/>
          <w:numId w:val="18"/>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竞争性磋商首次报价表；</w:t>
      </w:r>
    </w:p>
    <w:p w14:paraId="534757DA">
      <w:pPr>
        <w:pStyle w:val="19"/>
        <w:numPr>
          <w:ilvl w:val="0"/>
          <w:numId w:val="18"/>
        </w:numPr>
        <w:spacing w:line="360" w:lineRule="auto"/>
        <w:rPr>
          <w:rFonts w:hAnsi="宋体" w:cs="Arial"/>
          <w:color w:val="000000" w:themeColor="text1"/>
          <w:sz w:val="24"/>
          <w:szCs w:val="24"/>
          <w14:textFill>
            <w14:solidFill>
              <w14:schemeClr w14:val="tx1"/>
            </w14:solidFill>
          </w14:textFill>
        </w:rPr>
      </w:pPr>
      <w:r>
        <w:rPr>
          <w:rFonts w:hAnsi="宋体" w:cs="Arial"/>
          <w:color w:val="000000" w:themeColor="text1"/>
          <w:sz w:val="24"/>
          <w:szCs w:val="24"/>
          <w14:textFill>
            <w14:solidFill>
              <w14:schemeClr w14:val="tx1"/>
            </w14:solidFill>
          </w14:textFill>
        </w:rPr>
        <w:t>分项报价表</w:t>
      </w:r>
      <w:r>
        <w:rPr>
          <w:rFonts w:hint="eastAsia" w:hAnsi="宋体" w:cs="Arial"/>
          <w:color w:val="000000" w:themeColor="text1"/>
          <w:sz w:val="24"/>
          <w:szCs w:val="24"/>
          <w14:textFill>
            <w14:solidFill>
              <w14:schemeClr w14:val="tx1"/>
            </w14:solidFill>
          </w14:textFill>
        </w:rPr>
        <w:t>；</w:t>
      </w:r>
    </w:p>
    <w:p w14:paraId="73023B01">
      <w:pPr>
        <w:pStyle w:val="19"/>
        <w:numPr>
          <w:ilvl w:val="0"/>
          <w:numId w:val="18"/>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技术规格响应表；</w:t>
      </w:r>
    </w:p>
    <w:p w14:paraId="379E9C63">
      <w:pPr>
        <w:pStyle w:val="19"/>
        <w:numPr>
          <w:ilvl w:val="0"/>
          <w:numId w:val="18"/>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磋商产品相关资料；</w:t>
      </w:r>
    </w:p>
    <w:p w14:paraId="5AE241BA">
      <w:pPr>
        <w:pStyle w:val="19"/>
        <w:numPr>
          <w:ilvl w:val="0"/>
          <w:numId w:val="18"/>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磋商供应商的类似业绩证明材料；</w:t>
      </w:r>
    </w:p>
    <w:p w14:paraId="35006C84">
      <w:pPr>
        <w:pStyle w:val="19"/>
        <w:numPr>
          <w:ilvl w:val="0"/>
          <w:numId w:val="18"/>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享受政府采购政策优惠的证明资料；</w:t>
      </w:r>
    </w:p>
    <w:p w14:paraId="5205D710">
      <w:pPr>
        <w:pStyle w:val="19"/>
        <w:numPr>
          <w:ilvl w:val="0"/>
          <w:numId w:val="18"/>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磋商供应商认为在其他方面有必要说明的事项；</w:t>
      </w:r>
    </w:p>
    <w:p w14:paraId="6FF22B6C">
      <w:pPr>
        <w:pStyle w:val="19"/>
        <w:spacing w:line="360" w:lineRule="auto"/>
        <w:ind w:left="845"/>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注：磋商人须按上述内容、顺序和格式编制磋商响应文件，并按要求编制目录、页码，并保证所提供的全部资料真实可信，自愿承担相应责任。</w:t>
      </w:r>
    </w:p>
    <w:p w14:paraId="2B2A61F5">
      <w:pPr>
        <w:pStyle w:val="5"/>
        <w:numPr>
          <w:ilvl w:val="0"/>
          <w:numId w:val="5"/>
        </w:numPr>
        <w:spacing w:before="0" w:after="0" w:line="360" w:lineRule="auto"/>
        <w:rPr>
          <w:rFonts w:ascii="宋体" w:hAnsi="宋体"/>
          <w:b w:val="0"/>
          <w:color w:val="000000" w:themeColor="text1"/>
          <w:sz w:val="24"/>
          <w:szCs w:val="24"/>
          <w14:textFill>
            <w14:solidFill>
              <w14:schemeClr w14:val="tx1"/>
            </w14:solidFill>
          </w14:textFill>
        </w:rPr>
      </w:pPr>
      <w:bookmarkStart w:id="43" w:name="_Toc3182"/>
      <w:bookmarkStart w:id="44" w:name="_Toc488673626"/>
      <w:r>
        <w:rPr>
          <w:rFonts w:hint="eastAsia" w:ascii="宋体" w:hAnsi="宋体"/>
          <w:b w:val="0"/>
          <w:color w:val="000000" w:themeColor="text1"/>
          <w:sz w:val="24"/>
          <w:szCs w:val="24"/>
          <w14:textFill>
            <w14:solidFill>
              <w14:schemeClr w14:val="tx1"/>
            </w14:solidFill>
          </w14:textFill>
        </w:rPr>
        <w:t>磋商响应文件的编制要求</w:t>
      </w:r>
      <w:bookmarkEnd w:id="43"/>
      <w:bookmarkEnd w:id="44"/>
    </w:p>
    <w:p w14:paraId="72BCD78D">
      <w:pPr>
        <w:pStyle w:val="19"/>
        <w:spacing w:line="360" w:lineRule="auto"/>
        <w:ind w:firstLine="480" w:firstLineChars="200"/>
        <w:rPr>
          <w:rFonts w:hAnsi="宋体"/>
          <w:color w:val="000000" w:themeColor="text1"/>
          <w:sz w:val="24"/>
          <w:szCs w:val="24"/>
          <w14:textFill>
            <w14:solidFill>
              <w14:schemeClr w14:val="tx1"/>
            </w14:solidFill>
          </w14:textFill>
        </w:rPr>
      </w:pPr>
      <w:r>
        <w:rPr>
          <w:rFonts w:hint="eastAsia" w:hAnsi="宋体" w:cs="宋体"/>
          <w:color w:val="000000" w:themeColor="text1"/>
          <w:sz w:val="24"/>
          <w:szCs w:val="24"/>
          <w:lang w:val="zh-CN"/>
          <w14:textFill>
            <w14:solidFill>
              <w14:schemeClr w14:val="tx1"/>
            </w14:solidFill>
          </w14:textFill>
        </w:rPr>
        <w:t>磋商供应商应按照磋商文件所提供的磋商响应文件格式，分别填写磋商文件第五部分的内容，应分别注明所提供产品的名称、技术配置及参数、数量和价格等内容；磋商响应文件要求签字、盖章的地方必须由磋商人的法定代表人或委托代理人按要求签字、盖章。</w:t>
      </w:r>
    </w:p>
    <w:p w14:paraId="0A57AE96">
      <w:pPr>
        <w:pStyle w:val="4"/>
        <w:ind w:left="709"/>
        <w:rPr>
          <w:rFonts w:hAnsi="宋体"/>
          <w:b/>
          <w:color w:val="000000" w:themeColor="text1"/>
          <w:sz w:val="24"/>
          <w:szCs w:val="24"/>
          <w14:textFill>
            <w14:solidFill>
              <w14:schemeClr w14:val="tx1"/>
            </w14:solidFill>
          </w14:textFill>
        </w:rPr>
      </w:pPr>
      <w:bookmarkStart w:id="45" w:name="_Toc12454"/>
      <w:r>
        <w:rPr>
          <w:rFonts w:hint="eastAsia" w:hAnsi="宋体"/>
          <w:b/>
          <w:color w:val="000000" w:themeColor="text1"/>
          <w:sz w:val="24"/>
          <w:szCs w:val="24"/>
          <w14:textFill>
            <w14:solidFill>
              <w14:schemeClr w14:val="tx1"/>
            </w14:solidFill>
          </w14:textFill>
        </w:rPr>
        <w:t>磋商响应文件的递交</w:t>
      </w:r>
      <w:bookmarkEnd w:id="45"/>
    </w:p>
    <w:p w14:paraId="1580E38E">
      <w:pPr>
        <w:pStyle w:val="19"/>
        <w:tabs>
          <w:tab w:val="left" w:pos="312"/>
        </w:tabs>
        <w:spacing w:line="360" w:lineRule="auto"/>
        <w:ind w:firstLine="480" w:firstLineChars="200"/>
        <w:rPr>
          <w:rFonts w:hAnsi="宋体" w:cs="宋体"/>
          <w:color w:val="000000" w:themeColor="text1"/>
          <w:sz w:val="24"/>
          <w14:textFill>
            <w14:solidFill>
              <w14:schemeClr w14:val="tx1"/>
            </w14:solidFill>
          </w14:textFill>
        </w:rPr>
      </w:pPr>
      <w:r>
        <w:rPr>
          <w:rFonts w:hint="eastAsia" w:hAnsi="宋体"/>
          <w:bCs/>
          <w:color w:val="000000" w:themeColor="text1"/>
          <w:sz w:val="24"/>
          <w:szCs w:val="24"/>
          <w14:textFill>
            <w14:solidFill>
              <w14:schemeClr w14:val="tx1"/>
            </w14:solidFill>
          </w14:textFill>
        </w:rPr>
        <w:t>本次招标采用线上提交投标文件的方式进行采购，投标文件必须在投标文件递交截止时间前上传平台。</w:t>
      </w:r>
    </w:p>
    <w:p w14:paraId="16BAF16C">
      <w:pPr>
        <w:pStyle w:val="4"/>
        <w:ind w:left="709"/>
        <w:rPr>
          <w:rFonts w:hAnsi="宋体"/>
          <w:b/>
          <w:color w:val="000000" w:themeColor="text1"/>
          <w:sz w:val="24"/>
          <w:szCs w:val="24"/>
          <w14:textFill>
            <w14:solidFill>
              <w14:schemeClr w14:val="tx1"/>
            </w14:solidFill>
          </w14:textFill>
        </w:rPr>
      </w:pPr>
      <w:bookmarkStart w:id="46" w:name="_Toc11142"/>
      <w:r>
        <w:rPr>
          <w:rFonts w:hint="eastAsia" w:hAnsi="宋体"/>
          <w:b/>
          <w:color w:val="000000" w:themeColor="text1"/>
          <w:sz w:val="24"/>
          <w:szCs w:val="24"/>
          <w14:textFill>
            <w14:solidFill>
              <w14:schemeClr w14:val="tx1"/>
            </w14:solidFill>
          </w14:textFill>
        </w:rPr>
        <w:t>磋商过程</w:t>
      </w:r>
      <w:bookmarkEnd w:id="46"/>
    </w:p>
    <w:p w14:paraId="510B2B84">
      <w:pPr>
        <w:pStyle w:val="92"/>
        <w:numPr>
          <w:ilvl w:val="0"/>
          <w:numId w:val="19"/>
        </w:numPr>
        <w:spacing w:line="360" w:lineRule="auto"/>
        <w:ind w:firstLineChars="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采购代理机构按本磋商文件中确定的时间和地点组织本项目的磋商活动。供应商应由其委托代理人参加。</w:t>
      </w:r>
    </w:p>
    <w:p w14:paraId="13AADFC7">
      <w:pPr>
        <w:pStyle w:val="92"/>
        <w:numPr>
          <w:ilvl w:val="0"/>
          <w:numId w:val="19"/>
        </w:numPr>
        <w:spacing w:line="360" w:lineRule="auto"/>
        <w:ind w:firstLineChars="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磋商时，对不同文字文本响应文件的解释发生异议的，以中文文本为准。</w:t>
      </w:r>
    </w:p>
    <w:p w14:paraId="7AC3804B">
      <w:pPr>
        <w:pStyle w:val="92"/>
        <w:numPr>
          <w:ilvl w:val="0"/>
          <w:numId w:val="19"/>
        </w:numPr>
        <w:spacing w:line="360" w:lineRule="auto"/>
        <w:ind w:firstLineChars="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磋商工作由采购代理机构组织，采购单位、采购监管、纪检监察等有关方面代表可根据采购项目的具体情况列席。</w:t>
      </w:r>
    </w:p>
    <w:p w14:paraId="474A6A46">
      <w:pPr>
        <w:pStyle w:val="92"/>
        <w:numPr>
          <w:ilvl w:val="0"/>
          <w:numId w:val="19"/>
        </w:numPr>
        <w:spacing w:line="360" w:lineRule="auto"/>
        <w:ind w:firstLineChars="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磋商过程有专人记录，并存档备查。</w:t>
      </w:r>
    </w:p>
    <w:p w14:paraId="2DAE7756">
      <w:pPr>
        <w:pStyle w:val="4"/>
        <w:ind w:left="709"/>
        <w:rPr>
          <w:rFonts w:hAnsi="宋体"/>
          <w:b/>
          <w:color w:val="000000" w:themeColor="text1"/>
          <w:sz w:val="24"/>
          <w:szCs w:val="24"/>
          <w14:textFill>
            <w14:solidFill>
              <w14:schemeClr w14:val="tx1"/>
            </w14:solidFill>
          </w14:textFill>
        </w:rPr>
      </w:pPr>
      <w:bookmarkStart w:id="47" w:name="_Toc28029"/>
      <w:r>
        <w:rPr>
          <w:rFonts w:hint="eastAsia" w:hAnsi="宋体"/>
          <w:b/>
          <w:color w:val="000000" w:themeColor="text1"/>
          <w:sz w:val="24"/>
          <w:szCs w:val="24"/>
          <w14:textFill>
            <w14:solidFill>
              <w14:schemeClr w14:val="tx1"/>
            </w14:solidFill>
          </w14:textFill>
        </w:rPr>
        <w:t>资格审查</w:t>
      </w:r>
      <w:bookmarkEnd w:id="47"/>
    </w:p>
    <w:p w14:paraId="4A220CB8">
      <w:pPr>
        <w:autoSpaceDE w:val="0"/>
        <w:autoSpaceDN w:val="0"/>
        <w:spacing w:line="360" w:lineRule="auto"/>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1、合格磋商供应商不足3家的，不得评标。</w:t>
      </w:r>
    </w:p>
    <w:p w14:paraId="2950D418">
      <w:pPr>
        <w:autoSpaceDE w:val="0"/>
        <w:autoSpaceDN w:val="0"/>
        <w:spacing w:line="360" w:lineRule="auto"/>
        <w:ind w:firstLine="480" w:firstLineChars="200"/>
        <w:rPr>
          <w:rFonts w:ascii="宋体" w:hAnsi="宋体" w:cs="宋体"/>
          <w:color w:val="000000" w:themeColor="text1"/>
          <w:sz w:val="24"/>
          <w14:textFill>
            <w14:solidFill>
              <w14:schemeClr w14:val="tx1"/>
            </w14:solidFill>
          </w14:textFill>
        </w:rPr>
      </w:pPr>
      <w:bookmarkStart w:id="48" w:name="_Toc30809"/>
      <w:bookmarkStart w:id="49" w:name="_Toc497503315"/>
      <w:bookmarkStart w:id="50" w:name="_Toc497503516"/>
      <w:bookmarkStart w:id="51" w:name="_Toc497503249"/>
      <w:bookmarkStart w:id="52" w:name="_Toc497503449"/>
      <w:r>
        <w:rPr>
          <w:rFonts w:hint="eastAsia" w:ascii="宋体" w:hAnsi="宋体" w:cs="宋体"/>
          <w:color w:val="000000" w:themeColor="text1"/>
          <w:kern w:val="0"/>
          <w:sz w:val="24"/>
          <w14:textFill>
            <w14:solidFill>
              <w14:schemeClr w14:val="tx1"/>
            </w14:solidFill>
          </w14:textFill>
        </w:rPr>
        <w:t>2、资格审查时，磋商供应商存在下列情况之一的，按无效磋商处理：</w:t>
      </w:r>
      <w:bookmarkEnd w:id="48"/>
      <w:bookmarkEnd w:id="49"/>
      <w:bookmarkEnd w:id="50"/>
      <w:bookmarkEnd w:id="51"/>
      <w:bookmarkEnd w:id="52"/>
    </w:p>
    <w:p w14:paraId="1829A717">
      <w:pPr>
        <w:numPr>
          <w:ilvl w:val="0"/>
          <w:numId w:val="20"/>
        </w:numPr>
        <w:tabs>
          <w:tab w:val="left" w:pos="960"/>
        </w:tabs>
        <w:autoSpaceDE w:val="0"/>
        <w:autoSpaceDN w:val="0"/>
        <w:spacing w:line="360" w:lineRule="auto"/>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sz w:val="24"/>
          <w:shd w:val="clear" w:color="auto" w:fill="FFFFFF"/>
          <w14:textFill>
            <w14:solidFill>
              <w14:schemeClr w14:val="tx1"/>
            </w14:solidFill>
          </w14:textFill>
        </w:rPr>
        <w:t>不具备</w:t>
      </w:r>
      <w:r>
        <w:rPr>
          <w:rFonts w:hint="eastAsia" w:ascii="宋体" w:hAnsi="宋体" w:cs="宋体"/>
          <w:color w:val="000000" w:themeColor="text1"/>
          <w:kern w:val="0"/>
          <w:sz w:val="24"/>
          <w:lang w:val="zh-CN"/>
          <w14:textFill>
            <w14:solidFill>
              <w14:schemeClr w14:val="tx1"/>
            </w14:solidFill>
          </w14:textFill>
        </w:rPr>
        <w:t>“</w:t>
      </w:r>
      <w:r>
        <w:rPr>
          <w:rFonts w:hint="eastAsia" w:ascii="宋体" w:hAnsi="宋体" w:cs="宋体"/>
          <w:color w:val="000000" w:themeColor="text1"/>
          <w:sz w:val="24"/>
          <w14:textFill>
            <w14:solidFill>
              <w14:schemeClr w14:val="tx1"/>
            </w14:solidFill>
          </w14:textFill>
        </w:rPr>
        <w:t>磋商供应商</w:t>
      </w:r>
      <w:r>
        <w:rPr>
          <w:rFonts w:hint="eastAsia" w:ascii="宋体" w:hAnsi="宋体" w:cs="宋体"/>
          <w:bCs/>
          <w:color w:val="000000" w:themeColor="text1"/>
          <w:kern w:val="0"/>
          <w:sz w:val="24"/>
          <w:lang w:val="zh-CN"/>
          <w14:textFill>
            <w14:solidFill>
              <w14:schemeClr w14:val="tx1"/>
            </w14:solidFill>
          </w14:textFill>
        </w:rPr>
        <w:t>资格条件</w:t>
      </w:r>
      <w:r>
        <w:rPr>
          <w:rFonts w:hint="eastAsia" w:ascii="宋体" w:hAnsi="宋体" w:cs="宋体"/>
          <w:color w:val="000000" w:themeColor="text1"/>
          <w:kern w:val="0"/>
          <w:sz w:val="24"/>
          <w:lang w:val="zh-CN"/>
          <w14:textFill>
            <w14:solidFill>
              <w14:schemeClr w14:val="tx1"/>
            </w14:solidFill>
          </w14:textFill>
        </w:rPr>
        <w:t>”</w:t>
      </w:r>
      <w:r>
        <w:rPr>
          <w:rFonts w:hint="eastAsia" w:ascii="宋体" w:hAnsi="宋体" w:cs="宋体"/>
          <w:color w:val="000000" w:themeColor="text1"/>
          <w:sz w:val="24"/>
          <w:shd w:val="clear" w:color="auto" w:fill="FFFFFF"/>
          <w14:textFill>
            <w14:solidFill>
              <w14:schemeClr w14:val="tx1"/>
            </w14:solidFill>
          </w14:textFill>
        </w:rPr>
        <w:t>规定的资格要求的；</w:t>
      </w:r>
    </w:p>
    <w:p w14:paraId="6058C8E7">
      <w:pPr>
        <w:widowControl w:val="0"/>
        <w:numPr>
          <w:ilvl w:val="0"/>
          <w:numId w:val="20"/>
        </w:numPr>
        <w:tabs>
          <w:tab w:val="left" w:pos="960"/>
        </w:tabs>
        <w:autoSpaceDE w:val="0"/>
        <w:autoSpaceDN w:val="0"/>
        <w:spacing w:line="360" w:lineRule="auto"/>
        <w:ind w:firstLine="480" w:firstLineChars="200"/>
        <w:jc w:val="both"/>
        <w:rPr>
          <w:rFonts w:ascii="宋体" w:hAnsi="宋体" w:cs="宋体"/>
          <w:color w:val="000000" w:themeColor="text1"/>
          <w:sz w:val="24"/>
          <w:shd w:val="clear" w:color="auto" w:fill="FFFFFF"/>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未按第11.1</w:t>
      </w:r>
      <w:r>
        <w:rPr>
          <w:rFonts w:hint="eastAsia" w:ascii="宋体" w:hAnsi="宋体" w:cs="宋体"/>
          <w:color w:val="000000" w:themeColor="text1"/>
          <w:kern w:val="0"/>
          <w:sz w:val="24"/>
          <w:lang w:val="zh-CN"/>
          <w14:textFill>
            <w14:solidFill>
              <w14:schemeClr w14:val="tx1"/>
            </w14:solidFill>
          </w14:textFill>
        </w:rPr>
        <w:t>款</w:t>
      </w:r>
      <w:r>
        <w:rPr>
          <w:rFonts w:hint="eastAsia" w:ascii="宋体" w:hAnsi="宋体" w:cs="宋体"/>
          <w:color w:val="000000" w:themeColor="text1"/>
          <w:kern w:val="0"/>
          <w:sz w:val="24"/>
          <w14:textFill>
            <w14:solidFill>
              <w14:schemeClr w14:val="tx1"/>
            </w14:solidFill>
          </w14:textFill>
        </w:rPr>
        <w:t>（</w:t>
      </w:r>
      <w:r>
        <w:rPr>
          <w:rFonts w:ascii="宋体" w:hAnsi="宋体" w:cs="宋体"/>
          <w:color w:val="000000" w:themeColor="text1"/>
          <w:kern w:val="0"/>
          <w:sz w:val="24"/>
          <w14:textFill>
            <w14:solidFill>
              <w14:schemeClr w14:val="tx1"/>
            </w14:solidFill>
          </w14:textFill>
        </w:rPr>
        <w:t>1</w:t>
      </w:r>
      <w:r>
        <w:rPr>
          <w:rFonts w:hint="eastAsia" w:ascii="宋体" w:hAnsi="宋体" w:cs="宋体"/>
          <w:color w:val="000000" w:themeColor="text1"/>
          <w:kern w:val="0"/>
          <w:sz w:val="24"/>
          <w14:textFill>
            <w14:solidFill>
              <w14:schemeClr w14:val="tx1"/>
            </w14:solidFill>
          </w14:textFill>
        </w:rPr>
        <w:t>）-（1</w:t>
      </w:r>
      <w:r>
        <w:rPr>
          <w:rFonts w:hint="eastAsia" w:ascii="宋体" w:hAnsi="宋体" w:cs="宋体"/>
          <w:color w:val="000000" w:themeColor="text1"/>
          <w:kern w:val="0"/>
          <w:sz w:val="24"/>
          <w:lang w:val="en-US" w:eastAsia="zh-CN"/>
          <w14:textFill>
            <w14:solidFill>
              <w14:schemeClr w14:val="tx1"/>
            </w14:solidFill>
          </w14:textFill>
        </w:rPr>
        <w:t>3</w:t>
      </w:r>
      <w:r>
        <w:rPr>
          <w:rFonts w:hint="eastAsia" w:ascii="宋体" w:hAnsi="宋体" w:cs="宋体"/>
          <w:color w:val="000000" w:themeColor="text1"/>
          <w:kern w:val="0"/>
          <w:sz w:val="24"/>
          <w14:textFill>
            <w14:solidFill>
              <w14:schemeClr w14:val="tx1"/>
            </w14:solidFill>
          </w14:textFill>
        </w:rPr>
        <w:t>）要求提供相关资料的</w:t>
      </w:r>
      <w:r>
        <w:rPr>
          <w:rFonts w:hint="eastAsia" w:ascii="宋体" w:hAnsi="宋体" w:cs="宋体"/>
          <w:color w:val="000000" w:themeColor="text1"/>
          <w:sz w:val="24"/>
          <w:shd w:val="clear" w:color="auto" w:fill="FFFFFF"/>
          <w14:textFill>
            <w14:solidFill>
              <w14:schemeClr w14:val="tx1"/>
            </w14:solidFill>
          </w14:textFill>
        </w:rPr>
        <w:t>；</w:t>
      </w:r>
    </w:p>
    <w:p w14:paraId="149B4A58">
      <w:pPr>
        <w:numPr>
          <w:ilvl w:val="0"/>
          <w:numId w:val="20"/>
        </w:numPr>
        <w:tabs>
          <w:tab w:val="left" w:pos="960"/>
        </w:tabs>
        <w:autoSpaceDE w:val="0"/>
        <w:autoSpaceDN w:val="0"/>
        <w:spacing w:line="360" w:lineRule="auto"/>
        <w:ind w:firstLine="480" w:firstLineChars="200"/>
        <w:rPr>
          <w:rFonts w:ascii="宋体" w:hAnsi="宋体" w:cs="宋体"/>
          <w:color w:val="000000" w:themeColor="text1"/>
          <w:sz w:val="24"/>
          <w:shd w:val="clear" w:color="auto" w:fill="FFFFFF"/>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资格性审查文件未按招标文件规定和要求签字、盖章的；</w:t>
      </w:r>
    </w:p>
    <w:p w14:paraId="2E506C10">
      <w:pPr>
        <w:numPr>
          <w:ilvl w:val="0"/>
          <w:numId w:val="20"/>
        </w:numPr>
        <w:tabs>
          <w:tab w:val="left" w:pos="960"/>
        </w:tabs>
        <w:autoSpaceDE w:val="0"/>
        <w:autoSpaceDN w:val="0"/>
        <w:spacing w:line="360" w:lineRule="auto"/>
        <w:ind w:firstLine="480" w:firstLineChars="200"/>
        <w:rPr>
          <w:rFonts w:ascii="宋体" w:hAnsi="宋体" w:cs="宋体"/>
          <w:color w:val="000000" w:themeColor="text1"/>
          <w:sz w:val="24"/>
          <w:shd w:val="clear" w:color="auto" w:fill="FFFFFF"/>
          <w14:textFill>
            <w14:solidFill>
              <w14:schemeClr w14:val="tx1"/>
            </w14:solidFill>
          </w14:textFill>
        </w:rPr>
      </w:pPr>
      <w:r>
        <w:rPr>
          <w:rFonts w:hint="eastAsia" w:ascii="宋体" w:hAnsi="宋体" w:cs="宋体"/>
          <w:color w:val="000000" w:themeColor="text1"/>
          <w:sz w:val="24"/>
          <w:shd w:val="clear" w:color="auto" w:fill="FFFFFF"/>
          <w14:textFill>
            <w14:solidFill>
              <w14:schemeClr w14:val="tx1"/>
            </w14:solidFill>
          </w14:textFill>
        </w:rPr>
        <w:t>报价超过招标文件中规定的预算金额或者最高限价的；</w:t>
      </w:r>
    </w:p>
    <w:p w14:paraId="5C221F97">
      <w:pPr>
        <w:numPr>
          <w:ilvl w:val="0"/>
          <w:numId w:val="20"/>
        </w:numPr>
        <w:tabs>
          <w:tab w:val="left" w:pos="960"/>
        </w:tabs>
        <w:autoSpaceDE w:val="0"/>
        <w:autoSpaceDN w:val="0"/>
        <w:spacing w:line="360" w:lineRule="auto"/>
        <w:ind w:firstLine="480" w:firstLineChars="200"/>
        <w:rPr>
          <w:rFonts w:ascii="宋体" w:hAnsi="宋体" w:cs="宋体"/>
          <w:color w:val="000000" w:themeColor="text1"/>
          <w:sz w:val="24"/>
          <w:shd w:val="clear" w:color="auto" w:fill="FFFFFF"/>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投标有效期不能满足招标文件要求的；</w:t>
      </w:r>
    </w:p>
    <w:p w14:paraId="024A103A">
      <w:pPr>
        <w:pStyle w:val="4"/>
        <w:ind w:left="709"/>
        <w:rPr>
          <w:rFonts w:hAnsi="宋体"/>
          <w:b/>
          <w:color w:val="000000" w:themeColor="text1"/>
          <w:sz w:val="24"/>
          <w:szCs w:val="24"/>
          <w14:textFill>
            <w14:solidFill>
              <w14:schemeClr w14:val="tx1"/>
            </w14:solidFill>
          </w14:textFill>
        </w:rPr>
      </w:pPr>
      <w:bookmarkStart w:id="53" w:name="_Toc5188"/>
      <w:r>
        <w:rPr>
          <w:rFonts w:hint="eastAsia" w:hAnsi="宋体"/>
          <w:b/>
          <w:color w:val="000000" w:themeColor="text1"/>
          <w:sz w:val="24"/>
          <w:szCs w:val="24"/>
          <w14:textFill>
            <w14:solidFill>
              <w14:schemeClr w14:val="tx1"/>
            </w14:solidFill>
          </w14:textFill>
        </w:rPr>
        <w:t>评审程序及方法</w:t>
      </w:r>
      <w:bookmarkEnd w:id="53"/>
    </w:p>
    <w:p w14:paraId="596B1552">
      <w:pPr>
        <w:pStyle w:val="5"/>
        <w:numPr>
          <w:ilvl w:val="0"/>
          <w:numId w:val="5"/>
        </w:numPr>
        <w:spacing w:before="0" w:after="0" w:line="360" w:lineRule="auto"/>
        <w:rPr>
          <w:rFonts w:ascii="宋体" w:hAnsi="宋体"/>
          <w:b w:val="0"/>
          <w:color w:val="000000" w:themeColor="text1"/>
          <w:sz w:val="24"/>
          <w:szCs w:val="24"/>
          <w14:textFill>
            <w14:solidFill>
              <w14:schemeClr w14:val="tx1"/>
            </w14:solidFill>
          </w14:textFill>
        </w:rPr>
      </w:pPr>
      <w:bookmarkStart w:id="54" w:name="_Toc488673633"/>
      <w:bookmarkStart w:id="55" w:name="_Toc3226"/>
      <w:r>
        <w:rPr>
          <w:rFonts w:hint="eastAsia" w:ascii="宋体" w:hAnsi="宋体"/>
          <w:b w:val="0"/>
          <w:color w:val="000000" w:themeColor="text1"/>
          <w:sz w:val="24"/>
          <w:szCs w:val="24"/>
          <w14:textFill>
            <w14:solidFill>
              <w14:schemeClr w14:val="tx1"/>
            </w14:solidFill>
          </w14:textFill>
        </w:rPr>
        <w:t>评标委员会</w:t>
      </w:r>
      <w:bookmarkEnd w:id="54"/>
      <w:bookmarkEnd w:id="55"/>
    </w:p>
    <w:p w14:paraId="746A5088">
      <w:pPr>
        <w:pStyle w:val="19"/>
        <w:numPr>
          <w:ilvl w:val="1"/>
          <w:numId w:val="21"/>
        </w:numPr>
        <w:spacing w:line="360" w:lineRule="auto"/>
        <w:rPr>
          <w:rFonts w:hAnsi="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采购代理机构将根据采购项目的特点依法组建磋商小组，其成员由具有一定专业水平的技术、经济等方面的专家和采购单位代表等三人以上单数组成。其中技术、经济等方面的专家不少于成员总数的三分之二。</w:t>
      </w:r>
    </w:p>
    <w:p w14:paraId="53EE598D">
      <w:pPr>
        <w:autoSpaceDE w:val="0"/>
        <w:autoSpaceDN w:val="0"/>
        <w:spacing w:line="360" w:lineRule="auto"/>
        <w:ind w:left="481" w:leftChars="229"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评审专家对本单位的采购项目只能作为采购人代表参与评标。采购代理机构工作人员不得参加由本机构代理的政府采购项目的评标。</w:t>
      </w:r>
    </w:p>
    <w:p w14:paraId="5BA8C609">
      <w:pPr>
        <w:pStyle w:val="19"/>
        <w:spacing w:line="360" w:lineRule="auto"/>
        <w:ind w:firstLine="960" w:firstLineChars="4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评标委员会成员名单在评标结果公告前应当保密。</w:t>
      </w:r>
    </w:p>
    <w:p w14:paraId="2DCD8C5F">
      <w:pPr>
        <w:pStyle w:val="19"/>
        <w:numPr>
          <w:ilvl w:val="1"/>
          <w:numId w:val="21"/>
        </w:numPr>
        <w:spacing w:line="360" w:lineRule="auto"/>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采购人或采购代理机构应当从省级以上财政部门设立的政府采购评审专家库中，通过随机方式抽取评审专家。对技术复杂、专业性强的采购项目，通过随机方式难以确定合适评审专家的，经主管预算单位同意，采购人可以自行选定相应专业领域的评审专家。自行选定评审专家的，应当优先选择本单位以外的评审专家。</w:t>
      </w:r>
    </w:p>
    <w:p w14:paraId="59881577">
      <w:pPr>
        <w:pStyle w:val="19"/>
        <w:numPr>
          <w:ilvl w:val="1"/>
          <w:numId w:val="21"/>
        </w:numPr>
        <w:spacing w:line="360" w:lineRule="auto"/>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评标中因评标委员会成员缺席、回避或者健康等特殊原因导致评标委员会组成不符合规定的，采购人或者采购代理机构应当依法补足后继续评标。被更换的评标委员会成员所作出的评标意见无效。无法及时补足评标委员会成员的，采购代理机构应当停止评标活动，封存所有磋商响应文件和开标、评标资料，依法重新组建评标委员会进行评标。原评标委员会所作出的评标意见无效。</w:t>
      </w:r>
    </w:p>
    <w:p w14:paraId="3EAD8091">
      <w:pPr>
        <w:pStyle w:val="19"/>
        <w:spacing w:line="360" w:lineRule="auto"/>
        <w:ind w:left="622" w:leftChars="296" w:firstLine="480" w:firstLineChars="2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lang w:val="zh-CN"/>
          <w14:textFill>
            <w14:solidFill>
              <w14:schemeClr w14:val="tx1"/>
            </w14:solidFill>
          </w14:textFill>
        </w:rPr>
        <w:t>采购人或采购代理机构</w:t>
      </w:r>
      <w:r>
        <w:rPr>
          <w:rFonts w:hint="eastAsia" w:hAnsi="宋体" w:cs="宋体"/>
          <w:color w:val="000000" w:themeColor="text1"/>
          <w:sz w:val="24"/>
          <w:szCs w:val="24"/>
          <w14:textFill>
            <w14:solidFill>
              <w14:schemeClr w14:val="tx1"/>
            </w14:solidFill>
          </w14:textFill>
        </w:rPr>
        <w:t>应当将变更、重新组建评标委员会的情况予以记录，并随磋商文件一并存档。</w:t>
      </w:r>
    </w:p>
    <w:p w14:paraId="7BFC03EA">
      <w:pPr>
        <w:pStyle w:val="19"/>
        <w:numPr>
          <w:ilvl w:val="1"/>
          <w:numId w:val="21"/>
        </w:numPr>
        <w:spacing w:line="360" w:lineRule="auto"/>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采购人、采购代理机构应当采取必要措施，保证评标在严格保密的情况下进行。除采购人代表、评标现场组织人员外，采购人的其他工作人员以及与评标工作无关的人员不得进入评标现场。</w:t>
      </w:r>
    </w:p>
    <w:p w14:paraId="59728F03">
      <w:pPr>
        <w:pStyle w:val="19"/>
        <w:spacing w:line="360" w:lineRule="auto"/>
        <w:ind w:left="621"/>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有关人员对评标情况以及在评标过程中获悉的国家秘密、商业秘密负有保密责任。</w:t>
      </w:r>
    </w:p>
    <w:p w14:paraId="1FAD704F">
      <w:pPr>
        <w:pStyle w:val="19"/>
        <w:numPr>
          <w:ilvl w:val="1"/>
          <w:numId w:val="21"/>
        </w:numPr>
        <w:spacing w:line="360" w:lineRule="auto"/>
        <w:rPr>
          <w:rFonts w:hAnsi="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磋商由采购代理机构负责组织，具体磋商事务由依法组建的磋商小组负责，并独立履行下列职责：</w:t>
      </w:r>
    </w:p>
    <w:p w14:paraId="7A36FBA3">
      <w:pPr>
        <w:numPr>
          <w:ilvl w:val="0"/>
          <w:numId w:val="22"/>
        </w:num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核对评审专家身份和采购人代表授权函，对评审专家在政府采购活动中的职责履行情况予以记录，并及时将有关违法违规行为向财政部门报告；</w:t>
      </w:r>
    </w:p>
    <w:p w14:paraId="37CB40E6">
      <w:pPr>
        <w:numPr>
          <w:ilvl w:val="0"/>
          <w:numId w:val="22"/>
        </w:num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宣布评标纪律；</w:t>
      </w:r>
    </w:p>
    <w:p w14:paraId="4D3C0AC5">
      <w:pPr>
        <w:numPr>
          <w:ilvl w:val="0"/>
          <w:numId w:val="22"/>
        </w:num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公布磋商人名单，告知评审专家应当回避的情形；</w:t>
      </w:r>
    </w:p>
    <w:p w14:paraId="6EC9CF4F">
      <w:pPr>
        <w:numPr>
          <w:ilvl w:val="0"/>
          <w:numId w:val="22"/>
        </w:num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组织评标委员会推选评标组长，采购人代表不得担任组长；</w:t>
      </w:r>
    </w:p>
    <w:p w14:paraId="0E78A2AB">
      <w:pPr>
        <w:numPr>
          <w:ilvl w:val="0"/>
          <w:numId w:val="22"/>
        </w:num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在评标期间采取必要的通讯管理措施，保证评标活动不受外界干扰；</w:t>
      </w:r>
    </w:p>
    <w:p w14:paraId="1B32C7FE">
      <w:pPr>
        <w:numPr>
          <w:ilvl w:val="0"/>
          <w:numId w:val="22"/>
        </w:num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根据评标委员会的要求介绍政府采购相关政策法规、磋商文件；</w:t>
      </w:r>
    </w:p>
    <w:p w14:paraId="599C3E1E">
      <w:pPr>
        <w:numPr>
          <w:ilvl w:val="0"/>
          <w:numId w:val="22"/>
        </w:num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维护评标秩序，监督评标委员会依照磋商文件规定的评标程序、方法和标准进行独立评审，及时制止和纠正采购人代表、评审专家的倾向性言论或者违法违规行为；</w:t>
      </w:r>
    </w:p>
    <w:p w14:paraId="4BE3B145">
      <w:pPr>
        <w:numPr>
          <w:ilvl w:val="0"/>
          <w:numId w:val="22"/>
        </w:num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评审工作完成后，按照规定由采购人向评审专家支付劳务报酬和异地评审差旅费，不得向评审专家以外的其他人员支付评审劳务报酬；</w:t>
      </w:r>
    </w:p>
    <w:p w14:paraId="4CC409E4">
      <w:pPr>
        <w:numPr>
          <w:ilvl w:val="0"/>
          <w:numId w:val="22"/>
        </w:num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处理与评标有关的其他事项。</w:t>
      </w:r>
    </w:p>
    <w:p w14:paraId="12BBCA46">
      <w:pPr>
        <w:pStyle w:val="19"/>
        <w:spacing w:line="360" w:lineRule="auto"/>
        <w:ind w:left="480"/>
        <w:rPr>
          <w:rFonts w:hAnsi="宋体"/>
          <w:color w:val="000000" w:themeColor="text1"/>
          <w:sz w:val="24"/>
          <w:szCs w:val="24"/>
          <w14:textFill>
            <w14:solidFill>
              <w14:schemeClr w14:val="tx1"/>
            </w14:solidFill>
          </w14:textFill>
        </w:rPr>
      </w:pPr>
      <w:r>
        <w:rPr>
          <w:rFonts w:hint="eastAsia" w:hAnsi="宋体" w:cs="宋体"/>
          <w:color w:val="000000" w:themeColor="text1"/>
          <w:sz w:val="24"/>
          <w:szCs w:val="24"/>
          <w:lang w:val="zh-CN"/>
          <w14:textFill>
            <w14:solidFill>
              <w14:schemeClr w14:val="tx1"/>
            </w14:solidFill>
          </w14:textFill>
        </w:rPr>
        <w:t>采购人可以在评标前说明项目背景和采购需求，说明内容不得含有歧视性、倾向性意见，不得超出磋商文件所述范围。说明应当提交书面材料，并随磋商文件一并存档。</w:t>
      </w:r>
    </w:p>
    <w:p w14:paraId="52039371">
      <w:pPr>
        <w:pStyle w:val="19"/>
        <w:numPr>
          <w:ilvl w:val="1"/>
          <w:numId w:val="21"/>
        </w:numPr>
        <w:spacing w:line="360" w:lineRule="auto"/>
        <w:rPr>
          <w:rFonts w:hAnsi="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磋商小组应遵守并履行下列义务</w:t>
      </w:r>
      <w:r>
        <w:rPr>
          <w:rFonts w:hint="eastAsia" w:hAnsi="宋体"/>
          <w:color w:val="000000" w:themeColor="text1"/>
          <w:sz w:val="24"/>
          <w:szCs w:val="24"/>
          <w14:textFill>
            <w14:solidFill>
              <w14:schemeClr w14:val="tx1"/>
            </w14:solidFill>
          </w14:textFill>
        </w:rPr>
        <w:t>：</w:t>
      </w:r>
    </w:p>
    <w:p w14:paraId="70D2198C">
      <w:pPr>
        <w:numPr>
          <w:ilvl w:val="0"/>
          <w:numId w:val="23"/>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审查、评价磋商响应文件是否符合磋商文件的商务、技术等实质性要求；</w:t>
      </w:r>
    </w:p>
    <w:p w14:paraId="5826056D">
      <w:pPr>
        <w:numPr>
          <w:ilvl w:val="0"/>
          <w:numId w:val="23"/>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要求磋商人对磋商响应文件有关事项作出澄清或者说明；</w:t>
      </w:r>
    </w:p>
    <w:p w14:paraId="311FC696">
      <w:pPr>
        <w:numPr>
          <w:ilvl w:val="0"/>
          <w:numId w:val="23"/>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对磋商响应文件进行比较和评价；</w:t>
      </w:r>
    </w:p>
    <w:p w14:paraId="3271E825">
      <w:pPr>
        <w:numPr>
          <w:ilvl w:val="0"/>
          <w:numId w:val="23"/>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确定成交候选人名单，以及根据采购人委托直接确定成交人；</w:t>
      </w:r>
    </w:p>
    <w:p w14:paraId="0166817E">
      <w:pPr>
        <w:numPr>
          <w:ilvl w:val="0"/>
          <w:numId w:val="23"/>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向采购人、采购代理机构或者有关部门报告评标中发现的违法行为。</w:t>
      </w:r>
    </w:p>
    <w:p w14:paraId="057E69BE">
      <w:pPr>
        <w:pStyle w:val="19"/>
        <w:numPr>
          <w:ilvl w:val="1"/>
          <w:numId w:val="21"/>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评审工作在有关部门的监督下依法开展，任何单位和个人不得非法干预、影响评审工作和评审结果。</w:t>
      </w:r>
    </w:p>
    <w:p w14:paraId="1A75BA13">
      <w:pPr>
        <w:pStyle w:val="5"/>
        <w:numPr>
          <w:ilvl w:val="0"/>
          <w:numId w:val="5"/>
        </w:numPr>
        <w:spacing w:before="0" w:after="0" w:line="360" w:lineRule="auto"/>
        <w:rPr>
          <w:rFonts w:ascii="宋体" w:hAnsi="宋体"/>
          <w:b w:val="0"/>
          <w:color w:val="000000" w:themeColor="text1"/>
          <w:sz w:val="24"/>
          <w:szCs w:val="24"/>
          <w14:textFill>
            <w14:solidFill>
              <w14:schemeClr w14:val="tx1"/>
            </w14:solidFill>
          </w14:textFill>
        </w:rPr>
      </w:pPr>
      <w:bookmarkStart w:id="56" w:name="_Toc488673634"/>
      <w:bookmarkStart w:id="57" w:name="_Toc1419"/>
      <w:r>
        <w:rPr>
          <w:rFonts w:hint="eastAsia" w:ascii="宋体" w:hAnsi="宋体"/>
          <w:b w:val="0"/>
          <w:color w:val="000000" w:themeColor="text1"/>
          <w:sz w:val="24"/>
          <w:szCs w:val="24"/>
          <w14:textFill>
            <w14:solidFill>
              <w14:schemeClr w14:val="tx1"/>
            </w14:solidFill>
          </w14:textFill>
        </w:rPr>
        <w:t>磋商程序</w:t>
      </w:r>
      <w:bookmarkEnd w:id="56"/>
      <w:bookmarkEnd w:id="57"/>
    </w:p>
    <w:p w14:paraId="5F30BA10">
      <w:pPr>
        <w:pStyle w:val="19"/>
        <w:numPr>
          <w:ilvl w:val="1"/>
          <w:numId w:val="24"/>
        </w:numPr>
        <w:spacing w:line="360" w:lineRule="auto"/>
        <w:rPr>
          <w:rFonts w:hAnsi="宋体"/>
          <w:color w:val="000000" w:themeColor="text1"/>
          <w:sz w:val="24"/>
          <w:szCs w:val="24"/>
          <w14:textFill>
            <w14:solidFill>
              <w14:schemeClr w14:val="tx1"/>
            </w14:solidFill>
          </w14:textFill>
        </w:rPr>
      </w:pPr>
      <w:r>
        <w:rPr>
          <w:rFonts w:hint="eastAsia" w:hAnsi="宋体" w:cs="宋体"/>
          <w:color w:val="000000" w:themeColor="text1"/>
          <w:sz w:val="24"/>
          <w:szCs w:val="24"/>
          <w:lang w:val="zh-CN"/>
          <w14:textFill>
            <w14:solidFill>
              <w14:schemeClr w14:val="tx1"/>
            </w14:solidFill>
          </w14:textFill>
        </w:rPr>
        <w:t>评标委员会应当对符合资格的磋商人的磋商响应文件进行符合性审查，以确定其是否满足磋商文件的实质性要求。</w:t>
      </w:r>
    </w:p>
    <w:p w14:paraId="604A1F2B">
      <w:pPr>
        <w:pStyle w:val="19"/>
        <w:numPr>
          <w:ilvl w:val="0"/>
          <w:numId w:val="25"/>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本次综合评分的主要因素是：投标报价、</w:t>
      </w:r>
      <w:r>
        <w:rPr>
          <w:rFonts w:hAnsi="宋体" w:cs="Arial"/>
          <w:color w:val="000000" w:themeColor="text1"/>
          <w:sz w:val="24"/>
          <w:szCs w:val="24"/>
          <w14:textFill>
            <w14:solidFill>
              <w14:schemeClr w14:val="tx1"/>
            </w14:solidFill>
          </w14:textFill>
        </w:rPr>
        <w:t>技术</w:t>
      </w:r>
      <w:r>
        <w:rPr>
          <w:rFonts w:hint="eastAsia" w:hAnsi="宋体" w:cs="Arial"/>
          <w:color w:val="000000" w:themeColor="text1"/>
          <w:sz w:val="24"/>
          <w:szCs w:val="24"/>
          <w14:textFill>
            <w14:solidFill>
              <w14:schemeClr w14:val="tx1"/>
            </w14:solidFill>
          </w14:textFill>
        </w:rPr>
        <w:t>水平、商务评价、</w:t>
      </w:r>
      <w:r>
        <w:rPr>
          <w:rFonts w:hAnsi="宋体" w:cs="Arial"/>
          <w:color w:val="000000" w:themeColor="text1"/>
          <w:sz w:val="24"/>
          <w:szCs w:val="24"/>
          <w14:textFill>
            <w14:solidFill>
              <w14:schemeClr w14:val="tx1"/>
            </w14:solidFill>
          </w14:textFill>
        </w:rPr>
        <w:t>售后服务</w:t>
      </w:r>
      <w:r>
        <w:rPr>
          <w:rFonts w:hint="eastAsia" w:hAnsi="宋体" w:cs="Arial"/>
          <w:color w:val="000000" w:themeColor="text1"/>
          <w:sz w:val="24"/>
          <w:szCs w:val="24"/>
          <w14:textFill>
            <w14:solidFill>
              <w14:schemeClr w14:val="tx1"/>
            </w14:solidFill>
          </w14:textFill>
        </w:rPr>
        <w:t>。评审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中的有效期内的产品。）</w:t>
      </w:r>
    </w:p>
    <w:p w14:paraId="76E9439F">
      <w:pPr>
        <w:pStyle w:val="19"/>
        <w:spacing w:line="360" w:lineRule="auto"/>
        <w:ind w:left="840" w:leftChars="400" w:firstLine="480" w:firstLineChars="200"/>
        <w:rPr>
          <w:rFonts w:hAnsi="宋体" w:cs="宋体"/>
          <w:color w:val="000000" w:themeColor="text1"/>
          <w:sz w:val="24"/>
          <w:szCs w:val="24"/>
          <w:lang w:val="zh-CN"/>
          <w14:textFill>
            <w14:solidFill>
              <w14:schemeClr w14:val="tx1"/>
            </w14:solidFill>
          </w14:textFill>
        </w:rPr>
      </w:pPr>
      <w:r>
        <w:rPr>
          <w:rFonts w:hint="eastAsia" w:hAnsi="宋体" w:cs="宋体"/>
          <w:color w:val="000000" w:themeColor="text1"/>
          <w:sz w:val="24"/>
          <w:szCs w:val="24"/>
          <w:lang w:val="zh-CN"/>
          <w14:textFill>
            <w14:solidFill>
              <w14:schemeClr w14:val="tx1"/>
            </w14:solidFill>
          </w14:textFill>
        </w:rPr>
        <w:t>供应商为小型、微型企业，且提供本企业生产的货物或者提供其他小型、微型企业生产的货物，价格按相关规定给予</w:t>
      </w:r>
      <w:r>
        <w:rPr>
          <w:rFonts w:hAnsi="宋体" w:cs="宋体"/>
          <w:color w:val="000000" w:themeColor="text1"/>
          <w:sz w:val="24"/>
          <w:szCs w:val="24"/>
          <w:lang w:val="zh-CN"/>
          <w14:textFill>
            <w14:solidFill>
              <w14:schemeClr w14:val="tx1"/>
            </w14:solidFill>
          </w14:textFill>
        </w:rPr>
        <w:t>10</w:t>
      </w:r>
      <w:r>
        <w:rPr>
          <w:rFonts w:hint="eastAsia" w:hAnsi="宋体" w:cs="宋体"/>
          <w:color w:val="000000" w:themeColor="text1"/>
          <w:sz w:val="24"/>
          <w:szCs w:val="24"/>
          <w:lang w:val="zh-CN"/>
          <w14:textFill>
            <w14:solidFill>
              <w14:schemeClr w14:val="tx1"/>
            </w14:solidFill>
          </w14:textFill>
        </w:rPr>
        <w:t>%-</w:t>
      </w:r>
      <w:r>
        <w:rPr>
          <w:rFonts w:hAnsi="宋体" w:cs="宋体"/>
          <w:color w:val="000000" w:themeColor="text1"/>
          <w:sz w:val="24"/>
          <w:szCs w:val="24"/>
          <w:lang w:val="zh-CN"/>
          <w14:textFill>
            <w14:solidFill>
              <w14:schemeClr w14:val="tx1"/>
            </w14:solidFill>
          </w14:textFill>
        </w:rPr>
        <w:t>2</w:t>
      </w:r>
      <w:r>
        <w:rPr>
          <w:rFonts w:hint="eastAsia" w:hAnsi="宋体" w:cs="宋体"/>
          <w:color w:val="000000" w:themeColor="text1"/>
          <w:sz w:val="24"/>
          <w:szCs w:val="24"/>
          <w:lang w:val="zh-CN"/>
          <w14:textFill>
            <w14:solidFill>
              <w14:schemeClr w14:val="tx1"/>
            </w14:solidFill>
          </w14:textFill>
        </w:rPr>
        <w:t>0%的价格折扣，用扣除后的价格参与评审。本项所称货物不包括使用大型企业注册商标的货物；</w:t>
      </w:r>
    </w:p>
    <w:p w14:paraId="24F9908B">
      <w:pPr>
        <w:pStyle w:val="19"/>
        <w:spacing w:line="360" w:lineRule="auto"/>
        <w:ind w:left="840" w:leftChars="400" w:firstLine="480" w:firstLineChars="200"/>
        <w:rPr>
          <w:rFonts w:hAnsi="宋体" w:cs="宋体"/>
          <w:color w:val="000000" w:themeColor="text1"/>
          <w:sz w:val="24"/>
          <w:szCs w:val="24"/>
          <w:lang w:val="zh-CN"/>
          <w14:textFill>
            <w14:solidFill>
              <w14:schemeClr w14:val="tx1"/>
            </w14:solidFill>
          </w14:textFill>
        </w:rPr>
      </w:pPr>
      <w:r>
        <w:rPr>
          <w:rFonts w:hint="eastAsia" w:hAnsi="宋体" w:cs="宋体"/>
          <w:color w:val="000000" w:themeColor="text1"/>
          <w:sz w:val="24"/>
          <w:szCs w:val="24"/>
          <w:lang w:val="zh-CN"/>
          <w14:textFill>
            <w14:solidFill>
              <w14:schemeClr w14:val="tx1"/>
            </w14:solidFill>
          </w14:textFill>
        </w:rPr>
        <w:t>接受大中型企业与小微企业组成联合体或者允许大中型企业向一家或多家小微企业分包的采购项目，对于联合体协议或者分包意向协议约定小微企业的协议金额占到合同总金额30%以上的，对联合体或大中型企业的报价给与4%-6%的扣除，用扣除后的价格参加评审；</w:t>
      </w:r>
    </w:p>
    <w:p w14:paraId="59D7F01A">
      <w:pPr>
        <w:pStyle w:val="19"/>
        <w:spacing w:line="360" w:lineRule="auto"/>
        <w:ind w:left="840" w:leftChars="400" w:firstLine="480" w:firstLineChars="200"/>
        <w:rPr>
          <w:rFonts w:hAnsi="宋体" w:cs="宋体"/>
          <w:color w:val="000000" w:themeColor="text1"/>
          <w:sz w:val="24"/>
          <w:szCs w:val="24"/>
          <w:lang w:val="zh-CN"/>
          <w14:textFill>
            <w14:solidFill>
              <w14:schemeClr w14:val="tx1"/>
            </w14:solidFill>
          </w14:textFill>
        </w:rPr>
      </w:pPr>
      <w:r>
        <w:rPr>
          <w:rFonts w:hint="eastAsia" w:hAnsi="宋体" w:cs="宋体"/>
          <w:color w:val="000000" w:themeColor="text1"/>
          <w:sz w:val="24"/>
          <w:szCs w:val="24"/>
          <w:lang w:val="zh-CN"/>
          <w14:textFill>
            <w14:solidFill>
              <w14:schemeClr w14:val="tx1"/>
            </w14:solidFill>
          </w14:textFill>
        </w:rPr>
        <w:t>监狱企业、残疾人福利性单位视同小型、微型企业，享受评审中价格扣除等促进中小企业发展的政府采购政策。</w:t>
      </w:r>
    </w:p>
    <w:p w14:paraId="6D92FD7B">
      <w:pPr>
        <w:pStyle w:val="19"/>
        <w:spacing w:line="360" w:lineRule="auto"/>
        <w:ind w:left="840" w:leftChars="400" w:firstLine="480" w:firstLineChars="200"/>
        <w:rPr>
          <w:rFonts w:hAnsi="宋体" w:cs="宋体"/>
          <w:color w:val="000000" w:themeColor="text1"/>
          <w:sz w:val="24"/>
          <w:szCs w:val="24"/>
          <w:lang w:val="zh-CN"/>
          <w14:textFill>
            <w14:solidFill>
              <w14:schemeClr w14:val="tx1"/>
            </w14:solidFill>
          </w14:textFill>
        </w:rPr>
      </w:pPr>
      <w:r>
        <w:rPr>
          <w:rFonts w:hint="eastAsia" w:hAnsi="宋体" w:cs="宋体"/>
          <w:color w:val="000000" w:themeColor="text1"/>
          <w:sz w:val="24"/>
          <w:szCs w:val="24"/>
          <w:lang w:val="zh-CN"/>
          <w14:textFill>
            <w14:solidFill>
              <w14:schemeClr w14:val="tx1"/>
            </w14:solidFill>
          </w14:textFill>
        </w:rPr>
        <w:t>供应商同时符合小型、微型企业及监狱企业、残疾人福利性单位要求的，评审时只有一种类型享受价格评审优惠政策；</w:t>
      </w:r>
    </w:p>
    <w:p w14:paraId="66344953">
      <w:pPr>
        <w:pStyle w:val="19"/>
        <w:spacing w:line="360" w:lineRule="auto"/>
        <w:ind w:left="840" w:leftChars="400" w:firstLine="480" w:firstLineChars="200"/>
        <w:rPr>
          <w:rFonts w:hAnsi="宋体" w:cs="Arial"/>
          <w:color w:val="000000" w:themeColor="text1"/>
          <w:sz w:val="24"/>
          <w:szCs w:val="24"/>
          <w14:textFill>
            <w14:solidFill>
              <w14:schemeClr w14:val="tx1"/>
            </w14:solidFill>
          </w14:textFill>
        </w:rPr>
      </w:pPr>
      <w:r>
        <w:rPr>
          <w:rFonts w:hint="eastAsia" w:hAnsi="宋体" w:cs="宋体"/>
          <w:color w:val="000000" w:themeColor="text1"/>
          <w:sz w:val="24"/>
          <w:szCs w:val="24"/>
          <w:lang w:val="zh-CN"/>
          <w14:textFill>
            <w14:solidFill>
              <w14:schemeClr w14:val="tx1"/>
            </w14:solidFill>
          </w14:textFill>
        </w:rPr>
        <w:t>投标文件符合本章前款规定的，供应商应提供相关证明资料，且所提供资料必须真实可信。如有虚假，将依法承担相应责任。</w:t>
      </w:r>
    </w:p>
    <w:p w14:paraId="6C1C9222">
      <w:pPr>
        <w:pStyle w:val="19"/>
        <w:numPr>
          <w:ilvl w:val="0"/>
          <w:numId w:val="25"/>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除磋商价格因素外，评标委员会应依据磋商文件规定的评审方法和评审标准对其他因素进行客观评审；</w:t>
      </w:r>
    </w:p>
    <w:p w14:paraId="43025768">
      <w:pPr>
        <w:pStyle w:val="19"/>
        <w:numPr>
          <w:ilvl w:val="1"/>
          <w:numId w:val="24"/>
        </w:numPr>
        <w:spacing w:line="360" w:lineRule="auto"/>
        <w:rPr>
          <w:rFonts w:hAnsi="宋体"/>
          <w:color w:val="000000" w:themeColor="text1"/>
          <w:sz w:val="24"/>
          <w:szCs w:val="24"/>
          <w14:textFill>
            <w14:solidFill>
              <w14:schemeClr w14:val="tx1"/>
            </w14:solidFill>
          </w14:textFill>
        </w:rPr>
      </w:pPr>
      <w:r>
        <w:rPr>
          <w:rFonts w:hint="eastAsia" w:hAnsi="宋体" w:cs="宋体"/>
          <w:color w:val="000000" w:themeColor="text1"/>
          <w:sz w:val="24"/>
          <w:szCs w:val="24"/>
          <w:lang w:val="zh-CN"/>
          <w14:textFill>
            <w14:solidFill>
              <w14:schemeClr w14:val="tx1"/>
            </w14:solidFill>
          </w14:textFill>
        </w:rPr>
        <w:t>磋商响应文件中含义不明确、同类问题表述不一致或者有明显文字和计算错误的内容，评标委员会应当以书面形式要求磋商人作出必要的澄清、说明或者补正。</w:t>
      </w:r>
    </w:p>
    <w:p w14:paraId="40395B43">
      <w:pPr>
        <w:pStyle w:val="19"/>
        <w:spacing w:line="360" w:lineRule="auto"/>
        <w:ind w:left="621"/>
        <w:rPr>
          <w:rFonts w:hAnsi="宋体"/>
          <w:color w:val="000000" w:themeColor="text1"/>
          <w:sz w:val="24"/>
          <w:szCs w:val="24"/>
          <w14:textFill>
            <w14:solidFill>
              <w14:schemeClr w14:val="tx1"/>
            </w14:solidFill>
          </w14:textFill>
        </w:rPr>
      </w:pPr>
      <w:r>
        <w:rPr>
          <w:rFonts w:hint="eastAsia" w:hAnsi="宋体" w:cs="宋体"/>
          <w:color w:val="000000" w:themeColor="text1"/>
          <w:sz w:val="24"/>
          <w:szCs w:val="24"/>
          <w:lang w:val="zh-CN"/>
          <w14:textFill>
            <w14:solidFill>
              <w14:schemeClr w14:val="tx1"/>
            </w14:solidFill>
          </w14:textFill>
        </w:rPr>
        <w:t>磋商人的澄清、说明或者补正应当采用书面形式，并加盖公章，或者由法定代表人或其授权的代表签字。磋商人的澄清、说明或者补正不得超出磋商响应文件的范围或者改变磋商响应文件的实质性内容。</w:t>
      </w:r>
    </w:p>
    <w:p w14:paraId="5A8E56D2">
      <w:pPr>
        <w:pStyle w:val="19"/>
        <w:numPr>
          <w:ilvl w:val="0"/>
          <w:numId w:val="26"/>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磋商人存在下列情况之一的，按无效磋商处理：</w:t>
      </w:r>
    </w:p>
    <w:p w14:paraId="0DBF0768">
      <w:pPr>
        <w:pStyle w:val="19"/>
        <w:numPr>
          <w:ilvl w:val="0"/>
          <w:numId w:val="27"/>
        </w:numPr>
        <w:spacing w:line="360" w:lineRule="auto"/>
        <w:rPr>
          <w:rFonts w:hAnsi="宋体" w:cs="Arial"/>
          <w:color w:val="000000" w:themeColor="text1"/>
          <w:sz w:val="24"/>
          <w:szCs w:val="24"/>
          <w14:textFill>
            <w14:solidFill>
              <w14:schemeClr w14:val="tx1"/>
            </w14:solidFill>
          </w14:textFill>
        </w:rPr>
      </w:pPr>
      <w:r>
        <w:rPr>
          <w:rFonts w:hint="eastAsia" w:hAnsi="宋体" w:cs="宋体"/>
          <w:color w:val="000000" w:themeColor="text1"/>
          <w:sz w:val="24"/>
          <w:szCs w:val="24"/>
          <w:lang w:val="zh-CN"/>
          <w14:textFill>
            <w14:solidFill>
              <w14:schemeClr w14:val="tx1"/>
            </w14:solidFill>
          </w14:textFill>
        </w:rPr>
        <w:t>符合性审查文件未按招标文件要求签署、盖章的；</w:t>
      </w:r>
    </w:p>
    <w:p w14:paraId="1DDF302D">
      <w:pPr>
        <w:pStyle w:val="19"/>
        <w:numPr>
          <w:ilvl w:val="0"/>
          <w:numId w:val="27"/>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报价超过磋商文件中规定的预算金额或者最高限价的；</w:t>
      </w:r>
    </w:p>
    <w:p w14:paraId="1D10A46E">
      <w:pPr>
        <w:pStyle w:val="19"/>
        <w:numPr>
          <w:ilvl w:val="0"/>
          <w:numId w:val="27"/>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产品交货期、磋商有效期不能满足磋商文件要求的；</w:t>
      </w:r>
    </w:p>
    <w:p w14:paraId="195C337B">
      <w:pPr>
        <w:pStyle w:val="19"/>
        <w:numPr>
          <w:ilvl w:val="0"/>
          <w:numId w:val="27"/>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磋商响应文件中含有采购单位不能接受的条件的；</w:t>
      </w:r>
    </w:p>
    <w:p w14:paraId="01A89CE4">
      <w:pPr>
        <w:pStyle w:val="19"/>
        <w:numPr>
          <w:ilvl w:val="0"/>
          <w:numId w:val="27"/>
        </w:numPr>
        <w:spacing w:line="360" w:lineRule="auto"/>
        <w:rPr>
          <w:rFonts w:hAnsi="宋体" w:cs="Arial"/>
          <w:color w:val="000000" w:themeColor="text1"/>
          <w:sz w:val="24"/>
          <w:szCs w:val="24"/>
          <w14:textFill>
            <w14:solidFill>
              <w14:schemeClr w14:val="tx1"/>
            </w14:solidFill>
          </w14:textFill>
        </w:rPr>
      </w:pPr>
      <w:r>
        <w:rPr>
          <w:rFonts w:hint="eastAsia" w:hAnsi="宋体" w:cs="宋体"/>
          <w:color w:val="000000" w:themeColor="text1"/>
          <w:sz w:val="24"/>
          <w:szCs w:val="24"/>
          <w:lang w:val="zh-CN"/>
          <w14:textFill>
            <w14:solidFill>
              <w14:schemeClr w14:val="tx1"/>
            </w14:solidFill>
          </w14:textFill>
        </w:rPr>
        <w:t>存在串通投标行为；</w:t>
      </w:r>
    </w:p>
    <w:p w14:paraId="71E5C3CE">
      <w:pPr>
        <w:pStyle w:val="19"/>
        <w:numPr>
          <w:ilvl w:val="0"/>
          <w:numId w:val="27"/>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法律、法规和磋商文件规定的其他无效情形。</w:t>
      </w:r>
    </w:p>
    <w:p w14:paraId="72A1209D">
      <w:pPr>
        <w:pStyle w:val="19"/>
        <w:numPr>
          <w:ilvl w:val="0"/>
          <w:numId w:val="26"/>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磋商响应文件报价出现前后不一致的，按照下列规定修正：</w:t>
      </w:r>
    </w:p>
    <w:p w14:paraId="1A8B29C3">
      <w:pPr>
        <w:pStyle w:val="19"/>
        <w:numPr>
          <w:ilvl w:val="0"/>
          <w:numId w:val="28"/>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大写金额和小写金额不一致的，以大写金额为准；</w:t>
      </w:r>
    </w:p>
    <w:p w14:paraId="2434BC19">
      <w:pPr>
        <w:pStyle w:val="19"/>
        <w:numPr>
          <w:ilvl w:val="0"/>
          <w:numId w:val="28"/>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总价金额与按单价汇总金额不一致的，以单价金额计算结果为准。</w:t>
      </w:r>
    </w:p>
    <w:p w14:paraId="7ED1BF92">
      <w:pPr>
        <w:pStyle w:val="19"/>
        <w:numPr>
          <w:ilvl w:val="1"/>
          <w:numId w:val="24"/>
        </w:numPr>
        <w:spacing w:line="360" w:lineRule="auto"/>
        <w:rPr>
          <w:rFonts w:hAnsi="宋体" w:cs="Arial"/>
          <w:color w:val="000000" w:themeColor="text1"/>
          <w:sz w:val="24"/>
          <w:szCs w:val="24"/>
          <w14:textFill>
            <w14:solidFill>
              <w14:schemeClr w14:val="tx1"/>
            </w14:solidFill>
          </w14:textFill>
        </w:rPr>
      </w:pPr>
      <w:r>
        <w:rPr>
          <w:rFonts w:hint="eastAsia" w:hAnsi="宋体" w:cs="宋体"/>
          <w:color w:val="000000" w:themeColor="text1"/>
          <w:sz w:val="24"/>
          <w:szCs w:val="24"/>
          <w:shd w:val="clear" w:color="auto" w:fill="FFFFFF"/>
          <w14:textFill>
            <w14:solidFill>
              <w14:schemeClr w14:val="tx1"/>
            </w14:solidFill>
          </w14:textFill>
        </w:rPr>
        <w:t>评标委员会应当按照磋商文件中规定的评标方法和标准，对符合性审查合格的磋商响应文件进行商务和技术评估，综合比较与评价。</w:t>
      </w:r>
    </w:p>
    <w:p w14:paraId="598D3B05">
      <w:pPr>
        <w:pStyle w:val="19"/>
        <w:numPr>
          <w:ilvl w:val="1"/>
          <w:numId w:val="24"/>
        </w:numPr>
        <w:spacing w:line="360" w:lineRule="auto"/>
        <w:rPr>
          <w:rFonts w:hAnsi="宋体" w:cs="Arial"/>
          <w:color w:val="000000" w:themeColor="text1"/>
          <w:sz w:val="24"/>
          <w:szCs w:val="24"/>
          <w14:textFill>
            <w14:solidFill>
              <w14:schemeClr w14:val="tx1"/>
            </w14:solidFill>
          </w14:textFill>
        </w:rPr>
      </w:pPr>
      <w:r>
        <w:rPr>
          <w:rFonts w:hint="eastAsia" w:hAnsi="宋体" w:cs="宋体"/>
          <w:color w:val="000000" w:themeColor="text1"/>
          <w:sz w:val="24"/>
          <w:szCs w:val="24"/>
          <w:shd w:val="clear" w:color="auto" w:fill="FFFFFF"/>
          <w14:textFill>
            <w14:solidFill>
              <w14:schemeClr w14:val="tx1"/>
            </w14:solidFill>
          </w14:textFill>
        </w:rPr>
        <w:t>评标委员会认为磋商人的报价明显低于其他通过符合性审查磋商人的报价，有可能影响产品质量或者不能诚信履约的，应当要求其在评标现场合理的时间内提供书面说明，必要时提交相关证明材料；磋商人不能证明其报价合理性的，评标委员会应当将其作为无效投标处理。</w:t>
      </w:r>
    </w:p>
    <w:p w14:paraId="3561279D">
      <w:pPr>
        <w:pStyle w:val="5"/>
        <w:numPr>
          <w:ilvl w:val="0"/>
          <w:numId w:val="5"/>
        </w:numPr>
        <w:spacing w:before="0" w:after="0" w:line="360" w:lineRule="auto"/>
        <w:rPr>
          <w:rFonts w:ascii="宋体" w:hAnsi="宋体"/>
          <w:b w:val="0"/>
          <w:color w:val="000000" w:themeColor="text1"/>
          <w:sz w:val="24"/>
          <w:szCs w:val="24"/>
          <w14:textFill>
            <w14:solidFill>
              <w14:schemeClr w14:val="tx1"/>
            </w14:solidFill>
          </w14:textFill>
        </w:rPr>
      </w:pPr>
      <w:bookmarkStart w:id="58" w:name="_Toc15627"/>
      <w:bookmarkStart w:id="59" w:name="_Toc488673635"/>
      <w:r>
        <w:rPr>
          <w:rFonts w:hint="eastAsia" w:ascii="宋体" w:hAnsi="宋体"/>
          <w:b w:val="0"/>
          <w:color w:val="000000" w:themeColor="text1"/>
          <w:sz w:val="24"/>
          <w:szCs w:val="24"/>
          <w14:textFill>
            <w14:solidFill>
              <w14:schemeClr w14:val="tx1"/>
            </w14:solidFill>
          </w14:textFill>
        </w:rPr>
        <w:t>评审办法</w:t>
      </w:r>
      <w:bookmarkEnd w:id="58"/>
      <w:bookmarkEnd w:id="59"/>
    </w:p>
    <w:p w14:paraId="6DF5CE36">
      <w:pPr>
        <w:pStyle w:val="19"/>
        <w:numPr>
          <w:ilvl w:val="1"/>
          <w:numId w:val="29"/>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依照《中华人民共和国政府采购法》、《中华人民共和国政府采购法实施条例》、财政部《政府采购货物和服务招投标管理办法》、《政府采购竞争性磋商采购方式管理暂行办法》、财政部《关于加强政府采购货物和服务项目价格评审管理的通知》的规定，结合该项目的特点制定本评审办法。本次评审采用综合评分法，满分为100分。</w:t>
      </w:r>
    </w:p>
    <w:p w14:paraId="6AE8346F">
      <w:pPr>
        <w:pStyle w:val="19"/>
        <w:numPr>
          <w:ilvl w:val="1"/>
          <w:numId w:val="29"/>
        </w:numPr>
        <w:spacing w:line="360" w:lineRule="auto"/>
        <w:rPr>
          <w:rFonts w:hAnsi="宋体"/>
          <w:color w:val="000000" w:themeColor="text1"/>
          <w:sz w:val="24"/>
          <w:szCs w:val="24"/>
          <w14:textFill>
            <w14:solidFill>
              <w14:schemeClr w14:val="tx1"/>
            </w14:solidFill>
          </w14:textFill>
        </w:rPr>
      </w:pPr>
      <w:r>
        <w:rPr>
          <w:rFonts w:hint="eastAsia" w:hAnsi="宋体" w:cs="宋体"/>
          <w:color w:val="000000" w:themeColor="text1"/>
          <w:sz w:val="24"/>
          <w:szCs w:val="24"/>
          <w:lang w:val="zh-CN"/>
          <w14:textFill>
            <w14:solidFill>
              <w14:schemeClr w14:val="tx1"/>
            </w14:solidFill>
          </w14:textFill>
        </w:rPr>
        <w:t>本次评审方法采用综合评分法</w:t>
      </w:r>
      <w:r>
        <w:rPr>
          <w:rFonts w:hint="eastAsia" w:hAnsi="宋体" w:cs="宋体"/>
          <w:color w:val="000000" w:themeColor="text1"/>
          <w:sz w:val="24"/>
          <w:szCs w:val="24"/>
          <w14:textFill>
            <w14:solidFill>
              <w14:schemeClr w14:val="tx1"/>
            </w14:solidFill>
          </w14:textFill>
        </w:rPr>
        <w:t>。</w:t>
      </w:r>
    </w:p>
    <w:p w14:paraId="4483287D">
      <w:pPr>
        <w:pStyle w:val="19"/>
        <w:numPr>
          <w:ilvl w:val="1"/>
          <w:numId w:val="29"/>
        </w:numPr>
        <w:spacing w:line="360" w:lineRule="auto"/>
        <w:rPr>
          <w:rFonts w:hAnsi="宋体"/>
          <w:color w:val="000000" w:themeColor="text1"/>
          <w:sz w:val="24"/>
          <w:szCs w:val="24"/>
          <w14:textFill>
            <w14:solidFill>
              <w14:schemeClr w14:val="tx1"/>
            </w14:solidFill>
          </w14:textFill>
        </w:rPr>
      </w:pPr>
      <w:r>
        <w:rPr>
          <w:rFonts w:hAnsi="宋体" w:cs="Arial"/>
          <w:color w:val="000000" w:themeColor="text1"/>
          <w:sz w:val="24"/>
          <w:szCs w:val="24"/>
          <w14:textFill>
            <w14:solidFill>
              <w14:schemeClr w14:val="tx1"/>
            </w14:solidFill>
          </w14:textFill>
        </w:rPr>
        <w:t>评审标准和分值分配</w:t>
      </w:r>
      <w:r>
        <w:rPr>
          <w:rFonts w:hint="eastAsia" w:hAnsi="宋体" w:cs="Arial"/>
          <w:color w:val="000000" w:themeColor="text1"/>
          <w:sz w:val="24"/>
          <w:szCs w:val="24"/>
          <w14:textFill>
            <w14:solidFill>
              <w14:schemeClr w14:val="tx1"/>
            </w14:solidFill>
          </w14:textFill>
        </w:rPr>
        <w:t>：</w:t>
      </w:r>
    </w:p>
    <w:p w14:paraId="510706B1">
      <w:pPr>
        <w:pStyle w:val="19"/>
        <w:spacing w:line="360" w:lineRule="auto"/>
        <w:ind w:firstLine="482" w:firstLineChars="200"/>
        <w:rPr>
          <w:rFonts w:hAnsi="宋体"/>
          <w:b/>
          <w:color w:val="000000" w:themeColor="text1"/>
          <w:sz w:val="24"/>
          <w:szCs w:val="24"/>
          <w14:textFill>
            <w14:solidFill>
              <w14:schemeClr w14:val="tx1"/>
            </w14:solidFill>
          </w14:textFill>
        </w:rPr>
      </w:pPr>
      <w:bookmarkStart w:id="60" w:name="_Hlk497723873"/>
      <w:r>
        <w:rPr>
          <w:rFonts w:hint="eastAsia" w:hAnsi="宋体"/>
          <w:b/>
          <w:color w:val="000000" w:themeColor="text1"/>
          <w:sz w:val="24"/>
          <w:szCs w:val="24"/>
          <w14:textFill>
            <w14:solidFill>
              <w14:schemeClr w14:val="tx1"/>
            </w14:solidFill>
          </w14:textFill>
        </w:rPr>
        <w:t>具体项目及评分细则：</w:t>
      </w:r>
    </w:p>
    <w:tbl>
      <w:tblPr>
        <w:tblStyle w:val="36"/>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04"/>
        <w:gridCol w:w="1588"/>
        <w:gridCol w:w="755"/>
        <w:gridCol w:w="6417"/>
      </w:tblGrid>
      <w:tr w14:paraId="3783F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5" w:hRule="atLeast"/>
          <w:jc w:val="center"/>
        </w:trPr>
        <w:tc>
          <w:tcPr>
            <w:tcW w:w="1401" w:type="pct"/>
            <w:gridSpan w:val="2"/>
            <w:shd w:val="clear" w:color="000000" w:fill="FFFFFF"/>
            <w:vAlign w:val="center"/>
          </w:tcPr>
          <w:p w14:paraId="1653380C">
            <w:pPr>
              <w:autoSpaceDE w:val="0"/>
              <w:autoSpaceDN w:val="0"/>
              <w:snapToGrid w:val="0"/>
              <w:spacing w:line="360" w:lineRule="auto"/>
              <w:jc w:val="center"/>
              <w:rPr>
                <w:rFonts w:ascii="宋体" w:cs="宋体"/>
                <w:color w:val="000000" w:themeColor="text1"/>
                <w:sz w:val="24"/>
                <w:lang w:val="zh-CN"/>
                <w14:textFill>
                  <w14:solidFill>
                    <w14:schemeClr w14:val="tx1"/>
                  </w14:solidFill>
                </w14:textFill>
              </w:rPr>
            </w:pPr>
            <w:r>
              <w:rPr>
                <w:rFonts w:hint="eastAsia" w:ascii="宋体" w:cs="宋体"/>
                <w:color w:val="000000" w:themeColor="text1"/>
                <w:sz w:val="24"/>
                <w14:textFill>
                  <w14:solidFill>
                    <w14:schemeClr w14:val="tx1"/>
                  </w14:solidFill>
                </w14:textFill>
              </w:rPr>
              <w:t>评审因素</w:t>
            </w:r>
          </w:p>
        </w:tc>
        <w:tc>
          <w:tcPr>
            <w:tcW w:w="379" w:type="pct"/>
            <w:shd w:val="clear" w:color="000000" w:fill="FFFFFF"/>
            <w:vAlign w:val="center"/>
          </w:tcPr>
          <w:p w14:paraId="23157E83">
            <w:pPr>
              <w:autoSpaceDE w:val="0"/>
              <w:autoSpaceDN w:val="0"/>
              <w:snapToGrid w:val="0"/>
              <w:spacing w:line="360" w:lineRule="auto"/>
              <w:jc w:val="center"/>
              <w:rPr>
                <w:rFonts w:ascii="宋体" w:cs="宋体"/>
                <w:color w:val="000000" w:themeColor="text1"/>
                <w:sz w:val="24"/>
                <w14:textFill>
                  <w14:solidFill>
                    <w14:schemeClr w14:val="tx1"/>
                  </w14:solidFill>
                </w14:textFill>
              </w:rPr>
            </w:pPr>
            <w:r>
              <w:rPr>
                <w:rFonts w:hint="eastAsia" w:ascii="宋体" w:cs="宋体"/>
                <w:color w:val="000000" w:themeColor="text1"/>
                <w:sz w:val="24"/>
                <w14:textFill>
                  <w14:solidFill>
                    <w14:schemeClr w14:val="tx1"/>
                  </w14:solidFill>
                </w14:textFill>
              </w:rPr>
              <w:t>评审分数</w:t>
            </w:r>
          </w:p>
        </w:tc>
        <w:tc>
          <w:tcPr>
            <w:tcW w:w="3218" w:type="pct"/>
            <w:shd w:val="clear" w:color="000000" w:fill="FFFFFF"/>
            <w:vAlign w:val="center"/>
          </w:tcPr>
          <w:p w14:paraId="17EFB195">
            <w:pPr>
              <w:autoSpaceDE w:val="0"/>
              <w:autoSpaceDN w:val="0"/>
              <w:snapToGrid w:val="0"/>
              <w:spacing w:line="360" w:lineRule="auto"/>
              <w:jc w:val="center"/>
              <w:rPr>
                <w:rFonts w:ascii="宋体" w:cs="宋体"/>
                <w:color w:val="000000" w:themeColor="text1"/>
                <w:sz w:val="24"/>
                <w14:textFill>
                  <w14:solidFill>
                    <w14:schemeClr w14:val="tx1"/>
                  </w14:solidFill>
                </w14:textFill>
              </w:rPr>
            </w:pPr>
            <w:r>
              <w:rPr>
                <w:rFonts w:hint="eastAsia" w:ascii="宋体" w:cs="宋体"/>
                <w:color w:val="000000" w:themeColor="text1"/>
                <w:sz w:val="24"/>
                <w14:textFill>
                  <w14:solidFill>
                    <w14:schemeClr w14:val="tx1"/>
                  </w14:solidFill>
                </w14:textFill>
              </w:rPr>
              <w:t>评审标准</w:t>
            </w:r>
          </w:p>
        </w:tc>
      </w:tr>
      <w:tr w14:paraId="5E338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604" w:type="pct"/>
            <w:shd w:val="clear" w:color="000000" w:fill="FFFFFF"/>
            <w:vAlign w:val="center"/>
          </w:tcPr>
          <w:p w14:paraId="53F28155">
            <w:pPr>
              <w:autoSpaceDE w:val="0"/>
              <w:autoSpaceDN w:val="0"/>
              <w:snapToGrid w:val="0"/>
              <w:spacing w:line="360" w:lineRule="auto"/>
              <w:jc w:val="center"/>
              <w:rPr>
                <w:rFonts w:ascii="宋体" w:cs="宋体"/>
                <w:color w:val="000000" w:themeColor="text1"/>
                <w:sz w:val="24"/>
                <w14:textFill>
                  <w14:solidFill>
                    <w14:schemeClr w14:val="tx1"/>
                  </w14:solidFill>
                </w14:textFill>
              </w:rPr>
            </w:pPr>
            <w:r>
              <w:rPr>
                <w:rFonts w:hint="eastAsia" w:ascii="宋体" w:cs="宋体"/>
                <w:color w:val="000000" w:themeColor="text1"/>
                <w:sz w:val="24"/>
                <w14:textFill>
                  <w14:solidFill>
                    <w14:schemeClr w14:val="tx1"/>
                  </w14:solidFill>
                </w14:textFill>
              </w:rPr>
              <w:t>投标报价</w:t>
            </w:r>
          </w:p>
          <w:p w14:paraId="6B84151F">
            <w:pPr>
              <w:autoSpaceDE w:val="0"/>
              <w:autoSpaceDN w:val="0"/>
              <w:snapToGrid w:val="0"/>
              <w:spacing w:line="360" w:lineRule="auto"/>
              <w:jc w:val="center"/>
              <w:rPr>
                <w:rFonts w:ascii="宋体" w:cs="宋体"/>
                <w:color w:val="000000" w:themeColor="text1"/>
                <w:sz w:val="24"/>
                <w14:textFill>
                  <w14:solidFill>
                    <w14:schemeClr w14:val="tx1"/>
                  </w14:solidFill>
                </w14:textFill>
              </w:rPr>
            </w:pPr>
            <w:r>
              <w:rPr>
                <w:rFonts w:hint="eastAsia" w:ascii="宋体" w:cs="宋体"/>
                <w:color w:val="000000" w:themeColor="text1"/>
                <w:sz w:val="24"/>
                <w14:textFill>
                  <w14:solidFill>
                    <w14:schemeClr w14:val="tx1"/>
                  </w14:solidFill>
                </w14:textFill>
              </w:rPr>
              <w:t>30分</w:t>
            </w:r>
          </w:p>
        </w:tc>
        <w:tc>
          <w:tcPr>
            <w:tcW w:w="796" w:type="pct"/>
            <w:shd w:val="clear" w:color="000000" w:fill="FFFFFF"/>
            <w:vAlign w:val="center"/>
          </w:tcPr>
          <w:p w14:paraId="7DF75A06">
            <w:pPr>
              <w:autoSpaceDE w:val="0"/>
              <w:autoSpaceDN w:val="0"/>
              <w:snapToGrid w:val="0"/>
              <w:spacing w:line="360" w:lineRule="auto"/>
              <w:jc w:val="center"/>
              <w:rPr>
                <w:rFonts w:ascii="宋体" w:cs="宋体"/>
                <w:color w:val="000000" w:themeColor="text1"/>
                <w:sz w:val="24"/>
                <w:lang w:val="zh-CN"/>
                <w14:textFill>
                  <w14:solidFill>
                    <w14:schemeClr w14:val="tx1"/>
                  </w14:solidFill>
                </w14:textFill>
              </w:rPr>
            </w:pPr>
            <w:r>
              <w:rPr>
                <w:rFonts w:hint="eastAsia" w:ascii="宋体" w:cs="宋体"/>
                <w:color w:val="000000" w:themeColor="text1"/>
                <w:sz w:val="24"/>
                <w:lang w:val="zh-CN"/>
                <w14:textFill>
                  <w14:solidFill>
                    <w14:schemeClr w14:val="tx1"/>
                  </w14:solidFill>
                </w14:textFill>
              </w:rPr>
              <w:t>报价分</w:t>
            </w:r>
          </w:p>
        </w:tc>
        <w:tc>
          <w:tcPr>
            <w:tcW w:w="379" w:type="pct"/>
            <w:shd w:val="clear" w:color="000000" w:fill="FFFFFF"/>
            <w:vAlign w:val="center"/>
          </w:tcPr>
          <w:p w14:paraId="00265BAF">
            <w:pPr>
              <w:autoSpaceDE w:val="0"/>
              <w:autoSpaceDN w:val="0"/>
              <w:snapToGrid w:val="0"/>
              <w:spacing w:line="360" w:lineRule="auto"/>
              <w:jc w:val="center"/>
              <w:rPr>
                <w:rFonts w:ascii="宋体" w:cs="宋体"/>
                <w:color w:val="000000" w:themeColor="text1"/>
                <w:sz w:val="24"/>
                <w14:textFill>
                  <w14:solidFill>
                    <w14:schemeClr w14:val="tx1"/>
                  </w14:solidFill>
                </w14:textFill>
              </w:rPr>
            </w:pPr>
            <w:r>
              <w:rPr>
                <w:rFonts w:hint="eastAsia" w:ascii="宋体" w:cs="宋体"/>
                <w:color w:val="000000" w:themeColor="text1"/>
                <w:sz w:val="24"/>
                <w14:textFill>
                  <w14:solidFill>
                    <w14:schemeClr w14:val="tx1"/>
                  </w14:solidFill>
                </w14:textFill>
              </w:rPr>
              <w:t>30</w:t>
            </w:r>
          </w:p>
        </w:tc>
        <w:tc>
          <w:tcPr>
            <w:tcW w:w="3218" w:type="pct"/>
            <w:shd w:val="clear" w:color="000000" w:fill="FFFFFF"/>
            <w:vAlign w:val="center"/>
          </w:tcPr>
          <w:p w14:paraId="474BF4BC">
            <w:pPr>
              <w:autoSpaceDE w:val="0"/>
              <w:autoSpaceDN w:val="0"/>
              <w:snapToGrid w:val="0"/>
              <w:spacing w:line="360" w:lineRule="auto"/>
              <w:rPr>
                <w:rFonts w:ascii="宋体" w:cs="宋体"/>
                <w:color w:val="000000" w:themeColor="text1"/>
                <w:sz w:val="24"/>
                <w14:textFill>
                  <w14:solidFill>
                    <w14:schemeClr w14:val="tx1"/>
                  </w14:solidFill>
                </w14:textFill>
              </w:rPr>
            </w:pPr>
            <w:r>
              <w:rPr>
                <w:rFonts w:hint="eastAsia" w:ascii="宋体" w:cs="宋体"/>
                <w:color w:val="000000" w:themeColor="text1"/>
                <w:sz w:val="24"/>
                <w14:textFill>
                  <w14:solidFill>
                    <w14:schemeClr w14:val="tx1"/>
                  </w14:solidFill>
                </w14:textFill>
              </w:rPr>
              <w:t>在所有的有效投标报价中，以最低投标报价为基准价，其价格分为满分。其他投标供应商的报价分统一按下列公式计算：投标报价得分=(评标基准价／投标报价)×价格权值（30%）×100（四舍五入后保留小数点后两位）。</w:t>
            </w:r>
          </w:p>
          <w:p w14:paraId="708840ED">
            <w:pPr>
              <w:autoSpaceDE w:val="0"/>
              <w:autoSpaceDN w:val="0"/>
              <w:snapToGrid w:val="0"/>
              <w:spacing w:line="360" w:lineRule="auto"/>
              <w:rPr>
                <w:rFonts w:ascii="宋体" w:cs="宋体"/>
                <w:color w:val="000000" w:themeColor="text1"/>
                <w:sz w:val="24"/>
                <w14:textFill>
                  <w14:solidFill>
                    <w14:schemeClr w14:val="tx1"/>
                  </w14:solidFill>
                </w14:textFill>
              </w:rPr>
            </w:pPr>
            <w:r>
              <w:rPr>
                <w:rFonts w:hint="eastAsia" w:ascii="宋体" w:cs="宋体"/>
                <w:color w:val="000000" w:themeColor="text1"/>
                <w:sz w:val="24"/>
                <w14:textFill>
                  <w14:solidFill>
                    <w14:schemeClr w14:val="tx1"/>
                  </w14:solidFill>
                </w14:textFill>
              </w:rPr>
              <w:t>注：1、根据《政府采购促进中小企业发展管理办法》（财库〔2020〕46 号）的规定，对于经主管预算单位统筹后未预留份额专门面向中小企业采购的采购项目，以及预留份额项目中的非预留部分采购包，采购人、采购代理机构应当对符合本办法规定的小微企业报价给予10%的扣除，用扣除后的价格参加评审。</w:t>
            </w:r>
          </w:p>
          <w:p w14:paraId="6FD7FA04">
            <w:pPr>
              <w:autoSpaceDE w:val="0"/>
              <w:autoSpaceDN w:val="0"/>
              <w:snapToGrid w:val="0"/>
              <w:spacing w:line="360" w:lineRule="auto"/>
              <w:rPr>
                <w:rFonts w:ascii="宋体" w:cs="宋体"/>
                <w:color w:val="000000" w:themeColor="text1"/>
                <w:sz w:val="24"/>
                <w14:textFill>
                  <w14:solidFill>
                    <w14:schemeClr w14:val="tx1"/>
                  </w14:solidFill>
                </w14:textFill>
              </w:rPr>
            </w:pPr>
            <w:r>
              <w:rPr>
                <w:rFonts w:hint="eastAsia" w:ascii="宋体" w:cs="宋体"/>
                <w:color w:val="000000" w:themeColor="text1"/>
                <w:sz w:val="24"/>
                <w14:textFill>
                  <w14:solidFill>
                    <w14:schemeClr w14:val="tx1"/>
                  </w14:solidFill>
                </w14:textFill>
              </w:rPr>
              <w:t>2、监狱企业、残疾人福利性单位属于小型、微型企业的，不重复享受政策。</w:t>
            </w:r>
          </w:p>
        </w:tc>
      </w:tr>
      <w:tr w14:paraId="6E0A2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7" w:hRule="atLeast"/>
          <w:jc w:val="center"/>
        </w:trPr>
        <w:tc>
          <w:tcPr>
            <w:tcW w:w="604" w:type="pct"/>
            <w:vMerge w:val="restart"/>
            <w:shd w:val="clear" w:color="000000" w:fill="FFFFFF"/>
            <w:vAlign w:val="center"/>
          </w:tcPr>
          <w:p w14:paraId="1BB2527C">
            <w:pPr>
              <w:autoSpaceDE w:val="0"/>
              <w:autoSpaceDN w:val="0"/>
              <w:snapToGrid w:val="0"/>
              <w:spacing w:line="360" w:lineRule="auto"/>
              <w:jc w:val="center"/>
              <w:rPr>
                <w:rFonts w:ascii="宋体" w:cs="宋体"/>
                <w:color w:val="000000" w:themeColor="text1"/>
                <w:sz w:val="24"/>
                <w:lang w:val="zh-CN"/>
                <w14:textFill>
                  <w14:solidFill>
                    <w14:schemeClr w14:val="tx1"/>
                  </w14:solidFill>
                </w14:textFill>
              </w:rPr>
            </w:pPr>
            <w:r>
              <w:rPr>
                <w:rFonts w:hint="eastAsia" w:ascii="宋体" w:cs="宋体"/>
                <w:color w:val="000000" w:themeColor="text1"/>
                <w:sz w:val="24"/>
                <w:lang w:val="zh-CN"/>
                <w14:textFill>
                  <w14:solidFill>
                    <w14:schemeClr w14:val="tx1"/>
                  </w14:solidFill>
                </w14:textFill>
              </w:rPr>
              <w:t>技术水平</w:t>
            </w:r>
          </w:p>
          <w:p w14:paraId="3814EF16">
            <w:pPr>
              <w:autoSpaceDE w:val="0"/>
              <w:autoSpaceDN w:val="0"/>
              <w:snapToGrid w:val="0"/>
              <w:spacing w:line="360" w:lineRule="auto"/>
              <w:jc w:val="center"/>
              <w:rPr>
                <w:rFonts w:ascii="宋体" w:cs="宋体"/>
                <w:color w:val="000000" w:themeColor="text1"/>
                <w:sz w:val="24"/>
                <w14:textFill>
                  <w14:solidFill>
                    <w14:schemeClr w14:val="tx1"/>
                  </w14:solidFill>
                </w14:textFill>
              </w:rPr>
            </w:pPr>
            <w:r>
              <w:rPr>
                <w:rFonts w:ascii="宋体" w:cs="宋体"/>
                <w:color w:val="000000" w:themeColor="text1"/>
                <w:sz w:val="24"/>
                <w14:textFill>
                  <w14:solidFill>
                    <w14:schemeClr w14:val="tx1"/>
                  </w14:solidFill>
                </w14:textFill>
              </w:rPr>
              <w:t>5</w:t>
            </w:r>
            <w:r>
              <w:rPr>
                <w:rFonts w:hint="eastAsia" w:ascii="宋体" w:cs="宋体"/>
                <w:color w:val="000000" w:themeColor="text1"/>
                <w:sz w:val="24"/>
                <w14:textFill>
                  <w14:solidFill>
                    <w14:schemeClr w14:val="tx1"/>
                  </w14:solidFill>
                </w14:textFill>
              </w:rPr>
              <w:t>3分</w:t>
            </w:r>
          </w:p>
        </w:tc>
        <w:tc>
          <w:tcPr>
            <w:tcW w:w="796" w:type="pct"/>
            <w:shd w:val="clear" w:color="000000" w:fill="FFFFFF"/>
            <w:vAlign w:val="center"/>
          </w:tcPr>
          <w:p w14:paraId="1A9ADC8E">
            <w:pPr>
              <w:autoSpaceDE w:val="0"/>
              <w:autoSpaceDN w:val="0"/>
              <w:snapToGrid w:val="0"/>
              <w:spacing w:line="360" w:lineRule="auto"/>
              <w:jc w:val="center"/>
              <w:rPr>
                <w:rFonts w:ascii="宋体" w:cs="宋体"/>
                <w:color w:val="000000" w:themeColor="text1"/>
                <w:sz w:val="24"/>
                <w:lang w:val="zh-CN"/>
                <w14:textFill>
                  <w14:solidFill>
                    <w14:schemeClr w14:val="tx1"/>
                  </w14:solidFill>
                </w14:textFill>
              </w:rPr>
            </w:pPr>
            <w:r>
              <w:rPr>
                <w:rFonts w:hint="eastAsia" w:ascii="宋体" w:cs="宋体"/>
                <w:color w:val="000000" w:themeColor="text1"/>
                <w:sz w:val="24"/>
                <w:lang w:val="zh-CN"/>
                <w14:textFill>
                  <w14:solidFill>
                    <w14:schemeClr w14:val="tx1"/>
                  </w14:solidFill>
                </w14:textFill>
              </w:rPr>
              <w:t>技术参数</w:t>
            </w:r>
          </w:p>
        </w:tc>
        <w:tc>
          <w:tcPr>
            <w:tcW w:w="379" w:type="pct"/>
            <w:shd w:val="clear" w:color="000000" w:fill="FFFFFF"/>
            <w:vAlign w:val="center"/>
          </w:tcPr>
          <w:p w14:paraId="23C82C4D">
            <w:pPr>
              <w:autoSpaceDE w:val="0"/>
              <w:autoSpaceDN w:val="0"/>
              <w:snapToGrid w:val="0"/>
              <w:spacing w:line="360" w:lineRule="auto"/>
              <w:jc w:val="center"/>
              <w:rPr>
                <w:rFonts w:ascii="宋体" w:cs="宋体"/>
                <w:color w:val="000000" w:themeColor="text1"/>
                <w:sz w:val="24"/>
                <w14:textFill>
                  <w14:solidFill>
                    <w14:schemeClr w14:val="tx1"/>
                  </w14:solidFill>
                </w14:textFill>
              </w:rPr>
            </w:pPr>
            <w:r>
              <w:rPr>
                <w:rFonts w:hint="eastAsia" w:ascii="宋体" w:cs="宋体"/>
                <w:color w:val="000000" w:themeColor="text1"/>
                <w:sz w:val="24"/>
                <w14:textFill>
                  <w14:solidFill>
                    <w14:schemeClr w14:val="tx1"/>
                  </w14:solidFill>
                </w14:textFill>
              </w:rPr>
              <w:t>30</w:t>
            </w:r>
          </w:p>
        </w:tc>
        <w:tc>
          <w:tcPr>
            <w:tcW w:w="3218" w:type="pct"/>
            <w:shd w:val="clear" w:color="000000" w:fill="FFFFFF"/>
            <w:vAlign w:val="center"/>
          </w:tcPr>
          <w:p w14:paraId="33E879CD">
            <w:pPr>
              <w:autoSpaceDE w:val="0"/>
              <w:autoSpaceDN w:val="0"/>
              <w:snapToGrid w:val="0"/>
              <w:spacing w:line="360" w:lineRule="auto"/>
              <w:rPr>
                <w:rFonts w:ascii="宋体" w:cs="宋体"/>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投标产品技术参数和配置完全满足或高于磋商文件要求的，得30分；每有一项负偏离扣2分，标▲项每有一项负偏离扣4分，直至扣完为止。</w:t>
            </w:r>
          </w:p>
        </w:tc>
      </w:tr>
      <w:tr w14:paraId="658CF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604" w:type="pct"/>
            <w:vMerge w:val="continue"/>
            <w:shd w:val="clear" w:color="000000" w:fill="FFFFFF"/>
            <w:vAlign w:val="center"/>
          </w:tcPr>
          <w:p w14:paraId="36D624B2">
            <w:pPr>
              <w:autoSpaceDE w:val="0"/>
              <w:autoSpaceDN w:val="0"/>
              <w:snapToGrid w:val="0"/>
              <w:spacing w:line="360" w:lineRule="auto"/>
              <w:jc w:val="center"/>
              <w:rPr>
                <w:rFonts w:ascii="宋体" w:cs="宋体"/>
                <w:color w:val="000000" w:themeColor="text1"/>
                <w:sz w:val="24"/>
                <w:lang w:val="zh-CN"/>
                <w14:textFill>
                  <w14:solidFill>
                    <w14:schemeClr w14:val="tx1"/>
                  </w14:solidFill>
                </w14:textFill>
              </w:rPr>
            </w:pPr>
          </w:p>
        </w:tc>
        <w:tc>
          <w:tcPr>
            <w:tcW w:w="796" w:type="pct"/>
            <w:shd w:val="clear" w:color="000000" w:fill="FFFFFF"/>
            <w:vAlign w:val="center"/>
          </w:tcPr>
          <w:p w14:paraId="2173489A">
            <w:pPr>
              <w:autoSpaceDE w:val="0"/>
              <w:autoSpaceDN w:val="0"/>
              <w:snapToGrid w:val="0"/>
              <w:spacing w:line="360" w:lineRule="auto"/>
              <w:jc w:val="center"/>
              <w:rPr>
                <w:rFonts w:ascii="宋体" w:cs="宋体"/>
                <w:color w:val="000000" w:themeColor="text1"/>
                <w:sz w:val="24"/>
                <w14:textFill>
                  <w14:solidFill>
                    <w14:schemeClr w14:val="tx1"/>
                  </w14:solidFill>
                </w14:textFill>
              </w:rPr>
            </w:pPr>
            <w:r>
              <w:rPr>
                <w:rFonts w:ascii="宋体" w:cs="宋体"/>
                <w:color w:val="000000" w:themeColor="text1"/>
                <w:sz w:val="24"/>
                <w14:textFill>
                  <w14:solidFill>
                    <w14:schemeClr w14:val="tx1"/>
                  </w14:solidFill>
                </w14:textFill>
              </w:rPr>
              <w:t>环保和节能</w:t>
            </w:r>
          </w:p>
        </w:tc>
        <w:tc>
          <w:tcPr>
            <w:tcW w:w="379" w:type="pct"/>
            <w:shd w:val="clear" w:color="000000" w:fill="FFFFFF"/>
            <w:vAlign w:val="center"/>
          </w:tcPr>
          <w:p w14:paraId="6396DB86">
            <w:pPr>
              <w:autoSpaceDE w:val="0"/>
              <w:autoSpaceDN w:val="0"/>
              <w:snapToGrid w:val="0"/>
              <w:spacing w:line="360" w:lineRule="auto"/>
              <w:jc w:val="center"/>
              <w:rPr>
                <w:rFonts w:ascii="宋体" w:cs="宋体"/>
                <w:color w:val="000000" w:themeColor="text1"/>
                <w:sz w:val="24"/>
                <w14:textFill>
                  <w14:solidFill>
                    <w14:schemeClr w14:val="tx1"/>
                  </w14:solidFill>
                </w14:textFill>
              </w:rPr>
            </w:pPr>
            <w:r>
              <w:rPr>
                <w:rFonts w:hint="eastAsia" w:ascii="宋体" w:cs="宋体"/>
                <w:color w:val="000000" w:themeColor="text1"/>
                <w:sz w:val="24"/>
                <w14:textFill>
                  <w14:solidFill>
                    <w14:schemeClr w14:val="tx1"/>
                  </w14:solidFill>
                </w14:textFill>
              </w:rPr>
              <w:t>2</w:t>
            </w:r>
          </w:p>
        </w:tc>
        <w:tc>
          <w:tcPr>
            <w:tcW w:w="3218" w:type="pct"/>
            <w:shd w:val="clear" w:color="000000" w:fill="FFFFFF"/>
            <w:vAlign w:val="center"/>
          </w:tcPr>
          <w:p w14:paraId="4D196843">
            <w:pPr>
              <w:autoSpaceDE w:val="0"/>
              <w:autoSpaceDN w:val="0"/>
              <w:snapToGrid w:val="0"/>
              <w:spacing w:line="360" w:lineRule="auto"/>
              <w:rPr>
                <w:rFonts w:ascii="宋体"/>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所投产品为节能产品，每提供1份得0.5分，满分1分；</w:t>
            </w:r>
          </w:p>
          <w:p w14:paraId="295297D2">
            <w:pPr>
              <w:autoSpaceDE w:val="0"/>
              <w:autoSpaceDN w:val="0"/>
              <w:snapToGrid w:val="0"/>
              <w:spacing w:line="360" w:lineRule="auto"/>
              <w:rPr>
                <w:rFonts w:ascii="宋体" w:cs="宋体"/>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所投产品为环保产品，每提供1份得0.5分，满分1分；未提供不得分。该项得分的认定以《国家节能产品认证证书》、《中国环境标志产品认证证书》为准。</w:t>
            </w:r>
          </w:p>
        </w:tc>
      </w:tr>
      <w:tr w14:paraId="2D30A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604" w:type="pct"/>
            <w:vMerge w:val="continue"/>
            <w:shd w:val="clear" w:color="000000" w:fill="FFFFFF"/>
            <w:vAlign w:val="center"/>
          </w:tcPr>
          <w:p w14:paraId="71D041F8">
            <w:pPr>
              <w:autoSpaceDE w:val="0"/>
              <w:autoSpaceDN w:val="0"/>
              <w:snapToGrid w:val="0"/>
              <w:spacing w:line="360" w:lineRule="auto"/>
              <w:jc w:val="center"/>
              <w:rPr>
                <w:rFonts w:ascii="宋体" w:cs="宋体"/>
                <w:color w:val="000000" w:themeColor="text1"/>
                <w:sz w:val="24"/>
                <w:lang w:val="zh-CN"/>
                <w14:textFill>
                  <w14:solidFill>
                    <w14:schemeClr w14:val="tx1"/>
                  </w14:solidFill>
                </w14:textFill>
              </w:rPr>
            </w:pPr>
          </w:p>
        </w:tc>
        <w:tc>
          <w:tcPr>
            <w:tcW w:w="796" w:type="pct"/>
            <w:shd w:val="clear" w:color="000000" w:fill="FFFFFF"/>
            <w:vAlign w:val="center"/>
          </w:tcPr>
          <w:p w14:paraId="6F3F6FE1">
            <w:pPr>
              <w:autoSpaceDE w:val="0"/>
              <w:autoSpaceDN w:val="0"/>
              <w:snapToGrid w:val="0"/>
              <w:spacing w:line="360" w:lineRule="auto"/>
              <w:jc w:val="center"/>
              <w:rPr>
                <w:rFonts w:ascii="宋体" w:cs="宋体"/>
                <w:color w:val="000000" w:themeColor="text1"/>
                <w:sz w:val="24"/>
                <w:lang w:val="zh-CN"/>
                <w14:textFill>
                  <w14:solidFill>
                    <w14:schemeClr w14:val="tx1"/>
                  </w14:solidFill>
                </w14:textFill>
              </w:rPr>
            </w:pPr>
            <w:r>
              <w:rPr>
                <w:rFonts w:hint="eastAsia" w:ascii="宋体" w:cs="宋体"/>
                <w:color w:val="000000" w:themeColor="text1"/>
                <w:sz w:val="24"/>
                <w:lang w:val="zh-CN"/>
                <w14:textFill>
                  <w14:solidFill>
                    <w14:schemeClr w14:val="tx1"/>
                  </w14:solidFill>
                </w14:textFill>
              </w:rPr>
              <w:t>项目管理及实施方案</w:t>
            </w:r>
          </w:p>
        </w:tc>
        <w:tc>
          <w:tcPr>
            <w:tcW w:w="379" w:type="pct"/>
            <w:shd w:val="clear" w:color="000000" w:fill="FFFFFF"/>
            <w:vAlign w:val="center"/>
          </w:tcPr>
          <w:p w14:paraId="21B7C648">
            <w:pPr>
              <w:autoSpaceDE w:val="0"/>
              <w:autoSpaceDN w:val="0"/>
              <w:snapToGrid w:val="0"/>
              <w:spacing w:line="360" w:lineRule="auto"/>
              <w:jc w:val="center"/>
              <w:rPr>
                <w:rFonts w:ascii="宋体" w:cs="宋体"/>
                <w:color w:val="000000" w:themeColor="text1"/>
                <w:sz w:val="24"/>
                <w14:textFill>
                  <w14:solidFill>
                    <w14:schemeClr w14:val="tx1"/>
                  </w14:solidFill>
                </w14:textFill>
              </w:rPr>
            </w:pPr>
            <w:r>
              <w:rPr>
                <w:rFonts w:hint="eastAsia" w:ascii="宋体" w:cs="宋体"/>
                <w:color w:val="000000" w:themeColor="text1"/>
                <w:sz w:val="24"/>
                <w14:textFill>
                  <w14:solidFill>
                    <w14:schemeClr w14:val="tx1"/>
                  </w14:solidFill>
                </w14:textFill>
              </w:rPr>
              <w:t>21</w:t>
            </w:r>
          </w:p>
        </w:tc>
        <w:tc>
          <w:tcPr>
            <w:tcW w:w="3218" w:type="pct"/>
            <w:shd w:val="clear" w:color="000000" w:fill="FFFFFF"/>
            <w:vAlign w:val="center"/>
          </w:tcPr>
          <w:p w14:paraId="57090376">
            <w:pPr>
              <w:autoSpaceDE w:val="0"/>
              <w:autoSpaceDN w:val="0"/>
              <w:snapToGrid w:val="0"/>
              <w:spacing w:line="360" w:lineRule="auto"/>
              <w:rPr>
                <w:rFonts w:ascii="宋体"/>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1、磋商供应商制定方案须体现科学合理性、条理性、可行性、完善性、针对性。包含：①项目管理机构②项目管理措施及质量保障方案③培训方案④质量控制及保证措施。以上因素实质性响应并详尽合理的每一项得3分，满分12分；每有一项存在缺陷或不足的扣1分，未提供的不得分。</w:t>
            </w:r>
          </w:p>
          <w:p w14:paraId="7192EF5A">
            <w:pPr>
              <w:autoSpaceDE w:val="0"/>
              <w:autoSpaceDN w:val="0"/>
              <w:snapToGrid w:val="0"/>
              <w:spacing w:line="360" w:lineRule="auto"/>
              <w:rPr>
                <w:rFonts w:ascii="宋体" w:cs="宋体"/>
                <w:color w:val="000000" w:themeColor="text1"/>
                <w:sz w:val="24"/>
                <w:lang w:val="zh-CN"/>
                <w14:textFill>
                  <w14:solidFill>
                    <w14:schemeClr w14:val="tx1"/>
                  </w14:solidFill>
                </w14:textFill>
              </w:rPr>
            </w:pPr>
            <w:r>
              <w:rPr>
                <w:rFonts w:hint="eastAsia" w:ascii="宋体"/>
                <w:color w:val="000000" w:themeColor="text1"/>
                <w:sz w:val="24"/>
                <w14:textFill>
                  <w14:solidFill>
                    <w14:schemeClr w14:val="tx1"/>
                  </w14:solidFill>
                </w14:textFill>
              </w:rPr>
              <w:t>2、磋商供应商针对本项目特点制定详细的货物供货及配送方案。包含：①完善的供货计划②完善的运输计划及运输配置、应急措施等③完善的供货保证措施。以上因素实质性响应并详尽合理的每一项得3分，满分9分；每有一项存在缺陷或不足的扣1分，未提供的不得分。</w:t>
            </w:r>
          </w:p>
        </w:tc>
      </w:tr>
      <w:tr w14:paraId="75280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jc w:val="center"/>
        </w:trPr>
        <w:tc>
          <w:tcPr>
            <w:tcW w:w="604" w:type="pct"/>
            <w:shd w:val="clear" w:color="000000" w:fill="FFFFFF"/>
            <w:vAlign w:val="center"/>
          </w:tcPr>
          <w:p w14:paraId="54984074">
            <w:pPr>
              <w:autoSpaceDE w:val="0"/>
              <w:autoSpaceDN w:val="0"/>
              <w:snapToGrid w:val="0"/>
              <w:spacing w:line="360" w:lineRule="auto"/>
              <w:jc w:val="center"/>
              <w:rPr>
                <w:rFonts w:ascii="宋体" w:cs="宋体"/>
                <w:color w:val="000000" w:themeColor="text1"/>
                <w:sz w:val="24"/>
                <w:lang w:val="zh-CN"/>
                <w14:textFill>
                  <w14:solidFill>
                    <w14:schemeClr w14:val="tx1"/>
                  </w14:solidFill>
                </w14:textFill>
              </w:rPr>
            </w:pPr>
            <w:r>
              <w:rPr>
                <w:rFonts w:hint="eastAsia" w:ascii="宋体" w:cs="宋体"/>
                <w:color w:val="000000" w:themeColor="text1"/>
                <w:sz w:val="24"/>
                <w:lang w:val="zh-CN"/>
                <w14:textFill>
                  <w14:solidFill>
                    <w14:schemeClr w14:val="tx1"/>
                  </w14:solidFill>
                </w14:textFill>
              </w:rPr>
              <w:t>商务评价</w:t>
            </w:r>
          </w:p>
          <w:p w14:paraId="3103FDAB">
            <w:pPr>
              <w:autoSpaceDE w:val="0"/>
              <w:autoSpaceDN w:val="0"/>
              <w:snapToGrid w:val="0"/>
              <w:spacing w:line="360" w:lineRule="auto"/>
              <w:jc w:val="center"/>
              <w:rPr>
                <w:rFonts w:ascii="宋体" w:cs="宋体"/>
                <w:color w:val="000000" w:themeColor="text1"/>
                <w:sz w:val="24"/>
                <w14:textFill>
                  <w14:solidFill>
                    <w14:schemeClr w14:val="tx1"/>
                  </w14:solidFill>
                </w14:textFill>
              </w:rPr>
            </w:pPr>
            <w:r>
              <w:rPr>
                <w:rFonts w:ascii="宋体" w:cs="宋体"/>
                <w:color w:val="000000" w:themeColor="text1"/>
                <w:sz w:val="24"/>
                <w14:textFill>
                  <w14:solidFill>
                    <w14:schemeClr w14:val="tx1"/>
                  </w14:solidFill>
                </w14:textFill>
              </w:rPr>
              <w:t>1</w:t>
            </w:r>
            <w:r>
              <w:rPr>
                <w:rFonts w:hint="eastAsia" w:ascii="宋体" w:cs="宋体"/>
                <w:color w:val="000000" w:themeColor="text1"/>
                <w:sz w:val="24"/>
                <w14:textFill>
                  <w14:solidFill>
                    <w14:schemeClr w14:val="tx1"/>
                  </w14:solidFill>
                </w14:textFill>
              </w:rPr>
              <w:t>2分</w:t>
            </w:r>
          </w:p>
        </w:tc>
        <w:tc>
          <w:tcPr>
            <w:tcW w:w="796" w:type="pct"/>
            <w:shd w:val="clear" w:color="000000" w:fill="FFFFFF"/>
            <w:vAlign w:val="center"/>
          </w:tcPr>
          <w:p w14:paraId="4932B03F">
            <w:pPr>
              <w:autoSpaceDE w:val="0"/>
              <w:autoSpaceDN w:val="0"/>
              <w:snapToGrid w:val="0"/>
              <w:spacing w:line="360" w:lineRule="auto"/>
              <w:jc w:val="center"/>
              <w:rPr>
                <w:rFonts w:ascii="宋体" w:cs="宋体"/>
                <w:color w:val="000000" w:themeColor="text1"/>
                <w:sz w:val="24"/>
                <w14:textFill>
                  <w14:solidFill>
                    <w14:schemeClr w14:val="tx1"/>
                  </w14:solidFill>
                </w14:textFill>
              </w:rPr>
            </w:pPr>
            <w:r>
              <w:rPr>
                <w:rFonts w:hint="eastAsia" w:ascii="宋体" w:cs="宋体"/>
                <w:color w:val="000000" w:themeColor="text1"/>
                <w:sz w:val="24"/>
                <w14:textFill>
                  <w14:solidFill>
                    <w14:schemeClr w14:val="tx1"/>
                  </w14:solidFill>
                </w14:textFill>
              </w:rPr>
              <w:t>类似业绩情况</w:t>
            </w:r>
          </w:p>
        </w:tc>
        <w:tc>
          <w:tcPr>
            <w:tcW w:w="379" w:type="pct"/>
            <w:shd w:val="clear" w:color="000000" w:fill="FFFFFF"/>
            <w:vAlign w:val="center"/>
          </w:tcPr>
          <w:p w14:paraId="68B9A8ED">
            <w:pPr>
              <w:autoSpaceDE w:val="0"/>
              <w:autoSpaceDN w:val="0"/>
              <w:snapToGrid w:val="0"/>
              <w:spacing w:line="360" w:lineRule="auto"/>
              <w:jc w:val="center"/>
              <w:rPr>
                <w:rFonts w:ascii="宋体" w:cs="宋体"/>
                <w:color w:val="000000" w:themeColor="text1"/>
                <w:sz w:val="24"/>
                <w14:textFill>
                  <w14:solidFill>
                    <w14:schemeClr w14:val="tx1"/>
                  </w14:solidFill>
                </w14:textFill>
              </w:rPr>
            </w:pPr>
            <w:r>
              <w:rPr>
                <w:rFonts w:hint="eastAsia" w:ascii="宋体" w:cs="宋体"/>
                <w:color w:val="000000" w:themeColor="text1"/>
                <w:sz w:val="24"/>
                <w14:textFill>
                  <w14:solidFill>
                    <w14:schemeClr w14:val="tx1"/>
                  </w14:solidFill>
                </w14:textFill>
              </w:rPr>
              <w:t>12</w:t>
            </w:r>
          </w:p>
        </w:tc>
        <w:tc>
          <w:tcPr>
            <w:tcW w:w="3218" w:type="pct"/>
            <w:shd w:val="clear" w:color="000000" w:fill="FFFFFF"/>
            <w:vAlign w:val="center"/>
          </w:tcPr>
          <w:p w14:paraId="45238B34">
            <w:pPr>
              <w:autoSpaceDE w:val="0"/>
              <w:autoSpaceDN w:val="0"/>
              <w:snapToGrid w:val="0"/>
              <w:spacing w:line="360" w:lineRule="auto"/>
              <w:rPr>
                <w:rFonts w:ascii="宋体" w:cs="宋体"/>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提供2022年1月1日以来的投标人类似业绩证明材料，需提供包含合同首页、标的及金额所在页、交货合同签字盖章页的扫描（或复印）件。每提供一项得3分，满分12分，不提供不得分。</w:t>
            </w:r>
          </w:p>
        </w:tc>
      </w:tr>
      <w:tr w14:paraId="469B1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604" w:type="pct"/>
            <w:shd w:val="clear" w:color="000000" w:fill="FFFFFF"/>
            <w:vAlign w:val="center"/>
          </w:tcPr>
          <w:p w14:paraId="12009365">
            <w:pPr>
              <w:autoSpaceDE w:val="0"/>
              <w:autoSpaceDN w:val="0"/>
              <w:snapToGrid w:val="0"/>
              <w:spacing w:line="360" w:lineRule="auto"/>
              <w:jc w:val="center"/>
              <w:rPr>
                <w:rFonts w:ascii="宋体" w:cs="宋体"/>
                <w:color w:val="000000" w:themeColor="text1"/>
                <w:sz w:val="24"/>
                <w14:textFill>
                  <w14:solidFill>
                    <w14:schemeClr w14:val="tx1"/>
                  </w14:solidFill>
                </w14:textFill>
              </w:rPr>
            </w:pPr>
            <w:r>
              <w:rPr>
                <w:rFonts w:hint="eastAsia" w:ascii="宋体" w:cs="宋体"/>
                <w:color w:val="000000" w:themeColor="text1"/>
                <w:sz w:val="24"/>
                <w14:textFill>
                  <w14:solidFill>
                    <w14:schemeClr w14:val="tx1"/>
                  </w14:solidFill>
                </w14:textFill>
              </w:rPr>
              <w:t>售后服务</w:t>
            </w:r>
          </w:p>
          <w:p w14:paraId="69060D64">
            <w:pPr>
              <w:autoSpaceDE w:val="0"/>
              <w:autoSpaceDN w:val="0"/>
              <w:snapToGrid w:val="0"/>
              <w:spacing w:line="360" w:lineRule="auto"/>
              <w:jc w:val="center"/>
              <w:rPr>
                <w:rFonts w:ascii="宋体" w:cs="宋体"/>
                <w:color w:val="000000" w:themeColor="text1"/>
                <w:sz w:val="24"/>
                <w:lang w:val="zh-CN"/>
                <w14:textFill>
                  <w14:solidFill>
                    <w14:schemeClr w14:val="tx1"/>
                  </w14:solidFill>
                </w14:textFill>
              </w:rPr>
            </w:pPr>
            <w:r>
              <w:rPr>
                <w:rFonts w:hint="eastAsia" w:ascii="宋体" w:cs="宋体"/>
                <w:color w:val="000000" w:themeColor="text1"/>
                <w:sz w:val="24"/>
                <w14:textFill>
                  <w14:solidFill>
                    <w14:schemeClr w14:val="tx1"/>
                  </w14:solidFill>
                </w14:textFill>
              </w:rPr>
              <w:t>5</w:t>
            </w:r>
            <w:r>
              <w:rPr>
                <w:rFonts w:hint="eastAsia" w:ascii="宋体" w:cs="宋体"/>
                <w:color w:val="000000" w:themeColor="text1"/>
                <w:sz w:val="24"/>
                <w:lang w:val="zh-CN"/>
                <w14:textFill>
                  <w14:solidFill>
                    <w14:schemeClr w14:val="tx1"/>
                  </w14:solidFill>
                </w14:textFill>
              </w:rPr>
              <w:t>分</w:t>
            </w:r>
          </w:p>
        </w:tc>
        <w:tc>
          <w:tcPr>
            <w:tcW w:w="796" w:type="pct"/>
            <w:shd w:val="clear" w:color="000000" w:fill="FFFFFF"/>
            <w:vAlign w:val="center"/>
          </w:tcPr>
          <w:p w14:paraId="3CFEBD7A">
            <w:pPr>
              <w:autoSpaceDE w:val="0"/>
              <w:autoSpaceDN w:val="0"/>
              <w:snapToGrid w:val="0"/>
              <w:spacing w:line="360" w:lineRule="auto"/>
              <w:jc w:val="center"/>
              <w:rPr>
                <w:rFonts w:ascii="宋体" w:cs="宋体"/>
                <w:color w:val="000000" w:themeColor="text1"/>
                <w:sz w:val="24"/>
                <w:lang w:val="zh-CN"/>
                <w14:textFill>
                  <w14:solidFill>
                    <w14:schemeClr w14:val="tx1"/>
                  </w14:solidFill>
                </w14:textFill>
              </w:rPr>
            </w:pPr>
            <w:r>
              <w:rPr>
                <w:rFonts w:hint="eastAsia" w:ascii="宋体" w:cs="宋体"/>
                <w:color w:val="000000" w:themeColor="text1"/>
                <w:sz w:val="24"/>
                <w:lang w:val="zh-CN"/>
                <w14:textFill>
                  <w14:solidFill>
                    <w14:schemeClr w14:val="tx1"/>
                  </w14:solidFill>
                </w14:textFill>
              </w:rPr>
              <w:t>售后服务计划、措施及服务承诺</w:t>
            </w:r>
          </w:p>
        </w:tc>
        <w:tc>
          <w:tcPr>
            <w:tcW w:w="379" w:type="pct"/>
            <w:shd w:val="clear" w:color="000000" w:fill="FFFFFF"/>
            <w:vAlign w:val="center"/>
          </w:tcPr>
          <w:p w14:paraId="1F611B3E">
            <w:pPr>
              <w:autoSpaceDE w:val="0"/>
              <w:autoSpaceDN w:val="0"/>
              <w:snapToGrid w:val="0"/>
              <w:spacing w:line="360" w:lineRule="auto"/>
              <w:jc w:val="center"/>
              <w:rPr>
                <w:rFonts w:ascii="宋体" w:cs="宋体"/>
                <w:color w:val="000000" w:themeColor="text1"/>
                <w:sz w:val="24"/>
                <w:lang w:val="zh-CN"/>
                <w14:textFill>
                  <w14:solidFill>
                    <w14:schemeClr w14:val="tx1"/>
                  </w14:solidFill>
                </w14:textFill>
              </w:rPr>
            </w:pPr>
            <w:r>
              <w:rPr>
                <w:rFonts w:hint="eastAsia" w:ascii="宋体" w:cs="宋体"/>
                <w:color w:val="000000" w:themeColor="text1"/>
                <w:sz w:val="24"/>
                <w14:textFill>
                  <w14:solidFill>
                    <w14:schemeClr w14:val="tx1"/>
                  </w14:solidFill>
                </w14:textFill>
              </w:rPr>
              <w:t>5</w:t>
            </w:r>
          </w:p>
        </w:tc>
        <w:tc>
          <w:tcPr>
            <w:tcW w:w="3218" w:type="pct"/>
            <w:shd w:val="clear" w:color="000000" w:fill="FFFFFF"/>
            <w:vAlign w:val="center"/>
          </w:tcPr>
          <w:p w14:paraId="4D35E69B">
            <w:pPr>
              <w:autoSpaceDE w:val="0"/>
              <w:autoSpaceDN w:val="0"/>
              <w:snapToGrid w:val="0"/>
              <w:spacing w:line="360" w:lineRule="auto"/>
              <w:rPr>
                <w:rFonts w:ascii="宋体" w:cs="宋体"/>
                <w:color w:val="000000" w:themeColor="text1"/>
                <w:sz w:val="24"/>
                <w:lang w:val="zh-CN"/>
                <w14:textFill>
                  <w14:solidFill>
                    <w14:schemeClr w14:val="tx1"/>
                  </w14:solidFill>
                </w14:textFill>
              </w:rPr>
            </w:pPr>
            <w:r>
              <w:rPr>
                <w:rFonts w:hint="eastAsia" w:ascii="宋体"/>
                <w:color w:val="000000" w:themeColor="text1"/>
                <w:sz w:val="24"/>
                <w14:textFill>
                  <w14:solidFill>
                    <w14:schemeClr w14:val="tx1"/>
                  </w14:solidFill>
                </w14:textFill>
              </w:rPr>
              <w:t>针对该项目须有完善的售后服务体系。包含：①售后服务机构和人员②售后服务内容、流程和服务质量③售后服务中应包含人员定期回访、应急响应等④在质量保证期内，对于产品质量问题造成的损坏，免费提供咨询、维修服务等⑤售后服务相关承诺。以上因素实质性响应并详尽合理的每一项得1分，满分5分；每有一项存在缺陷或不足的扣0.5分，未提供的不得分。</w:t>
            </w:r>
          </w:p>
        </w:tc>
      </w:tr>
      <w:tr w14:paraId="4B8D8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5000" w:type="pct"/>
            <w:gridSpan w:val="4"/>
            <w:shd w:val="clear" w:color="000000" w:fill="FFFFFF"/>
            <w:vAlign w:val="center"/>
          </w:tcPr>
          <w:p w14:paraId="36AF63E3">
            <w:pPr>
              <w:autoSpaceDE w:val="0"/>
              <w:autoSpaceDN w:val="0"/>
              <w:snapToGrid w:val="0"/>
              <w:spacing w:line="360" w:lineRule="auto"/>
              <w:rPr>
                <w:rFonts w:ascii="宋体"/>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内容存在缺陷或不足是指：方案内容不切合行业实际、不符合行业政策；或存在项目名称错误、地点区域错误、内容与本项目需求无关、方案内容矛盾或表述前后不一致；或方案内容过于简单、不适用项目实际情况。</w:t>
            </w:r>
          </w:p>
        </w:tc>
      </w:tr>
      <w:bookmarkEnd w:id="60"/>
    </w:tbl>
    <w:p w14:paraId="7DE32003">
      <w:pPr>
        <w:pStyle w:val="4"/>
        <w:ind w:left="709"/>
        <w:rPr>
          <w:rFonts w:hAnsi="宋体"/>
          <w:b/>
          <w:color w:val="000000" w:themeColor="text1"/>
          <w:sz w:val="24"/>
          <w:szCs w:val="24"/>
          <w14:textFill>
            <w14:solidFill>
              <w14:schemeClr w14:val="tx1"/>
            </w14:solidFill>
          </w14:textFill>
        </w:rPr>
      </w:pPr>
      <w:bookmarkStart w:id="61" w:name="_Toc5889"/>
      <w:r>
        <w:rPr>
          <w:rFonts w:hint="eastAsia" w:hAnsi="宋体"/>
          <w:b/>
          <w:color w:val="000000" w:themeColor="text1"/>
          <w:sz w:val="24"/>
          <w:szCs w:val="24"/>
          <w14:textFill>
            <w14:solidFill>
              <w14:schemeClr w14:val="tx1"/>
            </w14:solidFill>
          </w14:textFill>
        </w:rPr>
        <w:t>定标</w:t>
      </w:r>
      <w:bookmarkEnd w:id="61"/>
    </w:p>
    <w:p w14:paraId="507BB30B">
      <w:pPr>
        <w:pStyle w:val="5"/>
        <w:numPr>
          <w:ilvl w:val="0"/>
          <w:numId w:val="5"/>
        </w:numPr>
        <w:spacing w:before="0" w:after="0" w:line="360" w:lineRule="auto"/>
        <w:rPr>
          <w:rFonts w:ascii="宋体" w:hAnsi="宋体"/>
          <w:b w:val="0"/>
          <w:color w:val="000000" w:themeColor="text1"/>
          <w:sz w:val="24"/>
          <w:szCs w:val="24"/>
          <w14:textFill>
            <w14:solidFill>
              <w14:schemeClr w14:val="tx1"/>
            </w14:solidFill>
          </w14:textFill>
        </w:rPr>
      </w:pPr>
      <w:bookmarkStart w:id="62" w:name="_Toc488673637"/>
      <w:bookmarkStart w:id="63" w:name="_Toc4461"/>
      <w:r>
        <w:rPr>
          <w:rFonts w:hint="eastAsia" w:ascii="宋体" w:hAnsi="宋体"/>
          <w:b w:val="0"/>
          <w:color w:val="000000" w:themeColor="text1"/>
          <w:sz w:val="24"/>
          <w:szCs w:val="24"/>
          <w14:textFill>
            <w14:solidFill>
              <w14:schemeClr w14:val="tx1"/>
            </w14:solidFill>
          </w14:textFill>
        </w:rPr>
        <w:t>推荐并确定成交磋商供应商</w:t>
      </w:r>
      <w:bookmarkEnd w:id="62"/>
      <w:bookmarkEnd w:id="63"/>
    </w:p>
    <w:p w14:paraId="13FEEAC3">
      <w:pPr>
        <w:pStyle w:val="19"/>
        <w:numPr>
          <w:ilvl w:val="1"/>
          <w:numId w:val="30"/>
        </w:numPr>
        <w:spacing w:line="360" w:lineRule="auto"/>
        <w:rPr>
          <w:rFonts w:hAnsi="宋体"/>
          <w:color w:val="000000" w:themeColor="text1"/>
          <w:sz w:val="24"/>
          <w:szCs w:val="24"/>
          <w14:textFill>
            <w14:solidFill>
              <w14:schemeClr w14:val="tx1"/>
            </w14:solidFill>
          </w14:textFill>
        </w:rPr>
      </w:pPr>
      <w:r>
        <w:rPr>
          <w:rFonts w:hint="eastAsia" w:hAnsi="宋体" w:cs="宋体"/>
          <w:b/>
          <w:bCs/>
          <w:color w:val="000000" w:themeColor="text1"/>
          <w:sz w:val="24"/>
          <w:szCs w:val="24"/>
          <w14:textFill>
            <w14:solidFill>
              <w14:schemeClr w14:val="tx1"/>
            </w14:solidFill>
          </w14:textFill>
        </w:rPr>
        <w:t>采用综合评分法的，</w:t>
      </w:r>
      <w:r>
        <w:rPr>
          <w:rFonts w:hint="eastAsia" w:hAnsi="宋体" w:cs="宋体"/>
          <w:color w:val="000000" w:themeColor="text1"/>
          <w:sz w:val="24"/>
          <w:szCs w:val="24"/>
          <w:shd w:val="clear" w:color="auto" w:fill="FFFFFF"/>
          <w14:textFill>
            <w14:solidFill>
              <w14:schemeClr w14:val="tx1"/>
            </w14:solidFill>
          </w14:textFill>
        </w:rPr>
        <w:t>评标结果按评审后得分由高到低顺序排列。得分相同的，按投标报价由低到高顺序排列。得分且投标报价相同的并列。磋商响应文件满足磋商文件全部实质性要求，且按照评审因素的量化指标评审得分最高的磋商人为排名第一的成交候选人。</w:t>
      </w:r>
    </w:p>
    <w:p w14:paraId="7A6F5C1D">
      <w:pPr>
        <w:pStyle w:val="19"/>
        <w:numPr>
          <w:ilvl w:val="1"/>
          <w:numId w:val="30"/>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成交磋商供应商因不可抗力或自身原因不能履行合同时，采购单位可以按照评审报告推荐的预成交候选磋商供应商名单排序，确定下一候选磋商供应商为成交磋商供应商，也可重新开展政府采购活动。</w:t>
      </w:r>
    </w:p>
    <w:p w14:paraId="6A11979F">
      <w:pPr>
        <w:pStyle w:val="19"/>
        <w:numPr>
          <w:ilvl w:val="1"/>
          <w:numId w:val="30"/>
        </w:numPr>
        <w:spacing w:line="360" w:lineRule="auto"/>
        <w:rPr>
          <w:rFonts w:hAnsi="宋体"/>
          <w:color w:val="000000" w:themeColor="text1"/>
          <w:sz w:val="24"/>
          <w:szCs w:val="24"/>
          <w14:textFill>
            <w14:solidFill>
              <w14:schemeClr w14:val="tx1"/>
            </w14:solidFill>
          </w14:textFill>
        </w:rPr>
      </w:pPr>
      <w:r>
        <w:rPr>
          <w:rFonts w:hint="eastAsia" w:hAnsi="宋体" w:cs="宋体"/>
          <w:color w:val="000000" w:themeColor="text1"/>
          <w:sz w:val="24"/>
          <w:szCs w:val="24"/>
          <w:shd w:val="clear" w:color="auto" w:fill="FFFFFF"/>
          <w14:textFill>
            <w14:solidFill>
              <w14:schemeClr w14:val="tx1"/>
            </w14:solidFill>
          </w14:textFill>
        </w:rPr>
        <w:t>评标结果汇总完成后，除下列情形外，任何人不得修改评标结果：</w:t>
      </w:r>
    </w:p>
    <w:p w14:paraId="365111C1">
      <w:pPr>
        <w:pStyle w:val="19"/>
        <w:numPr>
          <w:ilvl w:val="0"/>
          <w:numId w:val="31"/>
        </w:numPr>
        <w:spacing w:line="360" w:lineRule="auto"/>
        <w:rPr>
          <w:rFonts w:hAnsi="宋体"/>
          <w:color w:val="000000" w:themeColor="text1"/>
          <w:sz w:val="24"/>
          <w:szCs w:val="24"/>
          <w14:textFill>
            <w14:solidFill>
              <w14:schemeClr w14:val="tx1"/>
            </w14:solidFill>
          </w14:textFill>
        </w:rPr>
      </w:pPr>
      <w:r>
        <w:rPr>
          <w:rFonts w:hint="eastAsia" w:hAnsi="宋体" w:cs="宋体"/>
          <w:color w:val="000000" w:themeColor="text1"/>
          <w:sz w:val="24"/>
          <w:szCs w:val="24"/>
          <w:shd w:val="clear" w:color="auto" w:fill="FFFFFF"/>
          <w14:textFill>
            <w14:solidFill>
              <w14:schemeClr w14:val="tx1"/>
            </w14:solidFill>
          </w14:textFill>
        </w:rPr>
        <w:t>分值汇总计算错误的；</w:t>
      </w:r>
    </w:p>
    <w:p w14:paraId="45AD4DA8">
      <w:pPr>
        <w:pStyle w:val="19"/>
        <w:numPr>
          <w:ilvl w:val="0"/>
          <w:numId w:val="31"/>
        </w:numPr>
        <w:spacing w:line="360" w:lineRule="auto"/>
        <w:rPr>
          <w:rFonts w:hAnsi="宋体"/>
          <w:color w:val="000000" w:themeColor="text1"/>
          <w:sz w:val="24"/>
          <w:szCs w:val="24"/>
          <w14:textFill>
            <w14:solidFill>
              <w14:schemeClr w14:val="tx1"/>
            </w14:solidFill>
          </w14:textFill>
        </w:rPr>
      </w:pPr>
      <w:r>
        <w:rPr>
          <w:rFonts w:hint="eastAsia" w:hAnsi="宋体" w:cs="宋体"/>
          <w:color w:val="000000" w:themeColor="text1"/>
          <w:sz w:val="24"/>
          <w:szCs w:val="24"/>
          <w:shd w:val="clear" w:color="auto" w:fill="FFFFFF"/>
          <w14:textFill>
            <w14:solidFill>
              <w14:schemeClr w14:val="tx1"/>
            </w14:solidFill>
          </w14:textFill>
        </w:rPr>
        <w:t>分项评分超出评分标准范围的；</w:t>
      </w:r>
    </w:p>
    <w:p w14:paraId="5AD3525B">
      <w:pPr>
        <w:pStyle w:val="19"/>
        <w:numPr>
          <w:ilvl w:val="0"/>
          <w:numId w:val="31"/>
        </w:numPr>
        <w:spacing w:line="360" w:lineRule="auto"/>
        <w:rPr>
          <w:rFonts w:hAnsi="宋体"/>
          <w:color w:val="000000" w:themeColor="text1"/>
          <w:sz w:val="24"/>
          <w:szCs w:val="24"/>
          <w14:textFill>
            <w14:solidFill>
              <w14:schemeClr w14:val="tx1"/>
            </w14:solidFill>
          </w14:textFill>
        </w:rPr>
      </w:pPr>
      <w:r>
        <w:rPr>
          <w:rFonts w:hint="eastAsia" w:hAnsi="宋体" w:cs="宋体"/>
          <w:color w:val="000000" w:themeColor="text1"/>
          <w:sz w:val="24"/>
          <w:szCs w:val="24"/>
          <w:shd w:val="clear" w:color="auto" w:fill="FFFFFF"/>
          <w14:textFill>
            <w14:solidFill>
              <w14:schemeClr w14:val="tx1"/>
            </w14:solidFill>
          </w14:textFill>
        </w:rPr>
        <w:t>评标委员会成员对客观评审因素评分不一致的；</w:t>
      </w:r>
    </w:p>
    <w:p w14:paraId="1C029580">
      <w:pPr>
        <w:pStyle w:val="19"/>
        <w:numPr>
          <w:ilvl w:val="0"/>
          <w:numId w:val="31"/>
        </w:numPr>
        <w:spacing w:line="360" w:lineRule="auto"/>
        <w:rPr>
          <w:rFonts w:hAnsi="宋体"/>
          <w:color w:val="000000" w:themeColor="text1"/>
          <w:sz w:val="24"/>
          <w:szCs w:val="24"/>
          <w14:textFill>
            <w14:solidFill>
              <w14:schemeClr w14:val="tx1"/>
            </w14:solidFill>
          </w14:textFill>
        </w:rPr>
      </w:pPr>
      <w:r>
        <w:rPr>
          <w:rFonts w:hint="eastAsia" w:hAnsi="宋体" w:cs="宋体"/>
          <w:color w:val="000000" w:themeColor="text1"/>
          <w:sz w:val="24"/>
          <w:szCs w:val="24"/>
          <w:shd w:val="clear" w:color="auto" w:fill="FFFFFF"/>
          <w14:textFill>
            <w14:solidFill>
              <w14:schemeClr w14:val="tx1"/>
            </w14:solidFill>
          </w14:textFill>
        </w:rPr>
        <w:t>经评标委员会认定评分畸高、畸低的。</w:t>
      </w:r>
    </w:p>
    <w:p w14:paraId="79F99351">
      <w:pPr>
        <w:autoSpaceDE w:val="0"/>
        <w:autoSpaceDN w:val="0"/>
        <w:spacing w:line="360" w:lineRule="auto"/>
        <w:ind w:left="1042" w:leftChars="496" w:firstLine="480" w:firstLineChars="200"/>
        <w:rPr>
          <w:rFonts w:ascii="宋体" w:hAnsi="宋体" w:cs="宋体"/>
          <w:color w:val="000000" w:themeColor="text1"/>
          <w:sz w:val="24"/>
          <w:shd w:val="clear" w:color="auto" w:fill="FFFFFF"/>
          <w14:textFill>
            <w14:solidFill>
              <w14:schemeClr w14:val="tx1"/>
            </w14:solidFill>
          </w14:textFill>
        </w:rPr>
      </w:pPr>
      <w:r>
        <w:rPr>
          <w:rFonts w:hint="eastAsia" w:ascii="宋体" w:hAnsi="宋体" w:cs="宋体"/>
          <w:color w:val="000000" w:themeColor="text1"/>
          <w:sz w:val="24"/>
          <w:shd w:val="clear" w:color="auto" w:fill="FFFFFF"/>
          <w14:textFill>
            <w14:solidFill>
              <w14:schemeClr w14:val="tx1"/>
            </w14:solidFill>
          </w14:textFill>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442A2891">
      <w:pPr>
        <w:pStyle w:val="19"/>
        <w:spacing w:line="360" w:lineRule="auto"/>
        <w:ind w:left="1042" w:leftChars="496" w:firstLine="480" w:firstLineChars="200"/>
        <w:rPr>
          <w:rFonts w:hAnsi="宋体"/>
          <w:color w:val="000000" w:themeColor="text1"/>
          <w:sz w:val="24"/>
          <w:szCs w:val="24"/>
          <w14:textFill>
            <w14:solidFill>
              <w14:schemeClr w14:val="tx1"/>
            </w14:solidFill>
          </w14:textFill>
        </w:rPr>
      </w:pPr>
      <w:r>
        <w:rPr>
          <w:rFonts w:hint="eastAsia" w:hAnsi="宋体" w:cs="宋体"/>
          <w:color w:val="000000" w:themeColor="text1"/>
          <w:sz w:val="24"/>
          <w:szCs w:val="24"/>
          <w:shd w:val="clear" w:color="auto" w:fill="FFFFFF"/>
          <w14:textFill>
            <w14:solidFill>
              <w14:schemeClr w14:val="tx1"/>
            </w14:solidFill>
          </w14:textFill>
        </w:rPr>
        <w:t>磋商人对以上情形提出质疑的，采购人或者采购代理机构可以组织原评标委员会进行重新评审，重新评审改变评标结果的，应当书面报告本级财政部门。</w:t>
      </w:r>
    </w:p>
    <w:p w14:paraId="2829DDAB">
      <w:pPr>
        <w:pStyle w:val="5"/>
        <w:numPr>
          <w:ilvl w:val="0"/>
          <w:numId w:val="5"/>
        </w:numPr>
        <w:spacing w:before="0" w:after="0" w:line="360" w:lineRule="auto"/>
        <w:rPr>
          <w:rFonts w:ascii="宋体" w:hAnsi="宋体"/>
          <w:b w:val="0"/>
          <w:color w:val="000000" w:themeColor="text1"/>
          <w:sz w:val="24"/>
          <w:szCs w:val="24"/>
          <w14:textFill>
            <w14:solidFill>
              <w14:schemeClr w14:val="tx1"/>
            </w14:solidFill>
          </w14:textFill>
        </w:rPr>
      </w:pPr>
      <w:bookmarkStart w:id="64" w:name="_Toc488673638"/>
      <w:bookmarkStart w:id="65" w:name="_Toc11317"/>
      <w:r>
        <w:rPr>
          <w:rFonts w:hint="eastAsia" w:ascii="宋体" w:hAnsi="宋体"/>
          <w:b w:val="0"/>
          <w:color w:val="000000" w:themeColor="text1"/>
          <w:sz w:val="24"/>
          <w:szCs w:val="24"/>
          <w14:textFill>
            <w14:solidFill>
              <w14:schemeClr w14:val="tx1"/>
            </w14:solidFill>
          </w14:textFill>
        </w:rPr>
        <w:t>成交通知</w:t>
      </w:r>
      <w:bookmarkEnd w:id="64"/>
      <w:bookmarkEnd w:id="65"/>
    </w:p>
    <w:p w14:paraId="17E296C4">
      <w:pPr>
        <w:pStyle w:val="19"/>
        <w:numPr>
          <w:ilvl w:val="1"/>
          <w:numId w:val="32"/>
        </w:numPr>
        <w:spacing w:line="360" w:lineRule="auto"/>
        <w:rPr>
          <w:rFonts w:hAnsi="宋体"/>
          <w:b/>
          <w:bCs/>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采购代理机构应当在评标结束后2个工作日内将评标报告送采购人。采购人应当自收到评标报告之日起５个工作日内，在评标报告确定的成交候选人名单中按顺序确定成交人。成交候选人并列的，由采购人或者采购人委托评标委员会按照磋商文件规定的方式确定成交人；磋商文件未规定的，采取随机抽取的方式确定。</w:t>
      </w:r>
    </w:p>
    <w:p w14:paraId="579A0775">
      <w:pPr>
        <w:pStyle w:val="19"/>
        <w:numPr>
          <w:ilvl w:val="1"/>
          <w:numId w:val="32"/>
        </w:numPr>
        <w:spacing w:line="360" w:lineRule="auto"/>
        <w:rPr>
          <w:rFonts w:hAnsi="宋体"/>
          <w:b/>
          <w:bCs/>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采购人在收到评标报告5个工作日内未按评标报告推荐的成交候选人顺序确定成交人，又不能说明合法理由的，视同按评标报告推荐的顺序确定排名第一的成交候选人为成交人。</w:t>
      </w:r>
    </w:p>
    <w:p w14:paraId="79B377F6">
      <w:pPr>
        <w:pStyle w:val="19"/>
        <w:numPr>
          <w:ilvl w:val="1"/>
          <w:numId w:val="32"/>
        </w:numPr>
        <w:spacing w:line="360" w:lineRule="auto"/>
        <w:rPr>
          <w:rFonts w:hAnsi="宋体"/>
          <w:b/>
          <w:bCs/>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采购代理机构自成交磋商供应商确定之日起2个工作日内发出《成交通知书》，并在青海政府采购网</w:t>
      </w:r>
      <w:r>
        <w:rPr>
          <w:rFonts w:hint="eastAsia" w:hAnsi="宋体"/>
          <w:color w:val="000000" w:themeColor="text1"/>
          <w:sz w:val="24"/>
          <w:szCs w:val="28"/>
          <w14:textFill>
            <w14:solidFill>
              <w14:schemeClr w14:val="tx1"/>
            </w14:solidFill>
          </w14:textFill>
        </w:rPr>
        <w:t>、</w:t>
      </w:r>
      <w:r>
        <w:rPr>
          <w:rFonts w:hint="eastAsia" w:hAnsi="宋体"/>
          <w:color w:val="000000" w:themeColor="text1"/>
          <w:sz w:val="24"/>
          <w:szCs w:val="24"/>
          <w14:textFill>
            <w14:solidFill>
              <w14:schemeClr w14:val="tx1"/>
            </w14:solidFill>
          </w14:textFill>
        </w:rPr>
        <w:t>青海项目信息网等媒体上公告成交结果。</w:t>
      </w:r>
    </w:p>
    <w:p w14:paraId="6E768F4A">
      <w:pPr>
        <w:pStyle w:val="19"/>
        <w:numPr>
          <w:ilvl w:val="1"/>
          <w:numId w:val="32"/>
        </w:numPr>
        <w:spacing w:line="360" w:lineRule="auto"/>
        <w:rPr>
          <w:rFonts w:hAnsi="宋体"/>
          <w:b/>
          <w:bCs/>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成交结果公告内容应当包括采购人及其委托的采购代理机构的名称、地址、联系方式，项目名称和项目编号，成交人名称、地址和成交金额，主要成交标的的名称、规格型号、数量、单价、服务要求，成交公告期限以及评审专家名单。</w:t>
      </w:r>
    </w:p>
    <w:p w14:paraId="44B203E3">
      <w:pPr>
        <w:pStyle w:val="19"/>
        <w:numPr>
          <w:ilvl w:val="1"/>
          <w:numId w:val="32"/>
        </w:numPr>
        <w:spacing w:line="360" w:lineRule="auto"/>
        <w:rPr>
          <w:rFonts w:hAnsi="宋体"/>
          <w:b/>
          <w:bCs/>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成交公告期限为1个工作日。</w:t>
      </w:r>
    </w:p>
    <w:p w14:paraId="060F2B12">
      <w:pPr>
        <w:pStyle w:val="19"/>
        <w:numPr>
          <w:ilvl w:val="1"/>
          <w:numId w:val="32"/>
        </w:numPr>
        <w:spacing w:line="360" w:lineRule="auto"/>
        <w:rPr>
          <w:rFonts w:hAnsi="宋体"/>
          <w:b/>
          <w:bCs/>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在公告成交结果的同时，</w:t>
      </w:r>
      <w:r>
        <w:rPr>
          <w:rFonts w:hint="eastAsia" w:hAnsi="宋体" w:cs="宋体"/>
          <w:color w:val="000000" w:themeColor="text1"/>
          <w:sz w:val="24"/>
          <w:szCs w:val="24"/>
          <w:shd w:val="clear" w:color="auto" w:fill="FFFFFF"/>
          <w14:textFill>
            <w14:solidFill>
              <w14:schemeClr w14:val="tx1"/>
            </w14:solidFill>
          </w14:textFill>
        </w:rPr>
        <w:t>采购人或者采购代理机构</w:t>
      </w:r>
      <w:r>
        <w:rPr>
          <w:rFonts w:hint="eastAsia" w:hAnsi="宋体" w:cs="宋体"/>
          <w:color w:val="000000" w:themeColor="text1"/>
          <w:sz w:val="24"/>
          <w:szCs w:val="24"/>
          <w14:textFill>
            <w14:solidFill>
              <w14:schemeClr w14:val="tx1"/>
            </w14:solidFill>
          </w14:textFill>
        </w:rPr>
        <w:t>应当向成交人发出成交通知书；采用综合评分法评审的，还应当告知未成交人本人的评审得分与排序。</w:t>
      </w:r>
    </w:p>
    <w:p w14:paraId="5D12794F">
      <w:pPr>
        <w:pStyle w:val="19"/>
        <w:numPr>
          <w:ilvl w:val="1"/>
          <w:numId w:val="32"/>
        </w:numPr>
        <w:spacing w:line="360" w:lineRule="auto"/>
        <w:rPr>
          <w:rFonts w:hAnsi="宋体"/>
          <w:b/>
          <w:bCs/>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成交通知书发出后，采购人不得违法改变成交结果，成交人无正当理由不得放弃成交。</w:t>
      </w:r>
    </w:p>
    <w:p w14:paraId="5A17673A">
      <w:pPr>
        <w:pStyle w:val="19"/>
        <w:numPr>
          <w:ilvl w:val="1"/>
          <w:numId w:val="32"/>
        </w:numPr>
        <w:spacing w:line="360" w:lineRule="auto"/>
        <w:rPr>
          <w:rFonts w:hAnsi="宋体"/>
          <w:b/>
          <w:bCs/>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《成交通知书》对采购单位和成交磋商供应商具有同等效力，《成交通知书》发出后，采购单位改变成交结果的，或者成交磋商供应商无正当理由放弃成交项目的，依法承担法律责任。</w:t>
      </w:r>
    </w:p>
    <w:p w14:paraId="22F0CE38">
      <w:pPr>
        <w:pStyle w:val="4"/>
        <w:ind w:left="709"/>
        <w:rPr>
          <w:rFonts w:hAnsi="宋体"/>
          <w:b/>
          <w:color w:val="000000" w:themeColor="text1"/>
          <w:sz w:val="24"/>
          <w:szCs w:val="24"/>
          <w14:textFill>
            <w14:solidFill>
              <w14:schemeClr w14:val="tx1"/>
            </w14:solidFill>
          </w14:textFill>
        </w:rPr>
      </w:pPr>
      <w:bookmarkStart w:id="66" w:name="_Toc5353"/>
      <w:r>
        <w:rPr>
          <w:rFonts w:hint="eastAsia" w:hAnsi="宋体"/>
          <w:b/>
          <w:color w:val="000000" w:themeColor="text1"/>
          <w:sz w:val="24"/>
          <w:szCs w:val="24"/>
          <w14:textFill>
            <w14:solidFill>
              <w14:schemeClr w14:val="tx1"/>
            </w14:solidFill>
          </w14:textFill>
        </w:rPr>
        <w:t>授予合同</w:t>
      </w:r>
      <w:bookmarkEnd w:id="66"/>
    </w:p>
    <w:p w14:paraId="3245657A">
      <w:pPr>
        <w:pStyle w:val="5"/>
        <w:numPr>
          <w:ilvl w:val="0"/>
          <w:numId w:val="5"/>
        </w:numPr>
        <w:spacing w:before="0" w:after="0" w:line="360" w:lineRule="auto"/>
        <w:rPr>
          <w:rFonts w:ascii="宋体" w:hAnsi="宋体"/>
          <w:b w:val="0"/>
          <w:color w:val="000000" w:themeColor="text1"/>
          <w:sz w:val="24"/>
          <w:szCs w:val="24"/>
          <w14:textFill>
            <w14:solidFill>
              <w14:schemeClr w14:val="tx1"/>
            </w14:solidFill>
          </w14:textFill>
        </w:rPr>
      </w:pPr>
      <w:bookmarkStart w:id="67" w:name="_Toc488673640"/>
      <w:bookmarkStart w:id="68" w:name="_Toc27160"/>
      <w:r>
        <w:rPr>
          <w:rFonts w:hint="eastAsia" w:ascii="宋体" w:hAnsi="宋体"/>
          <w:b w:val="0"/>
          <w:color w:val="000000" w:themeColor="text1"/>
          <w:sz w:val="24"/>
          <w:szCs w:val="24"/>
          <w14:textFill>
            <w14:solidFill>
              <w14:schemeClr w14:val="tx1"/>
            </w14:solidFill>
          </w14:textFill>
        </w:rPr>
        <w:t>签订合同</w:t>
      </w:r>
      <w:bookmarkEnd w:id="67"/>
      <w:bookmarkEnd w:id="68"/>
    </w:p>
    <w:p w14:paraId="226DB94A">
      <w:pPr>
        <w:pStyle w:val="19"/>
        <w:numPr>
          <w:ilvl w:val="1"/>
          <w:numId w:val="33"/>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采购单位与成交磋商供应商双方应当自《成交通知书》发出之日起30日内，签订采购合同，送采购代理机构审核并备案；</w:t>
      </w:r>
    </w:p>
    <w:p w14:paraId="4424C455">
      <w:pPr>
        <w:pStyle w:val="19"/>
        <w:numPr>
          <w:ilvl w:val="1"/>
          <w:numId w:val="33"/>
        </w:numPr>
        <w:spacing w:line="360" w:lineRule="auto"/>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签订合同时，成交人以支票、汇票、本票等非现金形式向采购人指定的账户交纳履约保证金。履约保证金的数额为采购合同总金额的</w:t>
      </w:r>
      <w:r>
        <w:rPr>
          <w:rFonts w:hint="eastAsia" w:hAnsi="宋体"/>
          <w:color w:val="000000" w:themeColor="text1"/>
          <w:sz w:val="24"/>
          <w:szCs w:val="24"/>
          <w:lang w:val="en-US" w:eastAsia="zh-CN"/>
          <w14:textFill>
            <w14:solidFill>
              <w14:schemeClr w14:val="tx1"/>
            </w14:solidFill>
          </w14:textFill>
        </w:rPr>
        <w:t>10</w:t>
      </w:r>
      <w:r>
        <w:rPr>
          <w:rFonts w:hAnsi="宋体"/>
          <w:color w:val="000000" w:themeColor="text1"/>
          <w:sz w:val="24"/>
          <w:szCs w:val="24"/>
          <w14:textFill>
            <w14:solidFill>
              <w14:schemeClr w14:val="tx1"/>
            </w14:solidFill>
          </w14:textFill>
        </w:rPr>
        <w:t>%。</w:t>
      </w:r>
    </w:p>
    <w:p w14:paraId="259132E6">
      <w:pPr>
        <w:pStyle w:val="19"/>
        <w:numPr>
          <w:ilvl w:val="1"/>
          <w:numId w:val="33"/>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成交磋商供应商在法定期限内无正当理由拒签合同的，按违约处理。同时，采购代理机构和采购单位可依评标排序重新确定成交磋商供应商，并协调双方签订采购合同，或重新组织采购活动；</w:t>
      </w:r>
    </w:p>
    <w:p w14:paraId="751AC044">
      <w:pPr>
        <w:pStyle w:val="19"/>
        <w:numPr>
          <w:ilvl w:val="1"/>
          <w:numId w:val="33"/>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采购单位不得向成交供应商提出任何不合理的要求作为订立合同的条件，采购单位和成交供应商不得私下订立背离合同实质性内容的协议；</w:t>
      </w:r>
    </w:p>
    <w:p w14:paraId="5AC9679B">
      <w:pPr>
        <w:pStyle w:val="19"/>
        <w:numPr>
          <w:ilvl w:val="1"/>
          <w:numId w:val="33"/>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磋商文件、成交磋商供应商的磋商响应文件、《成交通知书》及其澄清、说明文件、承诺等，均为签订采购合同的依据，作为采购合同的组成部分；</w:t>
      </w:r>
    </w:p>
    <w:p w14:paraId="298F1185">
      <w:pPr>
        <w:pStyle w:val="19"/>
        <w:numPr>
          <w:ilvl w:val="1"/>
          <w:numId w:val="33"/>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采购人与成交人应当根据合同的约定依法履行合同义务。政府采购合同的履行、违约责任和解决争议的方法等适用《中华人民共和国民法典》。</w:t>
      </w:r>
    </w:p>
    <w:p w14:paraId="5DF16688">
      <w:pPr>
        <w:pStyle w:val="19"/>
        <w:numPr>
          <w:ilvl w:val="1"/>
          <w:numId w:val="33"/>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采购人应当及时对采购项目进行验收。采购人可以邀请参加本项目的其他磋商人或者第三方机构参与验收。参与验收的磋商人或者第三方机构的意见作为验收书的参考资料一并存档。</w:t>
      </w:r>
    </w:p>
    <w:p w14:paraId="736BD7C3">
      <w:pPr>
        <w:pStyle w:val="19"/>
        <w:numPr>
          <w:ilvl w:val="1"/>
          <w:numId w:val="33"/>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采购人应当加强对成交人的履约管理，并按照采购合同约定，及时向成交人支付采购资金。对于成交人违反采购合同约定的行为，采购人应当及时处理，依法追究其违约责任。</w:t>
      </w:r>
    </w:p>
    <w:p w14:paraId="70ED0095">
      <w:pPr>
        <w:pStyle w:val="19"/>
        <w:numPr>
          <w:ilvl w:val="1"/>
          <w:numId w:val="33"/>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采购合同签订之日起2个工作日内，由采购单位将采购合同在</w:t>
      </w:r>
      <w:r>
        <w:rPr>
          <w:rFonts w:hint="eastAsia" w:hAnsi="宋体"/>
          <w:color w:val="000000" w:themeColor="text1"/>
          <w:sz w:val="24"/>
          <w:szCs w:val="28"/>
          <w14:textFill>
            <w14:solidFill>
              <w14:schemeClr w14:val="tx1"/>
            </w14:solidFill>
          </w14:textFill>
        </w:rPr>
        <w:t>青海政府采购网、青海项目信息网</w:t>
      </w:r>
      <w:r>
        <w:rPr>
          <w:rFonts w:hint="eastAsia" w:hAnsi="宋体"/>
          <w:color w:val="000000" w:themeColor="text1"/>
          <w:sz w:val="24"/>
          <w:szCs w:val="24"/>
          <w14:textFill>
            <w14:solidFill>
              <w14:schemeClr w14:val="tx1"/>
            </w14:solidFill>
          </w14:textFill>
        </w:rPr>
        <w:t>等媒体上公告，但采购合同中涉及国家秘密、商业秘密的内容除外。</w:t>
      </w:r>
    </w:p>
    <w:p w14:paraId="79BD01C7">
      <w:pPr>
        <w:pStyle w:val="19"/>
        <w:numPr>
          <w:ilvl w:val="1"/>
          <w:numId w:val="33"/>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采购人、采购代理机构应当建立真实完整的招标采购档案，妥善保存每项采购活动的磋商文件。</w:t>
      </w:r>
    </w:p>
    <w:p w14:paraId="0934BEC3">
      <w:pPr>
        <w:pStyle w:val="4"/>
        <w:ind w:left="709"/>
        <w:rPr>
          <w:rFonts w:hAnsi="宋体"/>
          <w:b/>
          <w:color w:val="000000" w:themeColor="text1"/>
          <w:sz w:val="24"/>
          <w:szCs w:val="24"/>
          <w14:textFill>
            <w14:solidFill>
              <w14:schemeClr w14:val="tx1"/>
            </w14:solidFill>
          </w14:textFill>
        </w:rPr>
      </w:pPr>
      <w:bookmarkStart w:id="69" w:name="_Toc19799"/>
      <w:r>
        <w:rPr>
          <w:rFonts w:hint="eastAsia" w:hAnsi="宋体"/>
          <w:b/>
          <w:color w:val="000000" w:themeColor="text1"/>
          <w:sz w:val="24"/>
          <w:szCs w:val="24"/>
          <w14:textFill>
            <w14:solidFill>
              <w14:schemeClr w14:val="tx1"/>
            </w14:solidFill>
          </w14:textFill>
        </w:rPr>
        <w:t>废标条款</w:t>
      </w:r>
      <w:bookmarkEnd w:id="69"/>
    </w:p>
    <w:p w14:paraId="2245B466">
      <w:pPr>
        <w:pStyle w:val="5"/>
        <w:numPr>
          <w:ilvl w:val="0"/>
          <w:numId w:val="5"/>
        </w:numPr>
        <w:spacing w:before="0" w:after="0" w:line="360" w:lineRule="auto"/>
        <w:rPr>
          <w:rFonts w:ascii="宋体" w:hAnsi="宋体"/>
          <w:b w:val="0"/>
          <w:color w:val="000000" w:themeColor="text1"/>
          <w:sz w:val="24"/>
          <w:szCs w:val="24"/>
          <w14:textFill>
            <w14:solidFill>
              <w14:schemeClr w14:val="tx1"/>
            </w14:solidFill>
          </w14:textFill>
        </w:rPr>
      </w:pPr>
      <w:bookmarkStart w:id="70" w:name="_Toc488673642"/>
      <w:bookmarkStart w:id="71" w:name="_Toc2344"/>
      <w:r>
        <w:rPr>
          <w:rFonts w:hint="eastAsia" w:ascii="宋体" w:hAnsi="宋体"/>
          <w:b w:val="0"/>
          <w:color w:val="000000" w:themeColor="text1"/>
          <w:sz w:val="24"/>
          <w:szCs w:val="24"/>
          <w14:textFill>
            <w14:solidFill>
              <w14:schemeClr w14:val="tx1"/>
            </w14:solidFill>
          </w14:textFill>
        </w:rPr>
        <w:t>废标情形</w:t>
      </w:r>
      <w:bookmarkEnd w:id="70"/>
      <w:bookmarkEnd w:id="71"/>
    </w:p>
    <w:p w14:paraId="6769B53A">
      <w:pPr>
        <w:pStyle w:val="19"/>
        <w:numPr>
          <w:ilvl w:val="1"/>
          <w:numId w:val="34"/>
        </w:numPr>
        <w:spacing w:line="360" w:lineRule="auto"/>
        <w:rPr>
          <w:rFonts w:hAnsi="宋体"/>
          <w:color w:val="000000" w:themeColor="text1"/>
          <w:sz w:val="24"/>
          <w:szCs w:val="24"/>
          <w14:textFill>
            <w14:solidFill>
              <w14:schemeClr w14:val="tx1"/>
            </w14:solidFill>
          </w14:textFill>
        </w:rPr>
      </w:pPr>
      <w:r>
        <w:rPr>
          <w:rFonts w:hAnsi="宋体" w:cs="Arial"/>
          <w:color w:val="000000" w:themeColor="text1"/>
          <w:sz w:val="24"/>
          <w:szCs w:val="24"/>
          <w14:textFill>
            <w14:solidFill>
              <w14:schemeClr w14:val="tx1"/>
            </w14:solidFill>
          </w14:textFill>
        </w:rPr>
        <w:t>在磋商采购中，出现下列情形之一的，应予废标</w:t>
      </w:r>
      <w:r>
        <w:rPr>
          <w:rFonts w:hint="eastAsia" w:hAnsi="宋体" w:cs="Arial"/>
          <w:color w:val="000000" w:themeColor="text1"/>
          <w:sz w:val="24"/>
          <w:szCs w:val="24"/>
          <w14:textFill>
            <w14:solidFill>
              <w14:schemeClr w14:val="tx1"/>
            </w14:solidFill>
          </w14:textFill>
        </w:rPr>
        <w:t>：</w:t>
      </w:r>
    </w:p>
    <w:p w14:paraId="59FE3AA5">
      <w:pPr>
        <w:pStyle w:val="19"/>
        <w:numPr>
          <w:ilvl w:val="0"/>
          <w:numId w:val="35"/>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符合磋商条件的磋商供应商或者对磋商文件作出实质性响应的磋商供应商不足三家的；</w:t>
      </w:r>
    </w:p>
    <w:p w14:paraId="155D8269">
      <w:pPr>
        <w:pStyle w:val="19"/>
        <w:numPr>
          <w:ilvl w:val="0"/>
          <w:numId w:val="35"/>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出现影响采购活动正常推进的违法、违规行为的；</w:t>
      </w:r>
    </w:p>
    <w:p w14:paraId="1B51377E">
      <w:pPr>
        <w:pStyle w:val="19"/>
        <w:numPr>
          <w:ilvl w:val="0"/>
          <w:numId w:val="35"/>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磋商供应商的报价均超出采购预算额度，采购单位不能支付的；</w:t>
      </w:r>
    </w:p>
    <w:p w14:paraId="6D5E6D60">
      <w:pPr>
        <w:pStyle w:val="19"/>
        <w:numPr>
          <w:ilvl w:val="0"/>
          <w:numId w:val="35"/>
        </w:numPr>
        <w:spacing w:line="360" w:lineRule="auto"/>
        <w:rPr>
          <w:rFonts w:hAnsi="宋体" w:cs="Arial"/>
          <w:color w:val="000000" w:themeColor="text1"/>
          <w:sz w:val="24"/>
          <w:szCs w:val="24"/>
          <w14:textFill>
            <w14:solidFill>
              <w14:schemeClr w14:val="tx1"/>
            </w14:solidFill>
          </w14:textFill>
        </w:rPr>
      </w:pPr>
      <w:r>
        <w:rPr>
          <w:rFonts w:hint="eastAsia" w:hAnsi="宋体" w:cs="Arial"/>
          <w:color w:val="000000" w:themeColor="text1"/>
          <w:sz w:val="24"/>
          <w:szCs w:val="24"/>
          <w14:textFill>
            <w14:solidFill>
              <w14:schemeClr w14:val="tx1"/>
            </w14:solidFill>
          </w14:textFill>
        </w:rPr>
        <w:t>因重大变故，采购任务取消的。</w:t>
      </w:r>
    </w:p>
    <w:p w14:paraId="2A51B654">
      <w:pPr>
        <w:pStyle w:val="19"/>
        <w:numPr>
          <w:ilvl w:val="1"/>
          <w:numId w:val="34"/>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废标后，由采购代理机构发布废标公告。</w:t>
      </w:r>
    </w:p>
    <w:p w14:paraId="078553FD">
      <w:pPr>
        <w:pStyle w:val="4"/>
        <w:ind w:left="709"/>
        <w:rPr>
          <w:rFonts w:hAnsi="宋体"/>
          <w:b/>
          <w:color w:val="000000" w:themeColor="text1"/>
          <w:sz w:val="24"/>
          <w:szCs w:val="24"/>
          <w14:textFill>
            <w14:solidFill>
              <w14:schemeClr w14:val="tx1"/>
            </w14:solidFill>
          </w14:textFill>
        </w:rPr>
      </w:pPr>
      <w:bookmarkStart w:id="72" w:name="_Toc15158"/>
      <w:r>
        <w:rPr>
          <w:rFonts w:hint="eastAsia" w:hAnsi="宋体"/>
          <w:b/>
          <w:color w:val="000000" w:themeColor="text1"/>
          <w:sz w:val="24"/>
          <w:szCs w:val="24"/>
          <w14:textFill>
            <w14:solidFill>
              <w14:schemeClr w14:val="tx1"/>
            </w14:solidFill>
          </w14:textFill>
        </w:rPr>
        <w:t>其他</w:t>
      </w:r>
      <w:bookmarkEnd w:id="72"/>
    </w:p>
    <w:p w14:paraId="046C2A13">
      <w:pPr>
        <w:pStyle w:val="5"/>
        <w:numPr>
          <w:ilvl w:val="0"/>
          <w:numId w:val="5"/>
        </w:numPr>
        <w:spacing w:before="0" w:after="0" w:line="360" w:lineRule="auto"/>
        <w:rPr>
          <w:rFonts w:ascii="宋体" w:hAnsi="宋体"/>
          <w:b w:val="0"/>
          <w:color w:val="000000" w:themeColor="text1"/>
          <w:sz w:val="24"/>
          <w:szCs w:val="24"/>
          <w14:textFill>
            <w14:solidFill>
              <w14:schemeClr w14:val="tx1"/>
            </w14:solidFill>
          </w14:textFill>
        </w:rPr>
      </w:pPr>
      <w:bookmarkStart w:id="73" w:name="_Toc29178"/>
      <w:bookmarkStart w:id="74" w:name="_Toc488673644"/>
      <w:r>
        <w:rPr>
          <w:rFonts w:hint="eastAsia" w:ascii="宋体" w:hAnsi="宋体"/>
          <w:b w:val="0"/>
          <w:color w:val="000000" w:themeColor="text1"/>
          <w:sz w:val="24"/>
          <w:szCs w:val="24"/>
          <w14:textFill>
            <w14:solidFill>
              <w14:schemeClr w14:val="tx1"/>
            </w14:solidFill>
          </w14:textFill>
        </w:rPr>
        <w:t>串标情形</w:t>
      </w:r>
      <w:bookmarkEnd w:id="73"/>
      <w:bookmarkEnd w:id="74"/>
    </w:p>
    <w:p w14:paraId="3EF6ED7C">
      <w:pPr>
        <w:pStyle w:val="19"/>
        <w:numPr>
          <w:ilvl w:val="0"/>
          <w:numId w:val="36"/>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磋商人应当遵循公平竞争的原则，不得恶意串通，不得妨碍其他磋商人的竞争行为，不得损害采购人或者其他磋商人的合法权益</w:t>
      </w:r>
      <w:r>
        <w:rPr>
          <w:rFonts w:hint="eastAsia" w:hAnsi="宋体" w:cs="宋体"/>
          <w:color w:val="000000" w:themeColor="text1"/>
          <w:sz w:val="24"/>
          <w:szCs w:val="24"/>
          <w14:textFill>
            <w14:solidFill>
              <w14:schemeClr w14:val="tx1"/>
            </w14:solidFill>
          </w14:textFill>
        </w:rPr>
        <w:t>。</w:t>
      </w:r>
    </w:p>
    <w:p w14:paraId="7D641A2B">
      <w:pPr>
        <w:pStyle w:val="19"/>
        <w:spacing w:line="360" w:lineRule="auto"/>
        <w:ind w:left="1042" w:leftChars="496"/>
        <w:rPr>
          <w:rFonts w:hAnsi="宋体" w:cs="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在评标过程中发现磋商人有上述情形的，评标委员会应当认定其投标无效，并书面报告本级财政部门</w:t>
      </w:r>
      <w:r>
        <w:rPr>
          <w:rFonts w:hint="eastAsia" w:hAnsi="宋体" w:cs="宋体"/>
          <w:color w:val="000000" w:themeColor="text1"/>
          <w:sz w:val="24"/>
          <w:szCs w:val="24"/>
          <w14:textFill>
            <w14:solidFill>
              <w14:schemeClr w14:val="tx1"/>
            </w14:solidFill>
          </w14:textFill>
        </w:rPr>
        <w:t>。</w:t>
      </w:r>
    </w:p>
    <w:p w14:paraId="1D9AEF41">
      <w:pPr>
        <w:pStyle w:val="19"/>
        <w:numPr>
          <w:ilvl w:val="0"/>
          <w:numId w:val="36"/>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有下列情形之一的，视为磋商人串通投标，其投标无效：</w:t>
      </w:r>
    </w:p>
    <w:p w14:paraId="42C5B2F7">
      <w:pPr>
        <w:pStyle w:val="19"/>
        <w:numPr>
          <w:ilvl w:val="0"/>
          <w:numId w:val="37"/>
        </w:numPr>
        <w:spacing w:line="360" w:lineRule="auto"/>
        <w:rPr>
          <w:rFonts w:hAnsi="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不同磋商人的磋商响应文件由同一单位或者个人编制；</w:t>
      </w:r>
    </w:p>
    <w:p w14:paraId="50DDD62C">
      <w:pPr>
        <w:pStyle w:val="19"/>
        <w:numPr>
          <w:ilvl w:val="0"/>
          <w:numId w:val="37"/>
        </w:numPr>
        <w:spacing w:line="360" w:lineRule="auto"/>
        <w:rPr>
          <w:rFonts w:hAnsi="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不同磋商人委托同一单位或者个人办理投标事宜；</w:t>
      </w:r>
    </w:p>
    <w:p w14:paraId="3AC99676">
      <w:pPr>
        <w:pStyle w:val="19"/>
        <w:numPr>
          <w:ilvl w:val="0"/>
          <w:numId w:val="37"/>
        </w:numPr>
        <w:spacing w:line="360" w:lineRule="auto"/>
        <w:rPr>
          <w:rFonts w:hAnsi="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不同磋商人的磋商响应文件载明的项目管理成员或者联系人员为同一人；</w:t>
      </w:r>
    </w:p>
    <w:p w14:paraId="42ADDB63">
      <w:pPr>
        <w:pStyle w:val="19"/>
        <w:numPr>
          <w:ilvl w:val="0"/>
          <w:numId w:val="37"/>
        </w:numPr>
        <w:spacing w:line="360" w:lineRule="auto"/>
        <w:rPr>
          <w:rFonts w:hAnsi="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不同磋商人的磋商响应文件异常一致或者投标报价呈规律性差异；</w:t>
      </w:r>
    </w:p>
    <w:p w14:paraId="5F262550">
      <w:pPr>
        <w:pStyle w:val="19"/>
        <w:numPr>
          <w:ilvl w:val="0"/>
          <w:numId w:val="37"/>
        </w:numPr>
        <w:spacing w:line="360" w:lineRule="auto"/>
        <w:rPr>
          <w:rFonts w:hAnsi="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不同磋商人的磋商响应文件相互混装；</w:t>
      </w:r>
    </w:p>
    <w:p w14:paraId="4D586C56">
      <w:pPr>
        <w:pStyle w:val="19"/>
        <w:numPr>
          <w:ilvl w:val="0"/>
          <w:numId w:val="36"/>
        </w:numPr>
        <w:spacing w:line="360" w:lineRule="auto"/>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其他未尽事宜，按照《中华人民共和国政府采购法》、《中华人民共和国民法典》、《中华人民共和国政府采购法实施条例》、《政府采购竞争性磋商采购方式管理暂行办法》等法律法规的有关条款执行。</w:t>
      </w:r>
    </w:p>
    <w:p w14:paraId="0E829CA0">
      <w:pPr>
        <w:pStyle w:val="26"/>
        <w:spacing w:before="0" w:after="0" w:line="360" w:lineRule="auto"/>
        <w:rPr>
          <w:rFonts w:ascii="宋体" w:hAnsi="宋体"/>
          <w:color w:val="000000" w:themeColor="text1"/>
          <w:sz w:val="48"/>
          <w:szCs w:val="48"/>
          <w14:textFill>
            <w14:solidFill>
              <w14:schemeClr w14:val="tx1"/>
            </w14:solidFill>
          </w14:textFill>
        </w:rPr>
      </w:pPr>
      <w:r>
        <w:rPr>
          <w:rFonts w:ascii="宋体" w:hAnsi="宋体"/>
          <w:color w:val="000000" w:themeColor="text1"/>
          <w:sz w:val="24"/>
          <w:szCs w:val="24"/>
          <w14:textFill>
            <w14:solidFill>
              <w14:schemeClr w14:val="tx1"/>
            </w14:solidFill>
          </w14:textFill>
        </w:rPr>
        <w:br w:type="page"/>
      </w:r>
      <w:bookmarkStart w:id="75" w:name="_Toc11924"/>
      <w:r>
        <w:rPr>
          <w:rFonts w:hint="eastAsia" w:ascii="宋体" w:hAnsi="宋体"/>
          <w:color w:val="000000" w:themeColor="text1"/>
          <w:sz w:val="48"/>
          <w:szCs w:val="48"/>
          <w14:textFill>
            <w14:solidFill>
              <w14:schemeClr w14:val="tx1"/>
            </w14:solidFill>
          </w14:textFill>
        </w:rPr>
        <w:t>第四部分青海省政府采购合同文本样式</w:t>
      </w:r>
      <w:bookmarkEnd w:id="75"/>
    </w:p>
    <w:p w14:paraId="39DC0707">
      <w:pPr>
        <w:pStyle w:val="19"/>
        <w:spacing w:line="360" w:lineRule="auto"/>
        <w:ind w:firstLine="482" w:firstLineChars="200"/>
        <w:rPr>
          <w:rFonts w:hAnsi="宋体"/>
          <w:b/>
          <w:color w:val="000000" w:themeColor="text1"/>
          <w:sz w:val="24"/>
          <w:szCs w:val="24"/>
          <w14:textFill>
            <w14:solidFill>
              <w14:schemeClr w14:val="tx1"/>
            </w14:solidFill>
          </w14:textFill>
        </w:rPr>
      </w:pPr>
    </w:p>
    <w:p w14:paraId="7B006AEC">
      <w:pPr>
        <w:spacing w:line="360" w:lineRule="auto"/>
        <w:jc w:val="center"/>
        <w:rPr>
          <w:rFonts w:ascii="宋体" w:hAnsi="宋体"/>
          <w:b/>
          <w:color w:val="000000" w:themeColor="text1"/>
          <w:spacing w:val="120"/>
          <w:sz w:val="24"/>
          <w14:textFill>
            <w14:solidFill>
              <w14:schemeClr w14:val="tx1"/>
            </w14:solidFill>
          </w14:textFill>
        </w:rPr>
      </w:pPr>
    </w:p>
    <w:p w14:paraId="7EEBB59D">
      <w:pPr>
        <w:spacing w:line="360" w:lineRule="auto"/>
        <w:jc w:val="center"/>
        <w:rPr>
          <w:rFonts w:ascii="宋体" w:hAnsi="宋体"/>
          <w:b/>
          <w:color w:val="000000" w:themeColor="text1"/>
          <w:spacing w:val="120"/>
          <w:sz w:val="24"/>
          <w14:textFill>
            <w14:solidFill>
              <w14:schemeClr w14:val="tx1"/>
            </w14:solidFill>
          </w14:textFill>
        </w:rPr>
      </w:pPr>
    </w:p>
    <w:p w14:paraId="63482B65">
      <w:pPr>
        <w:spacing w:line="360" w:lineRule="auto"/>
        <w:jc w:val="center"/>
        <w:rPr>
          <w:rFonts w:ascii="宋体" w:hAnsi="宋体"/>
          <w:b/>
          <w:color w:val="000000" w:themeColor="text1"/>
          <w:spacing w:val="120"/>
          <w:sz w:val="72"/>
          <w:szCs w:val="72"/>
          <w14:textFill>
            <w14:solidFill>
              <w14:schemeClr w14:val="tx1"/>
            </w14:solidFill>
          </w14:textFill>
        </w:rPr>
      </w:pPr>
    </w:p>
    <w:p w14:paraId="5B7A6F85">
      <w:pPr>
        <w:spacing w:line="360" w:lineRule="auto"/>
        <w:jc w:val="center"/>
        <w:rPr>
          <w:rFonts w:ascii="宋体" w:hAnsi="宋体"/>
          <w:b/>
          <w:bCs/>
          <w:color w:val="000000" w:themeColor="text1"/>
          <w:sz w:val="72"/>
          <w:szCs w:val="72"/>
          <w:lang w:val="zh-CN"/>
          <w14:textFill>
            <w14:solidFill>
              <w14:schemeClr w14:val="tx1"/>
            </w14:solidFill>
          </w14:textFill>
        </w:rPr>
      </w:pPr>
      <w:r>
        <w:rPr>
          <w:rFonts w:hint="eastAsia" w:ascii="宋体" w:hAnsi="宋体"/>
          <w:b/>
          <w:bCs/>
          <w:color w:val="000000" w:themeColor="text1"/>
          <w:sz w:val="72"/>
          <w:szCs w:val="72"/>
          <w:lang w:val="zh-CN"/>
          <w14:textFill>
            <w14:solidFill>
              <w14:schemeClr w14:val="tx1"/>
            </w14:solidFill>
          </w14:textFill>
        </w:rPr>
        <w:t>青海省政府采购合同书</w:t>
      </w:r>
    </w:p>
    <w:p w14:paraId="7E23F70C">
      <w:pPr>
        <w:spacing w:line="360" w:lineRule="auto"/>
        <w:rPr>
          <w:rFonts w:ascii="宋体" w:hAnsi="宋体"/>
          <w:b/>
          <w:color w:val="000000" w:themeColor="text1"/>
          <w:sz w:val="24"/>
          <w14:textFill>
            <w14:solidFill>
              <w14:schemeClr w14:val="tx1"/>
            </w14:solidFill>
          </w14:textFill>
        </w:rPr>
      </w:pPr>
    </w:p>
    <w:p w14:paraId="7B665B7A">
      <w:pPr>
        <w:spacing w:line="360" w:lineRule="auto"/>
        <w:rPr>
          <w:rFonts w:ascii="宋体" w:hAnsi="宋体"/>
          <w:b/>
          <w:color w:val="000000" w:themeColor="text1"/>
          <w:sz w:val="24"/>
          <w14:textFill>
            <w14:solidFill>
              <w14:schemeClr w14:val="tx1"/>
            </w14:solidFill>
          </w14:textFill>
        </w:rPr>
      </w:pPr>
    </w:p>
    <w:p w14:paraId="1E09C352">
      <w:pPr>
        <w:spacing w:line="360" w:lineRule="auto"/>
        <w:rPr>
          <w:rFonts w:ascii="宋体" w:hAnsi="宋体"/>
          <w:b/>
          <w:color w:val="000000" w:themeColor="text1"/>
          <w:sz w:val="24"/>
          <w14:textFill>
            <w14:solidFill>
              <w14:schemeClr w14:val="tx1"/>
            </w14:solidFill>
          </w14:textFill>
        </w:rPr>
      </w:pPr>
    </w:p>
    <w:p w14:paraId="18BC1A94">
      <w:pPr>
        <w:spacing w:line="360" w:lineRule="auto"/>
        <w:rPr>
          <w:rFonts w:ascii="宋体" w:hAnsi="宋体"/>
          <w:b/>
          <w:color w:val="000000" w:themeColor="text1"/>
          <w:sz w:val="24"/>
          <w14:textFill>
            <w14:solidFill>
              <w14:schemeClr w14:val="tx1"/>
            </w14:solidFill>
          </w14:textFill>
        </w:rPr>
      </w:pPr>
    </w:p>
    <w:p w14:paraId="14252CD6">
      <w:pPr>
        <w:spacing w:line="360" w:lineRule="auto"/>
        <w:rPr>
          <w:rFonts w:ascii="宋体" w:hAnsi="宋体"/>
          <w:b/>
          <w:color w:val="000000" w:themeColor="text1"/>
          <w:sz w:val="24"/>
          <w14:textFill>
            <w14:solidFill>
              <w14:schemeClr w14:val="tx1"/>
            </w14:solidFill>
          </w14:textFill>
        </w:rPr>
      </w:pPr>
    </w:p>
    <w:p w14:paraId="317DDF63">
      <w:pPr>
        <w:spacing w:line="360" w:lineRule="auto"/>
        <w:rPr>
          <w:rFonts w:ascii="宋体" w:hAnsi="宋体"/>
          <w:b/>
          <w:color w:val="000000" w:themeColor="text1"/>
          <w:sz w:val="24"/>
          <w14:textFill>
            <w14:solidFill>
              <w14:schemeClr w14:val="tx1"/>
            </w14:solidFill>
          </w14:textFill>
        </w:rPr>
      </w:pPr>
    </w:p>
    <w:p w14:paraId="20781B5E">
      <w:pPr>
        <w:spacing w:line="360" w:lineRule="auto"/>
        <w:rPr>
          <w:rFonts w:ascii="宋体" w:hAnsi="宋体"/>
          <w:b/>
          <w:color w:val="000000" w:themeColor="text1"/>
          <w:sz w:val="24"/>
          <w14:textFill>
            <w14:solidFill>
              <w14:schemeClr w14:val="tx1"/>
            </w14:solidFill>
          </w14:textFill>
        </w:rPr>
      </w:pPr>
    </w:p>
    <w:p w14:paraId="0AAD3CD0">
      <w:pPr>
        <w:spacing w:line="360" w:lineRule="auto"/>
        <w:rPr>
          <w:rFonts w:ascii="宋体" w:hAnsi="宋体"/>
          <w:b/>
          <w:color w:val="000000" w:themeColor="text1"/>
          <w:sz w:val="24"/>
          <w14:textFill>
            <w14:solidFill>
              <w14:schemeClr w14:val="tx1"/>
            </w14:solidFill>
          </w14:textFill>
        </w:rPr>
      </w:pPr>
    </w:p>
    <w:p w14:paraId="16D412E7">
      <w:pPr>
        <w:spacing w:line="360" w:lineRule="auto"/>
        <w:ind w:left="2316" w:leftChars="357" w:hanging="1566" w:hangingChars="650"/>
        <w:rPr>
          <w:rFonts w:ascii="宋体" w:hAnsi="宋体"/>
          <w:b/>
          <w:color w:val="000000" w:themeColor="text1"/>
          <w:sz w:val="24"/>
          <w:u w:val="single"/>
          <w14:textFill>
            <w14:solidFill>
              <w14:schemeClr w14:val="tx1"/>
            </w14:solidFill>
          </w14:textFill>
        </w:rPr>
      </w:pPr>
      <w:r>
        <w:rPr>
          <w:rFonts w:hint="eastAsia" w:ascii="宋体" w:hAnsi="宋体"/>
          <w:b/>
          <w:color w:val="000000" w:themeColor="text1"/>
          <w:sz w:val="24"/>
          <w14:textFill>
            <w14:solidFill>
              <w14:schemeClr w14:val="tx1"/>
            </w14:solidFill>
          </w14:textFill>
        </w:rPr>
        <w:t>采购项目名称：</w:t>
      </w:r>
      <w:r>
        <w:rPr>
          <w:rFonts w:hint="eastAsia" w:ascii="宋体" w:hAnsi="宋体"/>
          <w:b/>
          <w:color w:val="000000" w:themeColor="text1"/>
          <w:sz w:val="24"/>
          <w:u w:val="single"/>
          <w:lang w:eastAsia="zh-CN"/>
          <w14:textFill>
            <w14:solidFill>
              <w14:schemeClr w14:val="tx1"/>
            </w14:solidFill>
          </w14:textFill>
        </w:rPr>
        <w:t>青海红十字医院康复数字化信息管理系统等三项（包一第二次）</w:t>
      </w:r>
      <w:r>
        <w:rPr>
          <w:rFonts w:hint="eastAsia" w:ascii="宋体" w:hAnsi="宋体"/>
          <w:b/>
          <w:color w:val="000000" w:themeColor="text1"/>
          <w:sz w:val="24"/>
          <w:u w:val="single"/>
          <w14:textFill>
            <w14:solidFill>
              <w14:schemeClr w14:val="tx1"/>
            </w14:solidFill>
          </w14:textFill>
        </w:rPr>
        <w:t xml:space="preserve">                    </w:t>
      </w:r>
    </w:p>
    <w:p w14:paraId="59CF2ADE">
      <w:pPr>
        <w:spacing w:line="360" w:lineRule="auto"/>
        <w:ind w:firstLine="723" w:firstLineChars="300"/>
        <w:rPr>
          <w:rFonts w:ascii="宋体" w:hAnsi="宋体"/>
          <w:b/>
          <w:color w:val="000000" w:themeColor="text1"/>
          <w:sz w:val="24"/>
          <w:u w:val="single"/>
          <w14:textFill>
            <w14:solidFill>
              <w14:schemeClr w14:val="tx1"/>
            </w14:solidFill>
          </w14:textFill>
        </w:rPr>
      </w:pPr>
      <w:r>
        <w:rPr>
          <w:rFonts w:ascii="宋体" w:hAnsi="宋体"/>
          <w:b/>
          <w:color w:val="000000" w:themeColor="text1"/>
          <w:sz w:val="24"/>
          <w14:textFill>
            <w14:solidFill>
              <w14:schemeClr w14:val="tx1"/>
            </w14:solidFill>
          </w14:textFill>
        </w:rPr>
        <w:t>采购项目编号</w:t>
      </w:r>
      <w:r>
        <w:rPr>
          <w:rFonts w:hint="eastAsia" w:ascii="宋体" w:hAnsi="宋体"/>
          <w:b/>
          <w:color w:val="000000" w:themeColor="text1"/>
          <w:sz w:val="24"/>
          <w14:textFill>
            <w14:solidFill>
              <w14:schemeClr w14:val="tx1"/>
            </w14:solidFill>
          </w14:textFill>
        </w:rPr>
        <w:t>：</w:t>
      </w:r>
      <w:r>
        <w:rPr>
          <w:rFonts w:hint="eastAsia" w:ascii="宋体" w:hAnsi="宋体"/>
          <w:b/>
          <w:color w:val="000000" w:themeColor="text1"/>
          <w:sz w:val="24"/>
          <w:u w:val="single"/>
          <w:lang w:eastAsia="zh-CN"/>
          <w14:textFill>
            <w14:solidFill>
              <w14:schemeClr w14:val="tx1"/>
            </w14:solidFill>
          </w14:textFill>
        </w:rPr>
        <w:t>青海国焱竞磋（货物）2025-083号</w:t>
      </w:r>
      <w:r>
        <w:rPr>
          <w:rFonts w:hint="eastAsia" w:ascii="宋体" w:hAnsi="宋体"/>
          <w:b/>
          <w:color w:val="000000" w:themeColor="text1"/>
          <w:sz w:val="24"/>
          <w:u w:val="single"/>
          <w14:textFill>
            <w14:solidFill>
              <w14:schemeClr w14:val="tx1"/>
            </w14:solidFill>
          </w14:textFill>
        </w:rPr>
        <w:t xml:space="preserve">                </w:t>
      </w:r>
    </w:p>
    <w:p w14:paraId="035AE14F">
      <w:pPr>
        <w:spacing w:line="360" w:lineRule="auto"/>
        <w:ind w:firstLine="723" w:firstLineChars="300"/>
        <w:rPr>
          <w:rFonts w:ascii="宋体" w:hAnsi="宋体"/>
          <w:b/>
          <w:color w:val="000000" w:themeColor="text1"/>
          <w:sz w:val="24"/>
          <w:u w:val="single"/>
          <w14:textFill>
            <w14:solidFill>
              <w14:schemeClr w14:val="tx1"/>
            </w14:solidFill>
          </w14:textFill>
        </w:rPr>
      </w:pPr>
      <w:r>
        <w:rPr>
          <w:rFonts w:ascii="宋体" w:hAnsi="宋体"/>
          <w:b/>
          <w:color w:val="000000" w:themeColor="text1"/>
          <w:sz w:val="24"/>
          <w14:textFill>
            <w14:solidFill>
              <w14:schemeClr w14:val="tx1"/>
            </w14:solidFill>
          </w14:textFill>
        </w:rPr>
        <w:t>采购合同编号</w:t>
      </w:r>
      <w:r>
        <w:rPr>
          <w:rFonts w:hint="eastAsia" w:ascii="宋体" w:hAnsi="宋体"/>
          <w:b/>
          <w:color w:val="000000" w:themeColor="text1"/>
          <w:sz w:val="24"/>
          <w14:textFill>
            <w14:solidFill>
              <w14:schemeClr w14:val="tx1"/>
            </w14:solidFill>
          </w14:textFill>
        </w:rPr>
        <w:t>：</w:t>
      </w:r>
      <w:r>
        <w:rPr>
          <w:rFonts w:hint="eastAsia" w:ascii="宋体" w:hAnsi="宋体"/>
          <w:b/>
          <w:color w:val="000000" w:themeColor="text1"/>
          <w:sz w:val="24"/>
          <w:u w:val="single"/>
          <w14:textFill>
            <w14:solidFill>
              <w14:schemeClr w14:val="tx1"/>
            </w14:solidFill>
          </w14:textFill>
        </w:rPr>
        <w:t>QHGY-2025-0</w:t>
      </w:r>
      <w:r>
        <w:rPr>
          <w:rFonts w:hint="eastAsia" w:ascii="宋体" w:hAnsi="宋体"/>
          <w:b/>
          <w:color w:val="000000" w:themeColor="text1"/>
          <w:sz w:val="24"/>
          <w:u w:val="single"/>
          <w:lang w:val="en-US" w:eastAsia="zh-CN"/>
          <w14:textFill>
            <w14:solidFill>
              <w14:schemeClr w14:val="tx1"/>
            </w14:solidFill>
          </w14:textFill>
        </w:rPr>
        <w:t>83</w:t>
      </w:r>
      <w:r>
        <w:rPr>
          <w:rFonts w:hint="eastAsia" w:ascii="宋体" w:hAnsi="宋体"/>
          <w:b/>
          <w:color w:val="000000" w:themeColor="text1"/>
          <w:sz w:val="24"/>
          <w:u w:val="single"/>
          <w14:textFill>
            <w14:solidFill>
              <w14:schemeClr w14:val="tx1"/>
            </w14:solidFill>
          </w14:textFill>
        </w:rPr>
        <w:t xml:space="preserve">                                 </w:t>
      </w:r>
    </w:p>
    <w:p w14:paraId="76BCFEFF">
      <w:pPr>
        <w:spacing w:line="360" w:lineRule="auto"/>
        <w:ind w:firstLine="723" w:firstLineChars="300"/>
        <w:rPr>
          <w:rFonts w:ascii="宋体" w:hAnsi="宋体"/>
          <w:b/>
          <w:color w:val="000000" w:themeColor="text1"/>
          <w:sz w:val="24"/>
          <w:u w:val="single"/>
          <w14:textFill>
            <w14:solidFill>
              <w14:schemeClr w14:val="tx1"/>
            </w14:solidFill>
          </w14:textFill>
        </w:rPr>
      </w:pPr>
      <w:r>
        <w:rPr>
          <w:rFonts w:ascii="宋体" w:hAnsi="宋体"/>
          <w:b/>
          <w:color w:val="000000" w:themeColor="text1"/>
          <w:sz w:val="24"/>
          <w14:textFill>
            <w14:solidFill>
              <w14:schemeClr w14:val="tx1"/>
            </w14:solidFill>
          </w14:textFill>
        </w:rPr>
        <w:t>合同金额</w:t>
      </w:r>
      <w:r>
        <w:rPr>
          <w:rFonts w:hint="eastAsia" w:ascii="宋体" w:hAnsi="宋体"/>
          <w:b/>
          <w:color w:val="000000" w:themeColor="text1"/>
          <w:sz w:val="24"/>
          <w14:textFill>
            <w14:solidFill>
              <w14:schemeClr w14:val="tx1"/>
            </w14:solidFill>
          </w14:textFill>
        </w:rPr>
        <w:t>（</w:t>
      </w:r>
      <w:r>
        <w:rPr>
          <w:rFonts w:ascii="宋体" w:hAnsi="宋体"/>
          <w:b/>
          <w:color w:val="000000" w:themeColor="text1"/>
          <w:sz w:val="24"/>
          <w14:textFill>
            <w14:solidFill>
              <w14:schemeClr w14:val="tx1"/>
            </w14:solidFill>
          </w14:textFill>
        </w:rPr>
        <w:t>人民币</w:t>
      </w:r>
      <w:r>
        <w:rPr>
          <w:rFonts w:hint="eastAsia" w:ascii="宋体" w:hAnsi="宋体"/>
          <w:b/>
          <w:color w:val="000000" w:themeColor="text1"/>
          <w:sz w:val="24"/>
          <w14:textFill>
            <w14:solidFill>
              <w14:schemeClr w14:val="tx1"/>
            </w14:solidFill>
          </w14:textFill>
        </w:rPr>
        <w:t>）：</w:t>
      </w:r>
      <w:r>
        <w:rPr>
          <w:rFonts w:hint="eastAsia" w:ascii="宋体" w:hAnsi="宋体"/>
          <w:b/>
          <w:color w:val="000000" w:themeColor="text1"/>
          <w:sz w:val="24"/>
          <w:u w:val="single"/>
          <w14:textFill>
            <w14:solidFill>
              <w14:schemeClr w14:val="tx1"/>
            </w14:solidFill>
          </w14:textFill>
        </w:rPr>
        <w:t xml:space="preserve">                                         </w:t>
      </w:r>
    </w:p>
    <w:p w14:paraId="1E2485DD">
      <w:pPr>
        <w:spacing w:line="360" w:lineRule="auto"/>
        <w:ind w:firstLine="723" w:firstLineChars="300"/>
        <w:rPr>
          <w:rFonts w:ascii="宋体" w:hAnsi="宋体"/>
          <w:b/>
          <w:color w:val="000000" w:themeColor="text1"/>
          <w:sz w:val="24"/>
          <w:u w:val="single"/>
          <w14:textFill>
            <w14:solidFill>
              <w14:schemeClr w14:val="tx1"/>
            </w14:solidFill>
          </w14:textFill>
        </w:rPr>
      </w:pPr>
      <w:r>
        <w:rPr>
          <w:rFonts w:hint="eastAsia" w:ascii="宋体" w:hAnsi="宋体"/>
          <w:b/>
          <w:color w:val="000000" w:themeColor="text1"/>
          <w:sz w:val="24"/>
          <w14:textFill>
            <w14:solidFill>
              <w14:schemeClr w14:val="tx1"/>
            </w14:solidFill>
          </w14:textFill>
        </w:rPr>
        <w:t>采购单位（</w:t>
      </w:r>
      <w:r>
        <w:rPr>
          <w:rFonts w:ascii="宋体" w:hAnsi="宋体"/>
          <w:b/>
          <w:color w:val="000000" w:themeColor="text1"/>
          <w:sz w:val="24"/>
          <w14:textFill>
            <w14:solidFill>
              <w14:schemeClr w14:val="tx1"/>
            </w14:solidFill>
          </w14:textFill>
        </w:rPr>
        <w:t>甲方</w:t>
      </w:r>
      <w:r>
        <w:rPr>
          <w:rFonts w:hint="eastAsia" w:ascii="宋体" w:hAnsi="宋体"/>
          <w:b/>
          <w:color w:val="000000" w:themeColor="text1"/>
          <w:sz w:val="24"/>
          <w14:textFill>
            <w14:solidFill>
              <w14:schemeClr w14:val="tx1"/>
            </w14:solidFill>
          </w14:textFill>
        </w:rPr>
        <w:t>）：</w:t>
      </w:r>
      <w:r>
        <w:rPr>
          <w:rFonts w:hint="eastAsia" w:ascii="宋体" w:hAnsi="宋体"/>
          <w:b/>
          <w:color w:val="000000" w:themeColor="text1"/>
          <w:sz w:val="24"/>
          <w:u w:val="single"/>
          <w14:textFill>
            <w14:solidFill>
              <w14:schemeClr w14:val="tx1"/>
            </w14:solidFill>
          </w14:textFill>
        </w:rPr>
        <w:t xml:space="preserve"> </w:t>
      </w:r>
      <w:r>
        <w:rPr>
          <w:rFonts w:hint="eastAsia" w:ascii="宋体" w:hAnsi="宋体"/>
          <w:b/>
          <w:color w:val="000000" w:themeColor="text1"/>
          <w:sz w:val="24"/>
          <w:u w:val="single"/>
          <w:lang w:eastAsia="zh-CN"/>
          <w14:textFill>
            <w14:solidFill>
              <w14:schemeClr w14:val="tx1"/>
            </w14:solidFill>
          </w14:textFill>
        </w:rPr>
        <w:t>青海红十字医院</w:t>
      </w:r>
      <w:r>
        <w:rPr>
          <w:rFonts w:hint="eastAsia" w:ascii="宋体" w:hAnsi="宋体"/>
          <w:b/>
          <w:color w:val="000000" w:themeColor="text1"/>
          <w:sz w:val="24"/>
          <w:u w:val="single"/>
          <w14:textFill>
            <w14:solidFill>
              <w14:schemeClr w14:val="tx1"/>
            </w14:solidFill>
          </w14:textFill>
        </w:rPr>
        <w:t xml:space="preserve">     </w:t>
      </w:r>
      <w:r>
        <w:rPr>
          <w:rFonts w:hint="eastAsia" w:ascii="宋体" w:hAnsi="宋体"/>
          <w:b/>
          <w:color w:val="000000" w:themeColor="text1"/>
          <w:sz w:val="24"/>
          <w:u w:val="single"/>
          <w:lang w:val="en-US" w:eastAsia="zh-CN"/>
          <w14:textFill>
            <w14:solidFill>
              <w14:schemeClr w14:val="tx1"/>
            </w14:solidFill>
          </w14:textFill>
        </w:rPr>
        <w:t xml:space="preserve">             </w:t>
      </w:r>
      <w:r>
        <w:rPr>
          <w:rFonts w:hint="eastAsia" w:ascii="宋体" w:hAnsi="宋体"/>
          <w:b/>
          <w:color w:val="000000" w:themeColor="text1"/>
          <w:sz w:val="24"/>
          <w:u w:val="single"/>
          <w14:textFill>
            <w14:solidFill>
              <w14:schemeClr w14:val="tx1"/>
            </w14:solidFill>
          </w14:textFill>
        </w:rPr>
        <w:t xml:space="preserve">   （盖章）</w:t>
      </w:r>
    </w:p>
    <w:p w14:paraId="7FB60F44">
      <w:pPr>
        <w:spacing w:line="360" w:lineRule="auto"/>
        <w:ind w:firstLine="723" w:firstLineChars="300"/>
        <w:rPr>
          <w:rFonts w:ascii="宋体" w:hAnsi="宋体"/>
          <w:b/>
          <w:color w:val="000000" w:themeColor="text1"/>
          <w:sz w:val="24"/>
          <w:u w:val="single"/>
          <w14:textFill>
            <w14:solidFill>
              <w14:schemeClr w14:val="tx1"/>
            </w14:solidFill>
          </w14:textFill>
        </w:rPr>
      </w:pPr>
      <w:r>
        <w:rPr>
          <w:rFonts w:ascii="宋体" w:hAnsi="宋体"/>
          <w:b/>
          <w:color w:val="000000" w:themeColor="text1"/>
          <w:sz w:val="24"/>
          <w14:textFill>
            <w14:solidFill>
              <w14:schemeClr w14:val="tx1"/>
            </w14:solidFill>
          </w14:textFill>
        </w:rPr>
        <w:t>成交供应商</w:t>
      </w:r>
      <w:r>
        <w:rPr>
          <w:rFonts w:hint="eastAsia" w:ascii="宋体" w:hAnsi="宋体"/>
          <w:b/>
          <w:color w:val="000000" w:themeColor="text1"/>
          <w:sz w:val="24"/>
          <w14:textFill>
            <w14:solidFill>
              <w14:schemeClr w14:val="tx1"/>
            </w14:solidFill>
          </w14:textFill>
        </w:rPr>
        <w:t>（</w:t>
      </w:r>
      <w:r>
        <w:rPr>
          <w:rFonts w:ascii="宋体" w:hAnsi="宋体"/>
          <w:b/>
          <w:color w:val="000000" w:themeColor="text1"/>
          <w:sz w:val="24"/>
          <w14:textFill>
            <w14:solidFill>
              <w14:schemeClr w14:val="tx1"/>
            </w14:solidFill>
          </w14:textFill>
        </w:rPr>
        <w:t>乙方</w:t>
      </w:r>
      <w:r>
        <w:rPr>
          <w:rFonts w:hint="eastAsia" w:ascii="宋体" w:hAnsi="宋体"/>
          <w:b/>
          <w:color w:val="000000" w:themeColor="text1"/>
          <w:sz w:val="24"/>
          <w14:textFill>
            <w14:solidFill>
              <w14:schemeClr w14:val="tx1"/>
            </w14:solidFill>
          </w14:textFill>
        </w:rPr>
        <w:t>）：</w:t>
      </w:r>
      <w:r>
        <w:rPr>
          <w:rFonts w:hint="eastAsia" w:ascii="宋体" w:hAnsi="宋体"/>
          <w:b/>
          <w:color w:val="000000" w:themeColor="text1"/>
          <w:sz w:val="24"/>
          <w:u w:val="single"/>
          <w14:textFill>
            <w14:solidFill>
              <w14:schemeClr w14:val="tx1"/>
            </w14:solidFill>
          </w14:textFill>
        </w:rPr>
        <w:t xml:space="preserve">                                   （盖章）</w:t>
      </w:r>
    </w:p>
    <w:p w14:paraId="14FA9906">
      <w:pPr>
        <w:spacing w:line="360" w:lineRule="auto"/>
        <w:ind w:firstLine="723" w:firstLineChars="300"/>
        <w:rPr>
          <w:rFonts w:ascii="宋体" w:hAnsi="宋体"/>
          <w:color w:val="000000" w:themeColor="text1"/>
          <w:sz w:val="24"/>
          <w:u w:val="single"/>
          <w14:textFill>
            <w14:solidFill>
              <w14:schemeClr w14:val="tx1"/>
            </w14:solidFill>
          </w14:textFill>
        </w:rPr>
      </w:pPr>
      <w:r>
        <w:rPr>
          <w:rFonts w:ascii="宋体" w:hAnsi="宋体"/>
          <w:b/>
          <w:color w:val="000000" w:themeColor="text1"/>
          <w:sz w:val="24"/>
          <w14:textFill>
            <w14:solidFill>
              <w14:schemeClr w14:val="tx1"/>
            </w14:solidFill>
          </w14:textFill>
        </w:rPr>
        <w:t>采购日期</w:t>
      </w:r>
      <w:r>
        <w:rPr>
          <w:rFonts w:hint="eastAsia" w:ascii="宋体" w:hAnsi="宋体"/>
          <w:b/>
          <w:color w:val="000000" w:themeColor="text1"/>
          <w:sz w:val="24"/>
          <w14:textFill>
            <w14:solidFill>
              <w14:schemeClr w14:val="tx1"/>
            </w14:solidFill>
          </w14:textFill>
        </w:rPr>
        <w:t xml:space="preserve">： </w:t>
      </w:r>
      <w:r>
        <w:rPr>
          <w:rFonts w:hint="eastAsia" w:ascii="宋体" w:hAnsi="宋体"/>
          <w:b/>
          <w:color w:val="000000" w:themeColor="text1"/>
          <w:sz w:val="24"/>
          <w:u w:val="single"/>
          <w14:textFill>
            <w14:solidFill>
              <w14:schemeClr w14:val="tx1"/>
            </w14:solidFill>
          </w14:textFill>
        </w:rPr>
        <w:t xml:space="preserve">                          </w:t>
      </w:r>
      <w:r>
        <w:rPr>
          <w:rFonts w:hint="eastAsia" w:ascii="宋体" w:hAnsi="宋体"/>
          <w:color w:val="000000" w:themeColor="text1"/>
          <w:sz w:val="24"/>
          <w:u w:val="single"/>
          <w14:textFill>
            <w14:solidFill>
              <w14:schemeClr w14:val="tx1"/>
            </w14:solidFill>
          </w14:textFill>
        </w:rPr>
        <w:t xml:space="preserve">                         </w:t>
      </w:r>
    </w:p>
    <w:p w14:paraId="5EC5F50D">
      <w:pPr>
        <w:spacing w:line="360" w:lineRule="auto"/>
        <w:rPr>
          <w:rFonts w:ascii="宋体" w:hAnsi="宋体" w:cs="宋体"/>
          <w:b/>
          <w:color w:val="000000" w:themeColor="text1"/>
          <w:sz w:val="24"/>
          <w14:textFill>
            <w14:solidFill>
              <w14:schemeClr w14:val="tx1"/>
            </w14:solidFill>
          </w14:textFill>
        </w:rPr>
      </w:pPr>
      <w:r>
        <w:rPr>
          <w:rFonts w:ascii="宋体" w:hAnsi="宋体"/>
          <w:color w:val="000000" w:themeColor="text1"/>
          <w:sz w:val="24"/>
          <w:u w:val="single"/>
          <w14:textFill>
            <w14:solidFill>
              <w14:schemeClr w14:val="tx1"/>
            </w14:solidFill>
          </w14:textFill>
        </w:rPr>
        <w:br w:type="page"/>
      </w:r>
      <w:r>
        <w:rPr>
          <w:rFonts w:hint="eastAsia" w:ascii="宋体" w:hAnsi="宋体" w:cs="宋体"/>
          <w:b/>
          <w:color w:val="000000" w:themeColor="text1"/>
          <w:sz w:val="24"/>
          <w14:textFill>
            <w14:solidFill>
              <w14:schemeClr w14:val="tx1"/>
            </w14:solidFill>
          </w14:textFill>
        </w:rPr>
        <w:t>采购单位（以下简称甲方）：</w:t>
      </w:r>
    </w:p>
    <w:p w14:paraId="6B56CC83">
      <w:pPr>
        <w:spacing w:line="360" w:lineRule="auto"/>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成交</w:t>
      </w:r>
      <w:r>
        <w:rPr>
          <w:rFonts w:ascii="宋体" w:hAnsi="宋体" w:cs="宋体"/>
          <w:b/>
          <w:color w:val="000000" w:themeColor="text1"/>
          <w:sz w:val="24"/>
          <w14:textFill>
            <w14:solidFill>
              <w14:schemeClr w14:val="tx1"/>
            </w14:solidFill>
          </w14:textFill>
        </w:rPr>
        <w:t>供应商</w:t>
      </w:r>
      <w:r>
        <w:rPr>
          <w:rFonts w:hint="eastAsia" w:ascii="宋体" w:hAnsi="宋体" w:cs="宋体"/>
          <w:b/>
          <w:color w:val="000000" w:themeColor="text1"/>
          <w:sz w:val="24"/>
          <w14:textFill>
            <w14:solidFill>
              <w14:schemeClr w14:val="tx1"/>
            </w14:solidFill>
          </w14:textFill>
        </w:rPr>
        <w:t>（</w:t>
      </w:r>
      <w:r>
        <w:rPr>
          <w:rFonts w:ascii="宋体" w:hAnsi="宋体" w:cs="宋体"/>
          <w:b/>
          <w:color w:val="000000" w:themeColor="text1"/>
          <w:sz w:val="24"/>
          <w14:textFill>
            <w14:solidFill>
              <w14:schemeClr w14:val="tx1"/>
            </w14:solidFill>
          </w14:textFill>
        </w:rPr>
        <w:t>以下简称乙方</w:t>
      </w:r>
      <w:r>
        <w:rPr>
          <w:rFonts w:hint="eastAsia" w:ascii="宋体" w:hAnsi="宋体" w:cs="宋体"/>
          <w:b/>
          <w:color w:val="000000" w:themeColor="text1"/>
          <w:sz w:val="24"/>
          <w14:textFill>
            <w14:solidFill>
              <w14:schemeClr w14:val="tx1"/>
            </w14:solidFill>
          </w14:textFill>
        </w:rPr>
        <w:t>）：</w:t>
      </w:r>
    </w:p>
    <w:p w14:paraId="7BF0A0CB">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甲、乙双方根据    年  月  日</w:t>
      </w:r>
      <w:r>
        <w:rPr>
          <w:rFonts w:hint="eastAsia" w:ascii="宋体" w:hAnsi="宋体" w:cs="宋体"/>
          <w:color w:val="000000" w:themeColor="text1"/>
          <w:sz w:val="24"/>
          <w:lang w:eastAsia="zh-CN"/>
          <w14:textFill>
            <w14:solidFill>
              <w14:schemeClr w14:val="tx1"/>
            </w14:solidFill>
          </w14:textFill>
        </w:rPr>
        <w:t>青海红十字医院康复数字化信息管理系统等三项（第二次）</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sz w:val="24"/>
          <w:lang w:eastAsia="zh-CN"/>
          <w14:textFill>
            <w14:solidFill>
              <w14:schemeClr w14:val="tx1"/>
            </w14:solidFill>
          </w14:textFill>
        </w:rPr>
        <w:t>青海国焱竞磋（货物）202</w:t>
      </w:r>
      <w:r>
        <w:rPr>
          <w:rFonts w:hint="eastAsia" w:ascii="宋体" w:hAnsi="宋体" w:cs="宋体"/>
          <w:color w:val="000000" w:themeColor="text1"/>
          <w:sz w:val="24"/>
          <w:lang w:val="en-US" w:eastAsia="zh-CN"/>
          <w14:textFill>
            <w14:solidFill>
              <w14:schemeClr w14:val="tx1"/>
            </w14:solidFill>
          </w14:textFill>
        </w:rPr>
        <w:t>5-083</w:t>
      </w:r>
      <w:r>
        <w:rPr>
          <w:rFonts w:hint="eastAsia" w:ascii="宋体" w:hAnsi="宋体" w:cs="宋体"/>
          <w:color w:val="000000" w:themeColor="text1"/>
          <w:sz w:val="24"/>
          <w:lang w:eastAsia="zh-CN"/>
          <w14:textFill>
            <w14:solidFill>
              <w14:schemeClr w14:val="tx1"/>
            </w14:solidFill>
          </w14:textFill>
        </w:rPr>
        <w:t>号</w:t>
      </w:r>
      <w:r>
        <w:rPr>
          <w:rFonts w:hint="eastAsia" w:ascii="宋体" w:hAnsi="宋体" w:cs="宋体"/>
          <w:color w:val="000000" w:themeColor="text1"/>
          <w:sz w:val="24"/>
          <w14:textFill>
            <w14:solidFill>
              <w14:schemeClr w14:val="tx1"/>
            </w14:solidFill>
          </w14:textFill>
        </w:rPr>
        <w:t>）的磋商文件要求和采购代理机构出具的《成交通知书》，并经双方协商一致，签订本合同协议书。</w:t>
      </w:r>
    </w:p>
    <w:p w14:paraId="59557877">
      <w:pPr>
        <w:spacing w:line="360" w:lineRule="auto"/>
        <w:rPr>
          <w:rFonts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t>一</w:t>
      </w:r>
      <w:r>
        <w:rPr>
          <w:rFonts w:hint="eastAsia" w:ascii="宋体" w:hAnsi="宋体" w:cs="宋体"/>
          <w:b/>
          <w:color w:val="000000" w:themeColor="text1"/>
          <w:sz w:val="24"/>
          <w14:textFill>
            <w14:solidFill>
              <w14:schemeClr w14:val="tx1"/>
            </w14:solidFill>
          </w14:textFill>
        </w:rPr>
        <w:t>、签订本政府采购合同的依据</w:t>
      </w:r>
    </w:p>
    <w:p w14:paraId="3EFB5CA6">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本政府采购合同所附下列文件是构成本政府采购合同不可分割的部分：</w:t>
      </w:r>
    </w:p>
    <w:p w14:paraId="4C1E29F7">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1．磋商文件；</w:t>
      </w:r>
    </w:p>
    <w:p w14:paraId="3C3CC485">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2．磋商文件的更正、变更公告；</w:t>
      </w:r>
    </w:p>
    <w:p w14:paraId="024BE95A">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3．成交磋商供应商提交的磋商响应文件；</w:t>
      </w:r>
    </w:p>
    <w:p w14:paraId="3543DCAA">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4．磋商文件中规定的政府采购合同通用条款；</w:t>
      </w:r>
    </w:p>
    <w:p w14:paraId="07753DBB">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5．成交通知书。</w:t>
      </w:r>
    </w:p>
    <w:p w14:paraId="37CDDC7E">
      <w:pPr>
        <w:spacing w:line="360" w:lineRule="auto"/>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 xml:space="preserve">二、合同标的及金额                                          </w:t>
      </w:r>
      <w:r>
        <w:rPr>
          <w:rFonts w:hint="eastAsia" w:ascii="宋体" w:hAnsi="宋体"/>
          <w:color w:val="000000" w:themeColor="text1"/>
          <w:sz w:val="24"/>
          <w14:textFill>
            <w14:solidFill>
              <w14:schemeClr w14:val="tx1"/>
            </w14:solidFill>
          </w14:textFill>
        </w:rPr>
        <w:t>单位：    元</w:t>
      </w:r>
    </w:p>
    <w:tbl>
      <w:tblPr>
        <w:tblStyle w:val="36"/>
        <w:tblW w:w="9644" w:type="dxa"/>
        <w:tblInd w:w="103" w:type="dxa"/>
        <w:tblLayout w:type="fixed"/>
        <w:tblCellMar>
          <w:top w:w="0" w:type="dxa"/>
          <w:left w:w="108" w:type="dxa"/>
          <w:bottom w:w="0" w:type="dxa"/>
          <w:right w:w="108" w:type="dxa"/>
        </w:tblCellMar>
      </w:tblPr>
      <w:tblGrid>
        <w:gridCol w:w="1265"/>
        <w:gridCol w:w="1260"/>
        <w:gridCol w:w="1308"/>
        <w:gridCol w:w="708"/>
        <w:gridCol w:w="1560"/>
        <w:gridCol w:w="1417"/>
        <w:gridCol w:w="2126"/>
      </w:tblGrid>
      <w:tr w14:paraId="37315C3F">
        <w:tblPrEx>
          <w:tblCellMar>
            <w:top w:w="0" w:type="dxa"/>
            <w:left w:w="108" w:type="dxa"/>
            <w:bottom w:w="0" w:type="dxa"/>
            <w:right w:w="108" w:type="dxa"/>
          </w:tblCellMar>
        </w:tblPrEx>
        <w:trPr>
          <w:trHeight w:val="757" w:hRule="atLeast"/>
        </w:trPr>
        <w:tc>
          <w:tcPr>
            <w:tcW w:w="1265" w:type="dxa"/>
            <w:tcBorders>
              <w:top w:val="single" w:color="auto" w:sz="4" w:space="0"/>
              <w:left w:val="single" w:color="auto" w:sz="4" w:space="0"/>
              <w:bottom w:val="single" w:color="auto" w:sz="4" w:space="0"/>
              <w:right w:val="single" w:color="auto" w:sz="4" w:space="0"/>
            </w:tcBorders>
            <w:shd w:val="clear" w:color="auto" w:fill="FFFFFF"/>
            <w:vAlign w:val="center"/>
          </w:tcPr>
          <w:p w14:paraId="6F909208">
            <w:pPr>
              <w:spacing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序号</w:t>
            </w:r>
          </w:p>
        </w:tc>
        <w:tc>
          <w:tcPr>
            <w:tcW w:w="1260" w:type="dxa"/>
            <w:tcBorders>
              <w:top w:val="single" w:color="auto" w:sz="4" w:space="0"/>
              <w:left w:val="nil"/>
              <w:bottom w:val="single" w:color="auto" w:sz="4" w:space="0"/>
              <w:right w:val="single" w:color="auto" w:sz="4" w:space="0"/>
            </w:tcBorders>
            <w:shd w:val="clear" w:color="auto" w:fill="FFFFFF"/>
            <w:vAlign w:val="center"/>
          </w:tcPr>
          <w:p w14:paraId="183F28F5">
            <w:pPr>
              <w:spacing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标的名称</w:t>
            </w:r>
          </w:p>
        </w:tc>
        <w:tc>
          <w:tcPr>
            <w:tcW w:w="1308" w:type="dxa"/>
            <w:tcBorders>
              <w:top w:val="single" w:color="auto" w:sz="4" w:space="0"/>
              <w:left w:val="nil"/>
              <w:bottom w:val="single" w:color="auto" w:sz="4" w:space="0"/>
              <w:right w:val="single" w:color="auto" w:sz="4" w:space="0"/>
            </w:tcBorders>
            <w:shd w:val="clear" w:color="auto" w:fill="FFFFFF"/>
            <w:vAlign w:val="center"/>
          </w:tcPr>
          <w:p w14:paraId="4A12EFC8">
            <w:pPr>
              <w:spacing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型号规格</w:t>
            </w:r>
          </w:p>
        </w:tc>
        <w:tc>
          <w:tcPr>
            <w:tcW w:w="708" w:type="dxa"/>
            <w:tcBorders>
              <w:top w:val="single" w:color="auto" w:sz="4" w:space="0"/>
              <w:left w:val="nil"/>
              <w:bottom w:val="single" w:color="auto" w:sz="4" w:space="0"/>
              <w:right w:val="single" w:color="auto" w:sz="4" w:space="0"/>
            </w:tcBorders>
            <w:shd w:val="clear" w:color="auto" w:fill="FFFFFF"/>
            <w:vAlign w:val="center"/>
          </w:tcPr>
          <w:p w14:paraId="5385AF03">
            <w:pPr>
              <w:spacing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数量</w:t>
            </w:r>
          </w:p>
        </w:tc>
        <w:tc>
          <w:tcPr>
            <w:tcW w:w="1560" w:type="dxa"/>
            <w:tcBorders>
              <w:top w:val="single" w:color="auto" w:sz="4" w:space="0"/>
              <w:left w:val="nil"/>
              <w:bottom w:val="single" w:color="auto" w:sz="4" w:space="0"/>
              <w:right w:val="single" w:color="auto" w:sz="4" w:space="0"/>
            </w:tcBorders>
            <w:shd w:val="clear" w:color="auto" w:fill="FFFFFF"/>
            <w:vAlign w:val="center"/>
          </w:tcPr>
          <w:p w14:paraId="4A97DA62">
            <w:pPr>
              <w:spacing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单价</w:t>
            </w:r>
          </w:p>
        </w:tc>
        <w:tc>
          <w:tcPr>
            <w:tcW w:w="1417" w:type="dxa"/>
            <w:tcBorders>
              <w:top w:val="single" w:color="auto" w:sz="4" w:space="0"/>
              <w:left w:val="nil"/>
              <w:bottom w:val="single" w:color="auto" w:sz="4" w:space="0"/>
              <w:right w:val="single" w:color="auto" w:sz="4" w:space="0"/>
            </w:tcBorders>
            <w:shd w:val="clear" w:color="auto" w:fill="FFFFFF"/>
            <w:vAlign w:val="center"/>
          </w:tcPr>
          <w:p w14:paraId="3EA1C8B4">
            <w:pPr>
              <w:spacing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总价</w:t>
            </w:r>
          </w:p>
        </w:tc>
        <w:tc>
          <w:tcPr>
            <w:tcW w:w="2126" w:type="dxa"/>
            <w:tcBorders>
              <w:top w:val="single" w:color="auto" w:sz="4" w:space="0"/>
              <w:left w:val="nil"/>
              <w:bottom w:val="single" w:color="auto" w:sz="4" w:space="0"/>
              <w:right w:val="single" w:color="auto" w:sz="4" w:space="0"/>
            </w:tcBorders>
            <w:shd w:val="clear" w:color="auto" w:fill="FFFFFF"/>
            <w:vAlign w:val="center"/>
          </w:tcPr>
          <w:p w14:paraId="5F9D78D5">
            <w:pPr>
              <w:spacing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备注</w:t>
            </w:r>
          </w:p>
        </w:tc>
      </w:tr>
      <w:tr w14:paraId="3E7DF959">
        <w:tblPrEx>
          <w:tblCellMar>
            <w:top w:w="0" w:type="dxa"/>
            <w:left w:w="108" w:type="dxa"/>
            <w:bottom w:w="0" w:type="dxa"/>
            <w:right w:w="108" w:type="dxa"/>
          </w:tblCellMar>
        </w:tblPrEx>
        <w:trPr>
          <w:trHeight w:val="564" w:hRule="atLeast"/>
        </w:trPr>
        <w:tc>
          <w:tcPr>
            <w:tcW w:w="1265" w:type="dxa"/>
            <w:tcBorders>
              <w:top w:val="nil"/>
              <w:left w:val="single" w:color="auto" w:sz="4" w:space="0"/>
              <w:bottom w:val="single" w:color="auto" w:sz="4" w:space="0"/>
              <w:right w:val="single" w:color="auto" w:sz="4" w:space="0"/>
            </w:tcBorders>
            <w:shd w:val="clear" w:color="auto" w:fill="FFFFFF"/>
            <w:vAlign w:val="center"/>
          </w:tcPr>
          <w:p w14:paraId="7BACA0B2">
            <w:pPr>
              <w:spacing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w:t>
            </w:r>
          </w:p>
        </w:tc>
        <w:tc>
          <w:tcPr>
            <w:tcW w:w="1260" w:type="dxa"/>
            <w:tcBorders>
              <w:top w:val="nil"/>
              <w:left w:val="nil"/>
              <w:bottom w:val="single" w:color="auto" w:sz="4" w:space="0"/>
              <w:right w:val="single" w:color="auto" w:sz="4" w:space="0"/>
            </w:tcBorders>
            <w:shd w:val="clear" w:color="auto" w:fill="FFFFFF"/>
            <w:vAlign w:val="center"/>
          </w:tcPr>
          <w:p w14:paraId="289DB544">
            <w:pPr>
              <w:spacing w:line="360" w:lineRule="auto"/>
              <w:jc w:val="center"/>
              <w:rPr>
                <w:rFonts w:ascii="宋体" w:hAnsi="宋体"/>
                <w:color w:val="000000" w:themeColor="text1"/>
                <w:sz w:val="24"/>
                <w14:textFill>
                  <w14:solidFill>
                    <w14:schemeClr w14:val="tx1"/>
                  </w14:solidFill>
                </w14:textFill>
              </w:rPr>
            </w:pPr>
          </w:p>
        </w:tc>
        <w:tc>
          <w:tcPr>
            <w:tcW w:w="1308" w:type="dxa"/>
            <w:tcBorders>
              <w:top w:val="nil"/>
              <w:left w:val="nil"/>
              <w:bottom w:val="single" w:color="auto" w:sz="4" w:space="0"/>
              <w:right w:val="single" w:color="auto" w:sz="4" w:space="0"/>
            </w:tcBorders>
            <w:shd w:val="clear" w:color="auto" w:fill="FFFFFF"/>
            <w:vAlign w:val="center"/>
          </w:tcPr>
          <w:p w14:paraId="453FBB0F">
            <w:pPr>
              <w:spacing w:line="360" w:lineRule="auto"/>
              <w:jc w:val="center"/>
              <w:rPr>
                <w:rFonts w:ascii="宋体" w:hAnsi="宋体"/>
                <w:color w:val="000000" w:themeColor="text1"/>
                <w:sz w:val="24"/>
                <w14:textFill>
                  <w14:solidFill>
                    <w14:schemeClr w14:val="tx1"/>
                  </w14:solidFill>
                </w14:textFill>
              </w:rPr>
            </w:pPr>
          </w:p>
        </w:tc>
        <w:tc>
          <w:tcPr>
            <w:tcW w:w="708" w:type="dxa"/>
            <w:tcBorders>
              <w:top w:val="nil"/>
              <w:left w:val="nil"/>
              <w:bottom w:val="single" w:color="auto" w:sz="4" w:space="0"/>
              <w:right w:val="single" w:color="auto" w:sz="4" w:space="0"/>
            </w:tcBorders>
            <w:shd w:val="clear" w:color="auto" w:fill="FFFFFF"/>
            <w:vAlign w:val="center"/>
          </w:tcPr>
          <w:p w14:paraId="38F8019F">
            <w:pPr>
              <w:spacing w:line="360" w:lineRule="auto"/>
              <w:jc w:val="center"/>
              <w:rPr>
                <w:rFonts w:ascii="宋体" w:hAnsi="宋体"/>
                <w:color w:val="000000" w:themeColor="text1"/>
                <w:sz w:val="24"/>
                <w14:textFill>
                  <w14:solidFill>
                    <w14:schemeClr w14:val="tx1"/>
                  </w14:solidFill>
                </w14:textFill>
              </w:rPr>
            </w:pPr>
          </w:p>
        </w:tc>
        <w:tc>
          <w:tcPr>
            <w:tcW w:w="1560" w:type="dxa"/>
            <w:tcBorders>
              <w:top w:val="nil"/>
              <w:left w:val="nil"/>
              <w:bottom w:val="single" w:color="auto" w:sz="4" w:space="0"/>
              <w:right w:val="single" w:color="auto" w:sz="4" w:space="0"/>
            </w:tcBorders>
            <w:shd w:val="clear" w:color="auto" w:fill="FFFFFF"/>
            <w:vAlign w:val="center"/>
          </w:tcPr>
          <w:p w14:paraId="1D62FC11">
            <w:pPr>
              <w:spacing w:line="360" w:lineRule="auto"/>
              <w:jc w:val="center"/>
              <w:rPr>
                <w:rFonts w:ascii="宋体" w:hAnsi="宋体"/>
                <w:color w:val="000000" w:themeColor="text1"/>
                <w:sz w:val="24"/>
                <w14:textFill>
                  <w14:solidFill>
                    <w14:schemeClr w14:val="tx1"/>
                  </w14:solidFill>
                </w14:textFill>
              </w:rPr>
            </w:pPr>
          </w:p>
        </w:tc>
        <w:tc>
          <w:tcPr>
            <w:tcW w:w="1417" w:type="dxa"/>
            <w:tcBorders>
              <w:top w:val="nil"/>
              <w:left w:val="nil"/>
              <w:bottom w:val="single" w:color="auto" w:sz="4" w:space="0"/>
              <w:right w:val="nil"/>
            </w:tcBorders>
            <w:shd w:val="clear" w:color="auto" w:fill="FFFFFF"/>
            <w:vAlign w:val="center"/>
          </w:tcPr>
          <w:p w14:paraId="796CE0B4">
            <w:pPr>
              <w:spacing w:line="360" w:lineRule="auto"/>
              <w:jc w:val="center"/>
              <w:rPr>
                <w:rFonts w:ascii="宋体" w:hAnsi="宋体"/>
                <w:color w:val="000000" w:themeColor="text1"/>
                <w:sz w:val="24"/>
                <w14:textFill>
                  <w14:solidFill>
                    <w14:schemeClr w14:val="tx1"/>
                  </w14:solidFill>
                </w14:textFill>
              </w:rPr>
            </w:pPr>
          </w:p>
        </w:tc>
        <w:tc>
          <w:tcPr>
            <w:tcW w:w="2126" w:type="dxa"/>
            <w:tcBorders>
              <w:top w:val="nil"/>
              <w:left w:val="single" w:color="auto" w:sz="4" w:space="0"/>
              <w:bottom w:val="single" w:color="auto" w:sz="4" w:space="0"/>
              <w:right w:val="single" w:color="auto" w:sz="4" w:space="0"/>
            </w:tcBorders>
            <w:shd w:val="clear" w:color="auto" w:fill="FFFFFF"/>
            <w:vAlign w:val="center"/>
          </w:tcPr>
          <w:p w14:paraId="60F552FF">
            <w:pPr>
              <w:spacing w:line="360" w:lineRule="auto"/>
              <w:jc w:val="center"/>
              <w:rPr>
                <w:rFonts w:ascii="宋体" w:hAnsi="宋体"/>
                <w:color w:val="000000" w:themeColor="text1"/>
                <w:sz w:val="24"/>
                <w14:textFill>
                  <w14:solidFill>
                    <w14:schemeClr w14:val="tx1"/>
                  </w14:solidFill>
                </w14:textFill>
              </w:rPr>
            </w:pPr>
          </w:p>
        </w:tc>
      </w:tr>
      <w:tr w14:paraId="4335406F">
        <w:tblPrEx>
          <w:tblCellMar>
            <w:top w:w="0" w:type="dxa"/>
            <w:left w:w="108" w:type="dxa"/>
            <w:bottom w:w="0" w:type="dxa"/>
            <w:right w:w="108" w:type="dxa"/>
          </w:tblCellMar>
        </w:tblPrEx>
        <w:trPr>
          <w:trHeight w:val="702" w:hRule="atLeast"/>
        </w:trPr>
        <w:tc>
          <w:tcPr>
            <w:tcW w:w="1265" w:type="dxa"/>
            <w:tcBorders>
              <w:top w:val="nil"/>
              <w:left w:val="single" w:color="auto" w:sz="4" w:space="0"/>
              <w:bottom w:val="single" w:color="auto" w:sz="4" w:space="0"/>
              <w:right w:val="single" w:color="auto" w:sz="4" w:space="0"/>
            </w:tcBorders>
            <w:shd w:val="clear" w:color="auto" w:fill="FFFFFF"/>
            <w:vAlign w:val="center"/>
          </w:tcPr>
          <w:p w14:paraId="01D396B7">
            <w:pPr>
              <w:spacing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w:t>
            </w:r>
          </w:p>
        </w:tc>
        <w:tc>
          <w:tcPr>
            <w:tcW w:w="1260" w:type="dxa"/>
            <w:tcBorders>
              <w:top w:val="nil"/>
              <w:left w:val="nil"/>
              <w:bottom w:val="single" w:color="auto" w:sz="4" w:space="0"/>
              <w:right w:val="single" w:color="auto" w:sz="4" w:space="0"/>
            </w:tcBorders>
            <w:shd w:val="clear" w:color="auto" w:fill="FFFFFF"/>
            <w:vAlign w:val="center"/>
          </w:tcPr>
          <w:p w14:paraId="2D49939E">
            <w:pPr>
              <w:spacing w:line="360" w:lineRule="auto"/>
              <w:jc w:val="center"/>
              <w:rPr>
                <w:rFonts w:ascii="宋体" w:hAnsi="宋体"/>
                <w:color w:val="000000" w:themeColor="text1"/>
                <w:sz w:val="24"/>
                <w14:textFill>
                  <w14:solidFill>
                    <w14:schemeClr w14:val="tx1"/>
                  </w14:solidFill>
                </w14:textFill>
              </w:rPr>
            </w:pPr>
          </w:p>
        </w:tc>
        <w:tc>
          <w:tcPr>
            <w:tcW w:w="1308" w:type="dxa"/>
            <w:tcBorders>
              <w:top w:val="nil"/>
              <w:left w:val="nil"/>
              <w:bottom w:val="single" w:color="auto" w:sz="4" w:space="0"/>
              <w:right w:val="single" w:color="auto" w:sz="4" w:space="0"/>
            </w:tcBorders>
            <w:shd w:val="clear" w:color="auto" w:fill="FFFFFF"/>
            <w:vAlign w:val="center"/>
          </w:tcPr>
          <w:p w14:paraId="7AB0E386">
            <w:pPr>
              <w:spacing w:line="360" w:lineRule="auto"/>
              <w:jc w:val="center"/>
              <w:rPr>
                <w:rFonts w:ascii="宋体" w:hAnsi="宋体"/>
                <w:color w:val="000000" w:themeColor="text1"/>
                <w:sz w:val="24"/>
                <w14:textFill>
                  <w14:solidFill>
                    <w14:schemeClr w14:val="tx1"/>
                  </w14:solidFill>
                </w14:textFill>
              </w:rPr>
            </w:pPr>
          </w:p>
        </w:tc>
        <w:tc>
          <w:tcPr>
            <w:tcW w:w="708" w:type="dxa"/>
            <w:tcBorders>
              <w:top w:val="single" w:color="auto" w:sz="4" w:space="0"/>
              <w:left w:val="nil"/>
              <w:bottom w:val="single" w:color="auto" w:sz="4" w:space="0"/>
              <w:right w:val="single" w:color="auto" w:sz="4" w:space="0"/>
            </w:tcBorders>
            <w:shd w:val="clear" w:color="auto" w:fill="FFFFFF"/>
            <w:vAlign w:val="center"/>
          </w:tcPr>
          <w:p w14:paraId="6F157553">
            <w:pPr>
              <w:spacing w:line="360" w:lineRule="auto"/>
              <w:jc w:val="center"/>
              <w:rPr>
                <w:rFonts w:ascii="宋体" w:hAnsi="宋体"/>
                <w:color w:val="000000" w:themeColor="text1"/>
                <w:sz w:val="24"/>
                <w14:textFill>
                  <w14:solidFill>
                    <w14:schemeClr w14:val="tx1"/>
                  </w14:solidFill>
                </w14:textFill>
              </w:rPr>
            </w:pPr>
          </w:p>
        </w:tc>
        <w:tc>
          <w:tcPr>
            <w:tcW w:w="1560" w:type="dxa"/>
            <w:tcBorders>
              <w:top w:val="nil"/>
              <w:left w:val="nil"/>
              <w:bottom w:val="single" w:color="auto" w:sz="4" w:space="0"/>
              <w:right w:val="single" w:color="auto" w:sz="4" w:space="0"/>
            </w:tcBorders>
            <w:shd w:val="clear" w:color="auto" w:fill="FFFFFF"/>
            <w:vAlign w:val="center"/>
          </w:tcPr>
          <w:p w14:paraId="2542F5DA">
            <w:pPr>
              <w:spacing w:line="360" w:lineRule="auto"/>
              <w:jc w:val="center"/>
              <w:rPr>
                <w:rFonts w:ascii="宋体" w:hAnsi="宋体"/>
                <w:color w:val="000000" w:themeColor="text1"/>
                <w:sz w:val="24"/>
                <w14:textFill>
                  <w14:solidFill>
                    <w14:schemeClr w14:val="tx1"/>
                  </w14:solidFill>
                </w14:textFill>
              </w:rPr>
            </w:pPr>
          </w:p>
        </w:tc>
        <w:tc>
          <w:tcPr>
            <w:tcW w:w="1417" w:type="dxa"/>
            <w:tcBorders>
              <w:top w:val="nil"/>
              <w:left w:val="nil"/>
              <w:bottom w:val="single" w:color="auto" w:sz="4" w:space="0"/>
              <w:right w:val="nil"/>
            </w:tcBorders>
            <w:shd w:val="clear" w:color="auto" w:fill="FFFFFF"/>
            <w:vAlign w:val="center"/>
          </w:tcPr>
          <w:p w14:paraId="14DE7A0C">
            <w:pPr>
              <w:spacing w:line="360" w:lineRule="auto"/>
              <w:jc w:val="center"/>
              <w:rPr>
                <w:rFonts w:ascii="宋体" w:hAnsi="宋体"/>
                <w:color w:val="000000" w:themeColor="text1"/>
                <w:sz w:val="24"/>
                <w14:textFill>
                  <w14:solidFill>
                    <w14:schemeClr w14:val="tx1"/>
                  </w14:solidFill>
                </w14:textFill>
              </w:rPr>
            </w:pPr>
          </w:p>
        </w:tc>
        <w:tc>
          <w:tcPr>
            <w:tcW w:w="2126" w:type="dxa"/>
            <w:tcBorders>
              <w:top w:val="nil"/>
              <w:left w:val="single" w:color="auto" w:sz="4" w:space="0"/>
              <w:bottom w:val="single" w:color="auto" w:sz="4" w:space="0"/>
              <w:right w:val="single" w:color="auto" w:sz="4" w:space="0"/>
            </w:tcBorders>
            <w:shd w:val="clear" w:color="auto" w:fill="FFFFFF"/>
            <w:vAlign w:val="center"/>
          </w:tcPr>
          <w:p w14:paraId="35FCEDA2">
            <w:pPr>
              <w:spacing w:line="360" w:lineRule="auto"/>
              <w:jc w:val="center"/>
              <w:rPr>
                <w:rFonts w:ascii="宋体" w:hAnsi="宋体"/>
                <w:color w:val="000000" w:themeColor="text1"/>
                <w:sz w:val="24"/>
                <w14:textFill>
                  <w14:solidFill>
                    <w14:schemeClr w14:val="tx1"/>
                  </w14:solidFill>
                </w14:textFill>
              </w:rPr>
            </w:pPr>
          </w:p>
        </w:tc>
      </w:tr>
      <w:tr w14:paraId="71C97173">
        <w:tblPrEx>
          <w:tblCellMar>
            <w:top w:w="0" w:type="dxa"/>
            <w:left w:w="108" w:type="dxa"/>
            <w:bottom w:w="0" w:type="dxa"/>
            <w:right w:w="108" w:type="dxa"/>
          </w:tblCellMar>
        </w:tblPrEx>
        <w:trPr>
          <w:trHeight w:val="702" w:hRule="atLeast"/>
        </w:trPr>
        <w:tc>
          <w:tcPr>
            <w:tcW w:w="1265" w:type="dxa"/>
            <w:tcBorders>
              <w:top w:val="single" w:color="auto" w:sz="4" w:space="0"/>
              <w:left w:val="single" w:color="auto" w:sz="4" w:space="0"/>
              <w:bottom w:val="single" w:color="auto" w:sz="4" w:space="0"/>
              <w:right w:val="single" w:color="auto" w:sz="4" w:space="0"/>
            </w:tcBorders>
            <w:shd w:val="clear" w:color="auto" w:fill="FFFFFF"/>
            <w:vAlign w:val="center"/>
          </w:tcPr>
          <w:p w14:paraId="6CF5C155">
            <w:pPr>
              <w:spacing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w:t>
            </w:r>
          </w:p>
        </w:tc>
        <w:tc>
          <w:tcPr>
            <w:tcW w:w="1260" w:type="dxa"/>
            <w:tcBorders>
              <w:top w:val="single" w:color="auto" w:sz="4" w:space="0"/>
              <w:left w:val="nil"/>
              <w:bottom w:val="single" w:color="auto" w:sz="4" w:space="0"/>
              <w:right w:val="single" w:color="auto" w:sz="4" w:space="0"/>
            </w:tcBorders>
            <w:shd w:val="clear" w:color="auto" w:fill="FFFFFF"/>
            <w:vAlign w:val="center"/>
          </w:tcPr>
          <w:p w14:paraId="2B06C002">
            <w:pPr>
              <w:spacing w:line="360" w:lineRule="auto"/>
              <w:jc w:val="center"/>
              <w:rPr>
                <w:rFonts w:ascii="宋体" w:hAnsi="宋体"/>
                <w:color w:val="000000" w:themeColor="text1"/>
                <w:sz w:val="24"/>
                <w14:textFill>
                  <w14:solidFill>
                    <w14:schemeClr w14:val="tx1"/>
                  </w14:solidFill>
                </w14:textFill>
              </w:rPr>
            </w:pPr>
          </w:p>
        </w:tc>
        <w:tc>
          <w:tcPr>
            <w:tcW w:w="1308" w:type="dxa"/>
            <w:tcBorders>
              <w:top w:val="single" w:color="auto" w:sz="4" w:space="0"/>
              <w:left w:val="nil"/>
              <w:bottom w:val="single" w:color="auto" w:sz="4" w:space="0"/>
              <w:right w:val="single" w:color="auto" w:sz="4" w:space="0"/>
            </w:tcBorders>
            <w:shd w:val="clear" w:color="auto" w:fill="FFFFFF"/>
            <w:vAlign w:val="center"/>
          </w:tcPr>
          <w:p w14:paraId="3D00D662">
            <w:pPr>
              <w:spacing w:line="360" w:lineRule="auto"/>
              <w:jc w:val="center"/>
              <w:rPr>
                <w:rFonts w:ascii="宋体" w:hAnsi="宋体"/>
                <w:color w:val="000000" w:themeColor="text1"/>
                <w:sz w:val="24"/>
                <w14:textFill>
                  <w14:solidFill>
                    <w14:schemeClr w14:val="tx1"/>
                  </w14:solidFill>
                </w14:textFill>
              </w:rPr>
            </w:pPr>
          </w:p>
        </w:tc>
        <w:tc>
          <w:tcPr>
            <w:tcW w:w="708" w:type="dxa"/>
            <w:tcBorders>
              <w:top w:val="single" w:color="auto" w:sz="4" w:space="0"/>
              <w:left w:val="nil"/>
              <w:bottom w:val="single" w:color="auto" w:sz="4" w:space="0"/>
              <w:right w:val="single" w:color="auto" w:sz="4" w:space="0"/>
            </w:tcBorders>
            <w:shd w:val="clear" w:color="auto" w:fill="FFFFFF"/>
            <w:vAlign w:val="center"/>
          </w:tcPr>
          <w:p w14:paraId="642D3648">
            <w:pPr>
              <w:spacing w:line="360" w:lineRule="auto"/>
              <w:jc w:val="center"/>
              <w:rPr>
                <w:rFonts w:ascii="宋体" w:hAnsi="宋体"/>
                <w:color w:val="000000" w:themeColor="text1"/>
                <w:sz w:val="24"/>
                <w14:textFill>
                  <w14:solidFill>
                    <w14:schemeClr w14:val="tx1"/>
                  </w14:solidFill>
                </w14:textFill>
              </w:rPr>
            </w:pPr>
          </w:p>
        </w:tc>
        <w:tc>
          <w:tcPr>
            <w:tcW w:w="1560" w:type="dxa"/>
            <w:tcBorders>
              <w:top w:val="single" w:color="auto" w:sz="4" w:space="0"/>
              <w:left w:val="nil"/>
              <w:bottom w:val="single" w:color="auto" w:sz="4" w:space="0"/>
              <w:right w:val="single" w:color="auto" w:sz="4" w:space="0"/>
            </w:tcBorders>
            <w:shd w:val="clear" w:color="auto" w:fill="FFFFFF"/>
            <w:vAlign w:val="center"/>
          </w:tcPr>
          <w:p w14:paraId="35884957">
            <w:pPr>
              <w:spacing w:line="360" w:lineRule="auto"/>
              <w:jc w:val="center"/>
              <w:rPr>
                <w:rFonts w:ascii="宋体" w:hAnsi="宋体"/>
                <w:color w:val="000000" w:themeColor="text1"/>
                <w:sz w:val="24"/>
                <w14:textFill>
                  <w14:solidFill>
                    <w14:schemeClr w14:val="tx1"/>
                  </w14:solidFill>
                </w14:textFill>
              </w:rPr>
            </w:pPr>
          </w:p>
        </w:tc>
        <w:tc>
          <w:tcPr>
            <w:tcW w:w="1417" w:type="dxa"/>
            <w:tcBorders>
              <w:top w:val="single" w:color="auto" w:sz="4" w:space="0"/>
              <w:left w:val="nil"/>
              <w:bottom w:val="single" w:color="auto" w:sz="4" w:space="0"/>
              <w:right w:val="nil"/>
            </w:tcBorders>
            <w:shd w:val="clear" w:color="auto" w:fill="FFFFFF"/>
            <w:vAlign w:val="center"/>
          </w:tcPr>
          <w:p w14:paraId="487258A2">
            <w:pPr>
              <w:spacing w:line="360" w:lineRule="auto"/>
              <w:jc w:val="center"/>
              <w:rPr>
                <w:rFonts w:ascii="宋体" w:hAnsi="宋体"/>
                <w:color w:val="000000" w:themeColor="text1"/>
                <w:sz w:val="24"/>
                <w14:textFill>
                  <w14:solidFill>
                    <w14:schemeClr w14:val="tx1"/>
                  </w14:solidFill>
                </w14:textFill>
              </w:rPr>
            </w:pPr>
          </w:p>
        </w:tc>
        <w:tc>
          <w:tcPr>
            <w:tcW w:w="2126" w:type="dxa"/>
            <w:tcBorders>
              <w:top w:val="single" w:color="auto" w:sz="4" w:space="0"/>
              <w:left w:val="single" w:color="auto" w:sz="4" w:space="0"/>
              <w:bottom w:val="single" w:color="auto" w:sz="4" w:space="0"/>
              <w:right w:val="single" w:color="auto" w:sz="4" w:space="0"/>
            </w:tcBorders>
            <w:shd w:val="clear" w:color="auto" w:fill="FFFFFF"/>
            <w:vAlign w:val="center"/>
          </w:tcPr>
          <w:p w14:paraId="65BF2A5F">
            <w:pPr>
              <w:spacing w:line="360" w:lineRule="auto"/>
              <w:jc w:val="center"/>
              <w:rPr>
                <w:rFonts w:ascii="宋体" w:hAnsi="宋体"/>
                <w:color w:val="000000" w:themeColor="text1"/>
                <w:sz w:val="24"/>
                <w14:textFill>
                  <w14:solidFill>
                    <w14:schemeClr w14:val="tx1"/>
                  </w14:solidFill>
                </w14:textFill>
              </w:rPr>
            </w:pPr>
          </w:p>
        </w:tc>
      </w:tr>
    </w:tbl>
    <w:p w14:paraId="58123B0B">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根据上述政府采购合同文件要求，本政府采购合同的总金额为人民币（大写）</w:t>
      </w:r>
      <w:r>
        <w:rPr>
          <w:rFonts w:hint="eastAsia" w:ascii="宋体" w:hAnsi="宋体"/>
          <w:color w:val="000000" w:themeColor="text1"/>
          <w:sz w:val="24"/>
          <w:u w:val="single"/>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元。</w:t>
      </w:r>
    </w:p>
    <w:p w14:paraId="4E6FEEFC">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本合同以人民币进行结算，合同总价包括：</w:t>
      </w:r>
      <w:r>
        <w:rPr>
          <w:rFonts w:hint="eastAsia" w:hAnsi="宋体"/>
          <w:color w:val="000000" w:themeColor="text1"/>
          <w:sz w:val="24"/>
          <w14:textFill>
            <w14:solidFill>
              <w14:schemeClr w14:val="tx1"/>
            </w14:solidFill>
          </w14:textFill>
        </w:rPr>
        <w:t>磋商报价必须包括：</w:t>
      </w:r>
      <w:r>
        <w:rPr>
          <w:rFonts w:hint="eastAsia" w:ascii="Arial" w:hAnsi="Arial" w:cs="Arial"/>
          <w:color w:val="000000" w:themeColor="text1"/>
          <w:sz w:val="24"/>
          <w:szCs w:val="28"/>
          <w:lang w:val="zh-CN"/>
          <w14:textFill>
            <w14:solidFill>
              <w14:schemeClr w14:val="tx1"/>
            </w14:solidFill>
          </w14:textFill>
        </w:rPr>
        <w:t>完成本项目可能发生的各项费用，分别为安装调试、验收、售后维保、培训、实施人员工资、交通、利润、税收、</w:t>
      </w:r>
      <w:r>
        <w:rPr>
          <w:rFonts w:hint="eastAsia" w:ascii="Arial" w:hAnsi="Arial" w:cs="Arial"/>
          <w:color w:val="000000" w:themeColor="text1"/>
          <w:sz w:val="24"/>
          <w:szCs w:val="28"/>
          <w14:textFill>
            <w14:solidFill>
              <w14:schemeClr w14:val="tx1"/>
            </w14:solidFill>
          </w14:textFill>
        </w:rPr>
        <w:t>医</w:t>
      </w:r>
      <w:r>
        <w:rPr>
          <w:rFonts w:hint="eastAsia" w:ascii="Arial" w:hAnsi="Arial" w:cs="Arial"/>
          <w:color w:val="000000" w:themeColor="text1"/>
          <w:sz w:val="24"/>
          <w:szCs w:val="28"/>
          <w:lang w:val="zh-CN"/>
          <w14:textFill>
            <w14:solidFill>
              <w14:schemeClr w14:val="tx1"/>
            </w14:solidFill>
          </w14:textFill>
        </w:rPr>
        <w:t>院现有软件信息系统接口费以及所有有关的管理成本和其他不可预见费等全部费用，</w:t>
      </w:r>
      <w:r>
        <w:rPr>
          <w:rFonts w:hint="eastAsia" w:ascii="Arial" w:hAnsi="Arial" w:cs="Arial"/>
          <w:color w:val="000000" w:themeColor="text1"/>
          <w:sz w:val="24"/>
          <w:szCs w:val="28"/>
          <w14:textFill>
            <w14:solidFill>
              <w14:schemeClr w14:val="tx1"/>
            </w14:solidFill>
          </w14:textFill>
        </w:rPr>
        <w:t>甲方不再另行支付其他费用</w:t>
      </w:r>
      <w:r>
        <w:rPr>
          <w:rFonts w:hint="eastAsia" w:ascii="Arial" w:hAnsi="Arial" w:cs="Arial"/>
          <w:color w:val="000000" w:themeColor="text1"/>
          <w:sz w:val="24"/>
          <w:szCs w:val="28"/>
          <w:lang w:val="zh-CN"/>
          <w14:textFill>
            <w14:solidFill>
              <w14:schemeClr w14:val="tx1"/>
            </w14:solidFill>
          </w14:textFill>
        </w:rPr>
        <w:t>。</w:t>
      </w:r>
    </w:p>
    <w:p w14:paraId="37301928">
      <w:pPr>
        <w:spacing w:line="360" w:lineRule="auto"/>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三、交付时间、地点和要求</w:t>
      </w:r>
    </w:p>
    <w:p w14:paraId="4B41E4AE">
      <w:pPr>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olor w:val="000000" w:themeColor="text1"/>
          <w:sz w:val="24"/>
          <w14:textFill>
            <w14:solidFill>
              <w14:schemeClr w14:val="tx1"/>
            </w14:solidFill>
          </w14:textFill>
        </w:rPr>
        <w:t>1.交货期：自合同签订后60个日历日内完成安装并调试到位</w:t>
      </w:r>
      <w:r>
        <w:rPr>
          <w:rFonts w:hint="eastAsia" w:ascii="宋体" w:hAnsi="宋体" w:cs="宋体"/>
          <w:color w:val="000000" w:themeColor="text1"/>
          <w:kern w:val="0"/>
          <w:sz w:val="24"/>
          <w:lang w:val="zh-CN"/>
          <w14:textFill>
            <w14:solidFill>
              <w14:schemeClr w14:val="tx1"/>
            </w14:solidFill>
          </w14:textFill>
        </w:rPr>
        <w:t>；</w:t>
      </w:r>
    </w:p>
    <w:p w14:paraId="39EEB630">
      <w:pPr>
        <w:spacing w:line="360" w:lineRule="auto"/>
        <w:ind w:firstLine="240" w:firstLineChars="1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交货地点：</w:t>
      </w:r>
      <w:bookmarkStart w:id="76" w:name="_Hlk497746416"/>
      <w:r>
        <w:rPr>
          <w:rFonts w:hint="eastAsia" w:ascii="宋体" w:hAnsi="宋体"/>
          <w:color w:val="000000" w:themeColor="text1"/>
          <w:sz w:val="24"/>
          <w14:textFill>
            <w14:solidFill>
              <w14:schemeClr w14:val="tx1"/>
            </w14:solidFill>
          </w14:textFill>
        </w:rPr>
        <w:t>青海红十字医院；</w:t>
      </w:r>
    </w:p>
    <w:p w14:paraId="15D01426">
      <w:pPr>
        <w:pStyle w:val="12"/>
        <w:rPr>
          <w:color w:val="000000" w:themeColor="text1"/>
          <w14:textFill>
            <w14:solidFill>
              <w14:schemeClr w14:val="tx1"/>
            </w14:solidFill>
          </w14:textFill>
        </w:rPr>
      </w:pPr>
      <w:r>
        <w:rPr>
          <w:rFonts w:hint="eastAsia" w:ascii="宋体" w:hAnsi="宋体"/>
          <w:color w:val="000000" w:themeColor="text1"/>
          <w:sz w:val="24"/>
          <w14:textFill>
            <w14:solidFill>
              <w14:schemeClr w14:val="tx1"/>
            </w14:solidFill>
          </w14:textFill>
        </w:rPr>
        <w:t xml:space="preserve">  质保期：本次项目中涉及的系统软件及硬件设备须至少提供三年免费质保服务</w:t>
      </w:r>
      <w:r>
        <w:rPr>
          <w:rFonts w:hint="eastAsia" w:ascii="宋体" w:hAnsi="Calibri" w:cs="宋体"/>
          <w:color w:val="000000" w:themeColor="text1"/>
          <w:sz w:val="24"/>
          <w14:textFill>
            <w14:solidFill>
              <w14:schemeClr w14:val="tx1"/>
            </w14:solidFill>
          </w14:textFill>
        </w:rPr>
        <w:t>；</w:t>
      </w:r>
    </w:p>
    <w:bookmarkEnd w:id="76"/>
    <w:p w14:paraId="6AA1BEEF">
      <w:pPr>
        <w:spacing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2.乙方提供不符合磋商响应文件和本合同规定的产品，甲方有权拒绝接受；</w:t>
      </w:r>
    </w:p>
    <w:p w14:paraId="5A26BB74">
      <w:pPr>
        <w:spacing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3.乙方应将提供产品的装箱清单、用户手册、原厂保修卡、随机资料、工具和备品、备件等（如有）交付给甲方，如有缺失应及时补齐，否则视为逾期交货；</w:t>
      </w:r>
    </w:p>
    <w:p w14:paraId="1AF228CF">
      <w:pPr>
        <w:spacing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4.甲方应当在到货（安装、调试完）后10个工作日内进行验收，逾期不验收的，乙方可视为验收合格。验收合格后，由甲乙双方签署产品验收单并加盖采购单位公章，甲乙双方各执一份；</w:t>
      </w:r>
    </w:p>
    <w:p w14:paraId="5714549B">
      <w:pPr>
        <w:spacing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5.甲方在验收过程中发现乙方有违约问题，可按磋商响应文件的规定要求乙方及时予以解决；</w:t>
      </w:r>
    </w:p>
    <w:p w14:paraId="41FE9C1E">
      <w:pPr>
        <w:spacing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6.乙方向甲方提供产品相关完税销售发票。</w:t>
      </w:r>
    </w:p>
    <w:p w14:paraId="5FB8149F">
      <w:pPr>
        <w:spacing w:line="360" w:lineRule="auto"/>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四、付款方式</w:t>
      </w:r>
    </w:p>
    <w:p w14:paraId="33FBFCEA">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合同签订后 15个工作日内乙方按合同总金额的 10%向甲方缴纳履约保证金。免费质保期自最终验收合格之日起计算，乙方完全按照合同要求提供免费售后服务期(三年)满后，甲方收到乙方提出书面申请后10个工作日内无息返还履约保证金。</w:t>
      </w:r>
    </w:p>
    <w:p w14:paraId="65227F16">
      <w:pPr>
        <w:widowControl w:val="0"/>
        <w:spacing w:line="360" w:lineRule="auto"/>
        <w:ind w:firstLine="482"/>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全院系统上线正常使用1个月且通过初步验收后10个工作日内，甲方向乙方支付合同总金额的20%；项目通过最终验收双方签署最终验收报告后10个工作日内，甲方向乙方支付合同总金额的80%。</w:t>
      </w:r>
    </w:p>
    <w:p w14:paraId="77726646">
      <w:pPr>
        <w:spacing w:line="360" w:lineRule="auto"/>
        <w:ind w:firstLine="480"/>
        <w:rPr>
          <w:rFonts w:ascii="宋体" w:hAnsi="宋体"/>
          <w:color w:val="000000" w:themeColor="text1"/>
          <w14:textFill>
            <w14:solidFill>
              <w14:schemeClr w14:val="tx1"/>
            </w14:solidFill>
          </w14:textFill>
        </w:rPr>
      </w:pPr>
      <w:r>
        <w:rPr>
          <w:rFonts w:hint="eastAsia" w:ascii="宋体" w:hAnsi="宋体" w:cs="宋体"/>
          <w:color w:val="000000" w:themeColor="text1"/>
          <w:sz w:val="24"/>
          <w14:textFill>
            <w14:solidFill>
              <w14:schemeClr w14:val="tx1"/>
            </w14:solidFill>
          </w14:textFill>
        </w:rPr>
        <w:t>付款前，乙方需按甲方要求提供符合甲方要求的增值税普通发票。甲方确认发票内容及金额无误后,向乙方支付款项。乙方未提供发票，或者提供发票的内容或金额有误的，甲方有权拒绝支付相应款项。</w:t>
      </w:r>
    </w:p>
    <w:p w14:paraId="7ACA9239">
      <w:pPr>
        <w:autoSpaceDE w:val="0"/>
        <w:autoSpaceDN w:val="0"/>
        <w:spacing w:line="360" w:lineRule="auto"/>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五、合同的变更、终止与转让</w:t>
      </w:r>
    </w:p>
    <w:p w14:paraId="48588C38">
      <w:pPr>
        <w:spacing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1．除《中华人民共和国政府采购法》第50条规定的情形外，本合同一经签订，甲乙双方不得擅自变更、中止或终止；</w:t>
      </w:r>
    </w:p>
    <w:p w14:paraId="08080F66">
      <w:pPr>
        <w:spacing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2．乙方不得擅自转让其应履行的合同义务。</w:t>
      </w:r>
    </w:p>
    <w:p w14:paraId="3843615F">
      <w:pPr>
        <w:spacing w:line="360" w:lineRule="auto"/>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六、违约责任</w:t>
      </w:r>
    </w:p>
    <w:p w14:paraId="0BFB3E86">
      <w:pPr>
        <w:spacing w:line="360" w:lineRule="auto"/>
        <w:ind w:firstLine="480" w:firstLineChars="200"/>
        <w:rPr>
          <w:rFonts w:ascii="Arial" w:hAnsi="Arial" w:cs="Arial"/>
          <w:color w:val="000000" w:themeColor="text1"/>
          <w:sz w:val="24"/>
          <w14:textFill>
            <w14:solidFill>
              <w14:schemeClr w14:val="tx1"/>
            </w14:solidFill>
          </w14:textFill>
        </w:rPr>
      </w:pPr>
      <w:r>
        <w:rPr>
          <w:rFonts w:hint="eastAsia" w:ascii="Arial" w:hAnsi="Arial" w:cs="Arial"/>
          <w:color w:val="000000" w:themeColor="text1"/>
          <w:sz w:val="24"/>
          <w14:textFill>
            <w14:solidFill>
              <w14:schemeClr w14:val="tx1"/>
            </w14:solidFill>
          </w14:textFill>
        </w:rPr>
        <w:t>当事人一方不履行合同义务或者履行合同义务不符合约定的，应当承担继续履行、采取补救措施或者赔偿损失等违约责任，具体违约责任如下：</w:t>
      </w:r>
    </w:p>
    <w:p w14:paraId="409A5952">
      <w:pPr>
        <w:spacing w:line="360" w:lineRule="auto"/>
        <w:rPr>
          <w:rFonts w:ascii="Arial" w:hAnsi="Arial" w:cs="Arial"/>
          <w:color w:val="000000" w:themeColor="text1"/>
          <w:sz w:val="24"/>
          <w14:textFill>
            <w14:solidFill>
              <w14:schemeClr w14:val="tx1"/>
            </w14:solidFill>
          </w14:textFill>
        </w:rPr>
      </w:pPr>
      <w:r>
        <w:rPr>
          <w:rFonts w:hint="eastAsia" w:ascii="Arial" w:hAnsi="Arial" w:cs="Arial"/>
          <w:color w:val="000000" w:themeColor="text1"/>
          <w:sz w:val="24"/>
          <w14:textFill>
            <w14:solidFill>
              <w14:schemeClr w14:val="tx1"/>
            </w14:solidFill>
          </w14:textFill>
        </w:rPr>
        <w:t>1、乙方延迟交付产品，每延迟一天，按合同总额的3％支付违约金。</w:t>
      </w:r>
    </w:p>
    <w:p w14:paraId="7C6172EE">
      <w:pPr>
        <w:spacing w:line="360" w:lineRule="auto"/>
        <w:rPr>
          <w:rFonts w:ascii="Arial" w:hAnsi="Arial" w:cs="Arial"/>
          <w:color w:val="000000" w:themeColor="text1"/>
          <w:sz w:val="24"/>
          <w14:textFill>
            <w14:solidFill>
              <w14:schemeClr w14:val="tx1"/>
            </w14:solidFill>
          </w14:textFill>
        </w:rPr>
      </w:pPr>
      <w:r>
        <w:rPr>
          <w:rFonts w:hint="eastAsia" w:ascii="Arial" w:hAnsi="Arial" w:cs="Arial"/>
          <w:color w:val="000000" w:themeColor="text1"/>
          <w:sz w:val="24"/>
          <w14:textFill>
            <w14:solidFill>
              <w14:schemeClr w14:val="tx1"/>
            </w14:solidFill>
          </w14:textFill>
        </w:rPr>
        <w:t>2、如乙方不能按照合同约定交付产品，或者乙方向甲方所交产品生产厂家、品牌、规格型号、数量、质量等不符合磋商、响应文件及本合同规定，甲方有权退货，收回已付合同价款，并要求乙方按合同总金额的20%向甲方支付违约金。</w:t>
      </w:r>
    </w:p>
    <w:p w14:paraId="418313FD">
      <w:pPr>
        <w:spacing w:line="360" w:lineRule="auto"/>
        <w:rPr>
          <w:rFonts w:ascii="Arial" w:hAnsi="Arial" w:cs="Arial"/>
          <w:color w:val="000000" w:themeColor="text1"/>
          <w:sz w:val="24"/>
          <w14:textFill>
            <w14:solidFill>
              <w14:schemeClr w14:val="tx1"/>
            </w14:solidFill>
          </w14:textFill>
        </w:rPr>
      </w:pPr>
      <w:r>
        <w:rPr>
          <w:rFonts w:hint="eastAsia" w:ascii="Arial" w:hAnsi="Arial" w:cs="Arial"/>
          <w:color w:val="000000" w:themeColor="text1"/>
          <w:sz w:val="24"/>
          <w14:textFill>
            <w14:solidFill>
              <w14:schemeClr w14:val="tx1"/>
            </w14:solidFill>
          </w14:textFill>
        </w:rPr>
        <w:t>3、乙方不按期履行合同义务或履行合同义务不符合磋商、响应文件及本合同要求的，并经甲方提示后30日内仍不履行或不符合要求的，甲方有权解除合同，并要求乙方按合同总金额的20%向甲方支付违约金，乙方对甲方的损失承担赔偿责任。</w:t>
      </w:r>
    </w:p>
    <w:p w14:paraId="5CA2B0BE">
      <w:pPr>
        <w:spacing w:line="360" w:lineRule="auto"/>
        <w:rPr>
          <w:rFonts w:ascii="Arial" w:hAnsi="Arial" w:cs="Arial"/>
          <w:color w:val="000000" w:themeColor="text1"/>
          <w:sz w:val="24"/>
          <w14:textFill>
            <w14:solidFill>
              <w14:schemeClr w14:val="tx1"/>
            </w14:solidFill>
          </w14:textFill>
        </w:rPr>
      </w:pPr>
      <w:r>
        <w:rPr>
          <w:rFonts w:hint="eastAsia" w:ascii="Arial" w:hAnsi="Arial" w:cs="Arial"/>
          <w:color w:val="000000" w:themeColor="text1"/>
          <w:sz w:val="24"/>
          <w14:textFill>
            <w14:solidFill>
              <w14:schemeClr w14:val="tx1"/>
            </w14:solidFill>
          </w14:textFill>
        </w:rPr>
        <w:t>4、乙方承诺所供产品全部为正品行货，产品质量应符合磋商、响应文件及国家质量标准。因乙方产品质量问题或者安装不当等引发医疗纠纷、安全事故或给甲方工作造成不良影响，对甲方物资、设备、声誉等造成损坏（影响），均由乙方承担全部法律及经济责任并负责进行赔偿。</w:t>
      </w:r>
    </w:p>
    <w:p w14:paraId="68634F13">
      <w:pPr>
        <w:spacing w:line="360" w:lineRule="auto"/>
        <w:rPr>
          <w:rFonts w:ascii="Arial" w:hAnsi="Arial" w:cs="Arial"/>
          <w:color w:val="000000" w:themeColor="text1"/>
          <w:sz w:val="24"/>
          <w14:textFill>
            <w14:solidFill>
              <w14:schemeClr w14:val="tx1"/>
            </w14:solidFill>
          </w14:textFill>
        </w:rPr>
      </w:pPr>
      <w:r>
        <w:rPr>
          <w:rFonts w:hint="eastAsia" w:ascii="Arial" w:hAnsi="Arial" w:cs="Arial"/>
          <w:color w:val="000000" w:themeColor="text1"/>
          <w:sz w:val="24"/>
          <w14:textFill>
            <w14:solidFill>
              <w14:schemeClr w14:val="tx1"/>
            </w14:solidFill>
          </w14:textFill>
        </w:rPr>
        <w:t>5、乙方向甲方开具的发票必须是合法票据，否则，一切经济和法律责任由乙方承担。</w:t>
      </w:r>
    </w:p>
    <w:p w14:paraId="44DD74E0">
      <w:pPr>
        <w:spacing w:line="360" w:lineRule="auto"/>
        <w:rPr>
          <w:rFonts w:ascii="Arial" w:hAnsi="Arial" w:cs="Arial"/>
          <w:color w:val="000000" w:themeColor="text1"/>
          <w:sz w:val="24"/>
          <w14:textFill>
            <w14:solidFill>
              <w14:schemeClr w14:val="tx1"/>
            </w14:solidFill>
          </w14:textFill>
        </w:rPr>
      </w:pPr>
      <w:r>
        <w:rPr>
          <w:rFonts w:hint="eastAsia" w:ascii="Arial" w:hAnsi="Arial" w:cs="Arial"/>
          <w:color w:val="000000" w:themeColor="text1"/>
          <w:sz w:val="24"/>
          <w14:textFill>
            <w14:solidFill>
              <w14:schemeClr w14:val="tx1"/>
            </w14:solidFill>
          </w14:textFill>
        </w:rPr>
        <w:t>6、如因乙方违约，双方未能就赔偿损失达成协议，引起诉讼时，乙方除应赔偿甲方经济损失外，还应承担因诉讼所支付的诉讼费、保全费、律师代理费等相关费用。</w:t>
      </w:r>
    </w:p>
    <w:p w14:paraId="7ED9A191">
      <w:pPr>
        <w:spacing w:line="360" w:lineRule="auto"/>
        <w:rPr>
          <w:rFonts w:ascii="Arial" w:hAnsi="Arial" w:cs="Arial"/>
          <w:color w:val="000000" w:themeColor="text1"/>
          <w:sz w:val="24"/>
          <w14:textFill>
            <w14:solidFill>
              <w14:schemeClr w14:val="tx1"/>
            </w14:solidFill>
          </w14:textFill>
        </w:rPr>
      </w:pPr>
      <w:r>
        <w:rPr>
          <w:rFonts w:hint="eastAsia" w:ascii="Arial" w:hAnsi="Arial" w:cs="Arial"/>
          <w:color w:val="000000" w:themeColor="text1"/>
          <w:sz w:val="24"/>
          <w14:textFill>
            <w14:solidFill>
              <w14:schemeClr w14:val="tx1"/>
            </w14:solidFill>
          </w14:textFill>
        </w:rPr>
        <w:t>7、其他应承担的违约责任，以《中华人民共和国民法典》和其他有关法律、法规规定为准，无相关规定的，双方协商解决。</w:t>
      </w:r>
    </w:p>
    <w:p w14:paraId="7E1842F7">
      <w:pPr>
        <w:spacing w:line="360" w:lineRule="auto"/>
        <w:rPr>
          <w:rFonts w:ascii="Arial" w:hAnsi="Arial" w:cs="Arial"/>
          <w:color w:val="000000" w:themeColor="text1"/>
          <w:sz w:val="24"/>
          <w:lang w:val="zh-CN"/>
          <w14:textFill>
            <w14:solidFill>
              <w14:schemeClr w14:val="tx1"/>
            </w14:solidFill>
          </w14:textFill>
        </w:rPr>
      </w:pPr>
      <w:r>
        <w:rPr>
          <w:rFonts w:hint="eastAsia" w:ascii="Arial" w:hAnsi="Arial" w:cs="Arial"/>
          <w:color w:val="000000" w:themeColor="text1"/>
          <w:sz w:val="24"/>
          <w:lang w:val="zh-CN"/>
          <w14:textFill>
            <w14:solidFill>
              <w14:schemeClr w14:val="tx1"/>
            </w14:solidFill>
          </w14:textFill>
        </w:rPr>
        <w:t xml:space="preserve">8、乙方在承担本条上述一项或多项违约责任后，仍应继续履行合同约定的义务（甲方解除合同的除外）。甲方未能及时追究乙方的任何一项违约责任并不表明甲方放弃追究乙方该项或其他违约责任。 </w:t>
      </w:r>
    </w:p>
    <w:p w14:paraId="03CDF159">
      <w:pPr>
        <w:spacing w:line="360" w:lineRule="auto"/>
        <w:rPr>
          <w:rFonts w:ascii="Arial" w:hAnsi="Arial" w:cs="Arial"/>
          <w:color w:val="000000" w:themeColor="text1"/>
          <w:sz w:val="24"/>
          <w:lang w:val="zh-CN"/>
          <w14:textFill>
            <w14:solidFill>
              <w14:schemeClr w14:val="tx1"/>
            </w14:solidFill>
          </w14:textFill>
        </w:rPr>
      </w:pPr>
      <w:r>
        <w:rPr>
          <w:rFonts w:hint="eastAsia" w:ascii="Arial" w:hAnsi="Arial" w:cs="Arial"/>
          <w:color w:val="000000" w:themeColor="text1"/>
          <w:sz w:val="24"/>
          <w:lang w:val="zh-CN"/>
          <w14:textFill>
            <w14:solidFill>
              <w14:schemeClr w14:val="tx1"/>
            </w14:solidFill>
          </w14:textFill>
        </w:rPr>
        <w:t xml:space="preserve">9、乙方响应属虚假承诺，或经相关部门检测出提供的产品不能满足磋商、响应文件要求，或是由于乙方的过错造成合同无法继续履行的，乙方应向甲方支付合同总金额的30%作为赔偿金。 </w:t>
      </w:r>
    </w:p>
    <w:p w14:paraId="0EB0A14D">
      <w:pPr>
        <w:spacing w:line="360" w:lineRule="auto"/>
        <w:rPr>
          <w:rFonts w:ascii="Arial" w:hAnsi="Arial" w:cs="Arial"/>
          <w:color w:val="000000" w:themeColor="text1"/>
          <w:sz w:val="24"/>
          <w:lang w:val="zh-CN"/>
          <w14:textFill>
            <w14:solidFill>
              <w14:schemeClr w14:val="tx1"/>
            </w14:solidFill>
          </w14:textFill>
        </w:rPr>
      </w:pPr>
      <w:r>
        <w:rPr>
          <w:rFonts w:hint="eastAsia" w:ascii="Arial" w:hAnsi="Arial" w:cs="Arial"/>
          <w:color w:val="000000" w:themeColor="text1"/>
          <w:sz w:val="24"/>
          <w:lang w:val="zh-CN"/>
          <w14:textFill>
            <w14:solidFill>
              <w14:schemeClr w14:val="tx1"/>
            </w14:solidFill>
          </w14:textFill>
        </w:rPr>
        <w:t>10、乙方有下列情形之一的，甲方有权解除本合同，乙方应将甲方已支付费用退还给甲方，并向甲方支付合同总</w:t>
      </w:r>
      <w:r>
        <w:rPr>
          <w:rFonts w:hint="eastAsia" w:ascii="Arial" w:hAnsi="Arial" w:cs="Arial"/>
          <w:color w:val="000000" w:themeColor="text1"/>
          <w:sz w:val="24"/>
          <w14:textFill>
            <w14:solidFill>
              <w14:schemeClr w14:val="tx1"/>
            </w14:solidFill>
          </w14:textFill>
        </w:rPr>
        <w:t>价的</w:t>
      </w:r>
      <w:r>
        <w:rPr>
          <w:rFonts w:hint="eastAsia" w:ascii="Arial" w:hAnsi="Arial" w:cs="Arial"/>
          <w:color w:val="000000" w:themeColor="text1"/>
          <w:sz w:val="24"/>
          <w:lang w:val="zh-CN"/>
          <w14:textFill>
            <w14:solidFill>
              <w14:schemeClr w14:val="tx1"/>
            </w14:solidFill>
          </w14:textFill>
        </w:rPr>
        <w:t xml:space="preserve">20%的违约金，违约金不足以弥补甲方损失的，乙方仍应予以赔偿不足部分。 </w:t>
      </w:r>
    </w:p>
    <w:p w14:paraId="2928C2C4">
      <w:pPr>
        <w:spacing w:line="360" w:lineRule="auto"/>
        <w:rPr>
          <w:rFonts w:ascii="Arial" w:hAnsi="Arial" w:cs="Arial"/>
          <w:color w:val="000000" w:themeColor="text1"/>
          <w:sz w:val="24"/>
          <w:lang w:val="zh-CN"/>
          <w14:textFill>
            <w14:solidFill>
              <w14:schemeClr w14:val="tx1"/>
            </w14:solidFill>
          </w14:textFill>
        </w:rPr>
      </w:pPr>
      <w:r>
        <w:rPr>
          <w:rFonts w:hint="eastAsia" w:ascii="Arial" w:hAnsi="Arial" w:cs="Arial"/>
          <w:color w:val="000000" w:themeColor="text1"/>
          <w:sz w:val="24"/>
          <w:lang w:val="zh-CN"/>
          <w14:textFill>
            <w14:solidFill>
              <w14:schemeClr w14:val="tx1"/>
            </w14:solidFill>
          </w14:textFill>
        </w:rPr>
        <w:t xml:space="preserve">（1）产品未通过最终验收，且未能在甲方指定期限内完成整改并通过验收的。  </w:t>
      </w:r>
    </w:p>
    <w:p w14:paraId="1BC4B119">
      <w:pPr>
        <w:spacing w:line="360" w:lineRule="auto"/>
        <w:rPr>
          <w:rFonts w:ascii="Arial" w:hAnsi="Arial" w:cs="Arial"/>
          <w:color w:val="000000" w:themeColor="text1"/>
          <w:sz w:val="24"/>
          <w:lang w:val="zh-CN"/>
          <w14:textFill>
            <w14:solidFill>
              <w14:schemeClr w14:val="tx1"/>
            </w14:solidFill>
          </w14:textFill>
        </w:rPr>
      </w:pPr>
      <w:r>
        <w:rPr>
          <w:rFonts w:hint="eastAsia" w:ascii="Arial" w:hAnsi="Arial" w:cs="Arial"/>
          <w:color w:val="000000" w:themeColor="text1"/>
          <w:sz w:val="24"/>
          <w:lang w:val="zh-CN"/>
          <w14:textFill>
            <w14:solidFill>
              <w14:schemeClr w14:val="tx1"/>
            </w14:solidFill>
          </w14:textFill>
        </w:rPr>
        <w:t>（2）未经甲方书面同意，乙方将本合同项下权利义务转让给他人的。</w:t>
      </w:r>
    </w:p>
    <w:p w14:paraId="63CAC207">
      <w:pPr>
        <w:spacing w:line="360" w:lineRule="auto"/>
        <w:rPr>
          <w:rFonts w:ascii="Arial" w:hAnsi="Arial" w:cs="Arial"/>
          <w:color w:val="000000" w:themeColor="text1"/>
          <w:sz w:val="24"/>
          <w:lang w:val="zh-CN"/>
          <w14:textFill>
            <w14:solidFill>
              <w14:schemeClr w14:val="tx1"/>
            </w14:solidFill>
          </w14:textFill>
        </w:rPr>
      </w:pPr>
      <w:r>
        <w:rPr>
          <w:rFonts w:hint="eastAsia" w:ascii="Arial" w:hAnsi="Arial" w:cs="Arial"/>
          <w:color w:val="000000" w:themeColor="text1"/>
          <w:sz w:val="24"/>
          <w:lang w:val="zh-CN"/>
          <w14:textFill>
            <w14:solidFill>
              <w14:schemeClr w14:val="tx1"/>
            </w14:solidFill>
          </w14:textFill>
        </w:rPr>
        <w:t>（</w:t>
      </w:r>
      <w:r>
        <w:rPr>
          <w:rFonts w:hint="eastAsia" w:ascii="Arial" w:hAnsi="Arial" w:cs="Arial"/>
          <w:color w:val="000000" w:themeColor="text1"/>
          <w:sz w:val="24"/>
          <w14:textFill>
            <w14:solidFill>
              <w14:schemeClr w14:val="tx1"/>
            </w14:solidFill>
          </w14:textFill>
        </w:rPr>
        <w:t>3</w:t>
      </w:r>
      <w:r>
        <w:rPr>
          <w:rFonts w:hint="eastAsia" w:ascii="Arial" w:hAnsi="Arial" w:cs="Arial"/>
          <w:color w:val="000000" w:themeColor="text1"/>
          <w:sz w:val="24"/>
          <w:lang w:val="zh-CN"/>
          <w14:textFill>
            <w14:solidFill>
              <w14:schemeClr w14:val="tx1"/>
            </w14:solidFill>
          </w14:textFill>
        </w:rPr>
        <w:t xml:space="preserve">）乙方有其他违约行为，且未能在甲方指定期限内改正的。 </w:t>
      </w:r>
    </w:p>
    <w:p w14:paraId="74827E5A">
      <w:pPr>
        <w:spacing w:line="360" w:lineRule="auto"/>
        <w:rPr>
          <w:rFonts w:ascii="Arial" w:hAnsi="Arial" w:cs="Arial"/>
          <w:color w:val="000000" w:themeColor="text1"/>
          <w:sz w:val="24"/>
          <w:lang w:val="zh-CN"/>
          <w14:textFill>
            <w14:solidFill>
              <w14:schemeClr w14:val="tx1"/>
            </w14:solidFill>
          </w14:textFill>
        </w:rPr>
      </w:pPr>
      <w:r>
        <w:rPr>
          <w:rFonts w:hint="eastAsia" w:ascii="Arial" w:hAnsi="Arial" w:cs="Arial"/>
          <w:color w:val="000000" w:themeColor="text1"/>
          <w:sz w:val="24"/>
          <w14:textFill>
            <w14:solidFill>
              <w14:schemeClr w14:val="tx1"/>
            </w14:solidFill>
          </w14:textFill>
        </w:rPr>
        <w:t>11、如乙方发生违约行为的，相应违约金甲方有权直接从应付价款中扣除。</w:t>
      </w:r>
    </w:p>
    <w:p w14:paraId="4D362D8B">
      <w:pPr>
        <w:spacing w:line="360" w:lineRule="auto"/>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七、不可抗力</w:t>
      </w:r>
    </w:p>
    <w:p w14:paraId="327E083C">
      <w:pPr>
        <w:spacing w:line="360" w:lineRule="auto"/>
        <w:rPr>
          <w:rFonts w:ascii="Arial" w:hAnsi="Arial" w:cs="Arial"/>
          <w:color w:val="000000" w:themeColor="text1"/>
          <w:sz w:val="24"/>
          <w:lang w:val="zh-CN"/>
          <w14:textFill>
            <w14:solidFill>
              <w14:schemeClr w14:val="tx1"/>
            </w14:solidFill>
          </w14:textFill>
        </w:rPr>
      </w:pPr>
      <w:r>
        <w:rPr>
          <w:rFonts w:hint="eastAsia" w:ascii="Arial" w:hAnsi="Arial" w:cs="Arial"/>
          <w:color w:val="000000" w:themeColor="text1"/>
          <w:sz w:val="24"/>
          <w:lang w:val="zh-CN"/>
          <w14:textFill>
            <w14:solidFill>
              <w14:schemeClr w14:val="tx1"/>
            </w14:solidFill>
          </w14:textFill>
        </w:rPr>
        <w:t>1、不可抗力使合同的某些内容有变更必要的，双方应通过协商在15天内达成进一步履行合同的协议，因不可抗力致使合同不能履行的，合同经协商后终止。</w:t>
      </w:r>
    </w:p>
    <w:p w14:paraId="280EBE5D">
      <w:pPr>
        <w:spacing w:line="360" w:lineRule="auto"/>
        <w:rPr>
          <w:rFonts w:ascii="宋体" w:hAnsi="宋体"/>
          <w:color w:val="000000" w:themeColor="text1"/>
          <w:sz w:val="24"/>
          <w14:textFill>
            <w14:solidFill>
              <w14:schemeClr w14:val="tx1"/>
            </w14:solidFill>
          </w14:textFill>
        </w:rPr>
      </w:pPr>
      <w:r>
        <w:rPr>
          <w:rFonts w:hint="eastAsia" w:ascii="Arial" w:hAnsi="Arial" w:cs="Arial"/>
          <w:color w:val="000000" w:themeColor="text1"/>
          <w:sz w:val="24"/>
          <w:lang w:val="zh-CN"/>
          <w14:textFill>
            <w14:solidFill>
              <w14:schemeClr w14:val="tx1"/>
            </w14:solidFill>
          </w14:textFill>
        </w:rPr>
        <w:t>2、除法律、法规规定的不可抗力情形外，双方约定出现/情况亦视为不可抗力。</w:t>
      </w:r>
    </w:p>
    <w:p w14:paraId="58A9C416">
      <w:pPr>
        <w:spacing w:line="360" w:lineRule="auto"/>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八、知识产权：</w:t>
      </w:r>
    </w:p>
    <w:p w14:paraId="03D452B8">
      <w:pPr>
        <w:spacing w:line="360" w:lineRule="auto"/>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九、其他约定：</w:t>
      </w:r>
    </w:p>
    <w:p w14:paraId="0375FE57">
      <w:pPr>
        <w:spacing w:line="360" w:lineRule="auto"/>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十、合同争议解决</w:t>
      </w:r>
    </w:p>
    <w:p w14:paraId="60AB0A7F">
      <w:pPr>
        <w:spacing w:line="360" w:lineRule="auto"/>
        <w:rPr>
          <w:rFonts w:ascii="Arial" w:hAnsi="Arial" w:cs="Arial"/>
          <w:color w:val="000000" w:themeColor="text1"/>
          <w:sz w:val="24"/>
          <w14:textFill>
            <w14:solidFill>
              <w14:schemeClr w14:val="tx1"/>
            </w14:solidFill>
          </w14:textFill>
        </w:rPr>
      </w:pPr>
      <w:r>
        <w:rPr>
          <w:rFonts w:ascii="Arial" w:hAnsi="Arial" w:cs="Arial"/>
          <w:color w:val="000000" w:themeColor="text1"/>
          <w:sz w:val="24"/>
          <w14:textFill>
            <w14:solidFill>
              <w14:schemeClr w14:val="tx1"/>
            </w14:solidFill>
          </w14:textFill>
        </w:rPr>
        <w:t>1</w:t>
      </w:r>
      <w:r>
        <w:rPr>
          <w:rFonts w:hint="eastAsia" w:ascii="Arial" w:hAnsi="Arial" w:cs="Arial"/>
          <w:color w:val="000000" w:themeColor="text1"/>
          <w:sz w:val="24"/>
          <w14:textFill>
            <w14:solidFill>
              <w14:schemeClr w14:val="tx1"/>
            </w14:solidFill>
          </w14:textFill>
        </w:rPr>
        <w:t>、</w:t>
      </w:r>
      <w:r>
        <w:rPr>
          <w:rFonts w:hint="eastAsia" w:ascii="Arial" w:hAnsi="Arial" w:cs="Arial"/>
          <w:color w:val="000000" w:themeColor="text1"/>
          <w:sz w:val="24"/>
          <w:lang w:val="zh-CN"/>
          <w14:textFill>
            <w14:solidFill>
              <w14:schemeClr w14:val="tx1"/>
            </w14:solidFill>
          </w14:textFill>
        </w:rPr>
        <w:t>因质量问题发生争议的，应</w:t>
      </w:r>
      <w:r>
        <w:rPr>
          <w:rFonts w:hint="eastAsia" w:ascii="Arial" w:hAnsi="Arial" w:cs="Arial"/>
          <w:color w:val="000000" w:themeColor="text1"/>
          <w:sz w:val="24"/>
          <w14:textFill>
            <w14:solidFill>
              <w14:schemeClr w14:val="tx1"/>
            </w14:solidFill>
          </w14:textFill>
        </w:rPr>
        <w:t>共同</w:t>
      </w:r>
      <w:r>
        <w:rPr>
          <w:rFonts w:hint="eastAsia" w:ascii="Arial" w:hAnsi="Arial" w:cs="Arial"/>
          <w:color w:val="000000" w:themeColor="text1"/>
          <w:sz w:val="24"/>
          <w:lang w:val="zh-CN"/>
          <w14:textFill>
            <w14:solidFill>
              <w14:schemeClr w14:val="tx1"/>
            </w14:solidFill>
          </w14:textFill>
        </w:rPr>
        <w:t>委托</w:t>
      </w:r>
      <w:r>
        <w:rPr>
          <w:rFonts w:hint="eastAsia" w:ascii="Arial" w:hAnsi="Arial" w:cs="Arial"/>
          <w:color w:val="000000" w:themeColor="text1"/>
          <w:sz w:val="24"/>
          <w14:textFill>
            <w14:solidFill>
              <w14:schemeClr w14:val="tx1"/>
            </w14:solidFill>
          </w14:textFill>
        </w:rPr>
        <w:t>具有相应资质的</w:t>
      </w:r>
      <w:r>
        <w:rPr>
          <w:rFonts w:hint="eastAsia" w:ascii="Arial" w:hAnsi="Arial" w:cs="Arial"/>
          <w:color w:val="000000" w:themeColor="text1"/>
          <w:sz w:val="24"/>
          <w:lang w:val="zh-CN"/>
          <w14:textFill>
            <w14:solidFill>
              <w14:schemeClr w14:val="tx1"/>
            </w14:solidFill>
          </w14:textFill>
        </w:rPr>
        <w:t>质量检测机构进行鉴定。服务质量符合标准的，鉴定费由甲方承担；不符合标准的，鉴定费由乙方承担。</w:t>
      </w:r>
    </w:p>
    <w:p w14:paraId="1CBEA180">
      <w:pPr>
        <w:spacing w:line="360" w:lineRule="auto"/>
        <w:rPr>
          <w:rFonts w:ascii="Arial" w:hAnsi="Arial" w:cs="Arial"/>
          <w:color w:val="000000" w:themeColor="text1"/>
          <w:sz w:val="24"/>
          <w14:textFill>
            <w14:solidFill>
              <w14:schemeClr w14:val="tx1"/>
            </w14:solidFill>
          </w14:textFill>
        </w:rPr>
      </w:pPr>
      <w:r>
        <w:rPr>
          <w:rFonts w:ascii="Arial" w:hAnsi="Arial" w:cs="Arial"/>
          <w:color w:val="000000" w:themeColor="text1"/>
          <w:sz w:val="24"/>
          <w14:textFill>
            <w14:solidFill>
              <w14:schemeClr w14:val="tx1"/>
            </w14:solidFill>
          </w14:textFill>
        </w:rPr>
        <w:t>2</w:t>
      </w:r>
      <w:r>
        <w:rPr>
          <w:rFonts w:hint="eastAsia" w:ascii="Arial" w:hAnsi="Arial" w:cs="Arial"/>
          <w:color w:val="000000" w:themeColor="text1"/>
          <w:sz w:val="24"/>
          <w14:textFill>
            <w14:solidFill>
              <w14:schemeClr w14:val="tx1"/>
            </w14:solidFill>
          </w14:textFill>
        </w:rPr>
        <w:t>、</w:t>
      </w:r>
      <w:r>
        <w:rPr>
          <w:rFonts w:hint="eastAsia" w:ascii="Arial" w:hAnsi="Arial" w:cs="Arial"/>
          <w:color w:val="000000" w:themeColor="text1"/>
          <w:sz w:val="24"/>
          <w:lang w:val="zh-CN"/>
          <w14:textFill>
            <w14:solidFill>
              <w14:schemeClr w14:val="tx1"/>
            </w14:solidFill>
          </w14:textFill>
        </w:rPr>
        <w:t>因履行本合同引起的或与本合同有关的争议，甲乙双方应首先通过友好协商解决，如果协商不能解决，可向甲方所在地人民法院</w:t>
      </w:r>
      <w:r>
        <w:rPr>
          <w:rFonts w:hint="eastAsia" w:ascii="Arial" w:hAnsi="Arial" w:cs="Arial"/>
          <w:color w:val="000000" w:themeColor="text1"/>
          <w:sz w:val="24"/>
          <w14:textFill>
            <w14:solidFill>
              <w14:schemeClr w14:val="tx1"/>
            </w14:solidFill>
          </w14:textFill>
        </w:rPr>
        <w:t>提起</w:t>
      </w:r>
      <w:r>
        <w:rPr>
          <w:rFonts w:hint="eastAsia" w:ascii="Arial" w:hAnsi="Arial" w:cs="Arial"/>
          <w:color w:val="000000" w:themeColor="text1"/>
          <w:sz w:val="24"/>
          <w:lang w:val="zh-CN"/>
          <w14:textFill>
            <w14:solidFill>
              <w14:schemeClr w14:val="tx1"/>
            </w14:solidFill>
          </w14:textFill>
        </w:rPr>
        <w:t>诉讼。</w:t>
      </w:r>
    </w:p>
    <w:p w14:paraId="58466C89">
      <w:pPr>
        <w:spacing w:line="360" w:lineRule="auto"/>
        <w:rPr>
          <w:rFonts w:ascii="Arial" w:hAnsi="Arial" w:cs="Arial"/>
          <w:color w:val="000000" w:themeColor="text1"/>
          <w:sz w:val="24"/>
          <w14:textFill>
            <w14:solidFill>
              <w14:schemeClr w14:val="tx1"/>
            </w14:solidFill>
          </w14:textFill>
        </w:rPr>
      </w:pPr>
      <w:r>
        <w:rPr>
          <w:rFonts w:ascii="Arial" w:hAnsi="Arial" w:cs="Arial"/>
          <w:color w:val="000000" w:themeColor="text1"/>
          <w:sz w:val="24"/>
          <w14:textFill>
            <w14:solidFill>
              <w14:schemeClr w14:val="tx1"/>
            </w14:solidFill>
          </w14:textFill>
        </w:rPr>
        <w:t>3</w:t>
      </w:r>
      <w:r>
        <w:rPr>
          <w:rFonts w:hint="eastAsia" w:ascii="Arial" w:hAnsi="Arial" w:cs="Arial"/>
          <w:color w:val="000000" w:themeColor="text1"/>
          <w:sz w:val="24"/>
          <w14:textFill>
            <w14:solidFill>
              <w14:schemeClr w14:val="tx1"/>
            </w14:solidFill>
          </w14:textFill>
        </w:rPr>
        <w:t>、</w:t>
      </w:r>
      <w:r>
        <w:rPr>
          <w:rFonts w:hint="eastAsia" w:ascii="Arial" w:hAnsi="Arial" w:cs="Arial"/>
          <w:color w:val="000000" w:themeColor="text1"/>
          <w:sz w:val="24"/>
          <w:lang w:val="zh-CN"/>
          <w14:textFill>
            <w14:solidFill>
              <w14:schemeClr w14:val="tx1"/>
            </w14:solidFill>
          </w14:textFill>
        </w:rPr>
        <w:t>诉讼期间，本合同</w:t>
      </w:r>
      <w:r>
        <w:rPr>
          <w:rFonts w:hint="eastAsia" w:ascii="Arial" w:hAnsi="Arial" w:cs="Arial"/>
          <w:color w:val="000000" w:themeColor="text1"/>
          <w:sz w:val="24"/>
          <w14:textFill>
            <w14:solidFill>
              <w14:schemeClr w14:val="tx1"/>
            </w14:solidFill>
          </w14:textFill>
        </w:rPr>
        <w:t>无争议部分</w:t>
      </w:r>
      <w:r>
        <w:rPr>
          <w:rFonts w:hint="eastAsia" w:ascii="Arial" w:hAnsi="Arial" w:cs="Arial"/>
          <w:color w:val="000000" w:themeColor="text1"/>
          <w:sz w:val="24"/>
          <w:lang w:val="zh-CN"/>
          <w14:textFill>
            <w14:solidFill>
              <w14:schemeClr w14:val="tx1"/>
            </w14:solidFill>
          </w14:textFill>
        </w:rPr>
        <w:t>继续履行。</w:t>
      </w:r>
    </w:p>
    <w:p w14:paraId="20BEB716">
      <w:pPr>
        <w:spacing w:line="360" w:lineRule="auto"/>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十一、合同生效及其它：</w:t>
      </w:r>
    </w:p>
    <w:p w14:paraId="4F828F5F">
      <w:pPr>
        <w:pStyle w:val="16"/>
        <w:widowControl w:val="0"/>
        <w:spacing w:line="360" w:lineRule="auto"/>
        <w:ind w:left="0" w:leftChars="0" w:firstLine="480" w:firstLineChars="200"/>
        <w:jc w:val="both"/>
        <w:rPr>
          <w:rFonts w:hint="eastAsia" w:ascii="宋体" w:hAnsi="宋体" w:eastAsia="宋体" w:cs="宋体"/>
          <w:color w:val="000000" w:themeColor="text1"/>
          <w:kern w:val="2"/>
          <w:sz w:val="24"/>
          <w:szCs w:val="24"/>
          <w:lang w:val="zh-CN"/>
          <w14:textFill>
            <w14:solidFill>
              <w14:schemeClr w14:val="tx1"/>
            </w14:solidFill>
          </w14:textFill>
        </w:rPr>
      </w:pPr>
      <w:r>
        <w:rPr>
          <w:rFonts w:hint="eastAsia" w:ascii="宋体" w:hAnsi="宋体" w:eastAsia="宋体" w:cs="宋体"/>
          <w:color w:val="000000" w:themeColor="text1"/>
          <w:kern w:val="2"/>
          <w:sz w:val="24"/>
          <w:szCs w:val="24"/>
          <w:lang w:val="zh-CN"/>
          <w14:textFill>
            <w14:solidFill>
              <w14:schemeClr w14:val="tx1"/>
            </w14:solidFill>
          </w14:textFill>
        </w:rPr>
        <w:t>1、本合同自双方法定代表人或委托代理人签字并加盖公章即为生效，委托代理人签署的，应提供</w:t>
      </w:r>
      <w:r>
        <w:rPr>
          <w:rFonts w:hint="eastAsia" w:ascii="宋体" w:hAnsi="宋体" w:eastAsia="宋体" w:cs="宋体"/>
          <w:color w:val="000000" w:themeColor="text1"/>
          <w:kern w:val="2"/>
          <w:sz w:val="24"/>
          <w:szCs w:val="24"/>
          <w14:textFill>
            <w14:solidFill>
              <w14:schemeClr w14:val="tx1"/>
            </w14:solidFill>
          </w14:textFill>
        </w:rPr>
        <w:t>载明委托范围及时间的</w:t>
      </w:r>
      <w:r>
        <w:rPr>
          <w:rFonts w:hint="eastAsia" w:ascii="宋体" w:hAnsi="宋体" w:eastAsia="宋体" w:cs="宋体"/>
          <w:color w:val="000000" w:themeColor="text1"/>
          <w:kern w:val="2"/>
          <w:sz w:val="24"/>
          <w:szCs w:val="24"/>
          <w:lang w:val="zh-CN"/>
          <w14:textFill>
            <w14:solidFill>
              <w14:schemeClr w14:val="tx1"/>
            </w14:solidFill>
          </w14:textFill>
        </w:rPr>
        <w:t>授权委托书。</w:t>
      </w:r>
    </w:p>
    <w:p w14:paraId="5EC31B2F">
      <w:pPr>
        <w:pStyle w:val="16"/>
        <w:widowControl w:val="0"/>
        <w:spacing w:line="360" w:lineRule="auto"/>
        <w:ind w:left="0" w:leftChars="0" w:firstLine="480" w:firstLineChars="200"/>
        <w:jc w:val="both"/>
        <w:rPr>
          <w:rFonts w:hint="eastAsia" w:ascii="宋体" w:hAnsi="宋体" w:eastAsia="宋体" w:cs="宋体"/>
          <w:color w:val="000000" w:themeColor="text1"/>
          <w:kern w:val="2"/>
          <w:sz w:val="24"/>
          <w:szCs w:val="24"/>
          <w14:textFill>
            <w14:solidFill>
              <w14:schemeClr w14:val="tx1"/>
            </w14:solidFill>
          </w14:textFill>
        </w:rPr>
      </w:pPr>
      <w:r>
        <w:rPr>
          <w:rFonts w:hint="eastAsia" w:ascii="宋体" w:hAnsi="宋体" w:eastAsia="宋体" w:cs="宋体"/>
          <w:color w:val="000000" w:themeColor="text1"/>
          <w:kern w:val="2"/>
          <w:sz w:val="24"/>
          <w:szCs w:val="24"/>
          <w14:textFill>
            <w14:solidFill>
              <w14:schemeClr w14:val="tx1"/>
            </w14:solidFill>
          </w14:textFill>
        </w:rPr>
        <w:t>2、</w:t>
      </w:r>
      <w:r>
        <w:rPr>
          <w:rFonts w:hint="eastAsia" w:ascii="宋体" w:hAnsi="宋体" w:eastAsia="宋体" w:cs="宋体"/>
          <w:color w:val="000000" w:themeColor="text1"/>
          <w:kern w:val="2"/>
          <w:sz w:val="24"/>
          <w:szCs w:val="24"/>
          <w:lang w:val="zh-CN"/>
          <w14:textFill>
            <w14:solidFill>
              <w14:schemeClr w14:val="tx1"/>
            </w14:solidFill>
          </w14:textFill>
        </w:rPr>
        <w:t>本合同一式</w:t>
      </w:r>
      <w:r>
        <w:rPr>
          <w:rFonts w:hint="eastAsia" w:ascii="宋体" w:hAnsi="宋体" w:eastAsia="宋体" w:cs="宋体"/>
          <w:color w:val="000000" w:themeColor="text1"/>
          <w:kern w:val="2"/>
          <w:sz w:val="24"/>
          <w:szCs w:val="24"/>
          <w14:textFill>
            <w14:solidFill>
              <w14:schemeClr w14:val="tx1"/>
            </w14:solidFill>
          </w14:textFill>
        </w:rPr>
        <w:t>七份</w:t>
      </w:r>
      <w:r>
        <w:rPr>
          <w:rFonts w:hint="eastAsia" w:ascii="宋体" w:hAnsi="宋体" w:eastAsia="宋体" w:cs="宋体"/>
          <w:color w:val="000000" w:themeColor="text1"/>
          <w:kern w:val="2"/>
          <w:sz w:val="24"/>
          <w:szCs w:val="24"/>
          <w:lang w:val="zh-CN"/>
          <w14:textFill>
            <w14:solidFill>
              <w14:schemeClr w14:val="tx1"/>
            </w14:solidFill>
          </w14:textFill>
        </w:rPr>
        <w:t>，甲方执四份、乙方执</w:t>
      </w:r>
      <w:r>
        <w:rPr>
          <w:rFonts w:hint="eastAsia" w:ascii="宋体" w:hAnsi="宋体" w:eastAsia="宋体" w:cs="宋体"/>
          <w:color w:val="000000" w:themeColor="text1"/>
          <w:kern w:val="2"/>
          <w:sz w:val="24"/>
          <w:szCs w:val="24"/>
          <w14:textFill>
            <w14:solidFill>
              <w14:schemeClr w14:val="tx1"/>
            </w14:solidFill>
          </w14:textFill>
        </w:rPr>
        <w:t>一</w:t>
      </w:r>
      <w:r>
        <w:rPr>
          <w:rFonts w:hint="eastAsia" w:ascii="宋体" w:hAnsi="宋体" w:eastAsia="宋体" w:cs="宋体"/>
          <w:color w:val="000000" w:themeColor="text1"/>
          <w:kern w:val="2"/>
          <w:sz w:val="24"/>
          <w:szCs w:val="24"/>
          <w:lang w:val="zh-CN"/>
          <w14:textFill>
            <w14:solidFill>
              <w14:schemeClr w14:val="tx1"/>
            </w14:solidFill>
          </w14:textFill>
        </w:rPr>
        <w:t>份、招标代理机构</w:t>
      </w:r>
      <w:r>
        <w:rPr>
          <w:rFonts w:hint="eastAsia" w:ascii="宋体" w:hAnsi="宋体" w:eastAsia="宋体" w:cs="宋体"/>
          <w:color w:val="000000" w:themeColor="text1"/>
          <w:kern w:val="2"/>
          <w:sz w:val="24"/>
          <w:szCs w:val="24"/>
          <w14:textFill>
            <w14:solidFill>
              <w14:schemeClr w14:val="tx1"/>
            </w14:solidFill>
          </w14:textFill>
        </w:rPr>
        <w:t>执两</w:t>
      </w:r>
      <w:r>
        <w:rPr>
          <w:rFonts w:hint="eastAsia" w:ascii="宋体" w:hAnsi="宋体" w:eastAsia="宋体" w:cs="宋体"/>
          <w:color w:val="000000" w:themeColor="text1"/>
          <w:kern w:val="2"/>
          <w:sz w:val="24"/>
          <w:szCs w:val="24"/>
          <w:lang w:val="zh-CN"/>
          <w14:textFill>
            <w14:solidFill>
              <w14:schemeClr w14:val="tx1"/>
            </w14:solidFill>
          </w14:textFill>
        </w:rPr>
        <w:t>份，具有同等法律效力。</w:t>
      </w:r>
    </w:p>
    <w:p w14:paraId="7DF6B496">
      <w:pPr>
        <w:pStyle w:val="16"/>
        <w:widowControl w:val="0"/>
        <w:spacing w:line="360" w:lineRule="auto"/>
        <w:ind w:left="0" w:leftChars="0" w:firstLine="480" w:firstLineChars="200"/>
        <w:jc w:val="both"/>
        <w:rPr>
          <w:rFonts w:hint="eastAsia" w:ascii="宋体" w:hAnsi="宋体" w:eastAsia="宋体" w:cs="宋体"/>
          <w:color w:val="000000" w:themeColor="text1"/>
          <w:kern w:val="2"/>
          <w:sz w:val="24"/>
          <w:szCs w:val="24"/>
          <w:lang w:val="zh-CN"/>
          <w14:textFill>
            <w14:solidFill>
              <w14:schemeClr w14:val="tx1"/>
            </w14:solidFill>
          </w14:textFill>
        </w:rPr>
      </w:pPr>
      <w:r>
        <w:rPr>
          <w:rFonts w:hint="eastAsia" w:ascii="宋体" w:hAnsi="宋体" w:eastAsia="宋体" w:cs="宋体"/>
          <w:color w:val="000000" w:themeColor="text1"/>
          <w:kern w:val="2"/>
          <w:sz w:val="24"/>
          <w:szCs w:val="24"/>
          <w14:textFill>
            <w14:solidFill>
              <w14:schemeClr w14:val="tx1"/>
            </w14:solidFill>
          </w14:textFill>
        </w:rPr>
        <w:t>3</w:t>
      </w:r>
      <w:r>
        <w:rPr>
          <w:rFonts w:hint="eastAsia" w:ascii="宋体" w:hAnsi="宋体" w:eastAsia="宋体" w:cs="宋体"/>
          <w:color w:val="000000" w:themeColor="text1"/>
          <w:kern w:val="2"/>
          <w:sz w:val="24"/>
          <w:szCs w:val="24"/>
          <w:lang w:val="zh-CN"/>
          <w14:textFill>
            <w14:solidFill>
              <w14:schemeClr w14:val="tx1"/>
            </w14:solidFill>
          </w14:textFill>
        </w:rPr>
        <w:t>、本合同未尽事宜或约定不明事项，按磋商、响应文件中有利于甲方的规定执行。</w:t>
      </w:r>
    </w:p>
    <w:p w14:paraId="7C7AC883">
      <w:pPr>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br w:type="page"/>
      </w:r>
    </w:p>
    <w:p w14:paraId="0D6B4AB2">
      <w:pPr>
        <w:spacing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（此页无正文内容）</w:t>
      </w:r>
    </w:p>
    <w:p w14:paraId="681D40F0">
      <w:pPr>
        <w:spacing w:line="360" w:lineRule="auto"/>
        <w:rPr>
          <w:rFonts w:ascii="宋体" w:hAnsi="宋体"/>
          <w:color w:val="000000" w:themeColor="text1"/>
          <w:sz w:val="24"/>
          <w14:textFill>
            <w14:solidFill>
              <w14:schemeClr w14:val="tx1"/>
            </w14:solidFill>
          </w14:textFill>
        </w:rPr>
      </w:pPr>
    </w:p>
    <w:p w14:paraId="455132D2">
      <w:pPr>
        <w:spacing w:line="360" w:lineRule="auto"/>
        <w:rPr>
          <w:rFonts w:ascii="宋体" w:hAnsi="宋体"/>
          <w:color w:val="000000" w:themeColor="text1"/>
          <w:sz w:val="24"/>
          <w14:textFill>
            <w14:solidFill>
              <w14:schemeClr w14:val="tx1"/>
            </w14:solidFill>
          </w14:textFill>
        </w:rPr>
      </w:pPr>
    </w:p>
    <w:p w14:paraId="571770E3">
      <w:pPr>
        <w:spacing w:line="360" w:lineRule="auto"/>
        <w:rPr>
          <w:rFonts w:ascii="宋体" w:hAnsi="宋体"/>
          <w:color w:val="000000" w:themeColor="text1"/>
          <w:sz w:val="24"/>
          <w14:textFill>
            <w14:solidFill>
              <w14:schemeClr w14:val="tx1"/>
            </w14:solidFill>
          </w14:textFill>
        </w:rPr>
      </w:pPr>
    </w:p>
    <w:p w14:paraId="3952A30F">
      <w:pPr>
        <w:spacing w:line="360" w:lineRule="auto"/>
        <w:rPr>
          <w:rFonts w:ascii="宋体" w:hAnsi="宋体"/>
          <w:color w:val="000000" w:themeColor="text1"/>
          <w:sz w:val="24"/>
          <w14:textFill>
            <w14:solidFill>
              <w14:schemeClr w14:val="tx1"/>
            </w14:solidFill>
          </w14:textFill>
        </w:rPr>
      </w:pPr>
    </w:p>
    <w:p w14:paraId="32465430">
      <w:pPr>
        <w:autoSpaceDE w:val="0"/>
        <w:autoSpaceDN w:val="0"/>
        <w:adjustRightInd w:val="0"/>
        <w:spacing w:line="400" w:lineRule="exac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甲方（盖章）：                        乙方（盖章）：</w:t>
      </w:r>
    </w:p>
    <w:p w14:paraId="4F1871D4">
      <w:pPr>
        <w:autoSpaceDE w:val="0"/>
        <w:autoSpaceDN w:val="0"/>
        <w:adjustRightInd w:val="0"/>
        <w:spacing w:line="400" w:lineRule="exac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法定代表人或委托代理人（</w:t>
      </w:r>
      <w:r>
        <w:rPr>
          <w:rFonts w:hint="eastAsia" w:ascii="宋体" w:hAnsi="宋体" w:cs="宋体"/>
          <w:color w:val="000000" w:themeColor="text1"/>
          <w:kern w:val="0"/>
          <w:sz w:val="24"/>
          <w14:textFill>
            <w14:solidFill>
              <w14:schemeClr w14:val="tx1"/>
            </w14:solidFill>
          </w14:textFill>
        </w:rPr>
        <w:t>签字</w:t>
      </w:r>
      <w:r>
        <w:rPr>
          <w:rFonts w:hint="eastAsia" w:ascii="宋体" w:hAnsi="宋体" w:cs="宋体"/>
          <w:color w:val="000000" w:themeColor="text1"/>
          <w:kern w:val="0"/>
          <w:sz w:val="24"/>
          <w:lang w:val="zh-CN"/>
          <w14:textFill>
            <w14:solidFill>
              <w14:schemeClr w14:val="tx1"/>
            </w14:solidFill>
          </w14:textFill>
        </w:rPr>
        <w:t>）：      法定代表人或委托代理人（</w:t>
      </w:r>
      <w:r>
        <w:rPr>
          <w:rFonts w:hint="eastAsia" w:ascii="宋体" w:hAnsi="宋体" w:cs="宋体"/>
          <w:color w:val="000000" w:themeColor="text1"/>
          <w:kern w:val="0"/>
          <w:sz w:val="24"/>
          <w14:textFill>
            <w14:solidFill>
              <w14:schemeClr w14:val="tx1"/>
            </w14:solidFill>
          </w14:textFill>
        </w:rPr>
        <w:t>签字</w:t>
      </w:r>
      <w:r>
        <w:rPr>
          <w:rFonts w:hint="eastAsia" w:ascii="宋体" w:hAnsi="宋体" w:cs="宋体"/>
          <w:color w:val="000000" w:themeColor="text1"/>
          <w:kern w:val="0"/>
          <w:sz w:val="24"/>
          <w:lang w:val="zh-CN"/>
          <w14:textFill>
            <w14:solidFill>
              <w14:schemeClr w14:val="tx1"/>
            </w14:solidFill>
          </w14:textFill>
        </w:rPr>
        <w:t>）：</w:t>
      </w:r>
    </w:p>
    <w:p w14:paraId="77D3BB49">
      <w:pPr>
        <w:autoSpaceDE w:val="0"/>
        <w:autoSpaceDN w:val="0"/>
        <w:adjustRightInd w:val="0"/>
        <w:spacing w:line="400" w:lineRule="exact"/>
        <w:rPr>
          <w:rFonts w:ascii="宋体" w:hAnsi="宋体" w:cs="宋体"/>
          <w:color w:val="000000" w:themeColor="text1"/>
          <w:kern w:val="0"/>
          <w:sz w:val="24"/>
          <w:lang w:val="zh-CN"/>
          <w14:textFill>
            <w14:solidFill>
              <w14:schemeClr w14:val="tx1"/>
            </w14:solidFill>
          </w14:textFill>
        </w:rPr>
      </w:pPr>
    </w:p>
    <w:p w14:paraId="10C4E798">
      <w:pPr>
        <w:autoSpaceDE w:val="0"/>
        <w:autoSpaceDN w:val="0"/>
        <w:adjustRightInd w:val="0"/>
        <w:spacing w:line="400" w:lineRule="exact"/>
        <w:rPr>
          <w:rFonts w:ascii="宋体" w:hAnsi="宋体" w:cs="宋体"/>
          <w:color w:val="000000" w:themeColor="text1"/>
          <w:kern w:val="0"/>
          <w:sz w:val="24"/>
          <w:lang w:val="zh-CN"/>
          <w14:textFill>
            <w14:solidFill>
              <w14:schemeClr w14:val="tx1"/>
            </w14:solidFill>
          </w14:textFill>
        </w:rPr>
      </w:pPr>
    </w:p>
    <w:p w14:paraId="6CF5604C">
      <w:pPr>
        <w:autoSpaceDE w:val="0"/>
        <w:autoSpaceDN w:val="0"/>
        <w:adjustRightInd w:val="0"/>
        <w:spacing w:line="400" w:lineRule="exact"/>
        <w:ind w:firstLine="4560" w:firstLineChars="190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开户银行：</w:t>
      </w:r>
    </w:p>
    <w:p w14:paraId="1C7C38A6">
      <w:pPr>
        <w:pStyle w:val="34"/>
        <w:tabs>
          <w:tab w:val="left" w:pos="360"/>
        </w:tabs>
        <w:ind w:firstLine="200"/>
        <w:rPr>
          <w:color w:val="000000" w:themeColor="text1"/>
          <w:lang w:val="zh-CN"/>
          <w14:textFill>
            <w14:solidFill>
              <w14:schemeClr w14:val="tx1"/>
            </w14:solidFill>
          </w14:textFill>
        </w:rPr>
      </w:pPr>
    </w:p>
    <w:p w14:paraId="649607A7">
      <w:pPr>
        <w:rPr>
          <w:color w:val="000000" w:themeColor="text1"/>
          <w:lang w:val="zh-CN"/>
          <w14:textFill>
            <w14:solidFill>
              <w14:schemeClr w14:val="tx1"/>
            </w14:solidFill>
          </w14:textFill>
        </w:rPr>
      </w:pPr>
    </w:p>
    <w:p w14:paraId="6AB07937">
      <w:pPr>
        <w:rPr>
          <w:color w:val="000000" w:themeColor="text1"/>
          <w:lang w:val="zh-CN"/>
          <w14:textFill>
            <w14:solidFill>
              <w14:schemeClr w14:val="tx1"/>
            </w14:solidFill>
          </w14:textFill>
        </w:rPr>
      </w:pPr>
    </w:p>
    <w:p w14:paraId="0F27343C">
      <w:pPr>
        <w:autoSpaceDE w:val="0"/>
        <w:autoSpaceDN w:val="0"/>
        <w:adjustRightInd w:val="0"/>
        <w:spacing w:line="400" w:lineRule="exact"/>
        <w:ind w:firstLine="4560" w:firstLineChars="190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账    号：</w:t>
      </w:r>
    </w:p>
    <w:p w14:paraId="6E0BA1EF">
      <w:pPr>
        <w:pStyle w:val="34"/>
        <w:tabs>
          <w:tab w:val="left" w:pos="360"/>
        </w:tabs>
        <w:ind w:firstLine="200"/>
        <w:rPr>
          <w:color w:val="000000" w:themeColor="text1"/>
          <w:lang w:val="zh-CN"/>
          <w14:textFill>
            <w14:solidFill>
              <w14:schemeClr w14:val="tx1"/>
            </w14:solidFill>
          </w14:textFill>
        </w:rPr>
      </w:pPr>
    </w:p>
    <w:p w14:paraId="4F503A3F">
      <w:pPr>
        <w:autoSpaceDE w:val="0"/>
        <w:autoSpaceDN w:val="0"/>
        <w:adjustRightInd w:val="0"/>
        <w:spacing w:line="400" w:lineRule="exac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联系电话：</w:t>
      </w:r>
      <w:r>
        <w:rPr>
          <w:rFonts w:hint="eastAsia"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 xml:space="preserve">          </w:t>
      </w:r>
      <w:r>
        <w:rPr>
          <w:rFonts w:hint="eastAsia"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 xml:space="preserve">  联系电话：</w:t>
      </w:r>
    </w:p>
    <w:p w14:paraId="53D7566E">
      <w:pPr>
        <w:autoSpaceDE w:val="0"/>
        <w:autoSpaceDN w:val="0"/>
        <w:adjustRightInd w:val="0"/>
        <w:spacing w:line="400" w:lineRule="exac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 xml:space="preserve">签订地点：青海红十字医院            </w:t>
      </w:r>
      <w:r>
        <w:rPr>
          <w:rFonts w:hint="eastAsia"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签订地点：青海红十字医院</w:t>
      </w:r>
    </w:p>
    <w:p w14:paraId="071BA81C">
      <w:pPr>
        <w:spacing w:line="360" w:lineRule="auto"/>
        <w:rPr>
          <w:rFonts w:ascii="Arial" w:hAnsi="Arial" w:cs="Arial"/>
          <w:color w:val="000000" w:themeColor="text1"/>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签订时间：</w:t>
      </w:r>
      <w:r>
        <w:rPr>
          <w:rFonts w:hint="eastAsia" w:ascii="宋体" w:hAnsi="宋体" w:cs="宋体"/>
          <w:color w:val="000000" w:themeColor="text1"/>
          <w:kern w:val="0"/>
          <w:sz w:val="24"/>
          <w14:textFill>
            <w14:solidFill>
              <w14:schemeClr w14:val="tx1"/>
            </w14:solidFill>
          </w14:textFill>
        </w:rPr>
        <w:t>202</w:t>
      </w:r>
      <w:r>
        <w:rPr>
          <w:rFonts w:hint="eastAsia" w:ascii="宋体" w:hAnsi="宋体" w:cs="宋体"/>
          <w:color w:val="000000" w:themeColor="text1"/>
          <w:kern w:val="0"/>
          <w:sz w:val="24"/>
          <w:lang w:val="en-US" w:eastAsia="zh-CN"/>
          <w14:textFill>
            <w14:solidFill>
              <w14:schemeClr w14:val="tx1"/>
            </w14:solidFill>
          </w14:textFill>
        </w:rPr>
        <w:t>5</w:t>
      </w:r>
      <w:r>
        <w:rPr>
          <w:rFonts w:hint="eastAsia" w:ascii="宋体" w:hAnsi="宋体" w:cs="宋体"/>
          <w:color w:val="000000" w:themeColor="text1"/>
          <w:kern w:val="0"/>
          <w:sz w:val="24"/>
          <w:lang w:val="zh-CN"/>
          <w14:textFill>
            <w14:solidFill>
              <w14:schemeClr w14:val="tx1"/>
            </w14:solidFill>
          </w14:textFill>
        </w:rPr>
        <w:t>年</w:t>
      </w:r>
      <w:r>
        <w:rPr>
          <w:rFonts w:hint="eastAsia"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月</w:t>
      </w:r>
      <w:r>
        <w:rPr>
          <w:rFonts w:hint="eastAsia"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 xml:space="preserve">日    </w:t>
      </w:r>
      <w:r>
        <w:rPr>
          <w:rFonts w:hint="eastAsia"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 xml:space="preserve">    </w:t>
      </w:r>
      <w:r>
        <w:rPr>
          <w:rFonts w:hint="eastAsia"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 xml:space="preserve"> 签订时间：</w:t>
      </w:r>
      <w:r>
        <w:rPr>
          <w:rFonts w:hint="eastAsia" w:ascii="宋体" w:hAnsi="宋体" w:cs="宋体"/>
          <w:color w:val="000000" w:themeColor="text1"/>
          <w:kern w:val="0"/>
          <w:sz w:val="24"/>
          <w14:textFill>
            <w14:solidFill>
              <w14:schemeClr w14:val="tx1"/>
            </w14:solidFill>
          </w14:textFill>
        </w:rPr>
        <w:t>202</w:t>
      </w:r>
      <w:r>
        <w:rPr>
          <w:rFonts w:hint="eastAsia" w:ascii="宋体" w:hAnsi="宋体" w:cs="宋体"/>
          <w:color w:val="000000" w:themeColor="text1"/>
          <w:kern w:val="0"/>
          <w:sz w:val="24"/>
          <w:lang w:val="en-US" w:eastAsia="zh-CN"/>
          <w14:textFill>
            <w14:solidFill>
              <w14:schemeClr w14:val="tx1"/>
            </w14:solidFill>
          </w14:textFill>
        </w:rPr>
        <w:t>5</w:t>
      </w:r>
      <w:r>
        <w:rPr>
          <w:rFonts w:hint="eastAsia" w:ascii="宋体" w:hAnsi="宋体" w:cs="宋体"/>
          <w:color w:val="000000" w:themeColor="text1"/>
          <w:kern w:val="0"/>
          <w:sz w:val="24"/>
          <w:lang w:val="zh-CN"/>
          <w14:textFill>
            <w14:solidFill>
              <w14:schemeClr w14:val="tx1"/>
            </w14:solidFill>
          </w14:textFill>
        </w:rPr>
        <w:t>年</w:t>
      </w:r>
      <w:r>
        <w:rPr>
          <w:rFonts w:hint="eastAsia"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月</w:t>
      </w:r>
      <w:r>
        <w:rPr>
          <w:rFonts w:hint="eastAsia"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 xml:space="preserve">日   </w:t>
      </w:r>
      <w:r>
        <w:rPr>
          <w:rFonts w:hint="eastAsia" w:ascii="宋体" w:hAnsi="宋体" w:cs="宋体"/>
          <w:color w:val="000000" w:themeColor="text1"/>
          <w:kern w:val="0"/>
          <w:sz w:val="24"/>
          <w14:textFill>
            <w14:solidFill>
              <w14:schemeClr w14:val="tx1"/>
            </w14:solidFill>
          </w14:textFill>
        </w:rPr>
        <w:t xml:space="preserve"> </w:t>
      </w:r>
    </w:p>
    <w:p w14:paraId="4B0CEE19">
      <w:pPr>
        <w:spacing w:line="360" w:lineRule="auto"/>
        <w:rPr>
          <w:rFonts w:ascii="宋体" w:hAnsi="宋体"/>
          <w:color w:val="000000" w:themeColor="text1"/>
          <w:sz w:val="24"/>
          <w14:textFill>
            <w14:solidFill>
              <w14:schemeClr w14:val="tx1"/>
            </w14:solidFill>
          </w14:textFill>
        </w:rPr>
      </w:pPr>
    </w:p>
    <w:p w14:paraId="4A170A33">
      <w:pPr>
        <w:spacing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采购代理机构：青海国焱工程项目管理有限公司</w:t>
      </w:r>
    </w:p>
    <w:p w14:paraId="70EF2D8D">
      <w:pPr>
        <w:spacing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负责人或经办人：</w:t>
      </w:r>
    </w:p>
    <w:p w14:paraId="22B37110">
      <w:pPr>
        <w:spacing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合同备案日期：  年   月   日</w:t>
      </w:r>
    </w:p>
    <w:p w14:paraId="41E1AC17">
      <w:pPr>
        <w:spacing w:line="360" w:lineRule="auto"/>
        <w:rPr>
          <w:rFonts w:ascii="宋体" w:hAnsi="宋体"/>
          <w:color w:val="000000" w:themeColor="text1"/>
          <w:sz w:val="24"/>
          <w14:textFill>
            <w14:solidFill>
              <w14:schemeClr w14:val="tx1"/>
            </w14:solidFill>
          </w14:textFill>
        </w:rPr>
      </w:pPr>
    </w:p>
    <w:p w14:paraId="27EACC0D">
      <w:pPr>
        <w:spacing w:line="360" w:lineRule="auto"/>
        <w:jc w:val="center"/>
        <w:rPr>
          <w:rFonts w:ascii="宋体" w:hAnsi="宋体" w:cs="宋体"/>
          <w:b/>
          <w:bCs/>
          <w:color w:val="000000" w:themeColor="text1"/>
          <w:kern w:val="0"/>
          <w:sz w:val="28"/>
          <w:szCs w:val="28"/>
          <w:lang w:val="zh-CN"/>
          <w14:textFill>
            <w14:solidFill>
              <w14:schemeClr w14:val="tx1"/>
            </w14:solidFill>
          </w14:textFill>
        </w:rPr>
      </w:pPr>
      <w:r>
        <w:rPr>
          <w:rFonts w:ascii="宋体" w:hAnsi="宋体"/>
          <w:color w:val="000000" w:themeColor="text1"/>
          <w:sz w:val="24"/>
          <w14:textFill>
            <w14:solidFill>
              <w14:schemeClr w14:val="tx1"/>
            </w14:solidFill>
          </w14:textFill>
        </w:rPr>
        <w:br w:type="page"/>
      </w:r>
      <w:r>
        <w:rPr>
          <w:rFonts w:hint="eastAsia" w:ascii="宋体" w:hAnsi="宋体"/>
          <w:b/>
          <w:color w:val="000000" w:themeColor="text1"/>
          <w:sz w:val="28"/>
          <w:szCs w:val="28"/>
          <w14:textFill>
            <w14:solidFill>
              <w14:schemeClr w14:val="tx1"/>
            </w14:solidFill>
          </w14:textFill>
        </w:rPr>
        <w:t>合同通用条款</w:t>
      </w:r>
    </w:p>
    <w:p w14:paraId="570AE2D6">
      <w:pPr>
        <w:autoSpaceDE w:val="0"/>
        <w:autoSpaceDN w:val="0"/>
        <w:spacing w:line="360" w:lineRule="auto"/>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根据《中华人民共和国</w:t>
      </w:r>
      <w:r>
        <w:rPr>
          <w:rFonts w:hint="eastAsia" w:hAnsi="宋体"/>
          <w:color w:val="000000" w:themeColor="text1"/>
          <w:sz w:val="24"/>
          <w14:textFill>
            <w14:solidFill>
              <w14:schemeClr w14:val="tx1"/>
            </w14:solidFill>
          </w14:textFill>
        </w:rPr>
        <w:t>民法典</w:t>
      </w:r>
      <w:r>
        <w:rPr>
          <w:rFonts w:hint="eastAsia" w:ascii="宋体" w:hAnsi="宋体" w:cs="宋体"/>
          <w:color w:val="000000" w:themeColor="text1"/>
          <w:kern w:val="0"/>
          <w:sz w:val="24"/>
          <w:lang w:val="zh-CN"/>
          <w14:textFill>
            <w14:solidFill>
              <w14:schemeClr w14:val="tx1"/>
            </w14:solidFill>
          </w14:textFill>
        </w:rPr>
        <w:t>》、《中华人民共和国政府采购法》的规定，合同双方经协商达成一致，自愿订立本合同，遵循公平原则明确双方的权利、义务，确保双方诚实守信地履行合同。</w:t>
      </w:r>
    </w:p>
    <w:p w14:paraId="1DAF9382">
      <w:pPr>
        <w:numPr>
          <w:ilvl w:val="0"/>
          <w:numId w:val="38"/>
        </w:numPr>
        <w:autoSpaceDE w:val="0"/>
        <w:autoSpaceDN w:val="0"/>
        <w:spacing w:line="360" w:lineRule="auto"/>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定义</w:t>
      </w:r>
    </w:p>
    <w:p w14:paraId="0F35DAFC">
      <w:pPr>
        <w:autoSpaceDE w:val="0"/>
        <w:autoSpaceDN w:val="0"/>
        <w:spacing w:line="360" w:lineRule="auto"/>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本合同中的下列术语应解释为：</w:t>
      </w:r>
    </w:p>
    <w:p w14:paraId="481662A8">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“合同”指甲乙双方签署的、载明的甲乙双方权利义务的协议，包括所有的附件、附录和上述文件所提到的构成合同的所有文件。</w:t>
      </w:r>
    </w:p>
    <w:p w14:paraId="58B590A8">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“合同金额”指根据合同规定，乙方在正确地完全履行合同义务后甲方应付给乙方的价款。</w:t>
      </w:r>
    </w:p>
    <w:p w14:paraId="268F7642">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“合同条款”指本合同条款。</w:t>
      </w:r>
    </w:p>
    <w:p w14:paraId="5D6228F0">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“货物”指乙方根据合同约定须向甲方提供的一切产品、设备、机械、仪表、备件等，包括辅助工具、使用手册等相关资料。</w:t>
      </w:r>
    </w:p>
    <w:p w14:paraId="70871364">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“服务”指根据本合同规定乙方承担与供货有关的辅助服务，如运输、保险及安装、调试、提供技术援助、培训和合同中规定乙方应承担的其它义务。</w:t>
      </w:r>
    </w:p>
    <w:p w14:paraId="02EABCC2">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“甲方”指购买货物和服务的单位。</w:t>
      </w:r>
    </w:p>
    <w:p w14:paraId="7F1107E3">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“乙方”指提供本合同条款下货物和服务的公司或其他实体。</w:t>
      </w:r>
    </w:p>
    <w:p w14:paraId="15BBEFAA">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“现场”指合同规定货物将要运至和安装的地点。</w:t>
      </w:r>
    </w:p>
    <w:p w14:paraId="704EFAE5">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“验收”指合同双方依据强制性的国家技术质量规范和合同约定，确认合同条款下的货物符合合同规定的活动。</w:t>
      </w:r>
    </w:p>
    <w:p w14:paraId="3E7A7691">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原厂商：产品制造商或其在中国境内设立的办事或技术服务机构。除另有说明外，本合同文件所述的制造商、产品制造商、制造厂家、产品制造厂家均为原厂商。</w:t>
      </w:r>
    </w:p>
    <w:p w14:paraId="762EC373">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原产地：指产品的生产地，或提供服务的来源地。</w:t>
      </w:r>
    </w:p>
    <w:p w14:paraId="70EA9010">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“工作日”指国家法定工作日，“天”指日历天数。</w:t>
      </w:r>
    </w:p>
    <w:p w14:paraId="4465291F">
      <w:pPr>
        <w:numPr>
          <w:ilvl w:val="0"/>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技术规格要求</w:t>
      </w:r>
    </w:p>
    <w:p w14:paraId="15FBAB8F">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本合同条款下提交货物的技术规格要求应等于或优于招磋商文件技术规格要求。若技术规格要求中无相应规定，则应符合相应的国家有关部门最新颁布的相应正式标准。</w:t>
      </w:r>
    </w:p>
    <w:p w14:paraId="664C0559">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乙方应向甲方提供货物及服务有关的标准的中文文本。</w:t>
      </w:r>
    </w:p>
    <w:p w14:paraId="0B884468">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除非技术规范中另有规定，计量单位均采用中华人民共和国法定计量单位。</w:t>
      </w:r>
    </w:p>
    <w:p w14:paraId="45B6B388">
      <w:pPr>
        <w:numPr>
          <w:ilvl w:val="0"/>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合同范围</w:t>
      </w:r>
    </w:p>
    <w:p w14:paraId="7280DF85">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173451B0">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乙方应负责培训甲方的技术人员。</w:t>
      </w:r>
    </w:p>
    <w:p w14:paraId="55A15781">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按照甲方的要求，乙方应在合同规定的免费质保期和免费保修期内，免费负责修理或更换有缺陷的零部件或整机，对软件产品进行免费升级，同时在合同规定的免费质保期和免费保修期满后，以最优惠的价格，向买方提供合同货物大修和维护所需的配件及服务。</w:t>
      </w:r>
    </w:p>
    <w:p w14:paraId="15885C66">
      <w:pPr>
        <w:numPr>
          <w:ilvl w:val="0"/>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合同文件和资料</w:t>
      </w:r>
    </w:p>
    <w:p w14:paraId="10ADC661">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乙方在提供仪器设备时应同时提供中文版相关的技术资料，如目录索引、图纸、操作手册、使用指南、维修指南、服务手册等。</w:t>
      </w:r>
    </w:p>
    <w:p w14:paraId="075F1365">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3FC684E1">
      <w:pPr>
        <w:numPr>
          <w:ilvl w:val="0"/>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知识产权</w:t>
      </w:r>
    </w:p>
    <w:p w14:paraId="56A68E4F">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乙方应保证甲方在使用该货物或其任何一部分时不受第三方提出的侵犯专利权、著作权、商标权和工业设计权等的起诉。</w:t>
      </w:r>
    </w:p>
    <w:p w14:paraId="71047739">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任何第三方提出侵权指控，乙方须与第三方交涉并承担由此产生的一切责任、费用和经济赔偿。</w:t>
      </w:r>
    </w:p>
    <w:p w14:paraId="6C7E47D6">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双方应共同遵守国家有关版权、专利、商标等知识产权方面的法律规定，相互尊重对方的知识产权，对本合同内容、对方的技术秘密和商业秘密负有保密责任。如有违反，违约方负相关法律责任。</w:t>
      </w:r>
    </w:p>
    <w:p w14:paraId="3B0DE25A">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在本合同生效时已经存在并为各方合法拥有或使用的所有技术、资料和信息的知识产权，仍应属于其各自的原权利人所有或享有，另有约定的除外。</w:t>
      </w:r>
    </w:p>
    <w:p w14:paraId="0097904F">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6E4248B0">
      <w:pPr>
        <w:numPr>
          <w:ilvl w:val="0"/>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保密</w:t>
      </w:r>
    </w:p>
    <w:p w14:paraId="0AFF5E1F">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0A0ACA2C">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保密信息指任何一方因履行本合同所知悉的任何以口头、书面、图表或电子形式存在的对方信息，具体包括：</w:t>
      </w:r>
    </w:p>
    <w:p w14:paraId="7600770F">
      <w:pPr>
        <w:numPr>
          <w:ilvl w:val="2"/>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任何涉及对方过去、现在或将来的商业计划、规章制度、操作规程、处理手段、财务信息；</w:t>
      </w:r>
    </w:p>
    <w:p w14:paraId="73771564">
      <w:pPr>
        <w:numPr>
          <w:ilvl w:val="2"/>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任何对方的技术措施、技术方案、软件应用及开发，硬件设备的品种、质量、数量、品牌等；</w:t>
      </w:r>
    </w:p>
    <w:p w14:paraId="7432EFE5">
      <w:pPr>
        <w:numPr>
          <w:ilvl w:val="2"/>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任何对方的技术秘密或专有知识、文件、报告、数据、客户软件、流程图、数据库、发明、知识、贸易秘密。</w:t>
      </w:r>
    </w:p>
    <w:p w14:paraId="0AB4ECB3">
      <w:pPr>
        <w:numPr>
          <w:ilvl w:val="1"/>
          <w:numId w:val="38"/>
        </w:num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乙方应根据甲方的要求签署相应的保密协议，保密协议与本条款存在不一致的，以保密协议为准。</w:t>
      </w:r>
    </w:p>
    <w:p w14:paraId="119F09AB">
      <w:pPr>
        <w:numPr>
          <w:ilvl w:val="0"/>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质量保证</w:t>
      </w:r>
    </w:p>
    <w:p w14:paraId="4D672A67">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货物质量保证</w:t>
      </w:r>
    </w:p>
    <w:p w14:paraId="092E4E7B">
      <w:pPr>
        <w:numPr>
          <w:ilvl w:val="2"/>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乙方必须保证货物是全新、未使用过的，并完全符合强制性的国家技术质量规范和合同规定的质量、规格、性能和技术规范等的要求。</w:t>
      </w:r>
    </w:p>
    <w:p w14:paraId="769128AD">
      <w:pPr>
        <w:numPr>
          <w:ilvl w:val="2"/>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乙方须保证所提供的货物经正确安装、正常运转和保养，在其使用寿命期内须具有符合质量要求和产品说明书的性能。在货物免费质保期之内，乙方须对由于设计、工艺或材料的缺陷而发生的任何不足或故障负责，并免费予以改进或更换。</w:t>
      </w:r>
    </w:p>
    <w:p w14:paraId="78BB70D5">
      <w:pPr>
        <w:numPr>
          <w:ilvl w:val="2"/>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根据乙方按检验标准自己检验结果或委托有资质的相关质检机构的检验结果，发现货物的数量、质量、规格与合同不符；或者在免费质保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3647F39F">
      <w:pPr>
        <w:numPr>
          <w:ilvl w:val="2"/>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159E5818">
      <w:pPr>
        <w:numPr>
          <w:ilvl w:val="2"/>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合同条款下货物的免费质保期自货物通过最终验收起算，合同另行规定除外。</w:t>
      </w:r>
    </w:p>
    <w:p w14:paraId="4C2D5D46">
      <w:pPr>
        <w:numPr>
          <w:ilvl w:val="1"/>
          <w:numId w:val="38"/>
        </w:num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辅助服务质量保证</w:t>
      </w:r>
    </w:p>
    <w:p w14:paraId="7A24D9DB">
      <w:pPr>
        <w:numPr>
          <w:ilvl w:val="2"/>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5003D9B3">
      <w:pPr>
        <w:numPr>
          <w:ilvl w:val="2"/>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乙方应保证合同条款下所提供的服务包括培训、安装指导、单机调试、系统联调和试验等，按合同规定方式进行，并保证不存在因乙方工作人员的过失、错误或疏忽而产生的缺陷。</w:t>
      </w:r>
    </w:p>
    <w:p w14:paraId="5B514597">
      <w:pPr>
        <w:numPr>
          <w:ilvl w:val="0"/>
          <w:numId w:val="38"/>
        </w:numPr>
        <w:autoSpaceDE w:val="0"/>
        <w:autoSpaceDN w:val="0"/>
        <w:spacing w:line="360" w:lineRule="auto"/>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包装要求</w:t>
      </w:r>
    </w:p>
    <w:p w14:paraId="7C8522FF">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除合同另有约定外</w:t>
      </w:r>
      <w:r>
        <w:rPr>
          <w:rFonts w:hint="eastAsia" w:ascii="宋体" w:hAnsi="宋体" w:cs="宋体"/>
          <w:color w:val="000000" w:themeColor="text1"/>
          <w:kern w:val="0"/>
          <w:sz w:val="24"/>
          <w14:textFill>
            <w14:solidFill>
              <w14:schemeClr w14:val="tx1"/>
            </w14:solidFill>
          </w14:textFill>
        </w:rPr>
        <w:t>,</w:t>
      </w:r>
      <w:r>
        <w:rPr>
          <w:rFonts w:hint="eastAsia" w:ascii="宋体" w:hAnsi="宋体" w:cs="宋体"/>
          <w:color w:val="000000" w:themeColor="text1"/>
          <w:kern w:val="0"/>
          <w:sz w:val="24"/>
          <w:lang w:val="zh-CN"/>
          <w14:textFill>
            <w14:solidFill>
              <w14:schemeClr w14:val="tx1"/>
            </w14:solidFill>
          </w14:textFill>
        </w:rPr>
        <w:t>乙方提供的全部货物</w:t>
      </w:r>
      <w:r>
        <w:rPr>
          <w:rFonts w:hint="eastAsia" w:ascii="宋体" w:hAnsi="宋体" w:cs="宋体"/>
          <w:color w:val="000000" w:themeColor="text1"/>
          <w:kern w:val="0"/>
          <w:sz w:val="24"/>
          <w14:textFill>
            <w14:solidFill>
              <w14:schemeClr w14:val="tx1"/>
            </w14:solidFill>
          </w14:textFill>
        </w:rPr>
        <w:t>,</w:t>
      </w:r>
      <w:r>
        <w:rPr>
          <w:rFonts w:hint="eastAsia" w:ascii="宋体" w:hAnsi="宋体" w:cs="宋体"/>
          <w:color w:val="000000" w:themeColor="text1"/>
          <w:kern w:val="0"/>
          <w:sz w:val="24"/>
          <w:lang w:val="zh-CN"/>
          <w14:textFill>
            <w14:solidFill>
              <w14:schemeClr w14:val="tx1"/>
            </w14:solidFill>
          </w14:textFill>
        </w:rPr>
        <w:t>均应采用本行业通用的方式进行包装，且该包装应符合国家有关包装的法律、法规的规定。</w:t>
      </w:r>
    </w:p>
    <w:p w14:paraId="35822A75">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包装应适应于远距离运输，并有良好的防潮、防震、防锈和防粗暴装卸等保护措施，以确保货物安全运抵现场。由于包装不善所引起的货物锈蚀、损坏和损失均由乙方承担。</w:t>
      </w:r>
    </w:p>
    <w:p w14:paraId="49D355C0">
      <w:pPr>
        <w:autoSpaceDE w:val="0"/>
        <w:autoSpaceDN w:val="0"/>
        <w:spacing w:line="360" w:lineRule="auto"/>
        <w:ind w:left="48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乙方应提供货物运至合同规定的最终目的地所需要的包装，以防止货物在转运中损坏或变质。</w:t>
      </w:r>
    </w:p>
    <w:p w14:paraId="0FE73910">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乙方所提供的货物包装均为出厂时原包装。</w:t>
      </w:r>
    </w:p>
    <w:p w14:paraId="3D22DF90">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乙方所提供货物必须附有质量合格证，装箱清单，主机、附件、各种零部件和消耗品，有清楚的与装箱单相对应的名称和编号。</w:t>
      </w:r>
    </w:p>
    <w:p w14:paraId="77932ED5">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货物运输中的运输费用和保险费用均由乙方承担。运输过程中的一切损失、损坏均由乙方负责。</w:t>
      </w:r>
    </w:p>
    <w:p w14:paraId="45E93B24">
      <w:pPr>
        <w:numPr>
          <w:ilvl w:val="0"/>
          <w:numId w:val="38"/>
        </w:numPr>
        <w:autoSpaceDE w:val="0"/>
        <w:autoSpaceDN w:val="0"/>
        <w:spacing w:line="360" w:lineRule="auto"/>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价格</w:t>
      </w:r>
    </w:p>
    <w:p w14:paraId="605D7B53">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乙方履行合同所必须的所有费用，包括但不限于货物及部件的设计、检测与试验、制造、运输、装卸、保险、单机调试、安装调试指导、技术资料、培训、交通、人员、差旅、免费质保期服务费、其他管理费用、所有的检验、测试、调试、验收、试运行费用等均已包括在合同价格中。</w:t>
      </w:r>
    </w:p>
    <w:p w14:paraId="40467D8A">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本合同价格为固定价格，包括了乙方履行合同全过程产生的所有成本和费用以及乙方应承担的一切税费。</w:t>
      </w:r>
    </w:p>
    <w:p w14:paraId="57CC49AE">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检验费用</w:t>
      </w:r>
    </w:p>
    <w:p w14:paraId="48791D94">
      <w:pPr>
        <w:numPr>
          <w:ilvl w:val="2"/>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乙方必须负担本条款下属于乙方负责的检验、测试、调试、试运行和验收的所有费用，并负责乙方派往买方组织的检验、测试和验收人员的所有费用。</w:t>
      </w:r>
    </w:p>
    <w:p w14:paraId="0E976B9C">
      <w:pPr>
        <w:numPr>
          <w:ilvl w:val="2"/>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甲方按合同计划参加在乙方工厂所在地检验、测试和验收的费用全部由乙方负责并已包含在合同总价中。</w:t>
      </w:r>
    </w:p>
    <w:p w14:paraId="09952360">
      <w:pPr>
        <w:numPr>
          <w:ilvl w:val="2"/>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甲方检验人员已到卖方所在地，测试无法依照合同进行，而引起甲方人员延长逗留时间，所有由此产生的包括甲方人员在内的直接费用及成本由乙方承担。</w:t>
      </w:r>
    </w:p>
    <w:p w14:paraId="50808BF2">
      <w:pPr>
        <w:numPr>
          <w:ilvl w:val="0"/>
          <w:numId w:val="38"/>
        </w:numPr>
        <w:autoSpaceDE w:val="0"/>
        <w:autoSpaceDN w:val="0"/>
        <w:spacing w:line="360" w:lineRule="auto"/>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交货方式及交货时间</w:t>
      </w:r>
    </w:p>
    <w:p w14:paraId="5A23626E">
      <w:pPr>
        <w:autoSpaceDE w:val="0"/>
        <w:autoSpaceDN w:val="0"/>
        <w:spacing w:line="360" w:lineRule="auto"/>
        <w:ind w:firstLine="480" w:firstLineChars="20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交货方式：现场交货，乙方负责办理运输和保险，将货物运抵现场。</w:t>
      </w:r>
    </w:p>
    <w:p w14:paraId="7F97A20C">
      <w:pPr>
        <w:autoSpaceDE w:val="0"/>
        <w:autoSpaceDN w:val="0"/>
        <w:spacing w:line="360" w:lineRule="auto"/>
        <w:ind w:firstLine="480" w:firstLineChars="20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交货期应根据产品的特点实事求是填写，进口产品90个工作日内，国产产品60个工作日内。特殊产品交货期需说明。</w:t>
      </w:r>
    </w:p>
    <w:p w14:paraId="0F4C1408">
      <w:pPr>
        <w:autoSpaceDE w:val="0"/>
        <w:autoSpaceDN w:val="0"/>
        <w:spacing w:line="360" w:lineRule="auto"/>
        <w:ind w:firstLine="480" w:firstLineChars="20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交货时间：所有货物运抵现场并经双方开箱验收合格之日。</w:t>
      </w:r>
    </w:p>
    <w:p w14:paraId="00A928FB">
      <w:pPr>
        <w:numPr>
          <w:ilvl w:val="0"/>
          <w:numId w:val="38"/>
        </w:numPr>
        <w:autoSpaceDE w:val="0"/>
        <w:autoSpaceDN w:val="0"/>
        <w:spacing w:line="360" w:lineRule="auto"/>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检验和验收</w:t>
      </w:r>
    </w:p>
    <w:p w14:paraId="0C26B81F">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开箱验收</w:t>
      </w:r>
    </w:p>
    <w:p w14:paraId="59BEF20C">
      <w:pPr>
        <w:numPr>
          <w:ilvl w:val="2"/>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货物运抵现场后，双方应及时开箱验收，并制作验收记录，以确认与本合同约定的数量、型号等是否一致。</w:t>
      </w:r>
    </w:p>
    <w:p w14:paraId="1CFF42A1">
      <w:pPr>
        <w:numPr>
          <w:ilvl w:val="2"/>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乙方应在交货前对货物的质量、规格、数量等进行详细而全面的检验，并出具证明货物符合合同规定的文件。该文件将作为申请付款单据的一部分，但有关质量、规格、数量的检验不应视为最终检验。</w:t>
      </w:r>
    </w:p>
    <w:p w14:paraId="25F014AB">
      <w:pPr>
        <w:numPr>
          <w:ilvl w:val="2"/>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开箱验收中如发现货物的数量、规格与合同约定不符，甲方有权拒收货物，乙方应及时按甲方要求免费对拒收货物采取更换或其他必要的补救措施，直至开箱验收合格，方视为乙方完成交货。</w:t>
      </w:r>
    </w:p>
    <w:p w14:paraId="10E78A68">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检验验收</w:t>
      </w:r>
    </w:p>
    <w:p w14:paraId="111A3BDE">
      <w:pPr>
        <w:numPr>
          <w:ilvl w:val="2"/>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交货完成后，乙方应及时组装、调试、试运行，按照合同专用条款规定的试运行完成后，双方及时组织对货物检验验收。合同双方均须派人参加合同要求双方参加的试验、检验。</w:t>
      </w:r>
    </w:p>
    <w:p w14:paraId="4B890EEF">
      <w:pPr>
        <w:numPr>
          <w:ilvl w:val="2"/>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在具体实施合同规定的检验验收之前，乙方需提前提交相应的测试计划（包括测试程序、测试内容和检验标准、试验时间安排等）供甲方确认。</w:t>
      </w:r>
    </w:p>
    <w:p w14:paraId="69D5D55B">
      <w:pPr>
        <w:numPr>
          <w:ilvl w:val="2"/>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除需甲方确认的试验验收外，乙方还应对所有检验验收测试的结果、步骤、原始数据等作妥善记录。如甲方要求，乙方应提供这些记录给买方。</w:t>
      </w:r>
    </w:p>
    <w:p w14:paraId="45D06B24">
      <w:pPr>
        <w:numPr>
          <w:ilvl w:val="2"/>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检验测试出现全部或部分未达到本合同所约定的技术指标，甲方有权选择下列任一处理方式：</w:t>
      </w:r>
    </w:p>
    <w:p w14:paraId="2EF54CBB">
      <w:pPr>
        <w:numPr>
          <w:ilvl w:val="0"/>
          <w:numId w:val="39"/>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重新测试直至合格为止；</w:t>
      </w:r>
    </w:p>
    <w:p w14:paraId="1FF29104">
      <w:pPr>
        <w:numPr>
          <w:ilvl w:val="0"/>
          <w:numId w:val="39"/>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要求乙方对货物进行免费更换，然后重新测试直至合格为止；</w:t>
      </w:r>
    </w:p>
    <w:p w14:paraId="5C875F58">
      <w:p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无论选择何种方式，甲方因此而发生的因卖方原因引起的所有费用均由乙方负担。</w:t>
      </w:r>
    </w:p>
    <w:p w14:paraId="1C157A0E">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使用过程检验</w:t>
      </w:r>
    </w:p>
    <w:p w14:paraId="7B41659D">
      <w:pPr>
        <w:numPr>
          <w:ilvl w:val="2"/>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在合同规定的免费质保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14:paraId="608B1816">
      <w:pPr>
        <w:numPr>
          <w:ilvl w:val="2"/>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如果合同双方对乙方提供的上述试验结果报告的解释有分歧，双方须于出现分歧后</w:t>
      </w:r>
      <w:r>
        <w:rPr>
          <w:rFonts w:hint="eastAsia" w:ascii="宋体" w:hAnsi="宋体" w:cs="宋体"/>
          <w:color w:val="000000" w:themeColor="text1"/>
          <w:kern w:val="0"/>
          <w:sz w:val="24"/>
          <w14:textFill>
            <w14:solidFill>
              <w14:schemeClr w14:val="tx1"/>
            </w14:solidFill>
          </w14:textFill>
        </w:rPr>
        <w:t>10</w:t>
      </w:r>
      <w:r>
        <w:rPr>
          <w:rFonts w:hint="eastAsia" w:ascii="宋体" w:hAnsi="宋体" w:cs="宋体"/>
          <w:color w:val="000000" w:themeColor="text1"/>
          <w:kern w:val="0"/>
          <w:sz w:val="24"/>
          <w:lang w:val="zh-CN"/>
          <w14:textFill>
            <w14:solidFill>
              <w14:schemeClr w14:val="tx1"/>
            </w14:solidFill>
          </w14:textFill>
        </w:rPr>
        <w:t>天内给对方声明，以陈述己方的观点。声明须附有关证据。分歧应通过协商解决。</w:t>
      </w:r>
    </w:p>
    <w:p w14:paraId="72F2ABC6">
      <w:pPr>
        <w:numPr>
          <w:ilvl w:val="0"/>
          <w:numId w:val="38"/>
        </w:numPr>
        <w:autoSpaceDE w:val="0"/>
        <w:autoSpaceDN w:val="0"/>
        <w:spacing w:line="360" w:lineRule="auto"/>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付款条件</w:t>
      </w:r>
    </w:p>
    <w:p w14:paraId="4FFA109F">
      <w:pPr>
        <w:autoSpaceDE w:val="0"/>
        <w:autoSpaceDN w:val="0"/>
        <w:spacing w:line="360" w:lineRule="auto"/>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本合同条款下的付款方法和条件在“青海省政府采购合同书”中具体规定。</w:t>
      </w:r>
    </w:p>
    <w:p w14:paraId="7CD8FCAC">
      <w:pPr>
        <w:numPr>
          <w:ilvl w:val="0"/>
          <w:numId w:val="38"/>
        </w:numPr>
        <w:autoSpaceDE w:val="0"/>
        <w:autoSpaceDN w:val="0"/>
        <w:spacing w:line="360" w:lineRule="auto"/>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履约保证金</w:t>
      </w:r>
    </w:p>
    <w:p w14:paraId="1B3AD5E1">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乙方应在合同签订前，按要求提交履约保证金。</w:t>
      </w:r>
    </w:p>
    <w:p w14:paraId="4BB2F5FF">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履约保证金用于补偿甲方因乙方不能履行其合同义务而蒙受的损失。</w:t>
      </w:r>
    </w:p>
    <w:p w14:paraId="25DE2720">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履约保证金应使用本合同货币，按下述方式之一提交（磋商文件中另有约定的除外）：</w:t>
      </w:r>
    </w:p>
    <w:p w14:paraId="131BF4CA">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甲方可接受的在中华人民共和国注册和营业的银行出具的履约保函；</w:t>
      </w:r>
    </w:p>
    <w:p w14:paraId="15089405">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支票或汇票。</w:t>
      </w:r>
    </w:p>
    <w:p w14:paraId="42E250DB">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乙方未能按合同规定履行其义务，甲方有权从履约保证金中取得补偿。货物验收合格后，甲方将履约保证金退还乙方或转为质量保证金。</w:t>
      </w:r>
    </w:p>
    <w:p w14:paraId="25770A44">
      <w:pPr>
        <w:numPr>
          <w:ilvl w:val="0"/>
          <w:numId w:val="38"/>
        </w:numPr>
        <w:autoSpaceDE w:val="0"/>
        <w:autoSpaceDN w:val="0"/>
        <w:spacing w:line="360" w:lineRule="auto"/>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索赔</w:t>
      </w:r>
    </w:p>
    <w:p w14:paraId="1A3444C6">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货物的质量、规格、数量、性能等与合同约定不符，或在免费质保期内证实货物存有缺陷，包括潜在的缺陷或使用不符合要求的材料等，甲方有权根据有资质的权威质检机构的检验结果向乙方提出索赔（但责任应由保险公司或运输部门承担的除外）。</w:t>
      </w:r>
    </w:p>
    <w:p w14:paraId="4C99695D">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在履约保证期和检验期内，乙方对甲方提出的索赔负有责任，乙方应按照甲方同意的下列一种或多种方式解决索赔事宜：</w:t>
      </w:r>
    </w:p>
    <w:p w14:paraId="658D7EDC">
      <w:pPr>
        <w:numPr>
          <w:ilvl w:val="2"/>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14:paraId="5F707F80">
      <w:pPr>
        <w:numPr>
          <w:ilvl w:val="2"/>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根据货物低劣程度、损坏程度以及甲方所遭受损失的数额，经甲乙双方商定降低货物的价格，或由有资质的中介机构评估，以降低后的价格或评估价格为准。</w:t>
      </w:r>
    </w:p>
    <w:p w14:paraId="6F7A6915">
      <w:pPr>
        <w:numPr>
          <w:ilvl w:val="2"/>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50E13A24">
      <w:pPr>
        <w:numPr>
          <w:ilvl w:val="1"/>
          <w:numId w:val="38"/>
        </w:num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乙方收到甲方发出的索赔通知之日起</w:t>
      </w:r>
      <w:r>
        <w:rPr>
          <w:rFonts w:hint="eastAsia" w:ascii="宋体" w:hAnsi="宋体" w:cs="宋体"/>
          <w:color w:val="000000" w:themeColor="text1"/>
          <w:kern w:val="0"/>
          <w:sz w:val="24"/>
          <w14:textFill>
            <w14:solidFill>
              <w14:schemeClr w14:val="tx1"/>
            </w14:solidFill>
          </w14:textFill>
        </w:rPr>
        <w:t>5</w:t>
      </w:r>
      <w:r>
        <w:rPr>
          <w:rFonts w:hint="eastAsia" w:ascii="宋体" w:hAnsi="宋体" w:cs="宋体"/>
          <w:color w:val="000000" w:themeColor="text1"/>
          <w:kern w:val="0"/>
          <w:sz w:val="24"/>
          <w:lang w:val="zh-CN"/>
          <w14:textFill>
            <w14:solidFill>
              <w14:schemeClr w14:val="tx1"/>
            </w14:solidFill>
          </w14:textFill>
        </w:rPr>
        <w:t>个工作日内未作答复的，甲方可从合同款或履约保证金中扣回索赔金额，如金额不足以补偿索赔金额，乙方应补足差额部分。</w:t>
      </w:r>
    </w:p>
    <w:p w14:paraId="2DDE7319">
      <w:pPr>
        <w:numPr>
          <w:ilvl w:val="0"/>
          <w:numId w:val="38"/>
        </w:numPr>
        <w:autoSpaceDE w:val="0"/>
        <w:autoSpaceDN w:val="0"/>
        <w:spacing w:line="360" w:lineRule="auto"/>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迟延交货</w:t>
      </w:r>
    </w:p>
    <w:p w14:paraId="2F0EBD56">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乙方应按照合同约定的时间交货和提供服务。</w:t>
      </w:r>
    </w:p>
    <w:p w14:paraId="4F411C4E">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除不可抗力因素外，乙方迟延交货，甲方有权提出违约损失赔偿或解除合同。</w:t>
      </w:r>
    </w:p>
    <w:p w14:paraId="0745B92E">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在履行合同过程中，乙方遇到不能按时交货和提供服务的情况，应及时以书面形式将不能按时交货的理由、预期延误时间通知甲方。甲方收到乙方通知后，认为其理由正当的，可酌情延长交货时间。</w:t>
      </w:r>
    </w:p>
    <w:p w14:paraId="45198BE9">
      <w:pPr>
        <w:numPr>
          <w:ilvl w:val="0"/>
          <w:numId w:val="38"/>
        </w:numPr>
        <w:autoSpaceDE w:val="0"/>
        <w:autoSpaceDN w:val="0"/>
        <w:spacing w:line="360" w:lineRule="auto"/>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违约赔偿</w:t>
      </w:r>
    </w:p>
    <w:p w14:paraId="7B56E1E6">
      <w:pPr>
        <w:autoSpaceDE w:val="0"/>
        <w:autoSpaceDN w:val="0"/>
        <w:spacing w:line="360" w:lineRule="auto"/>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除不可抗力因素外，乙方没有按照合同规定的时间交货和提供服务，甲方可要求乙方支付违约金。违约金每日按合同总价款的千分之五计收。</w:t>
      </w:r>
    </w:p>
    <w:p w14:paraId="42387ED3">
      <w:pPr>
        <w:numPr>
          <w:ilvl w:val="0"/>
          <w:numId w:val="38"/>
        </w:numPr>
        <w:autoSpaceDE w:val="0"/>
        <w:autoSpaceDN w:val="0"/>
        <w:spacing w:line="360" w:lineRule="auto"/>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不可抗力</w:t>
      </w:r>
    </w:p>
    <w:p w14:paraId="651D3B17">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双方中任何一方遭遇法律规定的不可抗力，致使合同履行受阻时，履行合同的期限应予延长，延长的期限应相当于不可抗力所影响的时间。</w:t>
      </w:r>
    </w:p>
    <w:p w14:paraId="16AEF34D">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受事故影响的一方应在不可抗力的事故发生后以书面形式通知另一方。</w:t>
      </w:r>
    </w:p>
    <w:p w14:paraId="7600D56A">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不可抗力使合同的某些内容有变更必要的，双方应通过协商达成进一步履行合同的协议，因不可抗力致使合同不能履行的，合同终止。</w:t>
      </w:r>
    </w:p>
    <w:p w14:paraId="2F9F6C64">
      <w:pPr>
        <w:numPr>
          <w:ilvl w:val="0"/>
          <w:numId w:val="38"/>
        </w:numPr>
        <w:autoSpaceDE w:val="0"/>
        <w:autoSpaceDN w:val="0"/>
        <w:spacing w:line="360" w:lineRule="auto"/>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税费</w:t>
      </w:r>
    </w:p>
    <w:p w14:paraId="38013CBC">
      <w:pPr>
        <w:autoSpaceDE w:val="0"/>
        <w:autoSpaceDN w:val="0"/>
        <w:spacing w:line="360" w:lineRule="auto"/>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与本合同有关的一切税费均由乙方承担。</w:t>
      </w:r>
    </w:p>
    <w:p w14:paraId="5CA4B494">
      <w:pPr>
        <w:numPr>
          <w:ilvl w:val="0"/>
          <w:numId w:val="38"/>
        </w:numPr>
        <w:autoSpaceDE w:val="0"/>
        <w:autoSpaceDN w:val="0"/>
        <w:spacing w:line="360" w:lineRule="auto"/>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合同争议的解决</w:t>
      </w:r>
    </w:p>
    <w:p w14:paraId="1E561189">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甲方和乙方由于本合同的履行而发生任何争议时，双方可先通过协商解决。</w:t>
      </w:r>
    </w:p>
    <w:p w14:paraId="41D26CC1">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任何一方不愿通过协商或通过协商仍不能解决争议，则双方中任何一方均应向甲方所在地人民法院起诉。</w:t>
      </w:r>
    </w:p>
    <w:p w14:paraId="43E809DD">
      <w:pPr>
        <w:numPr>
          <w:ilvl w:val="0"/>
          <w:numId w:val="38"/>
        </w:numPr>
        <w:autoSpaceDE w:val="0"/>
        <w:autoSpaceDN w:val="0"/>
        <w:spacing w:line="360" w:lineRule="auto"/>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违约解除合同</w:t>
      </w:r>
    </w:p>
    <w:p w14:paraId="3238F128">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出现下列情形之一的，视为乙方违约。甲方可向乙方发出书面通知，部分或全部终止合同，同时保留向乙方索赔的权利。</w:t>
      </w:r>
    </w:p>
    <w:p w14:paraId="129EB9F1">
      <w:pPr>
        <w:numPr>
          <w:ilvl w:val="2"/>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乙方未能在合同规定的限期或甲方同意延长的限期内，提供全部或部分货物的；</w:t>
      </w:r>
    </w:p>
    <w:p w14:paraId="4FDE61E7">
      <w:pPr>
        <w:numPr>
          <w:ilvl w:val="2"/>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乙方未能履行合同规定的其它主要义务的；</w:t>
      </w:r>
    </w:p>
    <w:p w14:paraId="654A213C">
      <w:pPr>
        <w:numPr>
          <w:ilvl w:val="2"/>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乙方在本合同履行过程中有欺诈行为的。</w:t>
      </w:r>
    </w:p>
    <w:p w14:paraId="2656FF5D">
      <w:pPr>
        <w:numPr>
          <w:ilvl w:val="1"/>
          <w:numId w:val="38"/>
        </w:numPr>
        <w:autoSpaceDE w:val="0"/>
        <w:autoSpaceDN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2FDA594A">
      <w:pPr>
        <w:numPr>
          <w:ilvl w:val="0"/>
          <w:numId w:val="38"/>
        </w:numPr>
        <w:autoSpaceDE w:val="0"/>
        <w:autoSpaceDN w:val="0"/>
        <w:spacing w:line="360" w:lineRule="auto"/>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破产终止合同</w:t>
      </w:r>
    </w:p>
    <w:p w14:paraId="2E918A2C">
      <w:pPr>
        <w:autoSpaceDE w:val="0"/>
        <w:autoSpaceDN w:val="0"/>
        <w:spacing w:line="360" w:lineRule="auto"/>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乙方破产而无法完全履行本合同义务时，甲方可以书面方式通知乙方终止合同而不给予乙方补偿。该合同的终止将不损害或不影响甲方已经采取或将要采取任何行动或补救措施的权利。</w:t>
      </w:r>
    </w:p>
    <w:p w14:paraId="6EDA5E92">
      <w:pPr>
        <w:numPr>
          <w:ilvl w:val="0"/>
          <w:numId w:val="38"/>
        </w:numPr>
        <w:autoSpaceDE w:val="0"/>
        <w:autoSpaceDN w:val="0"/>
        <w:spacing w:line="360" w:lineRule="auto"/>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转让和分包</w:t>
      </w:r>
    </w:p>
    <w:p w14:paraId="573E832D">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政府采购合同不能转让。</w:t>
      </w:r>
    </w:p>
    <w:p w14:paraId="5243DF81">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经甲方书面同意乙方可以将合同条款下非主体、非关键性工作分包给他人完成。接受分包的人应当具备相应的资格条件，并不得再次分包。</w:t>
      </w:r>
    </w:p>
    <w:p w14:paraId="0C4FC0BA">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p>
    <w:p w14:paraId="3DC92070">
      <w:pPr>
        <w:numPr>
          <w:ilvl w:val="1"/>
          <w:numId w:val="38"/>
        </w:numPr>
        <w:autoSpaceDE w:val="0"/>
        <w:autoSpaceDN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后不能解除卖方履行本合同的责任和义务，接受分包的人与乙方共同对甲方连带承担合同的责任和义务。</w:t>
      </w:r>
    </w:p>
    <w:p w14:paraId="4674770D">
      <w:pPr>
        <w:numPr>
          <w:ilvl w:val="0"/>
          <w:numId w:val="38"/>
        </w:numPr>
        <w:autoSpaceDE w:val="0"/>
        <w:autoSpaceDN w:val="0"/>
        <w:spacing w:line="360" w:lineRule="auto"/>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合同修改</w:t>
      </w:r>
    </w:p>
    <w:p w14:paraId="6EF3359D">
      <w:pPr>
        <w:autoSpaceDE w:val="0"/>
        <w:autoSpaceDN w:val="0"/>
        <w:spacing w:line="360" w:lineRule="auto"/>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甲方和乙方都不得擅自变更本合同，但合同继续履行将损害国家和社会公共利益的除外。如必须对合同条款进行改动时，当事人双方须共同签署书面文件，做为合同的补充。</w:t>
      </w:r>
    </w:p>
    <w:p w14:paraId="46F69EF3">
      <w:pPr>
        <w:numPr>
          <w:ilvl w:val="0"/>
          <w:numId w:val="38"/>
        </w:numPr>
        <w:autoSpaceDE w:val="0"/>
        <w:autoSpaceDN w:val="0"/>
        <w:spacing w:line="360" w:lineRule="auto"/>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通知</w:t>
      </w:r>
    </w:p>
    <w:p w14:paraId="572B95D1">
      <w:pPr>
        <w:autoSpaceDE w:val="0"/>
        <w:autoSpaceDN w:val="0"/>
        <w:spacing w:line="360" w:lineRule="auto"/>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本合同任何一方给另一方的通知，都应以书面形式发送，而另一方也应以书面形式确认并发送到对方明确的地址。</w:t>
      </w:r>
    </w:p>
    <w:p w14:paraId="12A70BD1">
      <w:pPr>
        <w:numPr>
          <w:ilvl w:val="0"/>
          <w:numId w:val="38"/>
        </w:numPr>
        <w:autoSpaceDE w:val="0"/>
        <w:autoSpaceDN w:val="0"/>
        <w:spacing w:line="360" w:lineRule="auto"/>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计量单位</w:t>
      </w:r>
    </w:p>
    <w:p w14:paraId="55B9E30B">
      <w:pPr>
        <w:autoSpaceDE w:val="0"/>
        <w:autoSpaceDN w:val="0"/>
        <w:spacing w:line="360" w:lineRule="auto"/>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除技术规范中另有规定外</w:t>
      </w:r>
      <w:r>
        <w:rPr>
          <w:rFonts w:hint="eastAsia" w:ascii="宋体" w:hAnsi="宋体" w:cs="宋体"/>
          <w:color w:val="000000" w:themeColor="text1"/>
          <w:kern w:val="0"/>
          <w:sz w:val="24"/>
          <w14:textFill>
            <w14:solidFill>
              <w14:schemeClr w14:val="tx1"/>
            </w14:solidFill>
          </w14:textFill>
        </w:rPr>
        <w:t>,</w:t>
      </w:r>
      <w:r>
        <w:rPr>
          <w:rFonts w:hint="eastAsia" w:ascii="宋体" w:hAnsi="宋体" w:cs="宋体"/>
          <w:color w:val="000000" w:themeColor="text1"/>
          <w:kern w:val="0"/>
          <w:sz w:val="24"/>
          <w:lang w:val="zh-CN"/>
          <w14:textFill>
            <w14:solidFill>
              <w14:schemeClr w14:val="tx1"/>
            </w14:solidFill>
          </w14:textFill>
        </w:rPr>
        <w:t>计量单位均使用国家法定计量单位。</w:t>
      </w:r>
    </w:p>
    <w:p w14:paraId="08799CD5">
      <w:pPr>
        <w:numPr>
          <w:ilvl w:val="0"/>
          <w:numId w:val="38"/>
        </w:numPr>
        <w:autoSpaceDE w:val="0"/>
        <w:autoSpaceDN w:val="0"/>
        <w:spacing w:line="360" w:lineRule="auto"/>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适用法律</w:t>
      </w:r>
    </w:p>
    <w:p w14:paraId="280F1AFE">
      <w:pPr>
        <w:autoSpaceDE w:val="0"/>
        <w:autoSpaceDN w:val="0"/>
        <w:spacing w:line="360" w:lineRule="auto"/>
        <w:ind w:firstLine="480" w:firstLineChars="20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本合同按照中华人民共和国的相关法律进行解释。</w:t>
      </w:r>
    </w:p>
    <w:p w14:paraId="7274FD0B">
      <w:pPr>
        <w:pStyle w:val="26"/>
        <w:spacing w:before="0" w:after="0" w:line="360" w:lineRule="auto"/>
        <w:rPr>
          <w:rFonts w:ascii="宋体" w:hAnsi="宋体"/>
          <w:color w:val="000000" w:themeColor="text1"/>
          <w:sz w:val="48"/>
          <w:szCs w:val="48"/>
          <w14:textFill>
            <w14:solidFill>
              <w14:schemeClr w14:val="tx1"/>
            </w14:solidFill>
          </w14:textFill>
        </w:rPr>
      </w:pPr>
      <w:r>
        <w:rPr>
          <w:rFonts w:ascii="宋体" w:hAnsi="宋体" w:cs="宋体"/>
          <w:color w:val="000000" w:themeColor="text1"/>
          <w:kern w:val="0"/>
          <w:sz w:val="24"/>
          <w:szCs w:val="24"/>
          <w:lang w:val="zh-CN"/>
          <w14:textFill>
            <w14:solidFill>
              <w14:schemeClr w14:val="tx1"/>
            </w14:solidFill>
          </w14:textFill>
        </w:rPr>
        <w:br w:type="page"/>
      </w:r>
      <w:bookmarkStart w:id="77" w:name="_Toc16132"/>
      <w:r>
        <w:rPr>
          <w:rFonts w:hint="eastAsia" w:ascii="宋体" w:hAnsi="宋体"/>
          <w:color w:val="000000" w:themeColor="text1"/>
          <w:sz w:val="48"/>
          <w:szCs w:val="48"/>
          <w14:textFill>
            <w14:solidFill>
              <w14:schemeClr w14:val="tx1"/>
            </w14:solidFill>
          </w14:textFill>
        </w:rPr>
        <w:t>第五部分  磋商响应文件格式</w:t>
      </w:r>
      <w:bookmarkEnd w:id="77"/>
    </w:p>
    <w:p w14:paraId="67E7FE4B">
      <w:pPr>
        <w:spacing w:line="360" w:lineRule="auto"/>
        <w:rPr>
          <w:rFonts w:ascii="宋体" w:hAnsi="宋体"/>
          <w:color w:val="000000" w:themeColor="text1"/>
          <w:sz w:val="24"/>
          <w14:textFill>
            <w14:solidFill>
              <w14:schemeClr w14:val="tx1"/>
            </w14:solidFill>
          </w14:textFill>
        </w:rPr>
      </w:pPr>
    </w:p>
    <w:p w14:paraId="36B19782">
      <w:pPr>
        <w:spacing w:line="360" w:lineRule="auto"/>
        <w:ind w:firstLine="540" w:firstLineChars="224"/>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磋</w:t>
      </w:r>
      <w:r>
        <w:rPr>
          <w:rFonts w:hint="eastAsia" w:ascii="宋体" w:hAnsi="宋体" w:cs="宋体"/>
          <w:b/>
          <w:bCs/>
          <w:color w:val="000000" w:themeColor="text1"/>
          <w:kern w:val="0"/>
          <w:sz w:val="28"/>
          <w:szCs w:val="28"/>
          <w:lang w:val="zh-CN"/>
          <w14:textFill>
            <w14:solidFill>
              <w14:schemeClr w14:val="tx1"/>
            </w14:solidFill>
          </w14:textFill>
        </w:rPr>
        <w:t>商供应商应严格按照本格式要求编制磋商响应文件</w:t>
      </w:r>
      <w:r>
        <w:rPr>
          <w:rFonts w:hint="eastAsia" w:ascii="宋体" w:hAnsi="宋体" w:cs="宋体"/>
          <w:b/>
          <w:bCs/>
          <w:color w:val="000000" w:themeColor="text1"/>
          <w:kern w:val="0"/>
          <w:sz w:val="24"/>
          <w:lang w:val="zh-CN"/>
          <w14:textFill>
            <w14:solidFill>
              <w14:schemeClr w14:val="tx1"/>
            </w14:solidFill>
          </w14:textFill>
        </w:rPr>
        <w:t>。</w:t>
      </w:r>
    </w:p>
    <w:p w14:paraId="6F592507">
      <w:pPr>
        <w:spacing w:line="360" w:lineRule="auto"/>
        <w:rPr>
          <w:rFonts w:ascii="宋体" w:hAnsi="宋体"/>
          <w:b/>
          <w:color w:val="000000" w:themeColor="text1"/>
          <w:sz w:val="24"/>
          <w:lang w:val="zh-CN"/>
          <w14:textFill>
            <w14:solidFill>
              <w14:schemeClr w14:val="tx1"/>
            </w14:solidFill>
          </w14:textFill>
        </w:rPr>
      </w:pPr>
      <w:r>
        <w:rPr>
          <w:rFonts w:ascii="宋体" w:hAnsi="宋体" w:cs="宋体"/>
          <w:color w:val="000000" w:themeColor="text1"/>
          <w:kern w:val="0"/>
          <w:sz w:val="24"/>
          <w:lang w:val="zh-CN"/>
          <w14:textFill>
            <w14:solidFill>
              <w14:schemeClr w14:val="tx1"/>
            </w14:solidFill>
          </w14:textFill>
        </w:rPr>
        <w:br w:type="page"/>
      </w:r>
    </w:p>
    <w:p w14:paraId="4BBED7A8">
      <w:pPr>
        <w:pStyle w:val="4"/>
        <w:numPr>
          <w:ilvl w:val="0"/>
          <w:numId w:val="0"/>
        </w:numPr>
        <w:ind w:left="709" w:hanging="709"/>
        <w:rPr>
          <w:rFonts w:hAnsi="宋体"/>
          <w:color w:val="000000" w:themeColor="text1"/>
          <w:sz w:val="24"/>
          <w:szCs w:val="24"/>
          <w:lang w:val="zh-CN"/>
          <w14:textFill>
            <w14:solidFill>
              <w14:schemeClr w14:val="tx1"/>
            </w14:solidFill>
          </w14:textFill>
        </w:rPr>
      </w:pPr>
      <w:bookmarkStart w:id="78" w:name="_Toc16422"/>
      <w:r>
        <w:rPr>
          <w:rFonts w:hint="eastAsia" w:hAnsi="宋体"/>
          <w:b/>
          <w:color w:val="000000" w:themeColor="text1"/>
          <w:sz w:val="24"/>
          <w:szCs w:val="24"/>
          <w:lang w:val="zh-CN"/>
          <w14:textFill>
            <w14:solidFill>
              <w14:schemeClr w14:val="tx1"/>
            </w14:solidFill>
          </w14:textFill>
        </w:rPr>
        <w:t>磋商响应文件封面</w:t>
      </w:r>
      <w:bookmarkEnd w:id="78"/>
    </w:p>
    <w:p w14:paraId="205449B8">
      <w:pPr>
        <w:spacing w:line="360" w:lineRule="auto"/>
        <w:jc w:val="right"/>
        <w:rPr>
          <w:rFonts w:ascii="宋体" w:hAnsi="宋体"/>
          <w:color w:val="000000" w:themeColor="text1"/>
          <w:sz w:val="24"/>
          <w14:textFill>
            <w14:solidFill>
              <w14:schemeClr w14:val="tx1"/>
            </w14:solidFill>
          </w14:textFill>
        </w:rPr>
      </w:pPr>
    </w:p>
    <w:p w14:paraId="5FF13E8B">
      <w:pPr>
        <w:spacing w:line="360" w:lineRule="auto"/>
        <w:rPr>
          <w:rFonts w:ascii="宋体" w:hAnsi="宋体"/>
          <w:color w:val="000000" w:themeColor="text1"/>
          <w:sz w:val="24"/>
          <w14:textFill>
            <w14:solidFill>
              <w14:schemeClr w14:val="tx1"/>
            </w14:solidFill>
          </w14:textFill>
        </w:rPr>
      </w:pPr>
    </w:p>
    <w:p w14:paraId="275C22F2">
      <w:pPr>
        <w:spacing w:line="360" w:lineRule="auto"/>
        <w:rPr>
          <w:rFonts w:ascii="宋体" w:hAnsi="宋体"/>
          <w:color w:val="000000" w:themeColor="text1"/>
          <w:sz w:val="24"/>
          <w14:textFill>
            <w14:solidFill>
              <w14:schemeClr w14:val="tx1"/>
            </w14:solidFill>
          </w14:textFill>
        </w:rPr>
      </w:pPr>
    </w:p>
    <w:p w14:paraId="02449DD9">
      <w:pPr>
        <w:spacing w:line="360" w:lineRule="auto"/>
        <w:jc w:val="center"/>
        <w:rPr>
          <w:rFonts w:ascii="宋体" w:hAnsi="宋体"/>
          <w:b/>
          <w:color w:val="000000" w:themeColor="text1"/>
          <w:sz w:val="72"/>
          <w:szCs w:val="72"/>
          <w14:textFill>
            <w14:solidFill>
              <w14:schemeClr w14:val="tx1"/>
            </w14:solidFill>
          </w14:textFill>
        </w:rPr>
      </w:pPr>
      <w:r>
        <w:rPr>
          <w:rFonts w:hint="eastAsia" w:ascii="宋体" w:hAnsi="宋体"/>
          <w:b/>
          <w:color w:val="000000" w:themeColor="text1"/>
          <w:sz w:val="72"/>
          <w:szCs w:val="72"/>
          <w14:textFill>
            <w14:solidFill>
              <w14:schemeClr w14:val="tx1"/>
            </w14:solidFill>
          </w14:textFill>
        </w:rPr>
        <w:t>青海省政府采购项目</w:t>
      </w:r>
    </w:p>
    <w:p w14:paraId="3E7819A5">
      <w:pPr>
        <w:spacing w:line="360" w:lineRule="auto"/>
        <w:jc w:val="center"/>
        <w:rPr>
          <w:rFonts w:ascii="宋体" w:hAnsi="宋体"/>
          <w:b/>
          <w:color w:val="000000" w:themeColor="text1"/>
          <w:sz w:val="72"/>
          <w:szCs w:val="72"/>
          <w14:textFill>
            <w14:solidFill>
              <w14:schemeClr w14:val="tx1"/>
            </w14:solidFill>
          </w14:textFill>
        </w:rPr>
      </w:pPr>
    </w:p>
    <w:p w14:paraId="1BF8A156">
      <w:pPr>
        <w:spacing w:line="360" w:lineRule="auto"/>
        <w:jc w:val="center"/>
        <w:rPr>
          <w:rFonts w:ascii="宋体" w:hAnsi="宋体"/>
          <w:b/>
          <w:color w:val="000000" w:themeColor="text1"/>
          <w:sz w:val="72"/>
          <w:szCs w:val="72"/>
          <w14:textFill>
            <w14:solidFill>
              <w14:schemeClr w14:val="tx1"/>
            </w14:solidFill>
          </w14:textFill>
        </w:rPr>
      </w:pPr>
    </w:p>
    <w:p w14:paraId="2DAA24AF">
      <w:pPr>
        <w:spacing w:line="360" w:lineRule="auto"/>
        <w:jc w:val="center"/>
        <w:rPr>
          <w:rFonts w:ascii="宋体" w:hAnsi="宋体"/>
          <w:b/>
          <w:color w:val="000000" w:themeColor="text1"/>
          <w:sz w:val="72"/>
          <w:szCs w:val="72"/>
          <w14:textFill>
            <w14:solidFill>
              <w14:schemeClr w14:val="tx1"/>
            </w14:solidFill>
          </w14:textFill>
        </w:rPr>
      </w:pPr>
      <w:r>
        <w:rPr>
          <w:rFonts w:hint="eastAsia" w:ascii="宋体" w:hAnsi="宋体"/>
          <w:b/>
          <w:color w:val="000000" w:themeColor="text1"/>
          <w:sz w:val="72"/>
          <w:szCs w:val="72"/>
          <w14:textFill>
            <w14:solidFill>
              <w14:schemeClr w14:val="tx1"/>
            </w14:solidFill>
          </w14:textFill>
        </w:rPr>
        <w:t>磋商响应文件</w:t>
      </w:r>
    </w:p>
    <w:p w14:paraId="23E4A6C1">
      <w:pPr>
        <w:adjustRightInd w:val="0"/>
        <w:spacing w:line="360" w:lineRule="auto"/>
        <w:textAlignment w:val="baseline"/>
        <w:rPr>
          <w:rFonts w:ascii="宋体" w:hAnsi="宋体"/>
          <w:b/>
          <w:bCs/>
          <w:color w:val="000000" w:themeColor="text1"/>
          <w:sz w:val="24"/>
          <w14:textFill>
            <w14:solidFill>
              <w14:schemeClr w14:val="tx1"/>
            </w14:solidFill>
          </w14:textFill>
        </w:rPr>
      </w:pPr>
    </w:p>
    <w:p w14:paraId="2667C789">
      <w:pPr>
        <w:adjustRightInd w:val="0"/>
        <w:spacing w:line="360" w:lineRule="auto"/>
        <w:textAlignment w:val="baseline"/>
        <w:rPr>
          <w:rFonts w:ascii="宋体" w:hAnsi="宋体"/>
          <w:b/>
          <w:bCs/>
          <w:color w:val="000000" w:themeColor="text1"/>
          <w:sz w:val="24"/>
          <w14:textFill>
            <w14:solidFill>
              <w14:schemeClr w14:val="tx1"/>
            </w14:solidFill>
          </w14:textFill>
        </w:rPr>
      </w:pPr>
    </w:p>
    <w:p w14:paraId="66B94A14">
      <w:pPr>
        <w:adjustRightInd w:val="0"/>
        <w:spacing w:line="360" w:lineRule="auto"/>
        <w:textAlignment w:val="baseline"/>
        <w:rPr>
          <w:rFonts w:ascii="宋体" w:hAnsi="宋体"/>
          <w:b/>
          <w:bCs/>
          <w:color w:val="000000" w:themeColor="text1"/>
          <w:sz w:val="24"/>
          <w14:textFill>
            <w14:solidFill>
              <w14:schemeClr w14:val="tx1"/>
            </w14:solidFill>
          </w14:textFill>
        </w:rPr>
      </w:pPr>
    </w:p>
    <w:p w14:paraId="5990B157">
      <w:pPr>
        <w:adjustRightInd w:val="0"/>
        <w:spacing w:line="360" w:lineRule="auto"/>
        <w:ind w:firstLine="643" w:firstLineChars="200"/>
        <w:textAlignment w:val="baseline"/>
        <w:rPr>
          <w:rFonts w:ascii="宋体" w:hAnsi="宋体"/>
          <w:b/>
          <w:bCs/>
          <w:color w:val="000000" w:themeColor="text1"/>
          <w:sz w:val="32"/>
          <w:szCs w:val="32"/>
          <w:u w:val="single"/>
          <w14:textFill>
            <w14:solidFill>
              <w14:schemeClr w14:val="tx1"/>
            </w14:solidFill>
          </w14:textFill>
        </w:rPr>
      </w:pPr>
      <w:r>
        <w:rPr>
          <w:rFonts w:hint="eastAsia" w:ascii="宋体" w:hAnsi="宋体"/>
          <w:b/>
          <w:bCs/>
          <w:color w:val="000000" w:themeColor="text1"/>
          <w:sz w:val="32"/>
          <w:szCs w:val="32"/>
          <w14:textFill>
            <w14:solidFill>
              <w14:schemeClr w14:val="tx1"/>
            </w14:solidFill>
          </w14:textFill>
        </w:rPr>
        <w:t>采购项目编号</w:t>
      </w:r>
      <w:r>
        <w:rPr>
          <w:rFonts w:hint="eastAsia" w:ascii="宋体" w:hAnsi="宋体"/>
          <w:color w:val="000000" w:themeColor="text1"/>
          <w:sz w:val="32"/>
          <w:szCs w:val="32"/>
          <w14:textFill>
            <w14:solidFill>
              <w14:schemeClr w14:val="tx1"/>
            </w14:solidFill>
          </w14:textFill>
        </w:rPr>
        <w:t>：</w:t>
      </w:r>
      <w:r>
        <w:rPr>
          <w:rFonts w:hint="eastAsia" w:ascii="宋体" w:hAnsi="宋体"/>
          <w:color w:val="000000" w:themeColor="text1"/>
          <w:sz w:val="32"/>
          <w:szCs w:val="32"/>
          <w:u w:val="single"/>
          <w14:textFill>
            <w14:solidFill>
              <w14:schemeClr w14:val="tx1"/>
            </w14:solidFill>
          </w14:textFill>
        </w:rPr>
        <w:t xml:space="preserve">                           </w:t>
      </w:r>
    </w:p>
    <w:p w14:paraId="7DD50FA9">
      <w:pPr>
        <w:adjustRightInd w:val="0"/>
        <w:spacing w:line="360" w:lineRule="auto"/>
        <w:ind w:firstLine="643" w:firstLineChars="200"/>
        <w:textAlignment w:val="baseline"/>
        <w:rPr>
          <w:rFonts w:ascii="宋体" w:hAnsi="宋体"/>
          <w:b/>
          <w:bCs/>
          <w:color w:val="000000" w:themeColor="text1"/>
          <w:sz w:val="32"/>
          <w:szCs w:val="32"/>
          <w:u w:val="single"/>
          <w14:textFill>
            <w14:solidFill>
              <w14:schemeClr w14:val="tx1"/>
            </w14:solidFill>
          </w14:textFill>
        </w:rPr>
      </w:pPr>
      <w:r>
        <w:rPr>
          <w:rFonts w:ascii="宋体" w:hAnsi="宋体"/>
          <w:b/>
          <w:bCs/>
          <w:color w:val="000000" w:themeColor="text1"/>
          <w:sz w:val="32"/>
          <w:szCs w:val="32"/>
          <w14:textFill>
            <w14:solidFill>
              <w14:schemeClr w14:val="tx1"/>
            </w14:solidFill>
          </w14:textFill>
        </w:rPr>
        <w:t>采购项目名称</w:t>
      </w:r>
      <w:r>
        <w:rPr>
          <w:rFonts w:hint="eastAsia" w:ascii="宋体" w:hAnsi="宋体"/>
          <w:b/>
          <w:bCs/>
          <w:color w:val="000000" w:themeColor="text1"/>
          <w:sz w:val="32"/>
          <w:szCs w:val="32"/>
          <w14:textFill>
            <w14:solidFill>
              <w14:schemeClr w14:val="tx1"/>
            </w14:solidFill>
          </w14:textFill>
        </w:rPr>
        <w:t>：</w:t>
      </w:r>
      <w:r>
        <w:rPr>
          <w:rFonts w:hint="eastAsia" w:ascii="宋体" w:hAnsi="宋体"/>
          <w:b/>
          <w:bCs/>
          <w:color w:val="000000" w:themeColor="text1"/>
          <w:sz w:val="32"/>
          <w:szCs w:val="32"/>
          <w:u w:val="single"/>
          <w14:textFill>
            <w14:solidFill>
              <w14:schemeClr w14:val="tx1"/>
            </w14:solidFill>
          </w14:textFill>
        </w:rPr>
        <w:t xml:space="preserve">                           </w:t>
      </w:r>
    </w:p>
    <w:p w14:paraId="38416863">
      <w:pPr>
        <w:adjustRightInd w:val="0"/>
        <w:spacing w:line="360" w:lineRule="auto"/>
        <w:ind w:firstLine="643" w:firstLineChars="200"/>
        <w:textAlignment w:val="baseline"/>
        <w:rPr>
          <w:rFonts w:ascii="宋体" w:hAnsi="宋体"/>
          <w:b/>
          <w:bCs/>
          <w:color w:val="000000" w:themeColor="text1"/>
          <w:sz w:val="32"/>
          <w:szCs w:val="32"/>
          <w:u w:val="single"/>
          <w14:textFill>
            <w14:solidFill>
              <w14:schemeClr w14:val="tx1"/>
            </w14:solidFill>
          </w14:textFill>
        </w:rPr>
      </w:pPr>
      <w:r>
        <w:rPr>
          <w:rFonts w:hint="eastAsia" w:ascii="宋体" w:hAnsi="宋体"/>
          <w:b/>
          <w:bCs/>
          <w:color w:val="000000" w:themeColor="text1"/>
          <w:sz w:val="32"/>
          <w:szCs w:val="32"/>
          <w14:textFill>
            <w14:solidFill>
              <w14:schemeClr w14:val="tx1"/>
            </w14:solidFill>
          </w14:textFill>
        </w:rPr>
        <w:t>磋商供应商</w:t>
      </w:r>
      <w:r>
        <w:rPr>
          <w:rFonts w:hint="eastAsia" w:ascii="宋体" w:hAnsi="宋体"/>
          <w:b/>
          <w:color w:val="000000" w:themeColor="text1"/>
          <w:sz w:val="32"/>
          <w:szCs w:val="32"/>
          <w14:textFill>
            <w14:solidFill>
              <w14:schemeClr w14:val="tx1"/>
            </w14:solidFill>
          </w14:textFill>
        </w:rPr>
        <w:t>：</w:t>
      </w:r>
      <w:r>
        <w:rPr>
          <w:rFonts w:hint="eastAsia" w:ascii="宋体" w:hAnsi="宋体"/>
          <w:b/>
          <w:color w:val="000000" w:themeColor="text1"/>
          <w:sz w:val="32"/>
          <w:szCs w:val="32"/>
          <w:u w:val="single"/>
          <w14:textFill>
            <w14:solidFill>
              <w14:schemeClr w14:val="tx1"/>
            </w14:solidFill>
          </w14:textFill>
        </w:rPr>
        <w:t xml:space="preserve">                     （公章）</w:t>
      </w:r>
    </w:p>
    <w:p w14:paraId="7B159B79">
      <w:pPr>
        <w:adjustRightInd w:val="0"/>
        <w:spacing w:line="360" w:lineRule="auto"/>
        <w:ind w:firstLine="643" w:firstLineChars="200"/>
        <w:textAlignment w:val="baseline"/>
        <w:rPr>
          <w:rFonts w:ascii="宋体" w:hAnsi="宋体"/>
          <w:b/>
          <w:color w:val="000000" w:themeColor="text1"/>
          <w:sz w:val="32"/>
          <w:szCs w:val="32"/>
          <w:u w:val="single"/>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 xml:space="preserve">法定代表人： </w:t>
      </w:r>
      <w:r>
        <w:rPr>
          <w:rFonts w:hint="eastAsia" w:ascii="宋体" w:hAnsi="宋体"/>
          <w:b/>
          <w:color w:val="000000" w:themeColor="text1"/>
          <w:sz w:val="32"/>
          <w:szCs w:val="32"/>
          <w:u w:val="single"/>
          <w14:textFill>
            <w14:solidFill>
              <w14:schemeClr w14:val="tx1"/>
            </w14:solidFill>
          </w14:textFill>
        </w:rPr>
        <w:t xml:space="preserve">        （签字或加盖法人章）</w:t>
      </w:r>
    </w:p>
    <w:p w14:paraId="0F59B2B7">
      <w:pPr>
        <w:adjustRightInd w:val="0"/>
        <w:spacing w:line="360" w:lineRule="auto"/>
        <w:ind w:firstLine="643" w:firstLineChars="200"/>
        <w:textAlignment w:val="baseline"/>
        <w:rPr>
          <w:rFonts w:ascii="宋体" w:hAnsi="宋体"/>
          <w:b/>
          <w:color w:val="000000" w:themeColor="text1"/>
          <w:sz w:val="32"/>
          <w:szCs w:val="32"/>
          <w:u w:val="single"/>
          <w14:textFill>
            <w14:solidFill>
              <w14:schemeClr w14:val="tx1"/>
            </w14:solidFill>
          </w14:textFill>
        </w:rPr>
      </w:pPr>
    </w:p>
    <w:p w14:paraId="14FFDCE5">
      <w:pPr>
        <w:spacing w:line="360" w:lineRule="auto"/>
        <w:ind w:firstLine="4000" w:firstLineChars="1250"/>
        <w:rPr>
          <w:rFonts w:ascii="宋体" w:hAnsi="宋体"/>
          <w:color w:val="000000" w:themeColor="text1"/>
          <w:sz w:val="32"/>
          <w:szCs w:val="32"/>
          <w14:textFill>
            <w14:solidFill>
              <w14:schemeClr w14:val="tx1"/>
            </w14:solidFill>
          </w14:textFill>
        </w:rPr>
      </w:pPr>
      <w:r>
        <w:rPr>
          <w:rFonts w:hint="eastAsia" w:ascii="宋体" w:hAnsi="宋体"/>
          <w:color w:val="000000" w:themeColor="text1"/>
          <w:sz w:val="32"/>
          <w:szCs w:val="32"/>
          <w14:textFill>
            <w14:solidFill>
              <w14:schemeClr w14:val="tx1"/>
            </w14:solidFill>
          </w14:textFill>
        </w:rPr>
        <w:t>年   月  日</w:t>
      </w:r>
      <w:bookmarkStart w:id="79" w:name="_Toc444715735"/>
    </w:p>
    <w:p w14:paraId="224E027A">
      <w:pPr>
        <w:pStyle w:val="4"/>
        <w:numPr>
          <w:ilvl w:val="0"/>
          <w:numId w:val="0"/>
        </w:numPr>
        <w:ind w:left="709" w:hanging="709"/>
        <w:rPr>
          <w:rFonts w:hAnsi="宋体"/>
          <w:b/>
          <w:color w:val="000000" w:themeColor="text1"/>
          <w:sz w:val="24"/>
          <w:szCs w:val="24"/>
          <w:lang w:val="zh-CN"/>
          <w14:textFill>
            <w14:solidFill>
              <w14:schemeClr w14:val="tx1"/>
            </w14:solidFill>
          </w14:textFill>
        </w:rPr>
      </w:pPr>
      <w:r>
        <w:rPr>
          <w:rFonts w:hAnsi="宋体"/>
          <w:color w:val="000000" w:themeColor="text1"/>
          <w:sz w:val="24"/>
          <w:szCs w:val="24"/>
          <w14:textFill>
            <w14:solidFill>
              <w14:schemeClr w14:val="tx1"/>
            </w14:solidFill>
          </w14:textFill>
        </w:rPr>
        <w:br w:type="page"/>
      </w:r>
      <w:bookmarkStart w:id="80" w:name="_Toc21980"/>
      <w:r>
        <w:rPr>
          <w:rFonts w:hint="eastAsia" w:hAnsi="宋体"/>
          <w:b/>
          <w:color w:val="000000" w:themeColor="text1"/>
          <w:sz w:val="24"/>
          <w:szCs w:val="24"/>
          <w:lang w:val="zh-CN"/>
          <w14:textFill>
            <w14:solidFill>
              <w14:schemeClr w14:val="tx1"/>
            </w14:solidFill>
          </w14:textFill>
        </w:rPr>
        <w:t>磋商响应文件目录</w:t>
      </w:r>
      <w:bookmarkEnd w:id="79"/>
      <w:bookmarkEnd w:id="80"/>
    </w:p>
    <w:p w14:paraId="31CB4B1E">
      <w:pPr>
        <w:autoSpaceDE w:val="0"/>
        <w:autoSpaceDN w:val="0"/>
        <w:spacing w:line="360" w:lineRule="auto"/>
        <w:jc w:val="center"/>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（1）</w:t>
      </w:r>
      <w:r>
        <w:rPr>
          <w:rFonts w:hint="eastAsia" w:ascii="宋体" w:hAnsi="宋体" w:cs="宋体"/>
          <w:color w:val="000000" w:themeColor="text1"/>
          <w:kern w:val="0"/>
          <w:sz w:val="24"/>
          <w14:textFill>
            <w14:solidFill>
              <w14:schemeClr w14:val="tx1"/>
            </w14:solidFill>
          </w14:textFill>
        </w:rPr>
        <w:t>磋商</w:t>
      </w:r>
      <w:r>
        <w:rPr>
          <w:rFonts w:hint="eastAsia" w:ascii="宋体" w:hAnsi="宋体" w:cs="宋体"/>
          <w:color w:val="000000" w:themeColor="text1"/>
          <w:kern w:val="0"/>
          <w:sz w:val="24"/>
          <w:lang w:val="zh-CN"/>
          <w14:textFill>
            <w14:solidFill>
              <w14:schemeClr w14:val="tx1"/>
            </w14:solidFill>
          </w14:textFill>
        </w:rPr>
        <w:t>函……………………………………………………………所在页码</w:t>
      </w:r>
    </w:p>
    <w:p w14:paraId="1D2F97FA">
      <w:pPr>
        <w:autoSpaceDE w:val="0"/>
        <w:autoSpaceDN w:val="0"/>
        <w:spacing w:line="360" w:lineRule="auto"/>
        <w:jc w:val="center"/>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2</w:t>
      </w:r>
      <w:r>
        <w:rPr>
          <w:rFonts w:hint="eastAsia" w:ascii="宋体" w:hAnsi="宋体" w:cs="宋体"/>
          <w:color w:val="000000" w:themeColor="text1"/>
          <w:kern w:val="0"/>
          <w:sz w:val="24"/>
          <w:lang w:val="zh-CN"/>
          <w14:textFill>
            <w14:solidFill>
              <w14:schemeClr w14:val="tx1"/>
            </w14:solidFill>
          </w14:textFill>
        </w:rPr>
        <w:t>）法定代表人证明书………………………………………………所在页码</w:t>
      </w:r>
    </w:p>
    <w:p w14:paraId="491CBEA6">
      <w:pPr>
        <w:autoSpaceDE w:val="0"/>
        <w:autoSpaceDN w:val="0"/>
        <w:spacing w:line="360" w:lineRule="auto"/>
        <w:jc w:val="center"/>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3</w:t>
      </w:r>
      <w:r>
        <w:rPr>
          <w:rFonts w:hint="eastAsia" w:ascii="宋体" w:hAnsi="宋体" w:cs="宋体"/>
          <w:color w:val="000000" w:themeColor="text1"/>
          <w:kern w:val="0"/>
          <w:sz w:val="24"/>
          <w:lang w:val="zh-CN"/>
          <w14:textFill>
            <w14:solidFill>
              <w14:schemeClr w14:val="tx1"/>
            </w14:solidFill>
          </w14:textFill>
        </w:rPr>
        <w:t>）法定代表人授权书………………………………………………所在页码</w:t>
      </w:r>
    </w:p>
    <w:p w14:paraId="5D355C8D">
      <w:pPr>
        <w:autoSpaceDE w:val="0"/>
        <w:autoSpaceDN w:val="0"/>
        <w:spacing w:line="360" w:lineRule="auto"/>
        <w:jc w:val="center"/>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（4）磋商供应商承诺书………………………………………………所在页码</w:t>
      </w:r>
    </w:p>
    <w:p w14:paraId="61B7554D">
      <w:pPr>
        <w:autoSpaceDE w:val="0"/>
        <w:autoSpaceDN w:val="0"/>
        <w:spacing w:line="360" w:lineRule="auto"/>
        <w:jc w:val="center"/>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5</w:t>
      </w:r>
      <w:r>
        <w:rPr>
          <w:rFonts w:hint="eastAsia" w:ascii="宋体" w:hAnsi="宋体" w:cs="宋体"/>
          <w:color w:val="000000" w:themeColor="text1"/>
          <w:kern w:val="0"/>
          <w:sz w:val="24"/>
          <w:lang w:val="zh-CN"/>
          <w14:textFill>
            <w14:solidFill>
              <w14:schemeClr w14:val="tx1"/>
            </w14:solidFill>
          </w14:textFill>
        </w:rPr>
        <w:t>）供应商诚信承诺书………………………………………………所在页码</w:t>
      </w:r>
    </w:p>
    <w:p w14:paraId="2345B427">
      <w:pPr>
        <w:autoSpaceDE w:val="0"/>
        <w:autoSpaceDN w:val="0"/>
        <w:spacing w:line="360" w:lineRule="auto"/>
        <w:jc w:val="center"/>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6</w:t>
      </w:r>
      <w:r>
        <w:rPr>
          <w:rFonts w:hint="eastAsia" w:ascii="宋体" w:hAnsi="宋体" w:cs="宋体"/>
          <w:color w:val="000000" w:themeColor="text1"/>
          <w:kern w:val="0"/>
          <w:sz w:val="24"/>
          <w:lang w:val="zh-CN"/>
          <w14:textFill>
            <w14:solidFill>
              <w14:schemeClr w14:val="tx1"/>
            </w14:solidFill>
          </w14:textFill>
        </w:rPr>
        <w:t>）资格证明材料……………………………………………………所在页码</w:t>
      </w:r>
    </w:p>
    <w:p w14:paraId="2974BB10">
      <w:pPr>
        <w:autoSpaceDE w:val="0"/>
        <w:autoSpaceDN w:val="0"/>
        <w:spacing w:line="360" w:lineRule="auto"/>
        <w:jc w:val="center"/>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7</w:t>
      </w:r>
      <w:r>
        <w:rPr>
          <w:rFonts w:hint="eastAsia" w:ascii="宋体" w:hAnsi="宋体" w:cs="宋体"/>
          <w:color w:val="000000" w:themeColor="text1"/>
          <w:kern w:val="0"/>
          <w:sz w:val="24"/>
          <w:lang w:val="zh-CN"/>
          <w14:textFill>
            <w14:solidFill>
              <w14:schemeClr w14:val="tx1"/>
            </w14:solidFill>
          </w14:textFill>
        </w:rPr>
        <w:t>）财务状况、缴纳税收和社会保障资金证明……………………所在页码</w:t>
      </w:r>
    </w:p>
    <w:p w14:paraId="6383FD43">
      <w:pPr>
        <w:autoSpaceDE w:val="0"/>
        <w:autoSpaceDN w:val="0"/>
        <w:spacing w:line="360" w:lineRule="auto"/>
        <w:jc w:val="center"/>
        <w:rPr>
          <w:rFonts w:hint="eastAsia"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（8）具备履行合同所必须的设备和专业技术能力证明……………所在页码</w:t>
      </w:r>
    </w:p>
    <w:p w14:paraId="346E35F6">
      <w:pPr>
        <w:autoSpaceDE w:val="0"/>
        <w:autoSpaceDN w:val="0"/>
        <w:spacing w:line="360" w:lineRule="auto"/>
        <w:jc w:val="center"/>
        <w:rPr>
          <w:rFonts w:hint="eastAsia" w:ascii="宋体" w:hAnsi="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（9）磋商保证金证明…………………………………………………所在页码</w:t>
      </w:r>
    </w:p>
    <w:p w14:paraId="73BD54C7">
      <w:pPr>
        <w:autoSpaceDE w:val="0"/>
        <w:autoSpaceDN w:val="0"/>
        <w:spacing w:line="360" w:lineRule="auto"/>
        <w:jc w:val="center"/>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w:t>
      </w:r>
      <w:r>
        <w:rPr>
          <w:rFonts w:hint="eastAsia" w:ascii="宋体" w:hAnsi="宋体" w:cs="宋体"/>
          <w:color w:val="000000" w:themeColor="text1"/>
          <w:kern w:val="0"/>
          <w:sz w:val="24"/>
          <w:lang w:val="en-US" w:eastAsia="zh-CN"/>
          <w14:textFill>
            <w14:solidFill>
              <w14:schemeClr w14:val="tx1"/>
            </w14:solidFill>
          </w14:textFill>
        </w:rPr>
        <w:t>10</w:t>
      </w:r>
      <w:r>
        <w:rPr>
          <w:rFonts w:hint="eastAsia" w:ascii="宋体" w:hAnsi="宋体" w:cs="宋体"/>
          <w:color w:val="000000" w:themeColor="text1"/>
          <w:kern w:val="0"/>
          <w:sz w:val="24"/>
          <w:lang w:val="zh-CN"/>
          <w14:textFill>
            <w14:solidFill>
              <w14:schemeClr w14:val="tx1"/>
            </w14:solidFill>
          </w14:textFill>
        </w:rPr>
        <w:t>）无重大违法记录声明……………………………………………所在页码</w:t>
      </w:r>
    </w:p>
    <w:p w14:paraId="44CE1F31">
      <w:pPr>
        <w:spacing w:line="360" w:lineRule="auto"/>
        <w:jc w:val="center"/>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（1</w:t>
      </w:r>
      <w:r>
        <w:rPr>
          <w:rFonts w:hint="eastAsia" w:ascii="宋体" w:hAnsi="宋体" w:cs="宋体"/>
          <w:color w:val="000000" w:themeColor="text1"/>
          <w:kern w:val="0"/>
          <w:sz w:val="24"/>
          <w:lang w:val="en-US" w:eastAsia="zh-CN"/>
          <w14:textFill>
            <w14:solidFill>
              <w14:schemeClr w14:val="tx1"/>
            </w14:solidFill>
          </w14:textFill>
        </w:rPr>
        <w:t>1</w:t>
      </w:r>
      <w:r>
        <w:rPr>
          <w:rFonts w:hint="eastAsia" w:ascii="宋体" w:hAnsi="宋体" w:cs="宋体"/>
          <w:color w:val="000000" w:themeColor="text1"/>
          <w:kern w:val="0"/>
          <w:sz w:val="24"/>
          <w:lang w:val="zh-CN"/>
          <w14:textFill>
            <w14:solidFill>
              <w14:schemeClr w14:val="tx1"/>
            </w14:solidFill>
          </w14:textFill>
        </w:rPr>
        <w:t>）竞争性磋商首次报价表…………………………………………所在页码</w:t>
      </w:r>
    </w:p>
    <w:p w14:paraId="6ABE8937">
      <w:pPr>
        <w:spacing w:line="360" w:lineRule="auto"/>
        <w:jc w:val="center"/>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（1</w:t>
      </w:r>
      <w:r>
        <w:rPr>
          <w:rFonts w:hint="eastAsia" w:ascii="宋体" w:hAnsi="宋体" w:cs="宋体"/>
          <w:color w:val="000000" w:themeColor="text1"/>
          <w:kern w:val="0"/>
          <w:sz w:val="24"/>
          <w:lang w:val="en-US" w:eastAsia="zh-CN"/>
          <w14:textFill>
            <w14:solidFill>
              <w14:schemeClr w14:val="tx1"/>
            </w14:solidFill>
          </w14:textFill>
        </w:rPr>
        <w:t>2</w:t>
      </w:r>
      <w:r>
        <w:rPr>
          <w:rFonts w:hint="eastAsia" w:ascii="宋体" w:hAnsi="宋体" w:cs="宋体"/>
          <w:color w:val="000000" w:themeColor="text1"/>
          <w:kern w:val="0"/>
          <w:sz w:val="24"/>
          <w:lang w:val="zh-CN"/>
          <w14:textFill>
            <w14:solidFill>
              <w14:schemeClr w14:val="tx1"/>
            </w14:solidFill>
          </w14:textFill>
        </w:rPr>
        <w:t>）分项报价表………………………………………………………所在页码</w:t>
      </w:r>
    </w:p>
    <w:p w14:paraId="2394284C">
      <w:pPr>
        <w:spacing w:line="360" w:lineRule="auto"/>
        <w:jc w:val="center"/>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（1</w:t>
      </w:r>
      <w:r>
        <w:rPr>
          <w:rFonts w:hint="eastAsia" w:ascii="宋体" w:hAnsi="宋体" w:cs="宋体"/>
          <w:color w:val="000000" w:themeColor="text1"/>
          <w:kern w:val="0"/>
          <w:sz w:val="24"/>
          <w:lang w:val="en-US" w:eastAsia="zh-CN"/>
          <w14:textFill>
            <w14:solidFill>
              <w14:schemeClr w14:val="tx1"/>
            </w14:solidFill>
          </w14:textFill>
        </w:rPr>
        <w:t>3</w:t>
      </w:r>
      <w:r>
        <w:rPr>
          <w:rFonts w:hint="eastAsia" w:ascii="宋体" w:hAnsi="宋体" w:cs="宋体"/>
          <w:color w:val="000000" w:themeColor="text1"/>
          <w:kern w:val="0"/>
          <w:sz w:val="24"/>
          <w:lang w:val="zh-CN"/>
          <w14:textFill>
            <w14:solidFill>
              <w14:schemeClr w14:val="tx1"/>
            </w14:solidFill>
          </w14:textFill>
        </w:rPr>
        <w:t>）技术规格响应表…………………………………………………所在页码</w:t>
      </w:r>
    </w:p>
    <w:p w14:paraId="335B405B">
      <w:pPr>
        <w:spacing w:line="360" w:lineRule="auto"/>
        <w:jc w:val="center"/>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（1</w:t>
      </w:r>
      <w:r>
        <w:rPr>
          <w:rFonts w:hint="eastAsia" w:ascii="宋体" w:hAnsi="宋体" w:cs="宋体"/>
          <w:color w:val="000000" w:themeColor="text1"/>
          <w:kern w:val="0"/>
          <w:sz w:val="24"/>
          <w:lang w:val="en-US" w:eastAsia="zh-CN"/>
          <w14:textFill>
            <w14:solidFill>
              <w14:schemeClr w14:val="tx1"/>
            </w14:solidFill>
          </w14:textFill>
        </w:rPr>
        <w:t>4</w:t>
      </w:r>
      <w:r>
        <w:rPr>
          <w:rFonts w:hint="eastAsia" w:ascii="宋体" w:hAnsi="宋体" w:cs="宋体"/>
          <w:color w:val="000000" w:themeColor="text1"/>
          <w:kern w:val="0"/>
          <w:sz w:val="24"/>
          <w:lang w:val="zh-CN"/>
          <w14:textFill>
            <w14:solidFill>
              <w14:schemeClr w14:val="tx1"/>
            </w14:solidFill>
          </w14:textFill>
        </w:rPr>
        <w:t>）磋商产品相关资料………………………………………………所在页码</w:t>
      </w:r>
    </w:p>
    <w:p w14:paraId="7B5CB2A5">
      <w:pPr>
        <w:spacing w:line="360" w:lineRule="auto"/>
        <w:jc w:val="center"/>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（1</w:t>
      </w:r>
      <w:r>
        <w:rPr>
          <w:rFonts w:hint="eastAsia" w:ascii="宋体" w:hAnsi="宋体" w:cs="宋体"/>
          <w:color w:val="000000" w:themeColor="text1"/>
          <w:kern w:val="0"/>
          <w:sz w:val="24"/>
          <w:lang w:val="en-US" w:eastAsia="zh-CN"/>
          <w14:textFill>
            <w14:solidFill>
              <w14:schemeClr w14:val="tx1"/>
            </w14:solidFill>
          </w14:textFill>
        </w:rPr>
        <w:t>5</w:t>
      </w:r>
      <w:r>
        <w:rPr>
          <w:rFonts w:hint="eastAsia" w:ascii="宋体" w:hAnsi="宋体" w:cs="宋体"/>
          <w:color w:val="000000" w:themeColor="text1"/>
          <w:kern w:val="0"/>
          <w:sz w:val="24"/>
          <w:lang w:val="zh-CN"/>
          <w14:textFill>
            <w14:solidFill>
              <w14:schemeClr w14:val="tx1"/>
            </w14:solidFill>
          </w14:textFill>
        </w:rPr>
        <w:t>）磋商供应商的类似业绩证明材料………………………………所在页码</w:t>
      </w:r>
    </w:p>
    <w:p w14:paraId="09AA3526">
      <w:pPr>
        <w:spacing w:line="360" w:lineRule="auto"/>
        <w:jc w:val="center"/>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（1</w:t>
      </w:r>
      <w:r>
        <w:rPr>
          <w:rFonts w:hint="eastAsia" w:ascii="宋体" w:hAnsi="宋体" w:cs="宋体"/>
          <w:color w:val="000000" w:themeColor="text1"/>
          <w:kern w:val="0"/>
          <w:sz w:val="24"/>
          <w:lang w:val="en-US" w:eastAsia="zh-CN"/>
          <w14:textFill>
            <w14:solidFill>
              <w14:schemeClr w14:val="tx1"/>
            </w14:solidFill>
          </w14:textFill>
        </w:rPr>
        <w:t>6</w:t>
      </w:r>
      <w:r>
        <w:rPr>
          <w:rFonts w:hint="eastAsia" w:ascii="宋体" w:hAnsi="宋体" w:cs="宋体"/>
          <w:color w:val="000000" w:themeColor="text1"/>
          <w:kern w:val="0"/>
          <w:sz w:val="24"/>
          <w:lang w:val="zh-CN"/>
          <w14:textFill>
            <w14:solidFill>
              <w14:schemeClr w14:val="tx1"/>
            </w14:solidFill>
          </w14:textFill>
        </w:rPr>
        <w:t>）享受政府采购政策优惠的证明资料……………………………所在页码</w:t>
      </w:r>
    </w:p>
    <w:p w14:paraId="73ACEB3E">
      <w:pPr>
        <w:spacing w:line="360" w:lineRule="auto"/>
        <w:jc w:val="center"/>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（1</w:t>
      </w:r>
      <w:r>
        <w:rPr>
          <w:rFonts w:hint="eastAsia" w:ascii="宋体" w:hAnsi="宋体" w:cs="宋体"/>
          <w:color w:val="000000" w:themeColor="text1"/>
          <w:kern w:val="0"/>
          <w:sz w:val="24"/>
          <w:lang w:val="en-US" w:eastAsia="zh-CN"/>
          <w14:textFill>
            <w14:solidFill>
              <w14:schemeClr w14:val="tx1"/>
            </w14:solidFill>
          </w14:textFill>
        </w:rPr>
        <w:t>7</w:t>
      </w:r>
      <w:r>
        <w:rPr>
          <w:rFonts w:hint="eastAsia" w:ascii="宋体" w:hAnsi="宋体" w:cs="宋体"/>
          <w:color w:val="000000" w:themeColor="text1"/>
          <w:kern w:val="0"/>
          <w:sz w:val="24"/>
          <w:lang w:val="zh-CN"/>
          <w14:textFill>
            <w14:solidFill>
              <w14:schemeClr w14:val="tx1"/>
            </w14:solidFill>
          </w14:textFill>
        </w:rPr>
        <w:t>）磋商供应商认为在其他方面有必要说明的事项………………所在页码</w:t>
      </w:r>
    </w:p>
    <w:p w14:paraId="19FF5319">
      <w:pPr>
        <w:pStyle w:val="4"/>
        <w:numPr>
          <w:ilvl w:val="0"/>
          <w:numId w:val="0"/>
        </w:numPr>
        <w:ind w:left="709" w:hanging="709"/>
        <w:rPr>
          <w:rFonts w:hAnsi="宋体"/>
          <w:color w:val="000000" w:themeColor="text1"/>
          <w:sz w:val="24"/>
          <w:szCs w:val="24"/>
          <w14:textFill>
            <w14:solidFill>
              <w14:schemeClr w14:val="tx1"/>
            </w14:solidFill>
          </w14:textFill>
        </w:rPr>
      </w:pPr>
      <w:r>
        <w:rPr>
          <w:rFonts w:hAnsi="宋体"/>
          <w:b/>
          <w:bCs/>
          <w:color w:val="000000" w:themeColor="text1"/>
          <w:sz w:val="24"/>
          <w:szCs w:val="24"/>
          <w14:textFill>
            <w14:solidFill>
              <w14:schemeClr w14:val="tx1"/>
            </w14:solidFill>
          </w14:textFill>
        </w:rPr>
        <w:br w:type="page"/>
      </w:r>
      <w:bookmarkStart w:id="81" w:name="_Toc30742"/>
      <w:r>
        <w:rPr>
          <w:rFonts w:hint="eastAsia" w:hAnsi="宋体"/>
          <w:b/>
          <w:color w:val="000000" w:themeColor="text1"/>
          <w:sz w:val="24"/>
          <w:szCs w:val="24"/>
          <w:lang w:val="zh-CN"/>
          <w14:textFill>
            <w14:solidFill>
              <w14:schemeClr w14:val="tx1"/>
            </w14:solidFill>
          </w14:textFill>
        </w:rPr>
        <w:t>格式1、磋商函</w:t>
      </w:r>
      <w:bookmarkEnd w:id="81"/>
    </w:p>
    <w:p w14:paraId="6524211C">
      <w:pPr>
        <w:adjustRightInd w:val="0"/>
        <w:spacing w:line="360" w:lineRule="auto"/>
        <w:jc w:val="center"/>
        <w:textAlignment w:val="baseline"/>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磋 商 函</w:t>
      </w:r>
    </w:p>
    <w:p w14:paraId="04CB6E80">
      <w:pPr>
        <w:adjustRightInd w:val="0"/>
        <w:spacing w:line="360" w:lineRule="auto"/>
        <w:ind w:left="482" w:hanging="482" w:hangingChars="200"/>
        <w:textAlignment w:val="baseline"/>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致：</w:t>
      </w:r>
      <w:r>
        <w:rPr>
          <w:rFonts w:hint="eastAsia" w:ascii="宋体" w:hAnsi="宋体"/>
          <w:b/>
          <w:color w:val="000000" w:themeColor="text1"/>
          <w:sz w:val="24"/>
          <w:u w:val="single"/>
          <w14:textFill>
            <w14:solidFill>
              <w14:schemeClr w14:val="tx1"/>
            </w14:solidFill>
          </w14:textFill>
        </w:rPr>
        <w:t>青海国焱工程项目管理有限公司：</w:t>
      </w:r>
    </w:p>
    <w:p w14:paraId="143FAF28">
      <w:pPr>
        <w:adjustRightInd w:val="0"/>
        <w:spacing w:line="360" w:lineRule="auto"/>
        <w:ind w:firstLine="480" w:firstLineChars="200"/>
        <w:textAlignment w:val="baseline"/>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我们收到</w:t>
      </w:r>
      <w:r>
        <w:rPr>
          <w:rFonts w:hint="eastAsia" w:ascii="宋体" w:hAnsi="宋体" w:cs="宋体"/>
          <w:color w:val="000000" w:themeColor="text1"/>
          <w:sz w:val="24"/>
          <w:u w:val="single"/>
          <w:lang w:val="zh-CN"/>
          <w14:textFill>
            <w14:solidFill>
              <w14:schemeClr w14:val="tx1"/>
            </w14:solidFill>
          </w14:textFill>
        </w:rPr>
        <w:t>青海红十字医院康复数字化信息管理系统等三项（包一第二次）</w:t>
      </w:r>
      <w:r>
        <w:rPr>
          <w:rFonts w:hint="eastAsia" w:ascii="宋体" w:hAnsi="宋体"/>
          <w:color w:val="000000" w:themeColor="text1"/>
          <w:sz w:val="24"/>
          <w:u w:val="single"/>
          <w14:textFill>
            <w14:solidFill>
              <w14:schemeClr w14:val="tx1"/>
            </w14:solidFill>
          </w14:textFill>
        </w:rPr>
        <w:t>（</w:t>
      </w:r>
      <w:r>
        <w:rPr>
          <w:rFonts w:hint="eastAsia" w:ascii="宋体" w:hAnsi="宋体"/>
          <w:color w:val="000000" w:themeColor="text1"/>
          <w:sz w:val="24"/>
          <w:u w:val="single"/>
          <w:lang w:eastAsia="zh-CN"/>
          <w14:textFill>
            <w14:solidFill>
              <w14:schemeClr w14:val="tx1"/>
            </w14:solidFill>
          </w14:textFill>
        </w:rPr>
        <w:t>青海国焱竞磋（货物）2025-083号</w:t>
      </w:r>
      <w:r>
        <w:rPr>
          <w:rFonts w:hint="eastAsia" w:ascii="宋体" w:hAnsi="宋体"/>
          <w:color w:val="000000" w:themeColor="text1"/>
          <w:sz w:val="24"/>
          <w:u w:val="single"/>
          <w14:textFill>
            <w14:solidFill>
              <w14:schemeClr w14:val="tx1"/>
            </w14:solidFill>
          </w14:textFill>
        </w:rPr>
        <w:t>）磋</w:t>
      </w:r>
      <w:r>
        <w:rPr>
          <w:rFonts w:hint="eastAsia" w:ascii="宋体" w:hAnsi="宋体"/>
          <w:color w:val="000000" w:themeColor="text1"/>
          <w:sz w:val="24"/>
          <w14:textFill>
            <w14:solidFill>
              <w14:schemeClr w14:val="tx1"/>
            </w14:solidFill>
          </w14:textFill>
        </w:rPr>
        <w:t>商文件，经研究，法定代表人（姓名、职务）正式授权（委托代理人姓名、职务）代表磋商供应商（磋商供应商名称、地址）提交磋商响应文件。</w:t>
      </w:r>
    </w:p>
    <w:p w14:paraId="3C043849">
      <w:pPr>
        <w:adjustRightInd w:val="0"/>
        <w:spacing w:line="360" w:lineRule="auto"/>
        <w:ind w:firstLine="480" w:firstLineChars="200"/>
        <w:textAlignment w:val="baseline"/>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据此函，签字代表宣布同意如下：</w:t>
      </w:r>
    </w:p>
    <w:p w14:paraId="28D81801">
      <w:pPr>
        <w:adjustRightInd w:val="0"/>
        <w:spacing w:line="360" w:lineRule="auto"/>
        <w:ind w:firstLine="480" w:firstLineChars="200"/>
        <w:textAlignment w:val="baseline"/>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1.我方已详阅磋商文件的全部内容，包括澄清、修改条款等有关附件，承诺对其完全理解并接受。</w:t>
      </w:r>
    </w:p>
    <w:p w14:paraId="74C2F502">
      <w:pPr>
        <w:adjustRightInd w:val="0"/>
        <w:spacing w:line="360" w:lineRule="auto"/>
        <w:ind w:firstLine="480" w:firstLineChars="200"/>
        <w:textAlignment w:val="baseline"/>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2.磋商有效期自开标之日起</w:t>
      </w:r>
      <w:r>
        <w:rPr>
          <w:rFonts w:hint="eastAsia" w:ascii="宋体" w:hAnsi="宋体"/>
          <w:color w:val="000000" w:themeColor="text1"/>
          <w:sz w:val="24"/>
          <w:u w:val="single"/>
          <w14:textFill>
            <w14:solidFill>
              <w14:schemeClr w14:val="tx1"/>
            </w14:solidFill>
          </w14:textFill>
        </w:rPr>
        <w:t xml:space="preserve">            </w:t>
      </w:r>
      <w:r>
        <w:rPr>
          <w:rFonts w:hint="eastAsia" w:hAnsi="宋体" w:cs="Arial"/>
          <w:color w:val="000000" w:themeColor="text1"/>
          <w:sz w:val="24"/>
          <w:u w:val="single"/>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内有效。</w:t>
      </w:r>
    </w:p>
    <w:p w14:paraId="66C800F0">
      <w:pPr>
        <w:adjustRightInd w:val="0"/>
        <w:spacing w:line="360" w:lineRule="auto"/>
        <w:ind w:firstLine="480" w:firstLineChars="200"/>
        <w:textAlignment w:val="baseline"/>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3.我方同意按照贵方要求提供与磋商有关的一切数据或资料，理解并接受贵方制定的评标办法。</w:t>
      </w:r>
    </w:p>
    <w:p w14:paraId="37B958A4">
      <w:pPr>
        <w:adjustRightInd w:val="0"/>
        <w:spacing w:line="360" w:lineRule="auto"/>
        <w:ind w:firstLine="480" w:firstLineChars="200"/>
        <w:textAlignment w:val="baseline"/>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4.与本磋商有关的一切正式往来通讯请寄：</w:t>
      </w:r>
    </w:p>
    <w:p w14:paraId="52A682DA">
      <w:pPr>
        <w:adjustRightInd w:val="0"/>
        <w:spacing w:line="360" w:lineRule="auto"/>
        <w:ind w:firstLine="480" w:firstLineChars="200"/>
        <w:textAlignment w:val="baseline"/>
        <w:rPr>
          <w:rFonts w:ascii="宋体" w:hAnsi="宋体"/>
          <w:color w:val="000000" w:themeColor="text1"/>
          <w:sz w:val="24"/>
          <w14:textFill>
            <w14:solidFill>
              <w14:schemeClr w14:val="tx1"/>
            </w14:solidFill>
          </w14:textFill>
        </w:rPr>
      </w:pPr>
    </w:p>
    <w:p w14:paraId="13AE7BA7">
      <w:pPr>
        <w:adjustRightInd w:val="0"/>
        <w:spacing w:line="360" w:lineRule="auto"/>
        <w:textAlignment w:val="baseline"/>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地址：                               邮编：</w:t>
      </w:r>
    </w:p>
    <w:p w14:paraId="75EA6DF1">
      <w:pPr>
        <w:adjustRightInd w:val="0"/>
        <w:spacing w:line="360" w:lineRule="auto"/>
        <w:textAlignment w:val="baseline"/>
        <w:rPr>
          <w:rFonts w:ascii="宋体" w:hAnsi="宋体"/>
          <w:color w:val="000000" w:themeColor="text1"/>
          <w:sz w:val="24"/>
          <w14:textFill>
            <w14:solidFill>
              <w14:schemeClr w14:val="tx1"/>
            </w14:solidFill>
          </w14:textFill>
        </w:rPr>
      </w:pPr>
    </w:p>
    <w:p w14:paraId="40383146">
      <w:pPr>
        <w:adjustRightInd w:val="0"/>
        <w:spacing w:line="360" w:lineRule="auto"/>
        <w:textAlignment w:val="baseline"/>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电话：                               传真：</w:t>
      </w:r>
    </w:p>
    <w:p w14:paraId="59C4E147">
      <w:pPr>
        <w:adjustRightInd w:val="0"/>
        <w:spacing w:line="360" w:lineRule="auto"/>
        <w:textAlignment w:val="baseline"/>
        <w:rPr>
          <w:rFonts w:ascii="宋体" w:hAnsi="宋体"/>
          <w:color w:val="000000" w:themeColor="text1"/>
          <w:sz w:val="24"/>
          <w14:textFill>
            <w14:solidFill>
              <w14:schemeClr w14:val="tx1"/>
            </w14:solidFill>
          </w14:textFill>
        </w:rPr>
      </w:pPr>
    </w:p>
    <w:p w14:paraId="5B55B009">
      <w:pPr>
        <w:adjustRightInd w:val="0"/>
        <w:spacing w:line="360" w:lineRule="auto"/>
        <w:textAlignment w:val="baseline"/>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法定代表人姓名：                     职务：</w:t>
      </w:r>
      <w:bookmarkStart w:id="82" w:name="_Toc444715736"/>
    </w:p>
    <w:p w14:paraId="63B5E419">
      <w:pPr>
        <w:tabs>
          <w:tab w:val="left" w:pos="168"/>
        </w:tabs>
        <w:adjustRightInd w:val="0"/>
        <w:spacing w:line="360" w:lineRule="auto"/>
        <w:ind w:right="480"/>
        <w:jc w:val="right"/>
        <w:textAlignment w:val="baseline"/>
        <w:rPr>
          <w:rFonts w:ascii="宋体" w:hAnsi="宋体"/>
          <w:bCs/>
          <w:color w:val="000000" w:themeColor="text1"/>
          <w:sz w:val="24"/>
          <w14:textFill>
            <w14:solidFill>
              <w14:schemeClr w14:val="tx1"/>
            </w14:solidFill>
          </w14:textFill>
        </w:rPr>
      </w:pPr>
    </w:p>
    <w:p w14:paraId="0C4266D3">
      <w:pPr>
        <w:tabs>
          <w:tab w:val="left" w:pos="168"/>
        </w:tabs>
        <w:adjustRightInd w:val="0"/>
        <w:spacing w:line="360" w:lineRule="auto"/>
        <w:jc w:val="right"/>
        <w:textAlignment w:val="baseline"/>
        <w:rPr>
          <w:rFonts w:ascii="宋体" w:hAnsi="宋体"/>
          <w:bCs/>
          <w:color w:val="000000" w:themeColor="text1"/>
          <w:sz w:val="24"/>
          <w14:textFill>
            <w14:solidFill>
              <w14:schemeClr w14:val="tx1"/>
            </w14:solidFill>
          </w14:textFill>
        </w:rPr>
      </w:pPr>
    </w:p>
    <w:p w14:paraId="35E60A36">
      <w:pPr>
        <w:tabs>
          <w:tab w:val="left" w:pos="168"/>
        </w:tabs>
        <w:adjustRightInd w:val="0"/>
        <w:spacing w:line="360" w:lineRule="auto"/>
        <w:jc w:val="right"/>
        <w:textAlignment w:val="baseline"/>
        <w:rPr>
          <w:rFonts w:ascii="宋体" w:hAnsi="宋体"/>
          <w:bCs/>
          <w:color w:val="000000" w:themeColor="text1"/>
          <w:sz w:val="24"/>
          <w14:textFill>
            <w14:solidFill>
              <w14:schemeClr w14:val="tx1"/>
            </w14:solidFill>
          </w14:textFill>
        </w:rPr>
      </w:pPr>
    </w:p>
    <w:p w14:paraId="3B597439">
      <w:pPr>
        <w:tabs>
          <w:tab w:val="left" w:pos="168"/>
        </w:tabs>
        <w:adjustRightInd w:val="0"/>
        <w:spacing w:line="360" w:lineRule="auto"/>
        <w:jc w:val="right"/>
        <w:textAlignment w:val="baseline"/>
        <w:rPr>
          <w:rFonts w:ascii="宋体" w:hAnsi="宋体"/>
          <w:bCs/>
          <w:color w:val="000000" w:themeColor="text1"/>
          <w:sz w:val="24"/>
          <w14:textFill>
            <w14:solidFill>
              <w14:schemeClr w14:val="tx1"/>
            </w14:solidFill>
          </w14:textFill>
        </w:rPr>
      </w:pPr>
    </w:p>
    <w:p w14:paraId="2CEAE7C2">
      <w:pPr>
        <w:tabs>
          <w:tab w:val="left" w:pos="168"/>
        </w:tabs>
        <w:adjustRightInd w:val="0"/>
        <w:spacing w:line="360" w:lineRule="auto"/>
        <w:jc w:val="righ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磋商供应商：             （公章）</w:t>
      </w:r>
    </w:p>
    <w:p w14:paraId="0FC69303">
      <w:pPr>
        <w:tabs>
          <w:tab w:val="left" w:pos="168"/>
        </w:tabs>
        <w:adjustRightInd w:val="0"/>
        <w:spacing w:line="360" w:lineRule="auto"/>
        <w:jc w:val="righ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法定代表人或委托代理人：       （签字）</w:t>
      </w:r>
    </w:p>
    <w:p w14:paraId="74947767">
      <w:pPr>
        <w:tabs>
          <w:tab w:val="left" w:pos="168"/>
        </w:tabs>
        <w:adjustRightInd w:val="0"/>
        <w:spacing w:line="360" w:lineRule="auto"/>
        <w:jc w:val="righ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日期：    年   月   日</w:t>
      </w:r>
    </w:p>
    <w:p w14:paraId="5E517DD7">
      <w:pPr>
        <w:spacing w:line="360" w:lineRule="auto"/>
        <w:rPr>
          <w:rFonts w:ascii="宋体" w:hAnsi="宋体"/>
          <w:bCs/>
          <w:color w:val="000000" w:themeColor="text1"/>
          <w:sz w:val="24"/>
          <w14:textFill>
            <w14:solidFill>
              <w14:schemeClr w14:val="tx1"/>
            </w14:solidFill>
          </w14:textFill>
        </w:rPr>
      </w:pPr>
      <w:r>
        <w:rPr>
          <w:rFonts w:ascii="宋体" w:hAnsi="宋体"/>
          <w:bCs/>
          <w:color w:val="000000" w:themeColor="text1"/>
          <w:sz w:val="24"/>
          <w14:textFill>
            <w14:solidFill>
              <w14:schemeClr w14:val="tx1"/>
            </w14:solidFill>
          </w14:textFill>
        </w:rPr>
        <w:br w:type="page"/>
      </w:r>
    </w:p>
    <w:bookmarkEnd w:id="82"/>
    <w:p w14:paraId="00314287">
      <w:pPr>
        <w:pStyle w:val="4"/>
        <w:numPr>
          <w:ilvl w:val="0"/>
          <w:numId w:val="0"/>
        </w:numPr>
        <w:ind w:left="709" w:hanging="709"/>
        <w:rPr>
          <w:rFonts w:hAnsi="宋体"/>
          <w:b/>
          <w:color w:val="000000" w:themeColor="text1"/>
          <w:sz w:val="24"/>
          <w:szCs w:val="24"/>
          <w:lang w:val="zh-CN"/>
          <w14:textFill>
            <w14:solidFill>
              <w14:schemeClr w14:val="tx1"/>
            </w14:solidFill>
          </w14:textFill>
        </w:rPr>
      </w:pPr>
      <w:bookmarkStart w:id="83" w:name="_Toc6981"/>
      <w:r>
        <w:rPr>
          <w:rFonts w:hint="eastAsia" w:hAnsi="宋体"/>
          <w:b/>
          <w:color w:val="000000" w:themeColor="text1"/>
          <w:sz w:val="24"/>
          <w:szCs w:val="24"/>
          <w:lang w:val="zh-CN"/>
          <w14:textFill>
            <w14:solidFill>
              <w14:schemeClr w14:val="tx1"/>
            </w14:solidFill>
          </w14:textFill>
        </w:rPr>
        <w:t>格式2、法定代表人证明书</w:t>
      </w:r>
      <w:bookmarkEnd w:id="83"/>
    </w:p>
    <w:p w14:paraId="6E80C684">
      <w:pPr>
        <w:spacing w:line="360" w:lineRule="auto"/>
        <w:rPr>
          <w:rFonts w:ascii="宋体" w:hAnsi="宋体"/>
          <w:color w:val="000000" w:themeColor="text1"/>
          <w:sz w:val="24"/>
          <w:lang w:val="zh-CN"/>
          <w14:textFill>
            <w14:solidFill>
              <w14:schemeClr w14:val="tx1"/>
            </w14:solidFill>
          </w14:textFill>
        </w:rPr>
      </w:pPr>
    </w:p>
    <w:p w14:paraId="15AAA95D">
      <w:pPr>
        <w:autoSpaceDE w:val="0"/>
        <w:autoSpaceDN w:val="0"/>
        <w:adjustRightInd w:val="0"/>
        <w:spacing w:line="360" w:lineRule="auto"/>
        <w:jc w:val="center"/>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法定代表人证明书</w:t>
      </w:r>
    </w:p>
    <w:p w14:paraId="020C84F0">
      <w:pPr>
        <w:autoSpaceDE w:val="0"/>
        <w:autoSpaceDN w:val="0"/>
        <w:adjustRightInd w:val="0"/>
        <w:spacing w:line="360" w:lineRule="auto"/>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致：青海国焱工程项目管理有限公司</w:t>
      </w:r>
    </w:p>
    <w:p w14:paraId="4E6C5CD2">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0DD8E3DD">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u w:val="single"/>
          <w:lang w:val="zh-CN"/>
          <w14:textFill>
            <w14:solidFill>
              <w14:schemeClr w14:val="tx1"/>
            </w14:solidFill>
          </w14:textFill>
        </w:rPr>
        <w:t>（</w:t>
      </w:r>
      <w:r>
        <w:rPr>
          <w:rFonts w:hint="eastAsia" w:ascii="宋体" w:hAnsi="宋体"/>
          <w:color w:val="000000" w:themeColor="text1"/>
          <w:sz w:val="24"/>
          <w:u w:val="single"/>
          <w14:textFill>
            <w14:solidFill>
              <w14:schemeClr w14:val="tx1"/>
            </w14:solidFill>
          </w14:textFill>
        </w:rPr>
        <w:t>法定代表人姓名</w:t>
      </w:r>
      <w:r>
        <w:rPr>
          <w:rFonts w:hint="eastAsia" w:ascii="宋体" w:hAnsi="宋体" w:cs="宋体"/>
          <w:color w:val="000000" w:themeColor="text1"/>
          <w:kern w:val="0"/>
          <w:sz w:val="24"/>
          <w:u w:val="single"/>
          <w:lang w:val="zh-CN"/>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现任我单位职务，为法定代表人，特此证明。</w:t>
      </w:r>
    </w:p>
    <w:p w14:paraId="005D3823">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0B763287">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法定代表人基本情况：</w:t>
      </w:r>
    </w:p>
    <w:p w14:paraId="3F1CF6BC">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11164744">
      <w:pPr>
        <w:autoSpaceDE w:val="0"/>
        <w:autoSpaceDN w:val="0"/>
        <w:adjustRightInd w:val="0"/>
        <w:spacing w:line="360" w:lineRule="auto"/>
        <w:rPr>
          <w:rFonts w:ascii="宋体" w:hAnsi="宋体" w:cs="宋体"/>
          <w:color w:val="000000" w:themeColor="text1"/>
          <w:kern w:val="0"/>
          <w:sz w:val="24"/>
          <w:u w:val="single"/>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性别：     年龄：    民族：</w:t>
      </w:r>
    </w:p>
    <w:p w14:paraId="2B7B19A4">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15846CD5">
      <w:pPr>
        <w:autoSpaceDE w:val="0"/>
        <w:autoSpaceDN w:val="0"/>
        <w:adjustRightInd w:val="0"/>
        <w:spacing w:line="360" w:lineRule="auto"/>
        <w:rPr>
          <w:rFonts w:ascii="宋体" w:hAnsi="宋体" w:cs="宋体"/>
          <w:color w:val="000000" w:themeColor="text1"/>
          <w:kern w:val="0"/>
          <w:sz w:val="24"/>
          <w:u w:val="single"/>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地址：</w:t>
      </w:r>
    </w:p>
    <w:p w14:paraId="479B699B">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484BB2AE">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身份证号码：</w:t>
      </w:r>
    </w:p>
    <w:p w14:paraId="2023721F">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6C049157">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附：法定代表人第二代身份证双面扫描（或复印）件。</w:t>
      </w:r>
    </w:p>
    <w:p w14:paraId="0DC97230">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4AC27277">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0C0126EB">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64B5ED61">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042166F7">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285CD932">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369752E5">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1E4A2BBD">
      <w:pPr>
        <w:tabs>
          <w:tab w:val="left" w:pos="168"/>
        </w:tabs>
        <w:adjustRightInd w:val="0"/>
        <w:spacing w:line="360" w:lineRule="auto"/>
        <w:textAlignment w:val="baseline"/>
        <w:rPr>
          <w:rFonts w:ascii="宋体" w:hAnsi="宋体"/>
          <w:bCs/>
          <w:color w:val="000000" w:themeColor="text1"/>
          <w:sz w:val="24"/>
          <w14:textFill>
            <w14:solidFill>
              <w14:schemeClr w14:val="tx1"/>
            </w14:solidFill>
          </w14:textFill>
        </w:rPr>
      </w:pPr>
      <w:bookmarkStart w:id="84" w:name="_Toc16858"/>
      <w:bookmarkStart w:id="85" w:name="_Toc444715738"/>
    </w:p>
    <w:p w14:paraId="3E20323B">
      <w:pPr>
        <w:tabs>
          <w:tab w:val="left" w:pos="168"/>
        </w:tabs>
        <w:wordWrap w:val="0"/>
        <w:adjustRightInd w:val="0"/>
        <w:spacing w:line="360" w:lineRule="auto"/>
        <w:jc w:val="righ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磋商供应商：             （公章）</w:t>
      </w:r>
    </w:p>
    <w:p w14:paraId="5BFC21DB">
      <w:pPr>
        <w:tabs>
          <w:tab w:val="left" w:pos="168"/>
        </w:tabs>
        <w:wordWrap w:val="0"/>
        <w:adjustRightInd w:val="0"/>
        <w:spacing w:line="360" w:lineRule="auto"/>
        <w:jc w:val="righ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法定代表人：                   （签字）</w:t>
      </w:r>
    </w:p>
    <w:p w14:paraId="4619C06B">
      <w:pPr>
        <w:tabs>
          <w:tab w:val="left" w:pos="168"/>
        </w:tabs>
        <w:adjustRightInd w:val="0"/>
        <w:spacing w:line="360" w:lineRule="auto"/>
        <w:ind w:right="480" w:firstLine="5040" w:firstLineChars="2100"/>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日期：            年   月   日</w:t>
      </w:r>
    </w:p>
    <w:p w14:paraId="266B3932">
      <w:pPr>
        <w:pStyle w:val="4"/>
        <w:numPr>
          <w:ilvl w:val="0"/>
          <w:numId w:val="0"/>
        </w:numPr>
        <w:ind w:left="709" w:hanging="709"/>
        <w:rPr>
          <w:rFonts w:hAnsi="宋体"/>
          <w:color w:val="000000" w:themeColor="text1"/>
          <w:sz w:val="24"/>
          <w:szCs w:val="24"/>
          <w14:textFill>
            <w14:solidFill>
              <w14:schemeClr w14:val="tx1"/>
            </w14:solidFill>
          </w14:textFill>
        </w:rPr>
      </w:pPr>
      <w:r>
        <w:rPr>
          <w:rFonts w:hAnsi="宋体"/>
          <w:bCs/>
          <w:color w:val="000000" w:themeColor="text1"/>
          <w:sz w:val="24"/>
          <w:szCs w:val="24"/>
          <w14:textFill>
            <w14:solidFill>
              <w14:schemeClr w14:val="tx1"/>
            </w14:solidFill>
          </w14:textFill>
        </w:rPr>
        <w:br w:type="page"/>
      </w:r>
      <w:bookmarkStart w:id="86" w:name="_Toc14421"/>
      <w:r>
        <w:rPr>
          <w:rFonts w:hint="eastAsia" w:hAnsi="宋体"/>
          <w:b/>
          <w:color w:val="000000" w:themeColor="text1"/>
          <w:sz w:val="24"/>
          <w:szCs w:val="24"/>
          <w:lang w:val="zh-CN"/>
          <w14:textFill>
            <w14:solidFill>
              <w14:schemeClr w14:val="tx1"/>
            </w14:solidFill>
          </w14:textFill>
        </w:rPr>
        <w:t>格式3、法定代表人授权书</w:t>
      </w:r>
      <w:bookmarkEnd w:id="84"/>
      <w:bookmarkEnd w:id="85"/>
      <w:bookmarkEnd w:id="86"/>
    </w:p>
    <w:p w14:paraId="6AEF2801">
      <w:pPr>
        <w:autoSpaceDE w:val="0"/>
        <w:autoSpaceDN w:val="0"/>
        <w:adjustRightInd w:val="0"/>
        <w:spacing w:line="360" w:lineRule="auto"/>
        <w:jc w:val="center"/>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法定代表人授权书</w:t>
      </w:r>
    </w:p>
    <w:p w14:paraId="7AD6B03E">
      <w:pPr>
        <w:spacing w:line="360" w:lineRule="auto"/>
        <w:rPr>
          <w:rFonts w:ascii="宋体" w:hAnsi="宋体"/>
          <w:b/>
          <w:bCs/>
          <w:color w:val="000000" w:themeColor="text1"/>
          <w:sz w:val="24"/>
          <w14:textFill>
            <w14:solidFill>
              <w14:schemeClr w14:val="tx1"/>
            </w14:solidFill>
          </w14:textFill>
        </w:rPr>
      </w:pPr>
      <w:r>
        <w:rPr>
          <w:rFonts w:hint="eastAsia" w:ascii="宋体" w:hAnsi="宋体"/>
          <w:b/>
          <w:bCs/>
          <w:color w:val="000000" w:themeColor="text1"/>
          <w:sz w:val="24"/>
          <w14:textFill>
            <w14:solidFill>
              <w14:schemeClr w14:val="tx1"/>
            </w14:solidFill>
          </w14:textFill>
        </w:rPr>
        <w:t>致：青海国焱工程项目管理有限公司</w:t>
      </w:r>
    </w:p>
    <w:p w14:paraId="4A4C5240">
      <w:pPr>
        <w:spacing w:line="360" w:lineRule="auto"/>
        <w:rPr>
          <w:rFonts w:ascii="宋体" w:hAnsi="宋体"/>
          <w:color w:val="000000" w:themeColor="text1"/>
          <w:sz w:val="24"/>
          <w:u w:val="single"/>
          <w14:textFill>
            <w14:solidFill>
              <w14:schemeClr w14:val="tx1"/>
            </w14:solidFill>
          </w14:textFill>
        </w:rPr>
      </w:pPr>
    </w:p>
    <w:p w14:paraId="53FDDF6B">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u w:val="single"/>
          <w14:textFill>
            <w14:solidFill>
              <w14:schemeClr w14:val="tx1"/>
            </w14:solidFill>
          </w14:textFill>
        </w:rPr>
        <w:t>（磋商供应商名称）</w:t>
      </w:r>
      <w:r>
        <w:rPr>
          <w:rFonts w:hint="eastAsia" w:ascii="宋体" w:hAnsi="宋体"/>
          <w:color w:val="000000" w:themeColor="text1"/>
          <w:sz w:val="24"/>
          <w14:textFill>
            <w14:solidFill>
              <w14:schemeClr w14:val="tx1"/>
            </w14:solidFill>
          </w14:textFill>
        </w:rPr>
        <w:t>系中华人民共和国合法企业，法定地址</w:t>
      </w:r>
      <w:r>
        <w:rPr>
          <w:rFonts w:hint="eastAsia" w:ascii="宋体" w:hAnsi="宋体"/>
          <w:color w:val="000000" w:themeColor="text1"/>
          <w:sz w:val="24"/>
          <w:u w:val="single"/>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w:t>
      </w:r>
    </w:p>
    <w:p w14:paraId="0B55445E">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u w:val="single"/>
          <w14:textFill>
            <w14:solidFill>
              <w14:schemeClr w14:val="tx1"/>
            </w14:solidFill>
          </w14:textFill>
        </w:rPr>
        <w:t>（法定代表人姓名）</w:t>
      </w:r>
      <w:r>
        <w:rPr>
          <w:rFonts w:hint="eastAsia" w:ascii="宋体" w:hAnsi="宋体"/>
          <w:color w:val="000000" w:themeColor="text1"/>
          <w:sz w:val="24"/>
          <w14:textFill>
            <w14:solidFill>
              <w14:schemeClr w14:val="tx1"/>
            </w14:solidFill>
          </w14:textFill>
        </w:rPr>
        <w:t>特授权</w:t>
      </w:r>
      <w:r>
        <w:rPr>
          <w:rFonts w:hint="eastAsia" w:ascii="宋体" w:hAnsi="宋体"/>
          <w:color w:val="000000" w:themeColor="text1"/>
          <w:sz w:val="24"/>
          <w:u w:val="single"/>
          <w14:textFill>
            <w14:solidFill>
              <w14:schemeClr w14:val="tx1"/>
            </w14:solidFill>
          </w14:textFill>
        </w:rPr>
        <w:t>（被授权人姓名）</w:t>
      </w:r>
      <w:r>
        <w:rPr>
          <w:rFonts w:hint="eastAsia" w:ascii="宋体" w:hAnsi="宋体"/>
          <w:color w:val="000000" w:themeColor="text1"/>
          <w:sz w:val="24"/>
          <w14:textFill>
            <w14:solidFill>
              <w14:schemeClr w14:val="tx1"/>
            </w14:solidFill>
          </w14:textFill>
        </w:rPr>
        <w:t>代表我单位全权办理项目的磋商、答疑等具体工作，并签署全部有关的文件、协议及合同。</w:t>
      </w:r>
    </w:p>
    <w:p w14:paraId="1DBD9F35">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我单位对被授权人的签名负全部责任。</w:t>
      </w:r>
    </w:p>
    <w:p w14:paraId="396EB690">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在撤销授权的书面通知以前，本授权书一直有效。被授权人签署的所有文件（在授权书有效期内签署的）不因授权的撤销而失效。</w:t>
      </w:r>
    </w:p>
    <w:p w14:paraId="7B3C6D69">
      <w:pPr>
        <w:spacing w:line="360" w:lineRule="auto"/>
        <w:rPr>
          <w:rFonts w:ascii="宋体" w:hAnsi="宋体"/>
          <w:color w:val="000000" w:themeColor="text1"/>
          <w:sz w:val="24"/>
          <w14:textFill>
            <w14:solidFill>
              <w14:schemeClr w14:val="tx1"/>
            </w14:solidFill>
          </w14:textFill>
        </w:rPr>
      </w:pPr>
    </w:p>
    <w:p w14:paraId="7CDF7B2A">
      <w:pPr>
        <w:spacing w:line="360" w:lineRule="auto"/>
        <w:rPr>
          <w:rFonts w:ascii="宋体" w:hAnsi="宋体"/>
          <w:color w:val="000000" w:themeColor="text1"/>
          <w:sz w:val="24"/>
          <w:u w:val="single"/>
          <w14:textFill>
            <w14:solidFill>
              <w14:schemeClr w14:val="tx1"/>
            </w14:solidFill>
          </w14:textFill>
        </w:rPr>
      </w:pPr>
      <w:r>
        <w:rPr>
          <w:rFonts w:ascii="宋体" w:hAnsi="宋体"/>
          <w:color w:val="000000" w:themeColor="text1"/>
          <w:sz w:val="24"/>
          <w14:textFill>
            <w14:solidFill>
              <w14:schemeClr w14:val="tx1"/>
            </w14:solidFill>
          </w14:textFill>
        </w:rPr>
        <w:t>被授权人联系电话</w:t>
      </w:r>
      <w:r>
        <w:rPr>
          <w:rFonts w:hint="eastAsia" w:ascii="宋体" w:hAnsi="宋体"/>
          <w:color w:val="000000" w:themeColor="text1"/>
          <w:sz w:val="24"/>
          <w14:textFill>
            <w14:solidFill>
              <w14:schemeClr w14:val="tx1"/>
            </w14:solidFill>
          </w14:textFill>
        </w:rPr>
        <w:t>：</w:t>
      </w:r>
    </w:p>
    <w:p w14:paraId="78FB9C71">
      <w:pPr>
        <w:spacing w:line="360" w:lineRule="auto"/>
        <w:rPr>
          <w:rFonts w:ascii="宋体" w:hAnsi="宋体"/>
          <w:color w:val="000000" w:themeColor="text1"/>
          <w:sz w:val="24"/>
          <w:u w:val="single"/>
          <w14:textFill>
            <w14:solidFill>
              <w14:schemeClr w14:val="tx1"/>
            </w14:solidFill>
          </w14:textFill>
        </w:rPr>
      </w:pPr>
      <w:r>
        <w:rPr>
          <w:rFonts w:hint="eastAsia" w:ascii="宋体" w:hAnsi="宋体"/>
          <w:color w:val="000000" w:themeColor="text1"/>
          <w:sz w:val="24"/>
          <w14:textFill>
            <w14:solidFill>
              <w14:schemeClr w14:val="tx1"/>
            </w14:solidFill>
          </w14:textFill>
        </w:rPr>
        <w:t>被授权人（委托代理人）签名：             授权人（法定代表人）签名：</w:t>
      </w:r>
    </w:p>
    <w:p w14:paraId="6FDE226B">
      <w:pPr>
        <w:spacing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职务：                                   职务：</w:t>
      </w:r>
    </w:p>
    <w:p w14:paraId="58773609">
      <w:pPr>
        <w:spacing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附：被授权人身份证正、反面扫描（或复印）件</w:t>
      </w:r>
      <w:r>
        <w:rPr>
          <w:rFonts w:hint="eastAsia" w:ascii="宋体" w:hAnsi="宋体" w:cs="宋体"/>
          <w:color w:val="000000" w:themeColor="text1"/>
          <w:kern w:val="0"/>
          <w:sz w:val="24"/>
          <w:lang w:val="zh-CN"/>
          <w14:textFill>
            <w14:solidFill>
              <w14:schemeClr w14:val="tx1"/>
            </w14:solidFill>
          </w14:textFill>
        </w:rPr>
        <w:t>。</w:t>
      </w:r>
    </w:p>
    <w:p w14:paraId="512C3D67">
      <w:pPr>
        <w:tabs>
          <w:tab w:val="left" w:pos="168"/>
        </w:tabs>
        <w:adjustRightInd w:val="0"/>
        <w:spacing w:line="360" w:lineRule="auto"/>
        <w:textAlignment w:val="baseline"/>
        <w:rPr>
          <w:rFonts w:ascii="宋体" w:hAnsi="宋体"/>
          <w:bCs/>
          <w:color w:val="000000" w:themeColor="text1"/>
          <w:sz w:val="24"/>
          <w14:textFill>
            <w14:solidFill>
              <w14:schemeClr w14:val="tx1"/>
            </w14:solidFill>
          </w14:textFill>
        </w:rPr>
      </w:pPr>
    </w:p>
    <w:p w14:paraId="4B2A22E0">
      <w:pPr>
        <w:tabs>
          <w:tab w:val="left" w:pos="168"/>
        </w:tabs>
        <w:adjustRightInd w:val="0"/>
        <w:spacing w:line="360" w:lineRule="auto"/>
        <w:textAlignment w:val="baseline"/>
        <w:rPr>
          <w:rFonts w:ascii="宋体" w:hAnsi="宋体"/>
          <w:bCs/>
          <w:color w:val="000000" w:themeColor="text1"/>
          <w:sz w:val="24"/>
          <w14:textFill>
            <w14:solidFill>
              <w14:schemeClr w14:val="tx1"/>
            </w14:solidFill>
          </w14:textFill>
        </w:rPr>
      </w:pPr>
    </w:p>
    <w:p w14:paraId="31A2617D">
      <w:pPr>
        <w:tabs>
          <w:tab w:val="left" w:pos="168"/>
        </w:tabs>
        <w:adjustRightInd w:val="0"/>
        <w:spacing w:line="360" w:lineRule="auto"/>
        <w:textAlignment w:val="baseline"/>
        <w:rPr>
          <w:rFonts w:ascii="宋体" w:hAnsi="宋体"/>
          <w:bCs/>
          <w:color w:val="000000" w:themeColor="text1"/>
          <w:sz w:val="24"/>
          <w14:textFill>
            <w14:solidFill>
              <w14:schemeClr w14:val="tx1"/>
            </w14:solidFill>
          </w14:textFill>
        </w:rPr>
      </w:pPr>
    </w:p>
    <w:p w14:paraId="367D376F">
      <w:pPr>
        <w:tabs>
          <w:tab w:val="left" w:pos="168"/>
        </w:tabs>
        <w:adjustRightInd w:val="0"/>
        <w:spacing w:line="360" w:lineRule="auto"/>
        <w:textAlignment w:val="baseline"/>
        <w:rPr>
          <w:rFonts w:ascii="宋体" w:hAnsi="宋体"/>
          <w:bCs/>
          <w:color w:val="000000" w:themeColor="text1"/>
          <w:sz w:val="24"/>
          <w14:textFill>
            <w14:solidFill>
              <w14:schemeClr w14:val="tx1"/>
            </w14:solidFill>
          </w14:textFill>
        </w:rPr>
      </w:pPr>
    </w:p>
    <w:p w14:paraId="69443E8F">
      <w:pPr>
        <w:tabs>
          <w:tab w:val="left" w:pos="168"/>
        </w:tabs>
        <w:adjustRightInd w:val="0"/>
        <w:spacing w:line="360" w:lineRule="auto"/>
        <w:textAlignment w:val="baseline"/>
        <w:rPr>
          <w:rFonts w:ascii="宋体" w:hAnsi="宋体"/>
          <w:bCs/>
          <w:color w:val="000000" w:themeColor="text1"/>
          <w:sz w:val="24"/>
          <w14:textFill>
            <w14:solidFill>
              <w14:schemeClr w14:val="tx1"/>
            </w14:solidFill>
          </w14:textFill>
        </w:rPr>
      </w:pPr>
    </w:p>
    <w:p w14:paraId="7099BDD7">
      <w:pPr>
        <w:tabs>
          <w:tab w:val="left" w:pos="168"/>
        </w:tabs>
        <w:adjustRightInd w:val="0"/>
        <w:spacing w:line="360" w:lineRule="auto"/>
        <w:textAlignment w:val="baseline"/>
        <w:rPr>
          <w:rFonts w:ascii="宋体" w:hAnsi="宋体"/>
          <w:bCs/>
          <w:color w:val="000000" w:themeColor="text1"/>
          <w:sz w:val="24"/>
          <w14:textFill>
            <w14:solidFill>
              <w14:schemeClr w14:val="tx1"/>
            </w14:solidFill>
          </w14:textFill>
        </w:rPr>
      </w:pPr>
    </w:p>
    <w:p w14:paraId="523799F1">
      <w:pPr>
        <w:tabs>
          <w:tab w:val="left" w:pos="168"/>
        </w:tabs>
        <w:adjustRightInd w:val="0"/>
        <w:spacing w:line="360" w:lineRule="auto"/>
        <w:textAlignment w:val="baseline"/>
        <w:rPr>
          <w:rFonts w:ascii="宋体" w:hAnsi="宋体"/>
          <w:bCs/>
          <w:color w:val="000000" w:themeColor="text1"/>
          <w:sz w:val="24"/>
          <w14:textFill>
            <w14:solidFill>
              <w14:schemeClr w14:val="tx1"/>
            </w14:solidFill>
          </w14:textFill>
        </w:rPr>
      </w:pPr>
    </w:p>
    <w:p w14:paraId="14B08CB7">
      <w:pPr>
        <w:tabs>
          <w:tab w:val="left" w:pos="168"/>
        </w:tabs>
        <w:wordWrap w:val="0"/>
        <w:adjustRightInd w:val="0"/>
        <w:spacing w:line="360" w:lineRule="auto"/>
        <w:jc w:val="righ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磋商供应商：             （公章）</w:t>
      </w:r>
    </w:p>
    <w:p w14:paraId="089F266B">
      <w:pPr>
        <w:tabs>
          <w:tab w:val="left" w:pos="168"/>
        </w:tabs>
        <w:wordWrap w:val="0"/>
        <w:adjustRightInd w:val="0"/>
        <w:spacing w:line="360" w:lineRule="auto"/>
        <w:jc w:val="righ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法定代表人：                   （签字）</w:t>
      </w:r>
    </w:p>
    <w:p w14:paraId="149031B3">
      <w:pPr>
        <w:tabs>
          <w:tab w:val="left" w:pos="168"/>
        </w:tabs>
        <w:adjustRightInd w:val="0"/>
        <w:spacing w:line="360" w:lineRule="auto"/>
        <w:ind w:right="480" w:firstLine="5760" w:firstLineChars="2400"/>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日期：            年   月   日</w:t>
      </w:r>
    </w:p>
    <w:p w14:paraId="47B327CB">
      <w:pPr>
        <w:pStyle w:val="4"/>
        <w:numPr>
          <w:ilvl w:val="0"/>
          <w:numId w:val="0"/>
        </w:numPr>
        <w:ind w:left="709" w:hanging="709"/>
        <w:rPr>
          <w:rFonts w:hAnsi="宋体"/>
          <w:color w:val="000000" w:themeColor="text1"/>
          <w:sz w:val="24"/>
          <w:szCs w:val="24"/>
          <w:lang w:val="zh-CN"/>
          <w14:textFill>
            <w14:solidFill>
              <w14:schemeClr w14:val="tx1"/>
            </w14:solidFill>
          </w14:textFill>
        </w:rPr>
      </w:pPr>
      <w:r>
        <w:rPr>
          <w:rFonts w:hAnsi="宋体"/>
          <w:bCs/>
          <w:color w:val="000000" w:themeColor="text1"/>
          <w:sz w:val="24"/>
          <w:szCs w:val="24"/>
          <w14:textFill>
            <w14:solidFill>
              <w14:schemeClr w14:val="tx1"/>
            </w14:solidFill>
          </w14:textFill>
        </w:rPr>
        <w:br w:type="page"/>
      </w:r>
      <w:bookmarkStart w:id="87" w:name="_Toc8379"/>
      <w:r>
        <w:rPr>
          <w:rFonts w:hint="eastAsia" w:hAnsi="宋体"/>
          <w:b/>
          <w:color w:val="000000" w:themeColor="text1"/>
          <w:sz w:val="24"/>
          <w:szCs w:val="24"/>
          <w:lang w:val="zh-CN"/>
          <w14:textFill>
            <w14:solidFill>
              <w14:schemeClr w14:val="tx1"/>
            </w14:solidFill>
          </w14:textFill>
        </w:rPr>
        <w:t>格式4、磋商供应商承诺书</w:t>
      </w:r>
      <w:bookmarkEnd w:id="87"/>
    </w:p>
    <w:p w14:paraId="742F823B">
      <w:pPr>
        <w:autoSpaceDE w:val="0"/>
        <w:autoSpaceDN w:val="0"/>
        <w:adjustRightInd w:val="0"/>
        <w:spacing w:line="360" w:lineRule="auto"/>
        <w:jc w:val="center"/>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磋商供应商承诺书</w:t>
      </w:r>
    </w:p>
    <w:p w14:paraId="312D2B2D">
      <w:pPr>
        <w:spacing w:line="360" w:lineRule="auto"/>
        <w:rPr>
          <w:rFonts w:ascii="宋体" w:hAnsi="宋体"/>
          <w:b/>
          <w:bCs/>
          <w:color w:val="000000" w:themeColor="text1"/>
          <w:sz w:val="24"/>
          <w14:textFill>
            <w14:solidFill>
              <w14:schemeClr w14:val="tx1"/>
            </w14:solidFill>
          </w14:textFill>
        </w:rPr>
      </w:pPr>
      <w:r>
        <w:rPr>
          <w:rFonts w:hint="eastAsia" w:ascii="宋体" w:hAnsi="宋体"/>
          <w:b/>
          <w:bCs/>
          <w:color w:val="000000" w:themeColor="text1"/>
          <w:sz w:val="24"/>
          <w14:textFill>
            <w14:solidFill>
              <w14:schemeClr w14:val="tx1"/>
            </w14:solidFill>
          </w14:textFill>
        </w:rPr>
        <w:t>致：青海国焱工程项目管理有限公司</w:t>
      </w:r>
    </w:p>
    <w:p w14:paraId="3DA47069">
      <w:pPr>
        <w:spacing w:line="360" w:lineRule="auto"/>
        <w:rPr>
          <w:rFonts w:ascii="宋体" w:hAnsi="宋体"/>
          <w:color w:val="000000" w:themeColor="text1"/>
          <w:sz w:val="24"/>
          <w14:textFill>
            <w14:solidFill>
              <w14:schemeClr w14:val="tx1"/>
            </w14:solidFill>
          </w14:textFill>
        </w:rPr>
      </w:pPr>
    </w:p>
    <w:p w14:paraId="114B4EF2">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关于贵方2025年  月  日</w:t>
      </w:r>
      <w:r>
        <w:rPr>
          <w:rFonts w:hint="eastAsia" w:ascii="宋体" w:hAnsi="宋体"/>
          <w:color w:val="000000" w:themeColor="text1"/>
          <w:sz w:val="24"/>
          <w:u w:val="single"/>
          <w14:textFill>
            <w14:solidFill>
              <w14:schemeClr w14:val="tx1"/>
            </w14:solidFill>
          </w14:textFill>
        </w:rPr>
        <w:t>(项目名称)</w:t>
      </w:r>
      <w:r>
        <w:rPr>
          <w:rFonts w:hint="eastAsia" w:ascii="宋体" w:hAnsi="宋体"/>
          <w:color w:val="000000" w:themeColor="text1"/>
          <w:sz w:val="24"/>
          <w14:textFill>
            <w14:solidFill>
              <w14:schemeClr w14:val="tx1"/>
            </w14:solidFill>
          </w14:textFill>
        </w:rPr>
        <w:t>采购项目，本签字人愿意参加磋商，提供采购项目参数及要求中要求的所有产品，并证实提交的所有资料是准确的和真实的。同时，我代表</w:t>
      </w:r>
      <w:r>
        <w:rPr>
          <w:rFonts w:hint="eastAsia" w:ascii="宋体" w:hAnsi="宋体"/>
          <w:color w:val="000000" w:themeColor="text1"/>
          <w:sz w:val="24"/>
          <w:u w:val="single"/>
          <w14:textFill>
            <w14:solidFill>
              <w14:schemeClr w14:val="tx1"/>
            </w14:solidFill>
          </w14:textFill>
        </w:rPr>
        <w:t>（磋商供应商名称）</w:t>
      </w:r>
      <w:r>
        <w:rPr>
          <w:rFonts w:hint="eastAsia" w:ascii="宋体" w:hAnsi="宋体"/>
          <w:color w:val="000000" w:themeColor="text1"/>
          <w:sz w:val="24"/>
          <w14:textFill>
            <w14:solidFill>
              <w14:schemeClr w14:val="tx1"/>
            </w14:solidFill>
          </w14:textFill>
        </w:rPr>
        <w:t>，在此作如下承诺：</w:t>
      </w:r>
    </w:p>
    <w:p w14:paraId="7C360DC2">
      <w:pPr>
        <w:spacing w:line="360" w:lineRule="auto"/>
        <w:ind w:firstLine="480" w:firstLineChars="200"/>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1</w:t>
      </w:r>
      <w:r>
        <w:rPr>
          <w:rFonts w:hint="eastAsia" w:ascii="宋体" w:hAnsi="宋体"/>
          <w:color w:val="000000" w:themeColor="text1"/>
          <w:sz w:val="24"/>
          <w14:textFill>
            <w14:solidFill>
              <w14:schemeClr w14:val="tx1"/>
            </w14:solidFill>
          </w14:textFill>
        </w:rPr>
        <w:t>、完全理解和接受磋商文件的一切规定和要求；</w:t>
      </w:r>
    </w:p>
    <w:p w14:paraId="64E139AF">
      <w:pPr>
        <w:spacing w:line="360" w:lineRule="auto"/>
        <w:ind w:firstLine="480" w:firstLineChars="200"/>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2</w:t>
      </w:r>
      <w:r>
        <w:rPr>
          <w:rFonts w:hint="eastAsia" w:ascii="宋体" w:hAnsi="宋体"/>
          <w:color w:val="000000" w:themeColor="text1"/>
          <w:sz w:val="24"/>
          <w14:textFill>
            <w14:solidFill>
              <w14:schemeClr w14:val="tx1"/>
            </w14:solidFill>
          </w14:textFill>
        </w:rPr>
        <w:t>、若成交，我方将按照磋商文件的具体规定与采购单位签订合同，并且严格履行合同义务，按时交货，提供优质的产品和服务。如果在合同执行过程中，发现质量出现问题，我方一定尽快更换或保修，并承担相应的经济责任；</w:t>
      </w:r>
    </w:p>
    <w:p w14:paraId="7A2685D9">
      <w:pPr>
        <w:spacing w:line="360" w:lineRule="auto"/>
        <w:ind w:firstLine="480" w:firstLineChars="200"/>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3</w:t>
      </w:r>
      <w:r>
        <w:rPr>
          <w:rFonts w:hint="eastAsia" w:ascii="宋体" w:hAnsi="宋体"/>
          <w:color w:val="000000" w:themeColor="text1"/>
          <w:sz w:val="24"/>
          <w14:textFill>
            <w14:solidFill>
              <w14:schemeClr w14:val="tx1"/>
            </w14:solidFill>
          </w14:textFill>
        </w:rPr>
        <w:t>、在整个磋商过程中我方若有违规行为，贵方可按磋商文件之规定给予惩罚，我方完全接受。</w:t>
      </w:r>
    </w:p>
    <w:p w14:paraId="30D17C62">
      <w:pPr>
        <w:spacing w:line="360" w:lineRule="auto"/>
        <w:ind w:firstLine="480" w:firstLineChars="200"/>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4</w:t>
      </w:r>
      <w:r>
        <w:rPr>
          <w:rFonts w:hint="eastAsia" w:ascii="宋体" w:hAnsi="宋体"/>
          <w:color w:val="000000" w:themeColor="text1"/>
          <w:sz w:val="24"/>
          <w14:textFill>
            <w14:solidFill>
              <w14:schemeClr w14:val="tx1"/>
            </w14:solidFill>
          </w14:textFill>
        </w:rPr>
        <w:t>、若成交，本承诺将成为合同不可分割的一部分，与合同具有同等的法律效力。</w:t>
      </w:r>
    </w:p>
    <w:p w14:paraId="3B92C772">
      <w:pPr>
        <w:tabs>
          <w:tab w:val="left" w:pos="168"/>
        </w:tabs>
        <w:adjustRightInd w:val="0"/>
        <w:spacing w:line="360" w:lineRule="auto"/>
        <w:ind w:firstLine="480" w:firstLineChars="200"/>
        <w:textAlignment w:val="baseline"/>
        <w:rPr>
          <w:rFonts w:ascii="宋体" w:hAnsi="宋体"/>
          <w:bCs/>
          <w:color w:val="000000" w:themeColor="text1"/>
          <w:sz w:val="24"/>
          <w14:textFill>
            <w14:solidFill>
              <w14:schemeClr w14:val="tx1"/>
            </w14:solidFill>
          </w14:textFill>
        </w:rPr>
      </w:pPr>
    </w:p>
    <w:p w14:paraId="1B50FD14">
      <w:pPr>
        <w:tabs>
          <w:tab w:val="left" w:pos="168"/>
        </w:tabs>
        <w:adjustRightInd w:val="0"/>
        <w:spacing w:line="360" w:lineRule="auto"/>
        <w:ind w:firstLine="480" w:firstLineChars="200"/>
        <w:textAlignment w:val="baseline"/>
        <w:rPr>
          <w:rFonts w:ascii="宋体" w:hAnsi="宋体"/>
          <w:bCs/>
          <w:color w:val="000000" w:themeColor="text1"/>
          <w:sz w:val="24"/>
          <w14:textFill>
            <w14:solidFill>
              <w14:schemeClr w14:val="tx1"/>
            </w14:solidFill>
          </w14:textFill>
        </w:rPr>
      </w:pPr>
    </w:p>
    <w:p w14:paraId="18A334B1">
      <w:pPr>
        <w:tabs>
          <w:tab w:val="left" w:pos="168"/>
        </w:tabs>
        <w:adjustRightInd w:val="0"/>
        <w:spacing w:line="360" w:lineRule="auto"/>
        <w:ind w:firstLine="480" w:firstLineChars="200"/>
        <w:textAlignment w:val="baseline"/>
        <w:rPr>
          <w:rFonts w:ascii="宋体" w:hAnsi="宋体"/>
          <w:bCs/>
          <w:color w:val="000000" w:themeColor="text1"/>
          <w:sz w:val="24"/>
          <w14:textFill>
            <w14:solidFill>
              <w14:schemeClr w14:val="tx1"/>
            </w14:solidFill>
          </w14:textFill>
        </w:rPr>
      </w:pPr>
    </w:p>
    <w:p w14:paraId="7753FD59">
      <w:pPr>
        <w:tabs>
          <w:tab w:val="left" w:pos="168"/>
        </w:tabs>
        <w:adjustRightInd w:val="0"/>
        <w:spacing w:line="360" w:lineRule="auto"/>
        <w:ind w:firstLine="480" w:firstLineChars="200"/>
        <w:textAlignment w:val="baseline"/>
        <w:rPr>
          <w:rFonts w:ascii="宋体" w:hAnsi="宋体"/>
          <w:bCs/>
          <w:color w:val="000000" w:themeColor="text1"/>
          <w:sz w:val="24"/>
          <w14:textFill>
            <w14:solidFill>
              <w14:schemeClr w14:val="tx1"/>
            </w14:solidFill>
          </w14:textFill>
        </w:rPr>
      </w:pPr>
    </w:p>
    <w:p w14:paraId="0CAAD61B">
      <w:pPr>
        <w:tabs>
          <w:tab w:val="left" w:pos="168"/>
        </w:tabs>
        <w:adjustRightInd w:val="0"/>
        <w:spacing w:line="360" w:lineRule="auto"/>
        <w:ind w:firstLine="480" w:firstLineChars="200"/>
        <w:textAlignment w:val="baseline"/>
        <w:rPr>
          <w:rFonts w:ascii="宋体" w:hAnsi="宋体"/>
          <w:bCs/>
          <w:color w:val="000000" w:themeColor="text1"/>
          <w:sz w:val="24"/>
          <w14:textFill>
            <w14:solidFill>
              <w14:schemeClr w14:val="tx1"/>
            </w14:solidFill>
          </w14:textFill>
        </w:rPr>
      </w:pPr>
    </w:p>
    <w:p w14:paraId="4A5B7C3C">
      <w:pPr>
        <w:tabs>
          <w:tab w:val="left" w:pos="168"/>
        </w:tabs>
        <w:adjustRightInd w:val="0"/>
        <w:spacing w:line="360" w:lineRule="auto"/>
        <w:ind w:firstLine="480" w:firstLineChars="200"/>
        <w:textAlignment w:val="baseline"/>
        <w:rPr>
          <w:rFonts w:ascii="宋体" w:hAnsi="宋体"/>
          <w:bCs/>
          <w:color w:val="000000" w:themeColor="text1"/>
          <w:sz w:val="24"/>
          <w14:textFill>
            <w14:solidFill>
              <w14:schemeClr w14:val="tx1"/>
            </w14:solidFill>
          </w14:textFill>
        </w:rPr>
      </w:pPr>
    </w:p>
    <w:p w14:paraId="67A3450F">
      <w:pPr>
        <w:tabs>
          <w:tab w:val="left" w:pos="168"/>
        </w:tabs>
        <w:adjustRightInd w:val="0"/>
        <w:spacing w:line="360" w:lineRule="auto"/>
        <w:ind w:firstLine="480" w:firstLineChars="200"/>
        <w:textAlignment w:val="baseline"/>
        <w:rPr>
          <w:rFonts w:ascii="宋体" w:hAnsi="宋体"/>
          <w:bCs/>
          <w:color w:val="000000" w:themeColor="text1"/>
          <w:sz w:val="24"/>
          <w14:textFill>
            <w14:solidFill>
              <w14:schemeClr w14:val="tx1"/>
            </w14:solidFill>
          </w14:textFill>
        </w:rPr>
      </w:pPr>
    </w:p>
    <w:p w14:paraId="44A99165">
      <w:pPr>
        <w:tabs>
          <w:tab w:val="left" w:pos="168"/>
        </w:tabs>
        <w:adjustRightInd w:val="0"/>
        <w:spacing w:line="360" w:lineRule="auto"/>
        <w:ind w:firstLine="480" w:firstLineChars="200"/>
        <w:textAlignment w:val="baseline"/>
        <w:rPr>
          <w:rFonts w:ascii="宋体" w:hAnsi="宋体"/>
          <w:bCs/>
          <w:color w:val="000000" w:themeColor="text1"/>
          <w:sz w:val="24"/>
          <w14:textFill>
            <w14:solidFill>
              <w14:schemeClr w14:val="tx1"/>
            </w14:solidFill>
          </w14:textFill>
        </w:rPr>
      </w:pPr>
    </w:p>
    <w:p w14:paraId="2D69AD06">
      <w:pPr>
        <w:tabs>
          <w:tab w:val="left" w:pos="168"/>
        </w:tabs>
        <w:adjustRightInd w:val="0"/>
        <w:spacing w:line="360" w:lineRule="auto"/>
        <w:ind w:firstLine="480" w:firstLineChars="200"/>
        <w:textAlignment w:val="baseline"/>
        <w:rPr>
          <w:rFonts w:ascii="宋体" w:hAnsi="宋体"/>
          <w:bCs/>
          <w:color w:val="000000" w:themeColor="text1"/>
          <w:sz w:val="24"/>
          <w14:textFill>
            <w14:solidFill>
              <w14:schemeClr w14:val="tx1"/>
            </w14:solidFill>
          </w14:textFill>
        </w:rPr>
      </w:pPr>
    </w:p>
    <w:p w14:paraId="0552837A">
      <w:pPr>
        <w:tabs>
          <w:tab w:val="left" w:pos="168"/>
        </w:tabs>
        <w:adjustRightInd w:val="0"/>
        <w:spacing w:line="360" w:lineRule="auto"/>
        <w:ind w:firstLine="480" w:firstLineChars="200"/>
        <w:textAlignment w:val="baseline"/>
        <w:rPr>
          <w:rFonts w:ascii="宋体" w:hAnsi="宋体"/>
          <w:bCs/>
          <w:color w:val="000000" w:themeColor="text1"/>
          <w:sz w:val="24"/>
          <w14:textFill>
            <w14:solidFill>
              <w14:schemeClr w14:val="tx1"/>
            </w14:solidFill>
          </w14:textFill>
        </w:rPr>
      </w:pPr>
    </w:p>
    <w:p w14:paraId="3154D02A">
      <w:pPr>
        <w:tabs>
          <w:tab w:val="left" w:pos="168"/>
        </w:tabs>
        <w:adjustRightInd w:val="0"/>
        <w:spacing w:line="360" w:lineRule="auto"/>
        <w:jc w:val="righ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磋商供应商：             （公章）</w:t>
      </w:r>
    </w:p>
    <w:p w14:paraId="397D6454">
      <w:pPr>
        <w:tabs>
          <w:tab w:val="left" w:pos="168"/>
        </w:tabs>
        <w:adjustRightInd w:val="0"/>
        <w:spacing w:line="360" w:lineRule="auto"/>
        <w:jc w:val="righ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法定代表人或委托代理人：       （签字）</w:t>
      </w:r>
    </w:p>
    <w:p w14:paraId="300A261F">
      <w:pPr>
        <w:tabs>
          <w:tab w:val="left" w:pos="168"/>
        </w:tabs>
        <w:adjustRightInd w:val="0"/>
        <w:spacing w:line="360" w:lineRule="auto"/>
        <w:jc w:val="righ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日期：    年   月   日</w:t>
      </w:r>
    </w:p>
    <w:p w14:paraId="7B9214FC">
      <w:pPr>
        <w:pStyle w:val="4"/>
        <w:numPr>
          <w:ilvl w:val="0"/>
          <w:numId w:val="0"/>
        </w:numPr>
        <w:ind w:left="709" w:hanging="709"/>
        <w:rPr>
          <w:rFonts w:hAnsi="宋体"/>
          <w:color w:val="000000" w:themeColor="text1"/>
          <w:sz w:val="24"/>
          <w:szCs w:val="24"/>
          <w:lang w:val="zh-CN"/>
          <w14:textFill>
            <w14:solidFill>
              <w14:schemeClr w14:val="tx1"/>
            </w14:solidFill>
          </w14:textFill>
        </w:rPr>
      </w:pPr>
      <w:r>
        <w:rPr>
          <w:rFonts w:hAnsi="宋体"/>
          <w:bCs/>
          <w:color w:val="000000" w:themeColor="text1"/>
          <w:sz w:val="24"/>
          <w:szCs w:val="24"/>
          <w14:textFill>
            <w14:solidFill>
              <w14:schemeClr w14:val="tx1"/>
            </w14:solidFill>
          </w14:textFill>
        </w:rPr>
        <w:br w:type="page"/>
      </w:r>
      <w:bookmarkStart w:id="88" w:name="_Toc28279"/>
      <w:r>
        <w:rPr>
          <w:rFonts w:hint="eastAsia" w:hAnsi="宋体"/>
          <w:b/>
          <w:color w:val="000000" w:themeColor="text1"/>
          <w:sz w:val="24"/>
          <w:szCs w:val="24"/>
          <w:lang w:val="zh-CN"/>
          <w14:textFill>
            <w14:solidFill>
              <w14:schemeClr w14:val="tx1"/>
            </w14:solidFill>
          </w14:textFill>
        </w:rPr>
        <w:t>格式5、供应商诚信承诺书</w:t>
      </w:r>
      <w:bookmarkEnd w:id="88"/>
    </w:p>
    <w:p w14:paraId="70094FA9">
      <w:pPr>
        <w:autoSpaceDE w:val="0"/>
        <w:autoSpaceDN w:val="0"/>
        <w:adjustRightInd w:val="0"/>
        <w:spacing w:line="360" w:lineRule="auto"/>
        <w:jc w:val="center"/>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供应商诚信承诺书</w:t>
      </w:r>
    </w:p>
    <w:p w14:paraId="4F4FF9B1">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42024B3D">
      <w:pPr>
        <w:autoSpaceDE w:val="0"/>
        <w:autoSpaceDN w:val="0"/>
        <w:adjustRightInd w:val="0"/>
        <w:spacing w:line="360" w:lineRule="auto"/>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致：青海国焱工程项目管理有限公司</w:t>
      </w:r>
    </w:p>
    <w:p w14:paraId="64132786">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2DB361AC">
      <w:pPr>
        <w:autoSpaceDE w:val="0"/>
        <w:autoSpaceDN w:val="0"/>
        <w:adjustRightInd w:val="0"/>
        <w:spacing w:line="360" w:lineRule="auto"/>
        <w:ind w:firstLine="48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为了诚实、客观、有序地参与青海省政府采购活动，愿就以下内容做出承诺：</w:t>
      </w:r>
    </w:p>
    <w:p w14:paraId="2146BDD1">
      <w:pPr>
        <w:autoSpaceDE w:val="0"/>
        <w:autoSpaceDN w:val="0"/>
        <w:adjustRightInd w:val="0"/>
        <w:spacing w:line="360" w:lineRule="auto"/>
        <w:ind w:firstLine="48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一、自觉遵守各项法律、法规、规章、制度以及社会公德，维护廉洁环境，与同场竞争的供应商平等参加政府采购活动。</w:t>
      </w:r>
    </w:p>
    <w:p w14:paraId="72A5ED6F">
      <w:pPr>
        <w:autoSpaceDE w:val="0"/>
        <w:autoSpaceDN w:val="0"/>
        <w:adjustRightInd w:val="0"/>
        <w:spacing w:line="360" w:lineRule="auto"/>
        <w:ind w:firstLine="48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二、参加采购代理机构组织的政府采购活动时，严格按照磋商文件的规定和要求提供所需的相关材料，并对所提供的各类资料的真实性负责，不虚假应标，不虚列业绩。</w:t>
      </w:r>
    </w:p>
    <w:p w14:paraId="4CEE142C">
      <w:pPr>
        <w:autoSpaceDE w:val="0"/>
        <w:autoSpaceDN w:val="0"/>
        <w:adjustRightInd w:val="0"/>
        <w:spacing w:line="360" w:lineRule="auto"/>
        <w:ind w:firstLine="48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三、尊重参与政府采购活动各相关方的合法行为，接受政府采购活动依法形成的意见、结果。</w:t>
      </w:r>
    </w:p>
    <w:p w14:paraId="3DE89239">
      <w:pPr>
        <w:autoSpaceDE w:val="0"/>
        <w:autoSpaceDN w:val="0"/>
        <w:adjustRightInd w:val="0"/>
        <w:spacing w:line="360" w:lineRule="auto"/>
        <w:ind w:firstLine="48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四、依法参加政府采购活动，不围标、串标，维护市场秩序，不提供“三无”产品、以次充好。</w:t>
      </w:r>
    </w:p>
    <w:p w14:paraId="3E9646A0">
      <w:pPr>
        <w:autoSpaceDE w:val="0"/>
        <w:autoSpaceDN w:val="0"/>
        <w:adjustRightInd w:val="0"/>
        <w:spacing w:line="360" w:lineRule="auto"/>
        <w:ind w:firstLine="48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五、积极推动政府采购活动健康开展，对采购活动有疑问、异议时，按法律规定的程序实名（加盖单位章和法定代表人签名）反映情况，不恶意中伤、无事生非，以和谐、平等的心态参加政府采购活动。</w:t>
      </w:r>
    </w:p>
    <w:p w14:paraId="44E63837">
      <w:pPr>
        <w:autoSpaceDE w:val="0"/>
        <w:autoSpaceDN w:val="0"/>
        <w:adjustRightInd w:val="0"/>
        <w:spacing w:line="360" w:lineRule="auto"/>
        <w:ind w:firstLine="48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六、认真履行成交人应承担的责任和义务，全面执行采购合同规定的各项内容，保质保量地按时提供采购物品。</w:t>
      </w:r>
    </w:p>
    <w:p w14:paraId="1F5E306C">
      <w:pPr>
        <w:autoSpaceDE w:val="0"/>
        <w:autoSpaceDN w:val="0"/>
        <w:adjustRightInd w:val="0"/>
        <w:spacing w:line="360" w:lineRule="auto"/>
        <w:ind w:firstLine="480" w:firstLineChars="20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若本企业（单位）发生有悖于上述承诺的行为，愿意接受《中华人民共和国政府采购法》和《政府采购法实施条例》中对供应商的相关处理。</w:t>
      </w:r>
    </w:p>
    <w:p w14:paraId="598D13B9">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本承诺是采购项目磋商响应文件的组成部分。</w:t>
      </w:r>
    </w:p>
    <w:p w14:paraId="2EEBC245">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71B8B1E5">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142F20A9">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34C406D3">
      <w:pPr>
        <w:tabs>
          <w:tab w:val="left" w:pos="168"/>
        </w:tabs>
        <w:adjustRightInd w:val="0"/>
        <w:spacing w:line="360" w:lineRule="auto"/>
        <w:textAlignment w:val="baseline"/>
        <w:rPr>
          <w:rFonts w:ascii="宋体" w:hAnsi="宋体"/>
          <w:bCs/>
          <w:color w:val="000000" w:themeColor="text1"/>
          <w:sz w:val="24"/>
          <w14:textFill>
            <w14:solidFill>
              <w14:schemeClr w14:val="tx1"/>
            </w14:solidFill>
          </w14:textFill>
        </w:rPr>
      </w:pPr>
      <w:bookmarkStart w:id="89" w:name="_Toc17097"/>
      <w:bookmarkStart w:id="90" w:name="_Toc444715739"/>
    </w:p>
    <w:p w14:paraId="0531C2A8">
      <w:pPr>
        <w:tabs>
          <w:tab w:val="left" w:pos="168"/>
        </w:tabs>
        <w:adjustRightInd w:val="0"/>
        <w:spacing w:line="360" w:lineRule="auto"/>
        <w:jc w:val="righ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磋商供应商：             （公章）</w:t>
      </w:r>
    </w:p>
    <w:p w14:paraId="5F4138B3">
      <w:pPr>
        <w:tabs>
          <w:tab w:val="left" w:pos="168"/>
        </w:tabs>
        <w:adjustRightInd w:val="0"/>
        <w:spacing w:line="360" w:lineRule="auto"/>
        <w:jc w:val="righ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法定代表人或委托代理人：       （签字）</w:t>
      </w:r>
    </w:p>
    <w:p w14:paraId="4EEDE67F">
      <w:pPr>
        <w:tabs>
          <w:tab w:val="left" w:pos="168"/>
        </w:tabs>
        <w:adjustRightInd w:val="0"/>
        <w:spacing w:line="360" w:lineRule="auto"/>
        <w:jc w:val="righ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日期：    年   月   日</w:t>
      </w:r>
    </w:p>
    <w:p w14:paraId="4A4C5826">
      <w:pPr>
        <w:pStyle w:val="4"/>
        <w:numPr>
          <w:ilvl w:val="0"/>
          <w:numId w:val="0"/>
        </w:numPr>
        <w:ind w:left="709" w:hanging="709"/>
        <w:rPr>
          <w:rFonts w:hAnsi="宋体" w:cs="宋体"/>
          <w:color w:val="000000" w:themeColor="text1"/>
          <w:sz w:val="24"/>
          <w:szCs w:val="24"/>
          <w:lang w:val="zh-CN"/>
          <w14:textFill>
            <w14:solidFill>
              <w14:schemeClr w14:val="tx1"/>
            </w14:solidFill>
          </w14:textFill>
        </w:rPr>
      </w:pPr>
      <w:r>
        <w:rPr>
          <w:rFonts w:hAnsi="宋体"/>
          <w:bCs/>
          <w:color w:val="000000" w:themeColor="text1"/>
          <w:sz w:val="24"/>
          <w:szCs w:val="24"/>
          <w14:textFill>
            <w14:solidFill>
              <w14:schemeClr w14:val="tx1"/>
            </w14:solidFill>
          </w14:textFill>
        </w:rPr>
        <w:br w:type="page"/>
      </w:r>
      <w:bookmarkStart w:id="91" w:name="_Toc24424"/>
      <w:r>
        <w:rPr>
          <w:rFonts w:hint="eastAsia" w:hAnsi="宋体"/>
          <w:b/>
          <w:color w:val="000000" w:themeColor="text1"/>
          <w:sz w:val="24"/>
          <w:szCs w:val="24"/>
          <w:lang w:val="zh-CN"/>
          <w14:textFill>
            <w14:solidFill>
              <w14:schemeClr w14:val="tx1"/>
            </w14:solidFill>
          </w14:textFill>
        </w:rPr>
        <w:t>格式6、资格证明材料</w:t>
      </w:r>
      <w:bookmarkEnd w:id="89"/>
      <w:bookmarkEnd w:id="90"/>
      <w:bookmarkEnd w:id="91"/>
    </w:p>
    <w:p w14:paraId="5A294088">
      <w:pPr>
        <w:spacing w:line="360" w:lineRule="auto"/>
        <w:rPr>
          <w:rFonts w:ascii="宋体" w:hAnsi="宋体"/>
          <w:color w:val="000000" w:themeColor="text1"/>
          <w:sz w:val="24"/>
          <w:lang w:val="zh-CN"/>
          <w14:textFill>
            <w14:solidFill>
              <w14:schemeClr w14:val="tx1"/>
            </w14:solidFill>
          </w14:textFill>
        </w:rPr>
      </w:pPr>
    </w:p>
    <w:p w14:paraId="0FCE6CFA">
      <w:pPr>
        <w:autoSpaceDE w:val="0"/>
        <w:autoSpaceDN w:val="0"/>
        <w:adjustRightInd w:val="0"/>
        <w:spacing w:line="360" w:lineRule="auto"/>
        <w:jc w:val="center"/>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资格证明材料</w:t>
      </w:r>
    </w:p>
    <w:p w14:paraId="43D58A20">
      <w:pPr>
        <w:spacing w:line="360" w:lineRule="auto"/>
        <w:ind w:firstLine="424" w:firstLineChars="177"/>
        <w:rPr>
          <w:rFonts w:ascii="宋体" w:hAnsi="宋体" w:cs="Arial"/>
          <w:color w:val="000000" w:themeColor="text1"/>
          <w:sz w:val="24"/>
          <w14:textFill>
            <w14:solidFill>
              <w14:schemeClr w14:val="tx1"/>
            </w14:solidFill>
          </w14:textFill>
        </w:rPr>
      </w:pPr>
      <w:r>
        <w:rPr>
          <w:rFonts w:ascii="宋体" w:hAnsi="宋体" w:cs="Arial"/>
          <w:color w:val="000000" w:themeColor="text1"/>
          <w:sz w:val="24"/>
          <w14:textFill>
            <w14:solidFill>
              <w14:schemeClr w14:val="tx1"/>
            </w14:solidFill>
          </w14:textFill>
        </w:rPr>
        <w:t>资格证明材料包括：</w:t>
      </w:r>
    </w:p>
    <w:p w14:paraId="5D6FBDFC">
      <w:pPr>
        <w:spacing w:line="360" w:lineRule="auto"/>
        <w:rPr>
          <w:rFonts w:ascii="宋体" w:hAnsi="宋体" w:cs="Arial"/>
          <w:color w:val="000000" w:themeColor="text1"/>
          <w:sz w:val="24"/>
          <w14:textFill>
            <w14:solidFill>
              <w14:schemeClr w14:val="tx1"/>
            </w14:solidFill>
          </w14:textFill>
        </w:rPr>
      </w:pPr>
      <w:r>
        <w:rPr>
          <w:rFonts w:ascii="宋体" w:hAnsi="宋体" w:cs="Arial"/>
          <w:color w:val="000000" w:themeColor="text1"/>
          <w:sz w:val="24"/>
          <w14:textFill>
            <w14:solidFill>
              <w14:schemeClr w14:val="tx1"/>
            </w14:solidFill>
          </w14:textFill>
        </w:rPr>
        <w:t>（1）单位法人营业执照、税务登记证、组织机构代码证；</w:t>
      </w:r>
    </w:p>
    <w:p w14:paraId="5AFB6979">
      <w:pPr>
        <w:spacing w:line="360" w:lineRule="auto"/>
        <w:rPr>
          <w:rFonts w:ascii="宋体" w:hAnsi="宋体" w:cs="Arial"/>
          <w:color w:val="000000" w:themeColor="text1"/>
          <w:sz w:val="24"/>
          <w14:textFill>
            <w14:solidFill>
              <w14:schemeClr w14:val="tx1"/>
            </w14:solidFill>
          </w14:textFill>
        </w:rPr>
      </w:pPr>
      <w:r>
        <w:rPr>
          <w:rFonts w:ascii="宋体" w:hAnsi="宋体" w:cs="Arial"/>
          <w:color w:val="000000" w:themeColor="text1"/>
          <w:sz w:val="24"/>
          <w14:textFill>
            <w14:solidFill>
              <w14:schemeClr w14:val="tx1"/>
            </w14:solidFill>
          </w14:textFill>
        </w:rPr>
        <w:t>（2）磋商文件规定的有关资格证书、许可证书、认证等；</w:t>
      </w:r>
    </w:p>
    <w:p w14:paraId="4BEF504C">
      <w:pPr>
        <w:spacing w:line="360" w:lineRule="auto"/>
        <w:rPr>
          <w:rFonts w:ascii="宋体" w:hAnsi="宋体" w:cs="Arial"/>
          <w:color w:val="000000" w:themeColor="text1"/>
          <w:sz w:val="24"/>
          <w14:textFill>
            <w14:solidFill>
              <w14:schemeClr w14:val="tx1"/>
            </w14:solidFill>
          </w14:textFill>
        </w:rPr>
      </w:pPr>
      <w:r>
        <w:rPr>
          <w:rFonts w:ascii="宋体" w:hAnsi="宋体" w:cs="Arial"/>
          <w:color w:val="000000" w:themeColor="text1"/>
          <w:sz w:val="24"/>
          <w14:textFill>
            <w14:solidFill>
              <w14:schemeClr w14:val="tx1"/>
            </w14:solidFill>
          </w14:textFill>
        </w:rPr>
        <w:t>（3）磋商供应商简介及获得相关证书证明文件；</w:t>
      </w:r>
    </w:p>
    <w:p w14:paraId="1CC24F60">
      <w:pPr>
        <w:spacing w:line="360" w:lineRule="auto"/>
        <w:rPr>
          <w:rFonts w:ascii="宋体" w:hAnsi="宋体" w:cs="Arial"/>
          <w:color w:val="000000" w:themeColor="text1"/>
          <w:sz w:val="24"/>
          <w14:textFill>
            <w14:solidFill>
              <w14:schemeClr w14:val="tx1"/>
            </w14:solidFill>
          </w14:textFill>
        </w:rPr>
      </w:pPr>
      <w:r>
        <w:rPr>
          <w:rFonts w:ascii="宋体" w:hAnsi="宋体" w:cs="Arial"/>
          <w:color w:val="000000" w:themeColor="text1"/>
          <w:sz w:val="24"/>
          <w14:textFill>
            <w14:solidFill>
              <w14:schemeClr w14:val="tx1"/>
            </w14:solidFill>
          </w14:textFill>
        </w:rPr>
        <w:t>（4）磋商供应商认为有必要提供的其他资格证明文件。</w:t>
      </w:r>
    </w:p>
    <w:p w14:paraId="3E1A261F">
      <w:pPr>
        <w:pStyle w:val="4"/>
        <w:numPr>
          <w:ilvl w:val="0"/>
          <w:numId w:val="0"/>
        </w:numPr>
        <w:ind w:left="709" w:hanging="709"/>
        <w:rPr>
          <w:rFonts w:hAnsi="宋体"/>
          <w:color w:val="000000" w:themeColor="text1"/>
          <w:sz w:val="24"/>
          <w:szCs w:val="24"/>
          <w:lang w:val="zh-CN"/>
          <w14:textFill>
            <w14:solidFill>
              <w14:schemeClr w14:val="tx1"/>
            </w14:solidFill>
          </w14:textFill>
        </w:rPr>
      </w:pPr>
      <w:r>
        <w:rPr>
          <w:rFonts w:hAnsi="宋体" w:cs="宋体"/>
          <w:color w:val="000000" w:themeColor="text1"/>
          <w:kern w:val="0"/>
          <w:sz w:val="24"/>
          <w:szCs w:val="24"/>
          <w:lang w:val="zh-CN"/>
          <w14:textFill>
            <w14:solidFill>
              <w14:schemeClr w14:val="tx1"/>
            </w14:solidFill>
          </w14:textFill>
        </w:rPr>
        <w:br w:type="page"/>
      </w:r>
      <w:bookmarkStart w:id="92" w:name="_Toc29019"/>
      <w:bookmarkStart w:id="93" w:name="_Toc444715740"/>
      <w:bookmarkStart w:id="94" w:name="_Toc20673"/>
      <w:r>
        <w:rPr>
          <w:rFonts w:hint="eastAsia" w:hAnsi="宋体"/>
          <w:b/>
          <w:color w:val="000000" w:themeColor="text1"/>
          <w:sz w:val="24"/>
          <w:szCs w:val="24"/>
          <w:lang w:val="zh-CN"/>
          <w14:textFill>
            <w14:solidFill>
              <w14:schemeClr w14:val="tx1"/>
            </w14:solidFill>
          </w14:textFill>
        </w:rPr>
        <w:t>格式7、财务状况、缴纳税收和社会保障资金证明</w:t>
      </w:r>
      <w:bookmarkEnd w:id="92"/>
    </w:p>
    <w:p w14:paraId="3B5F050C">
      <w:pPr>
        <w:spacing w:line="360" w:lineRule="auto"/>
        <w:rPr>
          <w:rFonts w:ascii="宋体" w:hAnsi="宋体"/>
          <w:color w:val="000000" w:themeColor="text1"/>
          <w:sz w:val="24"/>
          <w:lang w:val="zh-CN"/>
          <w14:textFill>
            <w14:solidFill>
              <w14:schemeClr w14:val="tx1"/>
            </w14:solidFill>
          </w14:textFill>
        </w:rPr>
      </w:pPr>
    </w:p>
    <w:p w14:paraId="3757A2A2">
      <w:pPr>
        <w:autoSpaceDE w:val="0"/>
        <w:autoSpaceDN w:val="0"/>
        <w:adjustRightInd w:val="0"/>
        <w:spacing w:line="360" w:lineRule="auto"/>
        <w:jc w:val="center"/>
        <w:rPr>
          <w:rFonts w:ascii="宋体" w:hAnsi="宋体" w:cs="宋体"/>
          <w:b/>
          <w:bCs/>
          <w:color w:val="000000" w:themeColor="text1"/>
          <w:kern w:val="0"/>
          <w:sz w:val="24"/>
          <w:lang w:val="zh-CN"/>
          <w14:textFill>
            <w14:solidFill>
              <w14:schemeClr w14:val="tx1"/>
            </w14:solidFill>
          </w14:textFill>
        </w:rPr>
      </w:pPr>
      <w:r>
        <w:rPr>
          <w:rFonts w:ascii="宋体" w:hAnsi="宋体" w:cs="宋体"/>
          <w:b/>
          <w:bCs/>
          <w:color w:val="000000" w:themeColor="text1"/>
          <w:kern w:val="0"/>
          <w:sz w:val="24"/>
          <w:lang w:val="zh-CN"/>
          <w14:textFill>
            <w14:solidFill>
              <w14:schemeClr w14:val="tx1"/>
            </w14:solidFill>
          </w14:textFill>
        </w:rPr>
        <w:t>财务状况、缴纳税收和社会保障资金证明</w:t>
      </w:r>
    </w:p>
    <w:p w14:paraId="1578269C">
      <w:pPr>
        <w:autoSpaceDE w:val="0"/>
        <w:autoSpaceDN w:val="0"/>
        <w:spacing w:line="360" w:lineRule="auto"/>
        <w:rPr>
          <w:rFonts w:ascii="宋体" w:hAnsi="宋体" w:cs="Arial"/>
          <w:color w:val="000000" w:themeColor="text1"/>
          <w:sz w:val="24"/>
          <w:lang w:val="zh-CN"/>
          <w14:textFill>
            <w14:solidFill>
              <w14:schemeClr w14:val="tx1"/>
            </w14:solidFill>
          </w14:textFill>
        </w:rPr>
      </w:pPr>
    </w:p>
    <w:p w14:paraId="54DE5E59">
      <w:pPr>
        <w:spacing w:line="360" w:lineRule="auto"/>
        <w:ind w:firstLine="480" w:firstLineChars="200"/>
        <w:rPr>
          <w:rFonts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按照磋商文件第2.2款（1）中规定提供以下相关材料。</w:t>
      </w:r>
    </w:p>
    <w:p w14:paraId="17151074">
      <w:pPr>
        <w:pStyle w:val="49"/>
        <w:numPr>
          <w:ilvl w:val="1"/>
          <w:numId w:val="40"/>
        </w:numPr>
        <w:spacing w:line="360" w:lineRule="auto"/>
        <w:ind w:left="851" w:hanging="360" w:firstLineChars="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磋商人基本开户银行近三个月内出具的资信证明或经第三方机构出具的202</w:t>
      </w:r>
      <w:r>
        <w:rPr>
          <w:rFonts w:hint="eastAsia" w:ascii="宋体" w:hAnsi="宋体" w:cs="宋体"/>
          <w:color w:val="000000" w:themeColor="text1"/>
          <w:kern w:val="0"/>
          <w:sz w:val="24"/>
          <w14:textFill>
            <w14:solidFill>
              <w14:schemeClr w14:val="tx1"/>
            </w14:solidFill>
          </w14:textFill>
        </w:rPr>
        <w:t>3</w:t>
      </w:r>
      <w:r>
        <w:rPr>
          <w:rFonts w:hint="eastAsia" w:ascii="宋体" w:hAnsi="宋体" w:cs="宋体"/>
          <w:color w:val="000000" w:themeColor="text1"/>
          <w:kern w:val="0"/>
          <w:sz w:val="24"/>
          <w:lang w:val="zh-CN"/>
          <w14:textFill>
            <w14:solidFill>
              <w14:schemeClr w14:val="tx1"/>
            </w14:solidFill>
          </w14:textFill>
        </w:rPr>
        <w:t>年度</w:t>
      </w:r>
      <w:r>
        <w:rPr>
          <w:rFonts w:hint="eastAsia" w:ascii="宋体" w:hAnsi="宋体" w:cs="宋体"/>
          <w:color w:val="000000" w:themeColor="text1"/>
          <w:kern w:val="0"/>
          <w:sz w:val="24"/>
          <w14:textFill>
            <w14:solidFill>
              <w14:schemeClr w14:val="tx1"/>
            </w14:solidFill>
          </w14:textFill>
        </w:rPr>
        <w:t>或 2024年度</w:t>
      </w:r>
      <w:r>
        <w:rPr>
          <w:rFonts w:hint="eastAsia" w:ascii="宋体" w:hAnsi="宋体" w:cs="宋体"/>
          <w:color w:val="000000" w:themeColor="text1"/>
          <w:kern w:val="0"/>
          <w:sz w:val="24"/>
          <w:lang w:val="zh-CN"/>
          <w14:textFill>
            <w14:solidFill>
              <w14:schemeClr w14:val="tx1"/>
            </w14:solidFill>
          </w14:textFill>
        </w:rPr>
        <w:t>财务状况审计报告（扫描或复印件应全面、完整、清晰），包括资产负债表、现金流量表、利润表和财务（会计）报表附注</w:t>
      </w:r>
      <w:r>
        <w:rPr>
          <w:rFonts w:hint="eastAsia" w:ascii="宋体" w:hAnsi="宋体" w:cs="宋体"/>
          <w:color w:val="000000" w:themeColor="text1"/>
          <w:kern w:val="0"/>
          <w:sz w:val="24"/>
          <w14:textFill>
            <w14:solidFill>
              <w14:schemeClr w14:val="tx1"/>
            </w14:solidFill>
          </w14:textFill>
        </w:rPr>
        <w:t>,</w:t>
      </w:r>
      <w:r>
        <w:rPr>
          <w:rFonts w:hint="eastAsia" w:ascii="宋体" w:hAnsi="宋体" w:cs="宋体"/>
          <w:color w:val="000000" w:themeColor="text1"/>
          <w:kern w:val="0"/>
          <w:sz w:val="24"/>
          <w:lang w:val="zh-CN"/>
          <w14:textFill>
            <w14:solidFill>
              <w14:schemeClr w14:val="tx1"/>
            </w14:solidFill>
          </w14:textFill>
        </w:rPr>
        <w:t>并提供第三方机构的营业执照、执业证书。</w:t>
      </w:r>
    </w:p>
    <w:p w14:paraId="2F974721">
      <w:pPr>
        <w:pStyle w:val="49"/>
        <w:numPr>
          <w:ilvl w:val="1"/>
          <w:numId w:val="40"/>
        </w:numPr>
        <w:spacing w:line="360" w:lineRule="auto"/>
        <w:ind w:left="851" w:hanging="360" w:firstLineChars="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近半年内任意</w:t>
      </w:r>
      <w:r>
        <w:rPr>
          <w:rFonts w:hint="eastAsia" w:ascii="宋体" w:hAnsi="宋体" w:cs="宋体"/>
          <w:color w:val="000000" w:themeColor="text1"/>
          <w:kern w:val="0"/>
          <w:sz w:val="24"/>
          <w14:textFill>
            <w14:solidFill>
              <w14:schemeClr w14:val="tx1"/>
            </w14:solidFill>
          </w14:textFill>
        </w:rPr>
        <w:t>一</w:t>
      </w:r>
      <w:r>
        <w:rPr>
          <w:rFonts w:hint="eastAsia" w:ascii="宋体" w:hAnsi="宋体" w:cs="宋体"/>
          <w:color w:val="000000" w:themeColor="text1"/>
          <w:kern w:val="0"/>
          <w:sz w:val="24"/>
          <w:lang w:val="zh-CN"/>
          <w14:textFill>
            <w14:solidFill>
              <w14:schemeClr w14:val="tx1"/>
            </w14:solidFill>
          </w14:textFill>
        </w:rPr>
        <w:t>个月依法缴纳税收和社会保障资金记录的证明材料；依法免税或不需要缴纳社会保障资金的投标人须提供相应文件证明其依法免税或不需要缴纳社会保障资金。</w:t>
      </w:r>
    </w:p>
    <w:p w14:paraId="146D5E95">
      <w:pPr>
        <w:pStyle w:val="49"/>
        <w:numPr>
          <w:ilvl w:val="1"/>
          <w:numId w:val="40"/>
        </w:numPr>
        <w:spacing w:line="360" w:lineRule="auto"/>
        <w:ind w:left="851" w:hanging="360" w:firstLineChars="0"/>
        <w:rPr>
          <w:rFonts w:ascii="宋体" w:hAnsi="宋体" w:cs="宋体"/>
          <w:color w:val="000000" w:themeColor="text1"/>
          <w:sz w:val="24"/>
          <w14:textFill>
            <w14:solidFill>
              <w14:schemeClr w14:val="tx1"/>
            </w14:solidFill>
          </w14:textFill>
        </w:rPr>
      </w:pPr>
      <w:r>
        <w:rPr>
          <w:rFonts w:hint="eastAsia" w:ascii="宋体" w:hAnsi="宋体" w:cs="Arial"/>
          <w:color w:val="000000" w:themeColor="text1"/>
          <w:sz w:val="24"/>
          <w14:textFill>
            <w14:solidFill>
              <w14:schemeClr w14:val="tx1"/>
            </w14:solidFill>
          </w14:textFill>
        </w:rPr>
        <w:t>扫描（或复印）件应全面、完整、清晰并加盖磋商供应商公章。</w:t>
      </w:r>
    </w:p>
    <w:p w14:paraId="6672B97F">
      <w:pPr>
        <w:pStyle w:val="4"/>
        <w:numPr>
          <w:ilvl w:val="0"/>
          <w:numId w:val="0"/>
        </w:numPr>
        <w:ind w:left="709" w:hanging="709"/>
        <w:rPr>
          <w:rFonts w:hAnsi="宋体"/>
          <w:color w:val="000000" w:themeColor="text1"/>
          <w:sz w:val="24"/>
          <w:szCs w:val="24"/>
          <w:lang w:val="zh-CN"/>
          <w14:textFill>
            <w14:solidFill>
              <w14:schemeClr w14:val="tx1"/>
            </w14:solidFill>
          </w14:textFill>
        </w:rPr>
      </w:pPr>
      <w:r>
        <w:rPr>
          <w:rFonts w:hAnsi="宋体"/>
          <w:b/>
          <w:color w:val="000000" w:themeColor="text1"/>
          <w:sz w:val="24"/>
          <w:szCs w:val="24"/>
          <w:lang w:val="zh-CN"/>
          <w14:textFill>
            <w14:solidFill>
              <w14:schemeClr w14:val="tx1"/>
            </w14:solidFill>
          </w14:textFill>
        </w:rPr>
        <w:br w:type="page"/>
      </w:r>
      <w:bookmarkStart w:id="95" w:name="_Toc29598"/>
      <w:r>
        <w:rPr>
          <w:rFonts w:hint="eastAsia" w:hAnsi="宋体"/>
          <w:b/>
          <w:color w:val="000000" w:themeColor="text1"/>
          <w:sz w:val="24"/>
          <w:szCs w:val="24"/>
          <w:lang w:val="zh-CN"/>
          <w14:textFill>
            <w14:solidFill>
              <w14:schemeClr w14:val="tx1"/>
            </w14:solidFill>
          </w14:textFill>
        </w:rPr>
        <w:t>格式8、具备履行合同所必须的设备和专业技术能力证明</w:t>
      </w:r>
      <w:bookmarkEnd w:id="95"/>
    </w:p>
    <w:p w14:paraId="210C2BCC">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1DFCA997">
      <w:pPr>
        <w:autoSpaceDE w:val="0"/>
        <w:autoSpaceDN w:val="0"/>
        <w:adjustRightInd w:val="0"/>
        <w:spacing w:line="360" w:lineRule="auto"/>
        <w:jc w:val="center"/>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具备履行合同所必须的设备和专业技术能力证明</w:t>
      </w:r>
    </w:p>
    <w:p w14:paraId="664B5B2F">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4E89DBE3">
      <w:pPr>
        <w:autoSpaceDE w:val="0"/>
        <w:autoSpaceDN w:val="0"/>
        <w:adjustRightInd w:val="0"/>
        <w:spacing w:line="360" w:lineRule="auto"/>
        <w:ind w:firstLine="480"/>
        <w:rPr>
          <w:rFonts w:ascii="宋体" w:hAnsi="宋体" w:cs="宋体"/>
          <w:color w:val="000000" w:themeColor="text1"/>
          <w:kern w:val="0"/>
          <w:sz w:val="24"/>
          <w:lang w:val="zh-CN"/>
          <w14:textFill>
            <w14:solidFill>
              <w14:schemeClr w14:val="tx1"/>
            </w14:solidFill>
          </w14:textFill>
        </w:rPr>
      </w:pPr>
      <w:r>
        <w:rPr>
          <w:rFonts w:ascii="宋体" w:hAnsi="宋体" w:cs="宋体"/>
          <w:color w:val="000000" w:themeColor="text1"/>
          <w:kern w:val="0"/>
          <w:sz w:val="24"/>
          <w:lang w:val="zh-CN"/>
          <w14:textFill>
            <w14:solidFill>
              <w14:schemeClr w14:val="tx1"/>
            </w14:solidFill>
          </w14:textFill>
        </w:rPr>
        <w:t>为保证本项目合同的顺利履行，投标人必须具备履行合同的设备和专业技术能力，</w:t>
      </w:r>
      <w:r>
        <w:rPr>
          <w:rFonts w:hint="eastAsia" w:ascii="宋体" w:hAnsi="宋体" w:cs="宋体"/>
          <w:color w:val="000000" w:themeColor="text1"/>
          <w:kern w:val="0"/>
          <w:sz w:val="24"/>
          <w:lang w:val="zh-CN"/>
          <w14:textFill>
            <w14:solidFill>
              <w14:schemeClr w14:val="tx1"/>
            </w14:solidFill>
          </w14:textFill>
        </w:rPr>
        <w:t>须提供履行合同的设备和专业技术能力的承诺函（格式自拟），</w:t>
      </w:r>
      <w:r>
        <w:rPr>
          <w:rFonts w:ascii="宋体" w:hAnsi="宋体" w:cs="宋体"/>
          <w:color w:val="000000" w:themeColor="text1"/>
          <w:sz w:val="24"/>
          <w14:textFill>
            <w14:solidFill>
              <w14:schemeClr w14:val="tx1"/>
            </w14:solidFill>
          </w14:textFill>
        </w:rPr>
        <w:t>须提供相关人员的证书</w:t>
      </w:r>
      <w:r>
        <w:rPr>
          <w:rFonts w:hint="eastAsia" w:ascii="宋体" w:hAnsi="宋体" w:cs="宋体"/>
          <w:color w:val="000000" w:themeColor="text1"/>
          <w:sz w:val="24"/>
          <w14:textFill>
            <w14:solidFill>
              <w14:schemeClr w14:val="tx1"/>
            </w14:solidFill>
          </w14:textFill>
        </w:rPr>
        <w:t>和</w:t>
      </w:r>
      <w:r>
        <w:rPr>
          <w:rFonts w:ascii="宋体" w:hAnsi="宋体" w:cs="宋体"/>
          <w:color w:val="000000" w:themeColor="text1"/>
          <w:sz w:val="24"/>
          <w14:textFill>
            <w14:solidFill>
              <w14:schemeClr w14:val="tx1"/>
            </w14:solidFill>
          </w14:textFill>
        </w:rPr>
        <w:t>用工合同等证明材料</w:t>
      </w:r>
      <w:r>
        <w:rPr>
          <w:rFonts w:ascii="宋体" w:hAnsi="宋体" w:cs="宋体"/>
          <w:color w:val="000000" w:themeColor="text1"/>
          <w:kern w:val="0"/>
          <w:sz w:val="24"/>
          <w:lang w:val="zh-CN"/>
          <w14:textFill>
            <w14:solidFill>
              <w14:schemeClr w14:val="tx1"/>
            </w14:solidFill>
          </w14:textFill>
        </w:rPr>
        <w:t>。</w:t>
      </w:r>
    </w:p>
    <w:bookmarkEnd w:id="93"/>
    <w:bookmarkEnd w:id="94"/>
    <w:p w14:paraId="27703C84">
      <w:pPr>
        <w:pStyle w:val="4"/>
        <w:ind w:left="709" w:hanging="709"/>
        <w:rPr>
          <w:rFonts w:hAnsi="宋体" w:cs="宋体"/>
          <w:color w:val="000000" w:themeColor="text1"/>
          <w:sz w:val="24"/>
          <w:lang w:val="zh-CN"/>
          <w14:textFill>
            <w14:solidFill>
              <w14:schemeClr w14:val="tx1"/>
            </w14:solidFill>
          </w14:textFill>
        </w:rPr>
      </w:pPr>
      <w:r>
        <w:rPr>
          <w:rFonts w:hAnsi="宋体" w:cs="宋体"/>
          <w:color w:val="000000" w:themeColor="text1"/>
          <w:kern w:val="0"/>
          <w:sz w:val="24"/>
          <w:szCs w:val="24"/>
          <w:lang w:val="zh-CN"/>
          <w14:textFill>
            <w14:solidFill>
              <w14:schemeClr w14:val="tx1"/>
            </w14:solidFill>
          </w14:textFill>
        </w:rPr>
        <w:br w:type="page"/>
      </w:r>
      <w:bookmarkStart w:id="96" w:name="_Toc20785"/>
      <w:bookmarkStart w:id="97" w:name="_Toc109133125"/>
      <w:bookmarkStart w:id="98" w:name="_Toc444715741"/>
      <w:bookmarkStart w:id="99" w:name="_Toc21450"/>
      <w:bookmarkStart w:id="100" w:name="_Toc428180589"/>
      <w:r>
        <w:rPr>
          <w:rFonts w:hint="eastAsia" w:hAnsi="宋体"/>
          <w:b/>
          <w:color w:val="000000" w:themeColor="text1"/>
          <w:sz w:val="24"/>
          <w:lang w:val="zh-CN"/>
          <w14:textFill>
            <w14:solidFill>
              <w14:schemeClr w14:val="tx1"/>
            </w14:solidFill>
          </w14:textFill>
        </w:rPr>
        <w:t>格式9、磋商保证金证明</w:t>
      </w:r>
      <w:bookmarkEnd w:id="96"/>
      <w:bookmarkEnd w:id="97"/>
    </w:p>
    <w:p w14:paraId="17CE5EF6">
      <w:pPr>
        <w:spacing w:line="360" w:lineRule="auto"/>
        <w:rPr>
          <w:rFonts w:ascii="宋体" w:hAnsi="宋体" w:cs="宋体"/>
          <w:color w:val="000000" w:themeColor="text1"/>
          <w:sz w:val="24"/>
          <w:lang w:val="zh-CN"/>
          <w14:textFill>
            <w14:solidFill>
              <w14:schemeClr w14:val="tx1"/>
            </w14:solidFill>
          </w14:textFill>
        </w:rPr>
      </w:pPr>
    </w:p>
    <w:p w14:paraId="631DB006">
      <w:pPr>
        <w:autoSpaceDE w:val="0"/>
        <w:autoSpaceDN w:val="0"/>
        <w:adjustRightInd w:val="0"/>
        <w:spacing w:line="360" w:lineRule="auto"/>
        <w:jc w:val="center"/>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磋商保证金证明</w:t>
      </w:r>
    </w:p>
    <w:p w14:paraId="04F6B9EA">
      <w:pPr>
        <w:autoSpaceDE w:val="0"/>
        <w:autoSpaceDN w:val="0"/>
        <w:adjustRightInd w:val="0"/>
        <w:spacing w:line="360" w:lineRule="auto"/>
        <w:rPr>
          <w:rFonts w:ascii="宋体" w:hAnsi="宋体" w:cs="宋体"/>
          <w:b/>
          <w:bCs/>
          <w:color w:val="000000" w:themeColor="text1"/>
          <w:kern w:val="0"/>
          <w:sz w:val="24"/>
          <w:lang w:val="zh-CN"/>
          <w14:textFill>
            <w14:solidFill>
              <w14:schemeClr w14:val="tx1"/>
            </w14:solidFill>
          </w14:textFill>
        </w:rPr>
      </w:pPr>
      <w:bookmarkStart w:id="101" w:name="_Toc325726048"/>
      <w:bookmarkEnd w:id="101"/>
    </w:p>
    <w:p w14:paraId="0846F06C">
      <w:pPr>
        <w:autoSpaceDE w:val="0"/>
        <w:autoSpaceDN w:val="0"/>
        <w:adjustRightInd w:val="0"/>
        <w:spacing w:line="360" w:lineRule="auto"/>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致：青海国焱工程项目管理有限公司</w:t>
      </w:r>
    </w:p>
    <w:p w14:paraId="24820B5F">
      <w:pPr>
        <w:autoSpaceDE w:val="0"/>
        <w:autoSpaceDN w:val="0"/>
        <w:adjustRightInd w:val="0"/>
        <w:spacing w:line="360" w:lineRule="auto"/>
        <w:rPr>
          <w:rFonts w:ascii="宋体" w:hAnsi="宋体" w:cs="宋体"/>
          <w:b/>
          <w:bCs/>
          <w:color w:val="000000" w:themeColor="text1"/>
          <w:kern w:val="0"/>
          <w:sz w:val="24"/>
          <w:lang w:val="zh-CN"/>
          <w14:textFill>
            <w14:solidFill>
              <w14:schemeClr w14:val="tx1"/>
            </w14:solidFill>
          </w14:textFill>
        </w:rPr>
      </w:pPr>
    </w:p>
    <w:p w14:paraId="2BFAEE77">
      <w:pPr>
        <w:autoSpaceDE w:val="0"/>
        <w:autoSpaceDN w:val="0"/>
        <w:adjustRightInd w:val="0"/>
        <w:spacing w:line="360" w:lineRule="auto"/>
        <w:ind w:firstLine="36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我方为（项目名称：            ）项目（采购编号</w:t>
      </w:r>
      <w:r>
        <w:rPr>
          <w:rFonts w:hint="eastAsia" w:ascii="宋体" w:hAnsi="宋体" w:cs="宋体"/>
          <w:color w:val="000000" w:themeColor="text1"/>
          <w:kern w:val="0"/>
          <w:sz w:val="24"/>
          <w14:textFill>
            <w14:solidFill>
              <w14:schemeClr w14:val="tx1"/>
            </w14:solidFill>
          </w14:textFill>
        </w:rPr>
        <w:t>/包号</w:t>
      </w:r>
      <w:r>
        <w:rPr>
          <w:rFonts w:hint="eastAsia" w:ascii="宋体" w:hAnsi="宋体" w:cs="宋体"/>
          <w:color w:val="000000" w:themeColor="text1"/>
          <w:kern w:val="0"/>
          <w:sz w:val="24"/>
          <w:lang w:val="zh-CN"/>
          <w14:textFill>
            <w14:solidFill>
              <w14:schemeClr w14:val="tx1"/>
            </w14:solidFill>
          </w14:textFill>
        </w:rPr>
        <w:t>为：           ）递交保证金人民币（大写：人民币          元）已于  年  月   日以基本户转账方式汇入你方账户。</w:t>
      </w:r>
    </w:p>
    <w:p w14:paraId="549B127D">
      <w:pPr>
        <w:autoSpaceDE w:val="0"/>
        <w:autoSpaceDN w:val="0"/>
        <w:adjustRightInd w:val="0"/>
        <w:spacing w:line="360" w:lineRule="auto"/>
        <w:ind w:firstLine="360"/>
        <w:rPr>
          <w:rFonts w:ascii="宋体" w:hAnsi="宋体" w:cs="宋体"/>
          <w:bCs/>
          <w:color w:val="000000" w:themeColor="text1"/>
          <w:kern w:val="0"/>
          <w:sz w:val="24"/>
          <w:lang w:val="zh-CN"/>
          <w14:textFill>
            <w14:solidFill>
              <w14:schemeClr w14:val="tx1"/>
            </w14:solidFill>
          </w14:textFill>
        </w:rPr>
      </w:pPr>
      <w:r>
        <w:rPr>
          <w:rFonts w:hint="eastAsia" w:ascii="宋体" w:hAnsi="宋体" w:cs="宋体"/>
          <w:bCs/>
          <w:color w:val="000000" w:themeColor="text1"/>
          <w:kern w:val="0"/>
          <w:sz w:val="24"/>
          <w:lang w:val="zh-CN"/>
          <w14:textFill>
            <w14:solidFill>
              <w14:schemeClr w14:val="tx1"/>
            </w14:solidFill>
          </w14:textFill>
        </w:rPr>
        <w:t>附件：保证金交款证明及开户许可证复印件（加盖磋商供应商公章）</w:t>
      </w:r>
    </w:p>
    <w:p w14:paraId="5C211548">
      <w:pPr>
        <w:autoSpaceDE w:val="0"/>
        <w:autoSpaceDN w:val="0"/>
        <w:adjustRightInd w:val="0"/>
        <w:spacing w:line="360" w:lineRule="auto"/>
        <w:ind w:firstLine="36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退还保证金时请按以下内容汇入至我方账户（同递交保证金账户）。若因提供内容不全、错误等原因导致该项目保证金未能及时退还或退还过程中发生错误，我方将承担全部责任和损失。</w:t>
      </w:r>
    </w:p>
    <w:p w14:paraId="7C3A5D1E">
      <w:pPr>
        <w:autoSpaceDE w:val="0"/>
        <w:autoSpaceDN w:val="0"/>
        <w:adjustRightInd w:val="0"/>
        <w:spacing w:line="360" w:lineRule="auto"/>
        <w:ind w:firstLine="36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户    名：</w:t>
      </w:r>
    </w:p>
    <w:p w14:paraId="661352AA">
      <w:pPr>
        <w:autoSpaceDE w:val="0"/>
        <w:autoSpaceDN w:val="0"/>
        <w:adjustRightInd w:val="0"/>
        <w:spacing w:line="360" w:lineRule="auto"/>
        <w:ind w:firstLine="36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开户银行：</w:t>
      </w:r>
    </w:p>
    <w:p w14:paraId="0E572CE3">
      <w:pPr>
        <w:autoSpaceDE w:val="0"/>
        <w:autoSpaceDN w:val="0"/>
        <w:adjustRightInd w:val="0"/>
        <w:spacing w:line="360" w:lineRule="auto"/>
        <w:ind w:firstLine="36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开户帐号：</w:t>
      </w:r>
    </w:p>
    <w:p w14:paraId="4161ADDF">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5B5820B2">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5EEB40F4">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0227A6E3">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463A0890">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3B675BB3">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0735B547">
      <w:pPr>
        <w:tabs>
          <w:tab w:val="left" w:pos="168"/>
        </w:tabs>
        <w:adjustRightInd w:val="0"/>
        <w:spacing w:line="360" w:lineRule="auto"/>
        <w:jc w:val="righ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磋商供应商：             （公章）</w:t>
      </w:r>
    </w:p>
    <w:p w14:paraId="327810B4">
      <w:pPr>
        <w:tabs>
          <w:tab w:val="left" w:pos="168"/>
        </w:tabs>
        <w:adjustRightInd w:val="0"/>
        <w:spacing w:line="360" w:lineRule="auto"/>
        <w:jc w:val="righ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法定代表人或委托代理人：       （签字）</w:t>
      </w:r>
    </w:p>
    <w:p w14:paraId="41438FFA">
      <w:pPr>
        <w:pStyle w:val="4"/>
        <w:numPr>
          <w:ilvl w:val="0"/>
          <w:numId w:val="0"/>
        </w:numPr>
        <w:jc w:val="right"/>
        <w:rPr>
          <w:rFonts w:hint="eastAsia" w:ascii="宋体" w:hAnsi="宋体"/>
          <w:bCs/>
          <w:color w:val="000000" w:themeColor="text1"/>
          <w:sz w:val="24"/>
          <w14:textFill>
            <w14:solidFill>
              <w14:schemeClr w14:val="tx1"/>
            </w14:solidFill>
          </w14:textFill>
        </w:rPr>
      </w:pPr>
      <w:bookmarkStart w:id="102" w:name="_Toc9552"/>
      <w:r>
        <w:rPr>
          <w:rFonts w:hint="eastAsia" w:ascii="宋体" w:hAnsi="宋体"/>
          <w:bCs/>
          <w:color w:val="000000" w:themeColor="text1"/>
          <w:sz w:val="24"/>
          <w14:textFill>
            <w14:solidFill>
              <w14:schemeClr w14:val="tx1"/>
            </w14:solidFill>
          </w14:textFill>
        </w:rPr>
        <w:t>日期：    年   月   日</w:t>
      </w:r>
      <w:bookmarkEnd w:id="102"/>
    </w:p>
    <w:p w14:paraId="1226D291">
      <w:pPr>
        <w:pStyle w:val="4"/>
        <w:numPr>
          <w:ilvl w:val="0"/>
          <w:numId w:val="0"/>
        </w:numPr>
        <w:rPr>
          <w:rFonts w:hint="eastAsia" w:ascii="宋体" w:hAnsi="宋体"/>
          <w:bCs/>
          <w:color w:val="000000" w:themeColor="text1"/>
          <w:sz w:val="24"/>
          <w14:textFill>
            <w14:solidFill>
              <w14:schemeClr w14:val="tx1"/>
            </w14:solidFill>
          </w14:textFill>
        </w:rPr>
      </w:pPr>
    </w:p>
    <w:p w14:paraId="501083A2">
      <w:pPr>
        <w:pStyle w:val="4"/>
        <w:numPr>
          <w:ilvl w:val="0"/>
          <w:numId w:val="0"/>
        </w:numPr>
        <w:rPr>
          <w:rFonts w:hint="eastAsia" w:ascii="宋体" w:hAnsi="宋体"/>
          <w:bCs/>
          <w:color w:val="000000" w:themeColor="text1"/>
          <w:sz w:val="24"/>
          <w14:textFill>
            <w14:solidFill>
              <w14:schemeClr w14:val="tx1"/>
            </w14:solidFill>
          </w14:textFill>
        </w:rPr>
      </w:pPr>
    </w:p>
    <w:p w14:paraId="35AEAB7A">
      <w:pPr>
        <w:pStyle w:val="4"/>
        <w:numPr>
          <w:ilvl w:val="0"/>
          <w:numId w:val="0"/>
        </w:numPr>
        <w:rPr>
          <w:rFonts w:hint="eastAsia" w:ascii="宋体" w:hAnsi="宋体"/>
          <w:bCs/>
          <w:color w:val="000000" w:themeColor="text1"/>
          <w:sz w:val="24"/>
          <w14:textFill>
            <w14:solidFill>
              <w14:schemeClr w14:val="tx1"/>
            </w14:solidFill>
          </w14:textFill>
        </w:rPr>
      </w:pPr>
    </w:p>
    <w:p w14:paraId="78040A24">
      <w:pPr>
        <w:pStyle w:val="4"/>
        <w:numPr>
          <w:ilvl w:val="0"/>
          <w:numId w:val="0"/>
        </w:numPr>
        <w:rPr>
          <w:rFonts w:hint="eastAsia" w:ascii="宋体" w:hAnsi="宋体"/>
          <w:bCs/>
          <w:color w:val="000000" w:themeColor="text1"/>
          <w:sz w:val="24"/>
          <w14:textFill>
            <w14:solidFill>
              <w14:schemeClr w14:val="tx1"/>
            </w14:solidFill>
          </w14:textFill>
        </w:rPr>
      </w:pPr>
    </w:p>
    <w:p w14:paraId="700F6E23">
      <w:pPr>
        <w:pStyle w:val="4"/>
        <w:numPr>
          <w:ilvl w:val="0"/>
          <w:numId w:val="0"/>
        </w:numPr>
        <w:rPr>
          <w:rFonts w:hint="eastAsia" w:ascii="宋体" w:hAnsi="宋体"/>
          <w:bCs/>
          <w:color w:val="000000" w:themeColor="text1"/>
          <w:sz w:val="24"/>
          <w14:textFill>
            <w14:solidFill>
              <w14:schemeClr w14:val="tx1"/>
            </w14:solidFill>
          </w14:textFill>
        </w:rPr>
      </w:pPr>
    </w:p>
    <w:p w14:paraId="7E26F8DC">
      <w:pPr>
        <w:pStyle w:val="4"/>
        <w:numPr>
          <w:ilvl w:val="0"/>
          <w:numId w:val="0"/>
        </w:numPr>
        <w:rPr>
          <w:rFonts w:hint="eastAsia" w:ascii="宋体" w:hAnsi="宋体"/>
          <w:bCs/>
          <w:color w:val="000000" w:themeColor="text1"/>
          <w:sz w:val="24"/>
          <w14:textFill>
            <w14:solidFill>
              <w14:schemeClr w14:val="tx1"/>
            </w14:solidFill>
          </w14:textFill>
        </w:rPr>
      </w:pPr>
    </w:p>
    <w:p w14:paraId="51C00823">
      <w:pPr>
        <w:pStyle w:val="4"/>
        <w:numPr>
          <w:ilvl w:val="0"/>
          <w:numId w:val="0"/>
        </w:numPr>
        <w:rPr>
          <w:rFonts w:hint="eastAsia" w:ascii="宋体" w:hAnsi="宋体"/>
          <w:bCs/>
          <w:color w:val="000000" w:themeColor="text1"/>
          <w:sz w:val="24"/>
          <w14:textFill>
            <w14:solidFill>
              <w14:schemeClr w14:val="tx1"/>
            </w14:solidFill>
          </w14:textFill>
        </w:rPr>
      </w:pPr>
    </w:p>
    <w:p w14:paraId="3967343C">
      <w:pPr>
        <w:pStyle w:val="4"/>
        <w:numPr>
          <w:ilvl w:val="0"/>
          <w:numId w:val="0"/>
        </w:numPr>
        <w:rPr>
          <w:rFonts w:hint="eastAsia" w:ascii="宋体" w:hAnsi="宋体"/>
          <w:bCs/>
          <w:color w:val="000000" w:themeColor="text1"/>
          <w:sz w:val="24"/>
          <w14:textFill>
            <w14:solidFill>
              <w14:schemeClr w14:val="tx1"/>
            </w14:solidFill>
          </w14:textFill>
        </w:rPr>
      </w:pPr>
    </w:p>
    <w:p w14:paraId="6199E62A">
      <w:pPr>
        <w:pStyle w:val="4"/>
        <w:numPr>
          <w:ilvl w:val="0"/>
          <w:numId w:val="0"/>
        </w:numPr>
        <w:rPr>
          <w:rFonts w:hint="eastAsia" w:ascii="宋体" w:hAnsi="宋体"/>
          <w:bCs/>
          <w:color w:val="000000" w:themeColor="text1"/>
          <w:sz w:val="24"/>
          <w14:textFill>
            <w14:solidFill>
              <w14:schemeClr w14:val="tx1"/>
            </w14:solidFill>
          </w14:textFill>
        </w:rPr>
      </w:pPr>
    </w:p>
    <w:p w14:paraId="288E96AD">
      <w:pPr>
        <w:pStyle w:val="4"/>
        <w:numPr>
          <w:ilvl w:val="0"/>
          <w:numId w:val="0"/>
        </w:numPr>
        <w:rPr>
          <w:rFonts w:hAnsi="宋体" w:cs="宋体"/>
          <w:color w:val="000000" w:themeColor="text1"/>
          <w:sz w:val="24"/>
          <w:szCs w:val="24"/>
          <w14:textFill>
            <w14:solidFill>
              <w14:schemeClr w14:val="tx1"/>
            </w14:solidFill>
          </w14:textFill>
        </w:rPr>
      </w:pPr>
      <w:bookmarkStart w:id="103" w:name="_Toc21664"/>
      <w:r>
        <w:rPr>
          <w:rFonts w:hint="eastAsia" w:hAnsi="宋体"/>
          <w:b/>
          <w:color w:val="000000" w:themeColor="text1"/>
          <w:sz w:val="24"/>
          <w:szCs w:val="24"/>
          <w:lang w:val="zh-CN"/>
          <w14:textFill>
            <w14:solidFill>
              <w14:schemeClr w14:val="tx1"/>
            </w14:solidFill>
          </w14:textFill>
        </w:rPr>
        <w:t>格式</w:t>
      </w:r>
      <w:r>
        <w:rPr>
          <w:rFonts w:hint="eastAsia" w:hAnsi="宋体"/>
          <w:b/>
          <w:color w:val="000000" w:themeColor="text1"/>
          <w:sz w:val="24"/>
          <w:szCs w:val="24"/>
          <w:lang w:val="en-US" w:eastAsia="zh-CN"/>
          <w14:textFill>
            <w14:solidFill>
              <w14:schemeClr w14:val="tx1"/>
            </w14:solidFill>
          </w14:textFill>
        </w:rPr>
        <w:t>10</w:t>
      </w:r>
      <w:r>
        <w:rPr>
          <w:rFonts w:hint="eastAsia" w:hAnsi="宋体"/>
          <w:b/>
          <w:color w:val="000000" w:themeColor="text1"/>
          <w:sz w:val="24"/>
          <w:szCs w:val="24"/>
          <w:lang w:val="zh-CN"/>
          <w14:textFill>
            <w14:solidFill>
              <w14:schemeClr w14:val="tx1"/>
            </w14:solidFill>
          </w14:textFill>
        </w:rPr>
        <w:t>、无重大违法记录声明</w:t>
      </w:r>
      <w:bookmarkEnd w:id="98"/>
      <w:bookmarkEnd w:id="99"/>
      <w:bookmarkEnd w:id="100"/>
      <w:bookmarkEnd w:id="103"/>
    </w:p>
    <w:p w14:paraId="5039B20B">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5A15C9FC">
      <w:pPr>
        <w:autoSpaceDE w:val="0"/>
        <w:autoSpaceDN w:val="0"/>
        <w:adjustRightInd w:val="0"/>
        <w:spacing w:line="360" w:lineRule="auto"/>
        <w:jc w:val="center"/>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无重大违法记录声明</w:t>
      </w:r>
    </w:p>
    <w:p w14:paraId="49F51B1A">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03C3177C">
      <w:pPr>
        <w:spacing w:line="360" w:lineRule="auto"/>
        <w:ind w:firstLine="426" w:firstLineChars="177"/>
        <w:rPr>
          <w:rFonts w:ascii="宋体" w:hAnsi="宋体" w:cs="Arial"/>
          <w:color w:val="000000" w:themeColor="text1"/>
          <w:sz w:val="24"/>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致：青海国焱工程项目管理有限公司</w:t>
      </w:r>
    </w:p>
    <w:p w14:paraId="6433A11D">
      <w:pPr>
        <w:spacing w:line="360" w:lineRule="auto"/>
        <w:ind w:firstLine="424" w:firstLineChars="177"/>
        <w:rPr>
          <w:rFonts w:ascii="宋体" w:hAnsi="宋体" w:cs="Arial"/>
          <w:color w:val="000000" w:themeColor="text1"/>
          <w:sz w:val="24"/>
          <w14:textFill>
            <w14:solidFill>
              <w14:schemeClr w14:val="tx1"/>
            </w14:solidFill>
          </w14:textFill>
        </w:rPr>
      </w:pPr>
      <w:r>
        <w:rPr>
          <w:rFonts w:ascii="宋体" w:hAnsi="宋体" w:cs="Arial"/>
          <w:color w:val="000000" w:themeColor="text1"/>
          <w:sz w:val="24"/>
          <w14:textFill>
            <w14:solidFill>
              <w14:schemeClr w14:val="tx1"/>
            </w14:solidFill>
          </w14:textFill>
        </w:rPr>
        <w:t>（</w:t>
      </w:r>
      <w:r>
        <w:rPr>
          <w:rFonts w:hint="eastAsia" w:ascii="宋体" w:hAnsi="宋体" w:cs="Arial"/>
          <w:color w:val="000000" w:themeColor="text1"/>
          <w:sz w:val="24"/>
          <w14:textFill>
            <w14:solidFill>
              <w14:schemeClr w14:val="tx1"/>
            </w14:solidFill>
          </w14:textFill>
        </w:rPr>
        <w:t>磋商</w:t>
      </w:r>
      <w:r>
        <w:rPr>
          <w:rFonts w:ascii="宋体" w:hAnsi="宋体" w:cs="Arial"/>
          <w:color w:val="000000" w:themeColor="text1"/>
          <w:sz w:val="24"/>
          <w14:textFill>
            <w14:solidFill>
              <w14:schemeClr w14:val="tx1"/>
            </w14:solidFill>
          </w14:textFill>
        </w:rPr>
        <w:t>供应商名称）郑重声明，我方参加本项目</w:t>
      </w:r>
      <w:r>
        <w:rPr>
          <w:rFonts w:hint="eastAsia" w:ascii="宋体" w:hAnsi="宋体" w:cs="Arial"/>
          <w:color w:val="000000" w:themeColor="text1"/>
          <w:sz w:val="24"/>
          <w14:textFill>
            <w14:solidFill>
              <w14:schemeClr w14:val="tx1"/>
            </w14:solidFill>
          </w14:textFill>
        </w:rPr>
        <w:t>竞磋</w:t>
      </w:r>
      <w:r>
        <w:rPr>
          <w:rFonts w:ascii="宋体" w:hAnsi="宋体" w:cs="Arial"/>
          <w:color w:val="000000" w:themeColor="text1"/>
          <w:sz w:val="24"/>
          <w14:textFill>
            <w14:solidFill>
              <w14:schemeClr w14:val="tx1"/>
            </w14:solidFill>
          </w14:textFill>
        </w:rPr>
        <w:t>活动前三年内无重大违法活动记录，符合《中华人民共和国政府采购法》规定的供应商资格条件。我方对此声明负全部法律责任。</w:t>
      </w:r>
    </w:p>
    <w:p w14:paraId="6EC1DADB">
      <w:pPr>
        <w:spacing w:line="360" w:lineRule="auto"/>
        <w:ind w:firstLine="424" w:firstLineChars="177"/>
        <w:rPr>
          <w:rFonts w:ascii="宋体" w:hAnsi="宋体" w:cs="Arial"/>
          <w:color w:val="000000" w:themeColor="text1"/>
          <w:sz w:val="24"/>
          <w14:textFill>
            <w14:solidFill>
              <w14:schemeClr w14:val="tx1"/>
            </w14:solidFill>
          </w14:textFill>
        </w:rPr>
      </w:pPr>
    </w:p>
    <w:p w14:paraId="6C679012">
      <w:pPr>
        <w:spacing w:line="360" w:lineRule="auto"/>
        <w:ind w:firstLine="424" w:firstLineChars="177"/>
        <w:rPr>
          <w:rFonts w:ascii="宋体" w:hAnsi="宋体" w:cs="Arial"/>
          <w:color w:val="000000" w:themeColor="text1"/>
          <w:sz w:val="24"/>
          <w14:textFill>
            <w14:solidFill>
              <w14:schemeClr w14:val="tx1"/>
            </w14:solidFill>
          </w14:textFill>
        </w:rPr>
      </w:pPr>
    </w:p>
    <w:p w14:paraId="4BE66F18">
      <w:pPr>
        <w:spacing w:line="360" w:lineRule="auto"/>
        <w:ind w:firstLine="424" w:firstLineChars="177"/>
        <w:rPr>
          <w:rFonts w:ascii="宋体" w:hAnsi="宋体" w:cs="Arial"/>
          <w:color w:val="000000" w:themeColor="text1"/>
          <w:sz w:val="24"/>
          <w14:textFill>
            <w14:solidFill>
              <w14:schemeClr w14:val="tx1"/>
            </w14:solidFill>
          </w14:textFill>
        </w:rPr>
      </w:pPr>
      <w:r>
        <w:rPr>
          <w:rFonts w:ascii="宋体" w:hAnsi="宋体" w:cs="Arial"/>
          <w:color w:val="000000" w:themeColor="text1"/>
          <w:sz w:val="24"/>
          <w14:textFill>
            <w14:solidFill>
              <w14:schemeClr w14:val="tx1"/>
            </w14:solidFill>
          </w14:textFill>
        </w:rPr>
        <w:t>特此声明。</w:t>
      </w:r>
    </w:p>
    <w:p w14:paraId="2BAC64AB">
      <w:pPr>
        <w:spacing w:line="360" w:lineRule="auto"/>
        <w:ind w:firstLine="424" w:firstLineChars="177"/>
        <w:rPr>
          <w:rFonts w:ascii="宋体" w:hAnsi="宋体" w:cs="Arial"/>
          <w:color w:val="000000" w:themeColor="text1"/>
          <w:sz w:val="24"/>
          <w14:textFill>
            <w14:solidFill>
              <w14:schemeClr w14:val="tx1"/>
            </w14:solidFill>
          </w14:textFill>
        </w:rPr>
      </w:pPr>
    </w:p>
    <w:p w14:paraId="2B3B174D">
      <w:pPr>
        <w:spacing w:line="360" w:lineRule="auto"/>
        <w:ind w:firstLine="424" w:firstLineChars="177"/>
        <w:rPr>
          <w:rFonts w:ascii="宋体" w:hAnsi="宋体" w:cs="Arial"/>
          <w:color w:val="000000" w:themeColor="text1"/>
          <w:sz w:val="24"/>
          <w14:textFill>
            <w14:solidFill>
              <w14:schemeClr w14:val="tx1"/>
            </w14:solidFill>
          </w14:textFill>
        </w:rPr>
      </w:pPr>
    </w:p>
    <w:p w14:paraId="67DE8BD1">
      <w:pPr>
        <w:spacing w:line="360" w:lineRule="auto"/>
        <w:ind w:firstLine="424" w:firstLineChars="177"/>
        <w:rPr>
          <w:rFonts w:ascii="宋体" w:hAnsi="宋体" w:cs="Arial"/>
          <w:color w:val="000000" w:themeColor="text1"/>
          <w:sz w:val="24"/>
          <w14:textFill>
            <w14:solidFill>
              <w14:schemeClr w14:val="tx1"/>
            </w14:solidFill>
          </w14:textFill>
        </w:rPr>
      </w:pPr>
    </w:p>
    <w:p w14:paraId="49150141">
      <w:pPr>
        <w:spacing w:line="360" w:lineRule="auto"/>
        <w:ind w:firstLine="424" w:firstLineChars="177"/>
        <w:rPr>
          <w:rFonts w:ascii="宋体" w:hAnsi="宋体" w:cs="Arial"/>
          <w:color w:val="000000" w:themeColor="text1"/>
          <w:sz w:val="24"/>
          <w14:textFill>
            <w14:solidFill>
              <w14:schemeClr w14:val="tx1"/>
            </w14:solidFill>
          </w14:textFill>
        </w:rPr>
      </w:pPr>
      <w:r>
        <w:rPr>
          <w:rFonts w:hint="eastAsia" w:ascii="宋体" w:hAnsi="宋体"/>
          <w:color w:val="000000" w:themeColor="text1"/>
          <w:sz w:val="24"/>
          <w:lang w:val="zh-CN"/>
          <w14:textFill>
            <w14:solidFill>
              <w14:schemeClr w14:val="tx1"/>
            </w14:solidFill>
          </w14:textFill>
        </w:rPr>
        <w:t>（提供“信用中国”网站的查询截图，提供“中国政府采购网”网站的查询截图）</w:t>
      </w:r>
    </w:p>
    <w:p w14:paraId="7D48BEB0">
      <w:pPr>
        <w:spacing w:line="360" w:lineRule="auto"/>
        <w:ind w:firstLine="424" w:firstLineChars="177"/>
        <w:rPr>
          <w:rFonts w:ascii="宋体" w:hAnsi="宋体" w:cs="Arial"/>
          <w:color w:val="000000" w:themeColor="text1"/>
          <w:sz w:val="24"/>
          <w14:textFill>
            <w14:solidFill>
              <w14:schemeClr w14:val="tx1"/>
            </w14:solidFill>
          </w14:textFill>
        </w:rPr>
      </w:pPr>
    </w:p>
    <w:p w14:paraId="2724C0A4">
      <w:pPr>
        <w:spacing w:line="360" w:lineRule="auto"/>
        <w:ind w:firstLine="424" w:firstLineChars="177"/>
        <w:rPr>
          <w:rFonts w:ascii="宋体" w:hAnsi="宋体" w:cs="Arial"/>
          <w:color w:val="000000" w:themeColor="text1"/>
          <w:sz w:val="24"/>
          <w14:textFill>
            <w14:solidFill>
              <w14:schemeClr w14:val="tx1"/>
            </w14:solidFill>
          </w14:textFill>
        </w:rPr>
      </w:pPr>
    </w:p>
    <w:p w14:paraId="22BDD390">
      <w:pPr>
        <w:spacing w:line="360" w:lineRule="auto"/>
        <w:ind w:firstLine="424" w:firstLineChars="177"/>
        <w:rPr>
          <w:rFonts w:ascii="宋体" w:hAnsi="宋体" w:cs="Arial"/>
          <w:color w:val="000000" w:themeColor="text1"/>
          <w:sz w:val="24"/>
          <w14:textFill>
            <w14:solidFill>
              <w14:schemeClr w14:val="tx1"/>
            </w14:solidFill>
          </w14:textFill>
        </w:rPr>
      </w:pPr>
    </w:p>
    <w:p w14:paraId="2B187F0B">
      <w:pPr>
        <w:spacing w:line="360" w:lineRule="auto"/>
        <w:ind w:firstLine="424" w:firstLineChars="177"/>
        <w:rPr>
          <w:rFonts w:ascii="宋体" w:hAnsi="宋体" w:cs="Arial"/>
          <w:color w:val="000000" w:themeColor="text1"/>
          <w:sz w:val="24"/>
          <w14:textFill>
            <w14:solidFill>
              <w14:schemeClr w14:val="tx1"/>
            </w14:solidFill>
          </w14:textFill>
        </w:rPr>
      </w:pPr>
    </w:p>
    <w:p w14:paraId="502E9126">
      <w:pPr>
        <w:spacing w:line="360" w:lineRule="auto"/>
        <w:ind w:firstLine="424" w:firstLineChars="177"/>
        <w:rPr>
          <w:rFonts w:ascii="宋体" w:hAnsi="宋体" w:cs="Arial"/>
          <w:color w:val="000000" w:themeColor="text1"/>
          <w:sz w:val="24"/>
          <w14:textFill>
            <w14:solidFill>
              <w14:schemeClr w14:val="tx1"/>
            </w14:solidFill>
          </w14:textFill>
        </w:rPr>
      </w:pPr>
    </w:p>
    <w:p w14:paraId="0E1F8A86">
      <w:pPr>
        <w:spacing w:line="360" w:lineRule="auto"/>
        <w:ind w:firstLine="424" w:firstLineChars="177"/>
        <w:rPr>
          <w:rFonts w:ascii="宋体" w:hAnsi="宋体" w:cs="Arial"/>
          <w:color w:val="000000" w:themeColor="text1"/>
          <w:sz w:val="24"/>
          <w14:textFill>
            <w14:solidFill>
              <w14:schemeClr w14:val="tx1"/>
            </w14:solidFill>
          </w14:textFill>
        </w:rPr>
      </w:pPr>
    </w:p>
    <w:p w14:paraId="5B4F09F6">
      <w:pPr>
        <w:spacing w:line="360" w:lineRule="auto"/>
        <w:ind w:firstLine="424" w:firstLineChars="177"/>
        <w:rPr>
          <w:rFonts w:ascii="宋体" w:hAnsi="宋体" w:cs="Arial"/>
          <w:color w:val="000000" w:themeColor="text1"/>
          <w:sz w:val="24"/>
          <w14:textFill>
            <w14:solidFill>
              <w14:schemeClr w14:val="tx1"/>
            </w14:solidFill>
          </w14:textFill>
        </w:rPr>
      </w:pPr>
    </w:p>
    <w:p w14:paraId="0F459483">
      <w:pPr>
        <w:spacing w:line="360" w:lineRule="auto"/>
        <w:ind w:firstLine="424" w:firstLineChars="177"/>
        <w:rPr>
          <w:rFonts w:ascii="宋体" w:hAnsi="宋体" w:cs="Arial"/>
          <w:color w:val="000000" w:themeColor="text1"/>
          <w:sz w:val="24"/>
          <w14:textFill>
            <w14:solidFill>
              <w14:schemeClr w14:val="tx1"/>
            </w14:solidFill>
          </w14:textFill>
        </w:rPr>
      </w:pPr>
    </w:p>
    <w:p w14:paraId="6B9BC7FA">
      <w:pPr>
        <w:spacing w:line="360" w:lineRule="auto"/>
        <w:ind w:firstLine="424" w:firstLineChars="177"/>
        <w:rPr>
          <w:rFonts w:ascii="宋体" w:hAnsi="宋体" w:cs="Arial"/>
          <w:color w:val="000000" w:themeColor="text1"/>
          <w:sz w:val="24"/>
          <w14:textFill>
            <w14:solidFill>
              <w14:schemeClr w14:val="tx1"/>
            </w14:solidFill>
          </w14:textFill>
        </w:rPr>
      </w:pPr>
    </w:p>
    <w:p w14:paraId="60802210">
      <w:pPr>
        <w:tabs>
          <w:tab w:val="left" w:pos="168"/>
        </w:tabs>
        <w:wordWrap w:val="0"/>
        <w:adjustRightInd w:val="0"/>
        <w:spacing w:line="360" w:lineRule="auto"/>
        <w:jc w:val="righ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投标供应商：             （公章）</w:t>
      </w:r>
    </w:p>
    <w:p w14:paraId="6ECE1E4E">
      <w:pPr>
        <w:tabs>
          <w:tab w:val="left" w:pos="168"/>
        </w:tabs>
        <w:wordWrap w:val="0"/>
        <w:adjustRightInd w:val="0"/>
        <w:spacing w:line="360" w:lineRule="auto"/>
        <w:jc w:val="righ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委托代理人：                    （签字）</w:t>
      </w:r>
    </w:p>
    <w:p w14:paraId="007A4057">
      <w:pPr>
        <w:spacing w:line="360" w:lineRule="auto"/>
        <w:ind w:firstLine="424" w:firstLineChars="177"/>
        <w:rPr>
          <w:rFonts w:ascii="宋体" w:hAnsi="宋体" w:cs="Arial"/>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 xml:space="preserve">                                      日期：                  年   月   日</w:t>
      </w:r>
    </w:p>
    <w:p w14:paraId="7CB42F5F">
      <w:pPr>
        <w:spacing w:line="360" w:lineRule="auto"/>
        <w:rPr>
          <w:rFonts w:ascii="宋体" w:hAnsi="宋体"/>
          <w:b/>
          <w:color w:val="000000" w:themeColor="text1"/>
          <w:sz w:val="24"/>
          <w:lang w:val="zh-CN"/>
          <w14:textFill>
            <w14:solidFill>
              <w14:schemeClr w14:val="tx1"/>
            </w14:solidFill>
          </w14:textFill>
        </w:rPr>
      </w:pPr>
      <w:r>
        <w:rPr>
          <w:rFonts w:ascii="宋体" w:hAnsi="宋体" w:cs="宋体"/>
          <w:color w:val="000000" w:themeColor="text1"/>
          <w:kern w:val="0"/>
          <w:sz w:val="24"/>
          <w:lang w:val="zh-CN"/>
          <w14:textFill>
            <w14:solidFill>
              <w14:schemeClr w14:val="tx1"/>
            </w14:solidFill>
          </w14:textFill>
        </w:rPr>
        <w:br w:type="page"/>
      </w:r>
    </w:p>
    <w:p w14:paraId="2A86D4E0">
      <w:pPr>
        <w:pStyle w:val="4"/>
        <w:numPr>
          <w:ilvl w:val="0"/>
          <w:numId w:val="0"/>
        </w:numPr>
        <w:ind w:left="709" w:hanging="709"/>
        <w:rPr>
          <w:rFonts w:hAnsi="宋体"/>
          <w:color w:val="000000" w:themeColor="text1"/>
          <w:sz w:val="24"/>
          <w:szCs w:val="24"/>
          <w:lang w:val="zh-CN"/>
          <w14:textFill>
            <w14:solidFill>
              <w14:schemeClr w14:val="tx1"/>
            </w14:solidFill>
          </w14:textFill>
        </w:rPr>
      </w:pPr>
      <w:bookmarkStart w:id="104" w:name="_Toc11548"/>
      <w:r>
        <w:rPr>
          <w:rFonts w:hint="eastAsia" w:hAnsi="宋体"/>
          <w:b/>
          <w:color w:val="000000" w:themeColor="text1"/>
          <w:sz w:val="24"/>
          <w:szCs w:val="24"/>
          <w:lang w:val="zh-CN"/>
          <w14:textFill>
            <w14:solidFill>
              <w14:schemeClr w14:val="tx1"/>
            </w14:solidFill>
          </w14:textFill>
        </w:rPr>
        <w:t>格式1</w:t>
      </w:r>
      <w:r>
        <w:rPr>
          <w:rFonts w:hint="eastAsia" w:hAnsi="宋体"/>
          <w:b/>
          <w:color w:val="000000" w:themeColor="text1"/>
          <w:sz w:val="24"/>
          <w:szCs w:val="24"/>
          <w:lang w:val="en-US" w:eastAsia="zh-CN"/>
          <w14:textFill>
            <w14:solidFill>
              <w14:schemeClr w14:val="tx1"/>
            </w14:solidFill>
          </w14:textFill>
        </w:rPr>
        <w:t>1</w:t>
      </w:r>
      <w:r>
        <w:rPr>
          <w:rFonts w:hint="eastAsia" w:hAnsi="宋体"/>
          <w:b/>
          <w:color w:val="000000" w:themeColor="text1"/>
          <w:sz w:val="24"/>
          <w:szCs w:val="24"/>
          <w:lang w:val="zh-CN"/>
          <w14:textFill>
            <w14:solidFill>
              <w14:schemeClr w14:val="tx1"/>
            </w14:solidFill>
          </w14:textFill>
        </w:rPr>
        <w:t>、</w:t>
      </w:r>
      <w:bookmarkStart w:id="105" w:name="_Toc487036155"/>
      <w:r>
        <w:rPr>
          <w:rFonts w:hint="eastAsia" w:hAnsi="宋体"/>
          <w:b/>
          <w:color w:val="000000" w:themeColor="text1"/>
          <w:sz w:val="24"/>
          <w:szCs w:val="24"/>
          <w14:textFill>
            <w14:solidFill>
              <w14:schemeClr w14:val="tx1"/>
            </w14:solidFill>
          </w14:textFill>
        </w:rPr>
        <w:t>竞争性磋商首次报价表</w:t>
      </w:r>
      <w:bookmarkEnd w:id="104"/>
      <w:bookmarkEnd w:id="105"/>
    </w:p>
    <w:p w14:paraId="0A0D5DB4">
      <w:pPr>
        <w:autoSpaceDE w:val="0"/>
        <w:autoSpaceDN w:val="0"/>
        <w:adjustRightInd w:val="0"/>
        <w:spacing w:line="360" w:lineRule="auto"/>
        <w:jc w:val="center"/>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竞争性磋商首次报价表</w:t>
      </w:r>
    </w:p>
    <w:p w14:paraId="7A04E6A0">
      <w:pPr>
        <w:autoSpaceDE w:val="0"/>
        <w:autoSpaceDN w:val="0"/>
        <w:adjustRightInd w:val="0"/>
        <w:spacing w:line="360" w:lineRule="auto"/>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 xml:space="preserve">采购项目名称:  </w:t>
      </w:r>
    </w:p>
    <w:p w14:paraId="76F7EE32">
      <w:pPr>
        <w:autoSpaceDE w:val="0"/>
        <w:autoSpaceDN w:val="0"/>
        <w:adjustRightInd w:val="0"/>
        <w:spacing w:line="360" w:lineRule="auto"/>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采购项目编号：</w:t>
      </w:r>
    </w:p>
    <w:p w14:paraId="3C16AE6E">
      <w:pPr>
        <w:autoSpaceDE w:val="0"/>
        <w:autoSpaceDN w:val="0"/>
        <w:spacing w:line="360" w:lineRule="auto"/>
        <w:rPr>
          <w:rFonts w:ascii="宋体" w:hAnsi="宋体" w:cs="宋体"/>
          <w:b/>
          <w:bCs/>
          <w:color w:val="000000" w:themeColor="text1"/>
          <w:sz w:val="24"/>
          <w:lang w:val="zh-CN"/>
          <w14:textFill>
            <w14:solidFill>
              <w14:schemeClr w14:val="tx1"/>
            </w14:solidFill>
          </w14:textFill>
        </w:rPr>
      </w:pPr>
      <w:r>
        <w:rPr>
          <w:rFonts w:hint="eastAsia" w:ascii="宋体" w:hAnsi="宋体" w:cs="宋体"/>
          <w:b/>
          <w:bCs/>
          <w:color w:val="000000" w:themeColor="text1"/>
          <w:sz w:val="24"/>
          <w:lang w:val="zh-CN"/>
          <w14:textFill>
            <w14:solidFill>
              <w14:schemeClr w14:val="tx1"/>
            </w14:solidFill>
          </w14:textFill>
        </w:rPr>
        <w:t>磋商供应商名称：</w:t>
      </w:r>
    </w:p>
    <w:p w14:paraId="039758FE">
      <w:pPr>
        <w:autoSpaceDE w:val="0"/>
        <w:autoSpaceDN w:val="0"/>
        <w:spacing w:line="360" w:lineRule="auto"/>
        <w:jc w:val="right"/>
        <w:rPr>
          <w:rFonts w:ascii="宋体" w:hAnsi="宋体" w:cs="宋体"/>
          <w:b/>
          <w:bCs/>
          <w:color w:val="000000" w:themeColor="text1"/>
          <w:kern w:val="0"/>
          <w:sz w:val="24"/>
          <w:lang w:val="zh-CN"/>
          <w14:textFill>
            <w14:solidFill>
              <w14:schemeClr w14:val="tx1"/>
            </w14:solidFill>
          </w14:textFill>
        </w:rPr>
      </w:pPr>
    </w:p>
    <w:p w14:paraId="2FA66B26">
      <w:pPr>
        <w:autoSpaceDE w:val="0"/>
        <w:autoSpaceDN w:val="0"/>
        <w:spacing w:line="360" w:lineRule="auto"/>
        <w:jc w:val="right"/>
        <w:rPr>
          <w:rFonts w:ascii="宋体" w:hAnsi="宋体" w:cs="宋体"/>
          <w:bCs/>
          <w:color w:val="000000" w:themeColor="text1"/>
          <w:kern w:val="0"/>
          <w:sz w:val="24"/>
          <w:lang w:val="zh-CN"/>
          <w14:textFill>
            <w14:solidFill>
              <w14:schemeClr w14:val="tx1"/>
            </w14:solidFill>
          </w14:textFill>
        </w:rPr>
      </w:pPr>
      <w:r>
        <w:rPr>
          <w:rFonts w:hint="eastAsia" w:ascii="宋体" w:hAnsi="宋体" w:cs="宋体"/>
          <w:bCs/>
          <w:color w:val="000000" w:themeColor="text1"/>
          <w:kern w:val="0"/>
          <w:sz w:val="24"/>
          <w:lang w:val="zh-CN"/>
          <w14:textFill>
            <w14:solidFill>
              <w14:schemeClr w14:val="tx1"/>
            </w14:solidFill>
          </w14:textFill>
        </w:rPr>
        <w:t>单位：人民币（元）</w:t>
      </w:r>
    </w:p>
    <w:tbl>
      <w:tblPr>
        <w:tblStyle w:val="36"/>
        <w:tblW w:w="9968" w:type="dxa"/>
        <w:jc w:val="center"/>
        <w:tblLayout w:type="fixed"/>
        <w:tblCellMar>
          <w:top w:w="0" w:type="dxa"/>
          <w:left w:w="108" w:type="dxa"/>
          <w:bottom w:w="0" w:type="dxa"/>
          <w:right w:w="108" w:type="dxa"/>
        </w:tblCellMar>
      </w:tblPr>
      <w:tblGrid>
        <w:gridCol w:w="3516"/>
        <w:gridCol w:w="2829"/>
        <w:gridCol w:w="2016"/>
        <w:gridCol w:w="1607"/>
      </w:tblGrid>
      <w:tr w14:paraId="16D8D470">
        <w:tblPrEx>
          <w:tblCellMar>
            <w:top w:w="0" w:type="dxa"/>
            <w:left w:w="108" w:type="dxa"/>
            <w:bottom w:w="0" w:type="dxa"/>
            <w:right w:w="108" w:type="dxa"/>
          </w:tblCellMar>
        </w:tblPrEx>
        <w:trPr>
          <w:trHeight w:val="699" w:hRule="atLeast"/>
          <w:jc w:val="center"/>
        </w:trPr>
        <w:tc>
          <w:tcPr>
            <w:tcW w:w="351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BC36B8A">
            <w:pPr>
              <w:autoSpaceDE w:val="0"/>
              <w:autoSpaceDN w:val="0"/>
              <w:spacing w:line="360" w:lineRule="auto"/>
              <w:jc w:val="center"/>
              <w:rPr>
                <w:rFonts w:ascii="宋体" w:hAnsi="宋体" w:cs="Arial"/>
                <w:color w:val="000000" w:themeColor="text1"/>
                <w:sz w:val="24"/>
                <w:lang w:val="zh-CN"/>
                <w14:textFill>
                  <w14:solidFill>
                    <w14:schemeClr w14:val="tx1"/>
                  </w14:solidFill>
                </w14:textFill>
              </w:rPr>
            </w:pPr>
            <w:r>
              <w:rPr>
                <w:rFonts w:ascii="宋体" w:hAnsi="宋体" w:cs="Arial"/>
                <w:bCs/>
                <w:color w:val="000000" w:themeColor="text1"/>
                <w:sz w:val="24"/>
                <w:lang w:val="zh-CN"/>
                <w14:textFill>
                  <w14:solidFill>
                    <w14:schemeClr w14:val="tx1"/>
                  </w14:solidFill>
                </w14:textFill>
              </w:rPr>
              <w:t>项目名称</w:t>
            </w:r>
          </w:p>
        </w:tc>
        <w:tc>
          <w:tcPr>
            <w:tcW w:w="282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2919EED">
            <w:pPr>
              <w:autoSpaceDE w:val="0"/>
              <w:autoSpaceDN w:val="0"/>
              <w:spacing w:line="360" w:lineRule="auto"/>
              <w:ind w:firstLine="482"/>
              <w:rPr>
                <w:rFonts w:ascii="宋体" w:hAnsi="宋体" w:cs="Arial"/>
                <w:color w:val="000000" w:themeColor="text1"/>
                <w:sz w:val="24"/>
                <w:lang w:val="zh-CN"/>
                <w14:textFill>
                  <w14:solidFill>
                    <w14:schemeClr w14:val="tx1"/>
                  </w14:solidFill>
                </w14:textFill>
              </w:rPr>
            </w:pPr>
            <w:r>
              <w:rPr>
                <w:rFonts w:hint="eastAsia" w:ascii="宋体" w:hAnsi="宋体" w:cs="Arial"/>
                <w:bCs/>
                <w:color w:val="000000" w:themeColor="text1"/>
                <w:sz w:val="24"/>
                <w:lang w:val="zh-CN"/>
                <w14:textFill>
                  <w14:solidFill>
                    <w14:schemeClr w14:val="tx1"/>
                  </w14:solidFill>
                </w14:textFill>
              </w:rPr>
              <w:t>磋商首次</w:t>
            </w:r>
            <w:r>
              <w:rPr>
                <w:rFonts w:ascii="宋体" w:hAnsi="宋体" w:cs="Arial"/>
                <w:bCs/>
                <w:color w:val="000000" w:themeColor="text1"/>
                <w:sz w:val="24"/>
                <w:lang w:val="zh-CN"/>
                <w14:textFill>
                  <w14:solidFill>
                    <w14:schemeClr w14:val="tx1"/>
                  </w14:solidFill>
                </w14:textFill>
              </w:rPr>
              <w:t>报价</w:t>
            </w:r>
          </w:p>
        </w:tc>
        <w:tc>
          <w:tcPr>
            <w:tcW w:w="2016" w:type="dxa"/>
            <w:tcBorders>
              <w:top w:val="single" w:color="000000" w:sz="6" w:space="0"/>
              <w:left w:val="single" w:color="000000" w:sz="6" w:space="0"/>
              <w:bottom w:val="single" w:color="000000" w:sz="6" w:space="0"/>
              <w:right w:val="single" w:color="auto" w:sz="4" w:space="0"/>
            </w:tcBorders>
            <w:shd w:val="clear" w:color="000000" w:fill="FFFFFF"/>
            <w:vAlign w:val="center"/>
          </w:tcPr>
          <w:p w14:paraId="352D7B2C">
            <w:pPr>
              <w:autoSpaceDE w:val="0"/>
              <w:autoSpaceDN w:val="0"/>
              <w:spacing w:line="360" w:lineRule="auto"/>
              <w:jc w:val="center"/>
              <w:rPr>
                <w:rFonts w:ascii="宋体" w:hAnsi="宋体" w:cs="Arial"/>
                <w:bCs/>
                <w:color w:val="000000" w:themeColor="text1"/>
                <w:sz w:val="24"/>
                <w:lang w:val="zh-CN"/>
                <w14:textFill>
                  <w14:solidFill>
                    <w14:schemeClr w14:val="tx1"/>
                  </w14:solidFill>
                </w14:textFill>
              </w:rPr>
            </w:pPr>
            <w:r>
              <w:rPr>
                <w:rFonts w:ascii="宋体" w:hAnsi="宋体" w:cs="Arial"/>
                <w:bCs/>
                <w:color w:val="000000" w:themeColor="text1"/>
                <w:sz w:val="24"/>
                <w:lang w:val="zh-CN"/>
                <w14:textFill>
                  <w14:solidFill>
                    <w14:schemeClr w14:val="tx1"/>
                  </w14:solidFill>
                </w14:textFill>
              </w:rPr>
              <w:t>交货期</w:t>
            </w:r>
          </w:p>
        </w:tc>
        <w:tc>
          <w:tcPr>
            <w:tcW w:w="160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912DAA2">
            <w:pPr>
              <w:autoSpaceDE w:val="0"/>
              <w:autoSpaceDN w:val="0"/>
              <w:spacing w:line="360" w:lineRule="auto"/>
              <w:jc w:val="center"/>
              <w:rPr>
                <w:rFonts w:ascii="宋体" w:hAnsi="宋体" w:cs="Arial"/>
                <w:color w:val="000000" w:themeColor="text1"/>
                <w:sz w:val="24"/>
                <w:lang w:val="zh-CN"/>
                <w14:textFill>
                  <w14:solidFill>
                    <w14:schemeClr w14:val="tx1"/>
                  </w14:solidFill>
                </w14:textFill>
              </w:rPr>
            </w:pPr>
            <w:r>
              <w:rPr>
                <w:rFonts w:ascii="宋体" w:hAnsi="宋体" w:cs="Arial"/>
                <w:bCs/>
                <w:color w:val="000000" w:themeColor="text1"/>
                <w:sz w:val="24"/>
                <w:lang w:val="zh-CN"/>
                <w14:textFill>
                  <w14:solidFill>
                    <w14:schemeClr w14:val="tx1"/>
                  </w14:solidFill>
                </w14:textFill>
              </w:rPr>
              <w:t>备注</w:t>
            </w:r>
          </w:p>
        </w:tc>
      </w:tr>
      <w:tr w14:paraId="3172B50D">
        <w:tblPrEx>
          <w:tblCellMar>
            <w:top w:w="0" w:type="dxa"/>
            <w:left w:w="108" w:type="dxa"/>
            <w:bottom w:w="0" w:type="dxa"/>
            <w:right w:w="108" w:type="dxa"/>
          </w:tblCellMar>
        </w:tblPrEx>
        <w:trPr>
          <w:trHeight w:val="993" w:hRule="atLeast"/>
          <w:jc w:val="center"/>
        </w:trPr>
        <w:tc>
          <w:tcPr>
            <w:tcW w:w="3516" w:type="dxa"/>
            <w:vMerge w:val="restart"/>
            <w:tcBorders>
              <w:top w:val="single" w:color="000000" w:sz="6" w:space="0"/>
              <w:left w:val="single" w:color="000000" w:sz="6" w:space="0"/>
              <w:right w:val="single" w:color="000000" w:sz="6" w:space="0"/>
            </w:tcBorders>
            <w:shd w:val="clear" w:color="000000" w:fill="FFFFFF"/>
            <w:vAlign w:val="center"/>
          </w:tcPr>
          <w:p w14:paraId="55367B3B">
            <w:pPr>
              <w:autoSpaceDE w:val="0"/>
              <w:autoSpaceDN w:val="0"/>
              <w:spacing w:line="360" w:lineRule="auto"/>
              <w:jc w:val="center"/>
              <w:rPr>
                <w:rFonts w:ascii="宋体" w:hAnsi="宋体" w:cs="Arial"/>
                <w:color w:val="000000" w:themeColor="text1"/>
                <w:sz w:val="24"/>
                <w:lang w:val="zh-CN"/>
                <w14:textFill>
                  <w14:solidFill>
                    <w14:schemeClr w14:val="tx1"/>
                  </w14:solidFill>
                </w14:textFill>
              </w:rPr>
            </w:pPr>
          </w:p>
        </w:tc>
        <w:tc>
          <w:tcPr>
            <w:tcW w:w="282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6259488">
            <w:pPr>
              <w:autoSpaceDE w:val="0"/>
              <w:autoSpaceDN w:val="0"/>
              <w:spacing w:line="360" w:lineRule="auto"/>
              <w:rPr>
                <w:rFonts w:ascii="宋体" w:hAnsi="宋体" w:cs="Arial"/>
                <w:color w:val="000000" w:themeColor="text1"/>
                <w:sz w:val="24"/>
                <w:lang w:val="zh-CN"/>
                <w14:textFill>
                  <w14:solidFill>
                    <w14:schemeClr w14:val="tx1"/>
                  </w14:solidFill>
                </w14:textFill>
              </w:rPr>
            </w:pPr>
            <w:r>
              <w:rPr>
                <w:rFonts w:ascii="宋体" w:hAnsi="宋体" w:cs="Arial"/>
                <w:bCs/>
                <w:color w:val="000000" w:themeColor="text1"/>
                <w:sz w:val="24"/>
                <w:lang w:val="zh-CN"/>
                <w14:textFill>
                  <w14:solidFill>
                    <w14:schemeClr w14:val="tx1"/>
                  </w14:solidFill>
                </w14:textFill>
              </w:rPr>
              <w:t>大写：</w:t>
            </w:r>
          </w:p>
        </w:tc>
        <w:tc>
          <w:tcPr>
            <w:tcW w:w="2016" w:type="dxa"/>
            <w:vMerge w:val="restart"/>
            <w:tcBorders>
              <w:top w:val="single" w:color="000000" w:sz="6" w:space="0"/>
              <w:left w:val="single" w:color="000000" w:sz="6" w:space="0"/>
              <w:bottom w:val="single" w:color="000000" w:sz="6" w:space="0"/>
              <w:right w:val="single" w:color="auto" w:sz="4" w:space="0"/>
            </w:tcBorders>
            <w:shd w:val="clear" w:color="000000" w:fill="FFFFFF"/>
            <w:vAlign w:val="center"/>
          </w:tcPr>
          <w:p w14:paraId="39C18B92">
            <w:pPr>
              <w:autoSpaceDE w:val="0"/>
              <w:autoSpaceDN w:val="0"/>
              <w:spacing w:line="360" w:lineRule="auto"/>
              <w:ind w:firstLine="197"/>
              <w:jc w:val="center"/>
              <w:rPr>
                <w:rFonts w:ascii="宋体" w:hAnsi="宋体" w:cs="Arial"/>
                <w:color w:val="000000" w:themeColor="text1"/>
                <w:sz w:val="24"/>
                <w:lang w:val="zh-CN"/>
                <w14:textFill>
                  <w14:solidFill>
                    <w14:schemeClr w14:val="tx1"/>
                  </w14:solidFill>
                </w14:textFill>
              </w:rPr>
            </w:pPr>
          </w:p>
        </w:tc>
        <w:tc>
          <w:tcPr>
            <w:tcW w:w="1607" w:type="dxa"/>
            <w:vMerge w:val="restart"/>
            <w:tcBorders>
              <w:top w:val="single" w:color="000000" w:sz="6" w:space="0"/>
              <w:left w:val="single" w:color="000000" w:sz="6" w:space="0"/>
              <w:bottom w:val="single" w:color="000000" w:sz="6" w:space="0"/>
              <w:right w:val="single" w:color="000000" w:sz="6" w:space="0"/>
            </w:tcBorders>
            <w:shd w:val="clear" w:color="000000" w:fill="FFFFFF"/>
            <w:vAlign w:val="center"/>
          </w:tcPr>
          <w:p w14:paraId="5A059C36">
            <w:pPr>
              <w:autoSpaceDE w:val="0"/>
              <w:autoSpaceDN w:val="0"/>
              <w:spacing w:line="360" w:lineRule="auto"/>
              <w:jc w:val="center"/>
              <w:rPr>
                <w:rFonts w:ascii="宋体" w:hAnsi="宋体" w:cs="Arial"/>
                <w:color w:val="000000" w:themeColor="text1"/>
                <w:sz w:val="24"/>
                <w:lang w:val="zh-CN"/>
                <w14:textFill>
                  <w14:solidFill>
                    <w14:schemeClr w14:val="tx1"/>
                  </w14:solidFill>
                </w14:textFill>
              </w:rPr>
            </w:pPr>
          </w:p>
        </w:tc>
      </w:tr>
      <w:tr w14:paraId="5380E3D0">
        <w:tblPrEx>
          <w:tblCellMar>
            <w:top w:w="0" w:type="dxa"/>
            <w:left w:w="108" w:type="dxa"/>
            <w:bottom w:w="0" w:type="dxa"/>
            <w:right w:w="108" w:type="dxa"/>
          </w:tblCellMar>
        </w:tblPrEx>
        <w:trPr>
          <w:trHeight w:val="845" w:hRule="atLeast"/>
          <w:jc w:val="center"/>
        </w:trPr>
        <w:tc>
          <w:tcPr>
            <w:tcW w:w="3516" w:type="dxa"/>
            <w:vMerge w:val="continue"/>
            <w:tcBorders>
              <w:left w:val="single" w:color="000000" w:sz="6" w:space="0"/>
              <w:bottom w:val="single" w:color="000000" w:sz="6" w:space="0"/>
              <w:right w:val="single" w:color="000000" w:sz="6" w:space="0"/>
            </w:tcBorders>
            <w:shd w:val="clear" w:color="000000" w:fill="FFFFFF"/>
            <w:vAlign w:val="center"/>
          </w:tcPr>
          <w:p w14:paraId="1CE206D3">
            <w:pPr>
              <w:autoSpaceDE w:val="0"/>
              <w:autoSpaceDN w:val="0"/>
              <w:spacing w:line="360" w:lineRule="auto"/>
              <w:jc w:val="center"/>
              <w:rPr>
                <w:rFonts w:ascii="宋体" w:hAnsi="宋体" w:cs="Arial"/>
                <w:color w:val="000000" w:themeColor="text1"/>
                <w:sz w:val="24"/>
                <w:lang w:val="zh-CN"/>
                <w14:textFill>
                  <w14:solidFill>
                    <w14:schemeClr w14:val="tx1"/>
                  </w14:solidFill>
                </w14:textFill>
              </w:rPr>
            </w:pPr>
          </w:p>
        </w:tc>
        <w:tc>
          <w:tcPr>
            <w:tcW w:w="282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8A6B101">
            <w:pPr>
              <w:autoSpaceDE w:val="0"/>
              <w:autoSpaceDN w:val="0"/>
              <w:spacing w:line="360" w:lineRule="auto"/>
              <w:rPr>
                <w:rFonts w:ascii="宋体" w:hAnsi="宋体" w:cs="Arial"/>
                <w:color w:val="000000" w:themeColor="text1"/>
                <w:sz w:val="24"/>
                <w:lang w:val="zh-CN"/>
                <w14:textFill>
                  <w14:solidFill>
                    <w14:schemeClr w14:val="tx1"/>
                  </w14:solidFill>
                </w14:textFill>
              </w:rPr>
            </w:pPr>
            <w:r>
              <w:rPr>
                <w:rFonts w:ascii="宋体" w:hAnsi="宋体" w:cs="Arial"/>
                <w:bCs/>
                <w:color w:val="000000" w:themeColor="text1"/>
                <w:sz w:val="24"/>
                <w:lang w:val="zh-CN"/>
                <w14:textFill>
                  <w14:solidFill>
                    <w14:schemeClr w14:val="tx1"/>
                  </w14:solidFill>
                </w14:textFill>
              </w:rPr>
              <w:t>小写：</w:t>
            </w:r>
          </w:p>
        </w:tc>
        <w:tc>
          <w:tcPr>
            <w:tcW w:w="2016" w:type="dxa"/>
            <w:vMerge w:val="continue"/>
            <w:tcBorders>
              <w:top w:val="single" w:color="000000" w:sz="6" w:space="0"/>
              <w:left w:val="single" w:color="000000" w:sz="6" w:space="0"/>
              <w:bottom w:val="single" w:color="000000" w:sz="6" w:space="0"/>
              <w:right w:val="single" w:color="auto" w:sz="4" w:space="0"/>
            </w:tcBorders>
            <w:shd w:val="clear" w:color="000000" w:fill="FFFFFF"/>
            <w:vAlign w:val="center"/>
          </w:tcPr>
          <w:p w14:paraId="1F1C11D2">
            <w:pPr>
              <w:autoSpaceDE w:val="0"/>
              <w:autoSpaceDN w:val="0"/>
              <w:spacing w:line="360" w:lineRule="auto"/>
              <w:jc w:val="center"/>
              <w:rPr>
                <w:rFonts w:ascii="宋体" w:hAnsi="宋体" w:cs="Arial"/>
                <w:color w:val="000000" w:themeColor="text1"/>
                <w:sz w:val="24"/>
                <w:lang w:val="zh-CN"/>
                <w14:textFill>
                  <w14:solidFill>
                    <w14:schemeClr w14:val="tx1"/>
                  </w14:solidFill>
                </w14:textFill>
              </w:rPr>
            </w:pPr>
          </w:p>
        </w:tc>
        <w:tc>
          <w:tcPr>
            <w:tcW w:w="1607" w:type="dxa"/>
            <w:vMerge w:val="continue"/>
            <w:tcBorders>
              <w:top w:val="single" w:color="000000" w:sz="6" w:space="0"/>
              <w:left w:val="single" w:color="000000" w:sz="6" w:space="0"/>
              <w:bottom w:val="single" w:color="000000" w:sz="6" w:space="0"/>
              <w:right w:val="single" w:color="000000" w:sz="6" w:space="0"/>
            </w:tcBorders>
            <w:shd w:val="clear" w:color="000000" w:fill="FFFFFF"/>
            <w:vAlign w:val="center"/>
          </w:tcPr>
          <w:p w14:paraId="6FB86022">
            <w:pPr>
              <w:autoSpaceDE w:val="0"/>
              <w:autoSpaceDN w:val="0"/>
              <w:spacing w:line="360" w:lineRule="auto"/>
              <w:jc w:val="center"/>
              <w:rPr>
                <w:rFonts w:ascii="宋体" w:hAnsi="宋体" w:cs="Arial"/>
                <w:color w:val="000000" w:themeColor="text1"/>
                <w:sz w:val="24"/>
                <w:lang w:val="zh-CN"/>
                <w14:textFill>
                  <w14:solidFill>
                    <w14:schemeClr w14:val="tx1"/>
                  </w14:solidFill>
                </w14:textFill>
              </w:rPr>
            </w:pPr>
          </w:p>
        </w:tc>
      </w:tr>
    </w:tbl>
    <w:p w14:paraId="4747729C">
      <w:pPr>
        <w:spacing w:line="360" w:lineRule="auto"/>
        <w:ind w:firstLine="465" w:firstLineChars="193"/>
        <w:rPr>
          <w:rFonts w:ascii="宋体" w:hAnsi="宋体" w:cs="Arial"/>
          <w:b/>
          <w:color w:val="000000" w:themeColor="text1"/>
          <w:sz w:val="24"/>
          <w:lang w:val="zh-CN"/>
          <w14:textFill>
            <w14:solidFill>
              <w14:schemeClr w14:val="tx1"/>
            </w14:solidFill>
          </w14:textFill>
        </w:rPr>
      </w:pPr>
      <w:r>
        <w:rPr>
          <w:rFonts w:ascii="宋体" w:hAnsi="宋体" w:cs="Arial"/>
          <w:b/>
          <w:bCs/>
          <w:color w:val="000000" w:themeColor="text1"/>
          <w:sz w:val="24"/>
          <w:lang w:val="zh-CN"/>
          <w14:textFill>
            <w14:solidFill>
              <w14:schemeClr w14:val="tx1"/>
            </w14:solidFill>
          </w14:textFill>
        </w:rPr>
        <w:t>注：</w:t>
      </w:r>
      <w:r>
        <w:rPr>
          <w:rFonts w:ascii="宋体" w:hAnsi="宋体" w:cs="Arial"/>
          <w:b/>
          <w:color w:val="000000" w:themeColor="text1"/>
          <w:sz w:val="24"/>
          <w:lang w:val="zh-CN"/>
          <w14:textFill>
            <w14:solidFill>
              <w14:schemeClr w14:val="tx1"/>
            </w14:solidFill>
          </w14:textFill>
        </w:rPr>
        <w:t>1</w:t>
      </w:r>
      <w:r>
        <w:rPr>
          <w:rFonts w:hint="eastAsia" w:ascii="宋体" w:hAnsi="宋体" w:cs="Arial"/>
          <w:b/>
          <w:color w:val="000000" w:themeColor="text1"/>
          <w:sz w:val="24"/>
          <w:lang w:val="zh-CN"/>
          <w14:textFill>
            <w14:solidFill>
              <w14:schemeClr w14:val="tx1"/>
            </w14:solidFill>
          </w14:textFill>
        </w:rPr>
        <w:t>、</w:t>
      </w:r>
      <w:r>
        <w:rPr>
          <w:rFonts w:ascii="宋体" w:hAnsi="宋体" w:cs="Arial"/>
          <w:b/>
          <w:color w:val="000000" w:themeColor="text1"/>
          <w:sz w:val="24"/>
          <w:lang w:val="zh-CN"/>
          <w14:textFill>
            <w14:solidFill>
              <w14:schemeClr w14:val="tx1"/>
            </w14:solidFill>
          </w14:textFill>
        </w:rPr>
        <w:t>填写此表时不得改变表格形式（可按所投包增加行）。</w:t>
      </w:r>
    </w:p>
    <w:p w14:paraId="6DEE0FA2">
      <w:pPr>
        <w:spacing w:line="360" w:lineRule="auto"/>
        <w:ind w:firstLine="465" w:firstLineChars="193"/>
        <w:rPr>
          <w:rFonts w:hint="eastAsia" w:ascii="宋体" w:hAnsi="宋体" w:cs="Arial"/>
          <w:b/>
          <w:color w:val="000000" w:themeColor="text1"/>
          <w:sz w:val="24"/>
          <w:lang w:val="zh-CN"/>
          <w14:textFill>
            <w14:solidFill>
              <w14:schemeClr w14:val="tx1"/>
            </w14:solidFill>
          </w14:textFill>
        </w:rPr>
      </w:pPr>
      <w:r>
        <w:rPr>
          <w:rFonts w:ascii="宋体" w:hAnsi="宋体" w:cs="Arial"/>
          <w:b/>
          <w:color w:val="000000" w:themeColor="text1"/>
          <w:sz w:val="24"/>
          <w:lang w:val="zh-CN"/>
          <w14:textFill>
            <w14:solidFill>
              <w14:schemeClr w14:val="tx1"/>
            </w14:solidFill>
          </w14:textFill>
        </w:rPr>
        <w:t>2</w:t>
      </w:r>
      <w:r>
        <w:rPr>
          <w:rFonts w:hint="eastAsia" w:ascii="宋体" w:hAnsi="宋体" w:cs="Arial"/>
          <w:b/>
          <w:color w:val="000000" w:themeColor="text1"/>
          <w:sz w:val="24"/>
          <w:lang w:val="zh-CN"/>
          <w14:textFill>
            <w14:solidFill>
              <w14:schemeClr w14:val="tx1"/>
            </w14:solidFill>
          </w14:textFill>
        </w:rPr>
        <w:t>、磋商报价为磋商总价。磋商报价必须包括：</w:t>
      </w:r>
      <w:r>
        <w:rPr>
          <w:rFonts w:hint="eastAsia" w:ascii="宋体" w:hAnsi="宋体" w:cs="Arial"/>
          <w:b/>
          <w:color w:val="000000" w:themeColor="text1"/>
          <w:sz w:val="24"/>
          <w:lang w:val="zh-CN" w:eastAsia="zh-CN"/>
          <w14:textFill>
            <w14:solidFill>
              <w14:schemeClr w14:val="tx1"/>
            </w14:solidFill>
          </w14:textFill>
        </w:rPr>
        <w:t>完成本项目可能发生的各项费用，含安装调试、验收、售后维保、培训、实施人员工资、交通、利润、税收、医院现有软件信息系统接口费以及所有有关的管理成本和其他不可预见费等全部费用；</w:t>
      </w:r>
    </w:p>
    <w:p w14:paraId="4CB78C14">
      <w:pPr>
        <w:spacing w:line="360" w:lineRule="auto"/>
        <w:ind w:firstLine="465" w:firstLineChars="193"/>
        <w:rPr>
          <w:rFonts w:ascii="宋体" w:hAnsi="宋体" w:cs="宋体"/>
          <w:b/>
          <w:bCs/>
          <w:color w:val="000000" w:themeColor="text1"/>
          <w:kern w:val="0"/>
          <w:sz w:val="24"/>
          <w:lang w:val="zh-CN"/>
          <w14:textFill>
            <w14:solidFill>
              <w14:schemeClr w14:val="tx1"/>
            </w14:solidFill>
          </w14:textFill>
        </w:rPr>
      </w:pPr>
      <w:r>
        <w:rPr>
          <w:rFonts w:ascii="宋体" w:hAnsi="宋体" w:cs="Arial"/>
          <w:b/>
          <w:color w:val="000000" w:themeColor="text1"/>
          <w:sz w:val="24"/>
          <w:lang w:val="zh-CN"/>
          <w14:textFill>
            <w14:solidFill>
              <w14:schemeClr w14:val="tx1"/>
            </w14:solidFill>
          </w14:textFill>
        </w:rPr>
        <w:t>3</w:t>
      </w:r>
      <w:r>
        <w:rPr>
          <w:rFonts w:hint="eastAsia" w:ascii="宋体" w:hAnsi="宋体" w:cs="Arial"/>
          <w:b/>
          <w:color w:val="000000" w:themeColor="text1"/>
          <w:sz w:val="24"/>
          <w:lang w:val="zh-CN"/>
          <w14:textFill>
            <w14:solidFill>
              <w14:schemeClr w14:val="tx1"/>
            </w14:solidFill>
          </w14:textFill>
        </w:rPr>
        <w:t>、“</w:t>
      </w:r>
      <w:r>
        <w:rPr>
          <w:rFonts w:ascii="宋体" w:hAnsi="宋体" w:cs="Arial"/>
          <w:b/>
          <w:color w:val="000000" w:themeColor="text1"/>
          <w:sz w:val="24"/>
          <w:lang w:val="zh-CN"/>
          <w14:textFill>
            <w14:solidFill>
              <w14:schemeClr w14:val="tx1"/>
            </w14:solidFill>
          </w14:textFill>
        </w:rPr>
        <w:t>交货</w:t>
      </w:r>
      <w:r>
        <w:rPr>
          <w:rFonts w:hint="eastAsia" w:ascii="宋体" w:hAnsi="宋体" w:cs="Arial"/>
          <w:b/>
          <w:color w:val="000000" w:themeColor="text1"/>
          <w:sz w:val="24"/>
          <w:lang w:val="zh-CN"/>
          <w14:textFill>
            <w14:solidFill>
              <w14:schemeClr w14:val="tx1"/>
            </w14:solidFill>
          </w14:textFill>
        </w:rPr>
        <w:t>期”是指产品能够交付使用的具体时间。</w:t>
      </w:r>
    </w:p>
    <w:p w14:paraId="06AE6186">
      <w:pPr>
        <w:spacing w:line="360" w:lineRule="auto"/>
        <w:ind w:firstLine="465" w:firstLineChars="193"/>
        <w:rPr>
          <w:rFonts w:ascii="宋体" w:hAnsi="宋体" w:cs="Arial"/>
          <w:b/>
          <w:color w:val="000000" w:themeColor="text1"/>
          <w:sz w:val="24"/>
          <w:lang w:val="zh-CN"/>
          <w14:textFill>
            <w14:solidFill>
              <w14:schemeClr w14:val="tx1"/>
            </w14:solidFill>
          </w14:textFill>
        </w:rPr>
      </w:pPr>
      <w:r>
        <w:rPr>
          <w:rFonts w:ascii="宋体" w:hAnsi="宋体" w:cs="Arial"/>
          <w:b/>
          <w:color w:val="000000" w:themeColor="text1"/>
          <w:sz w:val="24"/>
          <w:lang w:val="zh-CN"/>
          <w14:textFill>
            <w14:solidFill>
              <w14:schemeClr w14:val="tx1"/>
            </w14:solidFill>
          </w14:textFill>
        </w:rPr>
        <w:t>4</w:t>
      </w:r>
      <w:r>
        <w:rPr>
          <w:rFonts w:hint="eastAsia" w:ascii="宋体" w:hAnsi="宋体" w:cs="Arial"/>
          <w:b/>
          <w:color w:val="000000" w:themeColor="text1"/>
          <w:sz w:val="24"/>
          <w:lang w:val="zh-CN"/>
          <w14:textFill>
            <w14:solidFill>
              <w14:schemeClr w14:val="tx1"/>
            </w14:solidFill>
          </w14:textFill>
        </w:rPr>
        <w:t>、</w:t>
      </w:r>
      <w:r>
        <w:rPr>
          <w:rFonts w:ascii="宋体" w:hAnsi="宋体" w:cs="Arial"/>
          <w:b/>
          <w:color w:val="000000" w:themeColor="text1"/>
          <w:sz w:val="24"/>
          <w:lang w:val="zh-CN"/>
          <w14:textFill>
            <w14:solidFill>
              <w14:schemeClr w14:val="tx1"/>
            </w14:solidFill>
          </w14:textFill>
        </w:rPr>
        <w:t>磋商报价不能有两个或两个以上的报价方案。</w:t>
      </w:r>
    </w:p>
    <w:p w14:paraId="48137F5A">
      <w:pPr>
        <w:spacing w:line="360" w:lineRule="auto"/>
        <w:ind w:firstLine="465" w:firstLineChars="193"/>
        <w:rPr>
          <w:rFonts w:ascii="宋体" w:hAnsi="宋体" w:cs="宋体"/>
          <w:b/>
          <w:bCs/>
          <w:color w:val="000000" w:themeColor="text1"/>
          <w:kern w:val="0"/>
          <w:sz w:val="24"/>
          <w:lang w:val="zh-CN"/>
          <w14:textFill>
            <w14:solidFill>
              <w14:schemeClr w14:val="tx1"/>
            </w14:solidFill>
          </w14:textFill>
        </w:rPr>
      </w:pPr>
    </w:p>
    <w:p w14:paraId="3D34AB3B">
      <w:pPr>
        <w:spacing w:line="360" w:lineRule="auto"/>
        <w:rPr>
          <w:rFonts w:ascii="宋体" w:hAnsi="宋体" w:cs="宋体"/>
          <w:b/>
          <w:bCs/>
          <w:color w:val="000000" w:themeColor="text1"/>
          <w:kern w:val="0"/>
          <w:sz w:val="24"/>
          <w:lang w:val="zh-CN"/>
          <w14:textFill>
            <w14:solidFill>
              <w14:schemeClr w14:val="tx1"/>
            </w14:solidFill>
          </w14:textFill>
        </w:rPr>
      </w:pPr>
    </w:p>
    <w:p w14:paraId="25EAF315">
      <w:pPr>
        <w:spacing w:line="360" w:lineRule="auto"/>
        <w:ind w:firstLine="465" w:firstLineChars="193"/>
        <w:rPr>
          <w:rFonts w:ascii="宋体" w:hAnsi="宋体" w:cs="宋体"/>
          <w:b/>
          <w:bCs/>
          <w:color w:val="000000" w:themeColor="text1"/>
          <w:kern w:val="0"/>
          <w:sz w:val="24"/>
          <w:lang w:val="zh-CN"/>
          <w14:textFill>
            <w14:solidFill>
              <w14:schemeClr w14:val="tx1"/>
            </w14:solidFill>
          </w14:textFill>
        </w:rPr>
      </w:pPr>
    </w:p>
    <w:p w14:paraId="391129A1">
      <w:pPr>
        <w:spacing w:line="360" w:lineRule="auto"/>
        <w:ind w:firstLine="465" w:firstLineChars="193"/>
        <w:rPr>
          <w:rFonts w:ascii="宋体" w:hAnsi="宋体" w:cs="宋体"/>
          <w:b/>
          <w:bCs/>
          <w:color w:val="000000" w:themeColor="text1"/>
          <w:kern w:val="0"/>
          <w:sz w:val="24"/>
          <w:lang w:val="zh-CN"/>
          <w14:textFill>
            <w14:solidFill>
              <w14:schemeClr w14:val="tx1"/>
            </w14:solidFill>
          </w14:textFill>
        </w:rPr>
      </w:pPr>
    </w:p>
    <w:p w14:paraId="0BBA08AB">
      <w:pPr>
        <w:spacing w:line="360" w:lineRule="auto"/>
        <w:ind w:firstLine="465" w:firstLineChars="193"/>
        <w:rPr>
          <w:rFonts w:ascii="宋体" w:hAnsi="宋体" w:cs="宋体"/>
          <w:b/>
          <w:bCs/>
          <w:color w:val="000000" w:themeColor="text1"/>
          <w:kern w:val="0"/>
          <w:sz w:val="24"/>
          <w:lang w:val="zh-CN"/>
          <w14:textFill>
            <w14:solidFill>
              <w14:schemeClr w14:val="tx1"/>
            </w14:solidFill>
          </w14:textFill>
        </w:rPr>
      </w:pPr>
    </w:p>
    <w:p w14:paraId="3456CDC1">
      <w:pPr>
        <w:tabs>
          <w:tab w:val="left" w:pos="168"/>
        </w:tabs>
        <w:adjustRightInd w:val="0"/>
        <w:spacing w:line="360" w:lineRule="auto"/>
        <w:jc w:val="righ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磋商供应商：             （公章）</w:t>
      </w:r>
    </w:p>
    <w:p w14:paraId="2DD49DB0">
      <w:pPr>
        <w:tabs>
          <w:tab w:val="left" w:pos="168"/>
        </w:tabs>
        <w:adjustRightInd w:val="0"/>
        <w:spacing w:line="360" w:lineRule="auto"/>
        <w:jc w:val="righ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法定代表人或委托代理人：                （签字）</w:t>
      </w:r>
    </w:p>
    <w:p w14:paraId="63670DD9">
      <w:pPr>
        <w:tabs>
          <w:tab w:val="left" w:pos="168"/>
        </w:tabs>
        <w:adjustRightInd w:val="0"/>
        <w:spacing w:line="360" w:lineRule="auto"/>
        <w:jc w:val="righ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日期：    年   月   日</w:t>
      </w:r>
    </w:p>
    <w:p w14:paraId="776A0720">
      <w:pPr>
        <w:pStyle w:val="4"/>
        <w:numPr>
          <w:ilvl w:val="0"/>
          <w:numId w:val="0"/>
        </w:numPr>
        <w:ind w:left="709" w:hanging="709"/>
        <w:rPr>
          <w:rFonts w:hAnsi="宋体"/>
          <w:color w:val="000000" w:themeColor="text1"/>
          <w:sz w:val="24"/>
          <w:szCs w:val="24"/>
          <w:lang w:val="zh-CN"/>
          <w14:textFill>
            <w14:solidFill>
              <w14:schemeClr w14:val="tx1"/>
            </w14:solidFill>
          </w14:textFill>
        </w:rPr>
      </w:pPr>
      <w:r>
        <w:rPr>
          <w:rFonts w:hAnsi="宋体"/>
          <w:bCs/>
          <w:color w:val="000000" w:themeColor="text1"/>
          <w:sz w:val="24"/>
          <w:szCs w:val="24"/>
          <w14:textFill>
            <w14:solidFill>
              <w14:schemeClr w14:val="tx1"/>
            </w14:solidFill>
          </w14:textFill>
        </w:rPr>
        <w:br w:type="page"/>
      </w:r>
      <w:bookmarkStart w:id="106" w:name="_Toc29713"/>
      <w:r>
        <w:rPr>
          <w:rFonts w:hint="eastAsia" w:hAnsi="宋体"/>
          <w:b/>
          <w:color w:val="000000" w:themeColor="text1"/>
          <w:sz w:val="24"/>
          <w:szCs w:val="24"/>
          <w:lang w:val="zh-CN"/>
          <w14:textFill>
            <w14:solidFill>
              <w14:schemeClr w14:val="tx1"/>
            </w14:solidFill>
          </w14:textFill>
        </w:rPr>
        <w:t>格式</w:t>
      </w:r>
      <w:r>
        <w:rPr>
          <w:rFonts w:hint="eastAsia" w:hAnsi="宋体"/>
          <w:b/>
          <w:color w:val="000000" w:themeColor="text1"/>
          <w:sz w:val="24"/>
          <w:szCs w:val="24"/>
          <w:lang w:val="en-US" w:eastAsia="zh-CN"/>
          <w14:textFill>
            <w14:solidFill>
              <w14:schemeClr w14:val="tx1"/>
            </w14:solidFill>
          </w14:textFill>
        </w:rPr>
        <w:t>12</w:t>
      </w:r>
      <w:r>
        <w:rPr>
          <w:rFonts w:hint="eastAsia" w:hAnsi="宋体"/>
          <w:b/>
          <w:color w:val="000000" w:themeColor="text1"/>
          <w:sz w:val="24"/>
          <w:szCs w:val="24"/>
          <w:lang w:val="zh-CN"/>
          <w14:textFill>
            <w14:solidFill>
              <w14:schemeClr w14:val="tx1"/>
            </w14:solidFill>
          </w14:textFill>
        </w:rPr>
        <w:t>、分项报价表</w:t>
      </w:r>
      <w:bookmarkEnd w:id="106"/>
    </w:p>
    <w:p w14:paraId="35B8A298">
      <w:pPr>
        <w:autoSpaceDE w:val="0"/>
        <w:autoSpaceDN w:val="0"/>
        <w:adjustRightInd w:val="0"/>
        <w:spacing w:line="360" w:lineRule="auto"/>
        <w:jc w:val="center"/>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分项报价表</w:t>
      </w:r>
    </w:p>
    <w:p w14:paraId="62664933">
      <w:pPr>
        <w:spacing w:line="360" w:lineRule="auto"/>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 xml:space="preserve">采购项目名称:  </w:t>
      </w:r>
    </w:p>
    <w:p w14:paraId="53F14C27">
      <w:pPr>
        <w:spacing w:line="360" w:lineRule="auto"/>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采购项目编号：</w:t>
      </w:r>
    </w:p>
    <w:p w14:paraId="16A84F57">
      <w:pPr>
        <w:spacing w:line="360" w:lineRule="auto"/>
        <w:jc w:val="right"/>
        <w:rPr>
          <w:rFonts w:ascii="宋体" w:hAnsi="宋体"/>
          <w:color w:val="000000" w:themeColor="text1"/>
          <w:sz w:val="24"/>
          <w:lang w:val="zh-CN"/>
          <w14:textFill>
            <w14:solidFill>
              <w14:schemeClr w14:val="tx1"/>
            </w14:solidFill>
          </w14:textFill>
        </w:rPr>
      </w:pPr>
      <w:r>
        <w:rPr>
          <w:rFonts w:ascii="宋体" w:hAnsi="宋体" w:cs="宋体"/>
          <w:bCs/>
          <w:color w:val="000000" w:themeColor="text1"/>
          <w:kern w:val="0"/>
          <w:sz w:val="24"/>
          <w:lang w:val="zh-CN"/>
          <w14:textFill>
            <w14:solidFill>
              <w14:schemeClr w14:val="tx1"/>
            </w14:solidFill>
          </w14:textFill>
        </w:rPr>
        <w:t>单位</w:t>
      </w:r>
      <w:r>
        <w:rPr>
          <w:rFonts w:hint="eastAsia" w:ascii="宋体" w:hAnsi="宋体" w:cs="宋体"/>
          <w:bCs/>
          <w:color w:val="000000" w:themeColor="text1"/>
          <w:kern w:val="0"/>
          <w:sz w:val="24"/>
          <w:lang w:val="zh-CN"/>
          <w14:textFill>
            <w14:solidFill>
              <w14:schemeClr w14:val="tx1"/>
            </w14:solidFill>
          </w14:textFill>
        </w:rPr>
        <w:t>：</w:t>
      </w:r>
      <w:r>
        <w:rPr>
          <w:rFonts w:ascii="宋体" w:hAnsi="宋体" w:cs="宋体"/>
          <w:bCs/>
          <w:color w:val="000000" w:themeColor="text1"/>
          <w:kern w:val="0"/>
          <w:sz w:val="24"/>
          <w:lang w:val="zh-CN"/>
          <w14:textFill>
            <w14:solidFill>
              <w14:schemeClr w14:val="tx1"/>
            </w14:solidFill>
          </w14:textFill>
        </w:rPr>
        <w:t>人民币</w:t>
      </w:r>
      <w:r>
        <w:rPr>
          <w:rFonts w:hint="eastAsia" w:ascii="宋体" w:hAnsi="宋体" w:cs="宋体"/>
          <w:bCs/>
          <w:color w:val="000000" w:themeColor="text1"/>
          <w:kern w:val="0"/>
          <w:sz w:val="24"/>
          <w:lang w:val="zh-CN"/>
          <w14:textFill>
            <w14:solidFill>
              <w14:schemeClr w14:val="tx1"/>
            </w14:solidFill>
          </w14:textFill>
        </w:rPr>
        <w:t>（</w:t>
      </w:r>
      <w:r>
        <w:rPr>
          <w:rFonts w:ascii="宋体" w:hAnsi="宋体" w:cs="宋体"/>
          <w:bCs/>
          <w:color w:val="000000" w:themeColor="text1"/>
          <w:kern w:val="0"/>
          <w:sz w:val="24"/>
          <w:lang w:val="zh-CN"/>
          <w14:textFill>
            <w14:solidFill>
              <w14:schemeClr w14:val="tx1"/>
            </w14:solidFill>
          </w14:textFill>
        </w:rPr>
        <w:t>元</w:t>
      </w:r>
      <w:r>
        <w:rPr>
          <w:rFonts w:hint="eastAsia" w:ascii="宋体" w:hAnsi="宋体" w:cs="宋体"/>
          <w:bCs/>
          <w:color w:val="000000" w:themeColor="text1"/>
          <w:kern w:val="0"/>
          <w:sz w:val="24"/>
          <w:lang w:val="zh-CN"/>
          <w14:textFill>
            <w14:solidFill>
              <w14:schemeClr w14:val="tx1"/>
            </w14:solidFill>
          </w14:textFill>
        </w:rPr>
        <w:t>）</w:t>
      </w:r>
    </w:p>
    <w:tbl>
      <w:tblPr>
        <w:tblStyle w:val="36"/>
        <w:tblW w:w="9808" w:type="dxa"/>
        <w:jc w:val="center"/>
        <w:tblLayout w:type="fixed"/>
        <w:tblCellMar>
          <w:top w:w="0" w:type="dxa"/>
          <w:left w:w="28" w:type="dxa"/>
          <w:bottom w:w="0" w:type="dxa"/>
          <w:right w:w="28" w:type="dxa"/>
        </w:tblCellMar>
      </w:tblPr>
      <w:tblGrid>
        <w:gridCol w:w="713"/>
        <w:gridCol w:w="1666"/>
        <w:gridCol w:w="1030"/>
        <w:gridCol w:w="1157"/>
        <w:gridCol w:w="1338"/>
        <w:gridCol w:w="1208"/>
        <w:gridCol w:w="804"/>
        <w:gridCol w:w="947"/>
        <w:gridCol w:w="945"/>
      </w:tblGrid>
      <w:tr w14:paraId="4AA92958">
        <w:tblPrEx>
          <w:tblCellMar>
            <w:top w:w="0" w:type="dxa"/>
            <w:left w:w="28" w:type="dxa"/>
            <w:bottom w:w="0" w:type="dxa"/>
            <w:right w:w="28" w:type="dxa"/>
          </w:tblCellMar>
        </w:tblPrEx>
        <w:trPr>
          <w:trHeight w:val="529" w:hRule="atLeast"/>
          <w:jc w:val="center"/>
        </w:trPr>
        <w:tc>
          <w:tcPr>
            <w:tcW w:w="713" w:type="dxa"/>
            <w:tcBorders>
              <w:top w:val="single" w:color="000000" w:sz="8" w:space="0"/>
              <w:left w:val="single" w:color="000000" w:sz="8" w:space="0"/>
              <w:bottom w:val="single" w:color="000000" w:sz="6" w:space="0"/>
              <w:right w:val="single" w:color="000000" w:sz="6" w:space="0"/>
            </w:tcBorders>
            <w:shd w:val="clear" w:color="000000" w:fill="FFFFFF"/>
            <w:vAlign w:val="center"/>
          </w:tcPr>
          <w:p w14:paraId="3D106A53">
            <w:pPr>
              <w:spacing w:line="360" w:lineRule="auto"/>
              <w:jc w:val="center"/>
              <w:rPr>
                <w:rFonts w:ascii="宋体" w:hAnsi="宋体"/>
                <w:color w:val="000000" w:themeColor="text1"/>
                <w:sz w:val="24"/>
                <w:lang w:val="zh-CN"/>
                <w14:textFill>
                  <w14:solidFill>
                    <w14:schemeClr w14:val="tx1"/>
                  </w14:solidFill>
                </w14:textFill>
              </w:rPr>
            </w:pPr>
            <w:r>
              <w:rPr>
                <w:rFonts w:hint="eastAsia" w:ascii="宋体" w:hAnsi="宋体"/>
                <w:color w:val="000000" w:themeColor="text1"/>
                <w:sz w:val="24"/>
                <w:lang w:val="zh-CN"/>
                <w14:textFill>
                  <w14:solidFill>
                    <w14:schemeClr w14:val="tx1"/>
                  </w14:solidFill>
                </w14:textFill>
              </w:rPr>
              <w:t>序号</w:t>
            </w:r>
          </w:p>
        </w:tc>
        <w:tc>
          <w:tcPr>
            <w:tcW w:w="1666" w:type="dxa"/>
            <w:tcBorders>
              <w:top w:val="single" w:color="000000" w:sz="8" w:space="0"/>
              <w:left w:val="single" w:color="000000" w:sz="6" w:space="0"/>
              <w:bottom w:val="single" w:color="000000" w:sz="6" w:space="0"/>
              <w:right w:val="single" w:color="000000" w:sz="6" w:space="0"/>
            </w:tcBorders>
            <w:shd w:val="clear" w:color="000000" w:fill="FFFFFF"/>
            <w:vAlign w:val="center"/>
          </w:tcPr>
          <w:p w14:paraId="4A016B88">
            <w:pPr>
              <w:spacing w:line="360" w:lineRule="auto"/>
              <w:jc w:val="center"/>
              <w:rPr>
                <w:rFonts w:ascii="宋体" w:hAnsi="宋体"/>
                <w:color w:val="000000" w:themeColor="text1"/>
                <w:sz w:val="24"/>
                <w:lang w:val="zh-CN"/>
                <w14:textFill>
                  <w14:solidFill>
                    <w14:schemeClr w14:val="tx1"/>
                  </w14:solidFill>
                </w14:textFill>
              </w:rPr>
            </w:pPr>
            <w:r>
              <w:rPr>
                <w:rFonts w:hint="eastAsia" w:ascii="宋体" w:hAnsi="宋体"/>
                <w:color w:val="000000" w:themeColor="text1"/>
                <w:sz w:val="24"/>
                <w:lang w:val="zh-CN"/>
                <w14:textFill>
                  <w14:solidFill>
                    <w14:schemeClr w14:val="tx1"/>
                  </w14:solidFill>
                </w14:textFill>
              </w:rPr>
              <w:t>产品名称</w:t>
            </w:r>
          </w:p>
        </w:tc>
        <w:tc>
          <w:tcPr>
            <w:tcW w:w="1030" w:type="dxa"/>
            <w:tcBorders>
              <w:top w:val="single" w:color="000000" w:sz="8" w:space="0"/>
              <w:left w:val="single" w:color="000000" w:sz="6" w:space="0"/>
              <w:bottom w:val="single" w:color="000000" w:sz="6" w:space="0"/>
              <w:right w:val="single" w:color="000000" w:sz="6" w:space="0"/>
            </w:tcBorders>
            <w:shd w:val="clear" w:color="000000" w:fill="FFFFFF"/>
            <w:vAlign w:val="center"/>
          </w:tcPr>
          <w:p w14:paraId="0BB2A998">
            <w:pPr>
              <w:spacing w:line="360" w:lineRule="auto"/>
              <w:jc w:val="center"/>
              <w:rPr>
                <w:rFonts w:ascii="宋体" w:hAnsi="宋体"/>
                <w:color w:val="000000" w:themeColor="text1"/>
                <w:sz w:val="24"/>
                <w:lang w:val="zh-CN"/>
                <w14:textFill>
                  <w14:solidFill>
                    <w14:schemeClr w14:val="tx1"/>
                  </w14:solidFill>
                </w14:textFill>
              </w:rPr>
            </w:pPr>
            <w:r>
              <w:rPr>
                <w:rFonts w:hint="eastAsia" w:ascii="宋体" w:hAnsi="宋体"/>
                <w:color w:val="000000" w:themeColor="text1"/>
                <w:sz w:val="24"/>
                <w:lang w:val="zh-CN"/>
                <w14:textFill>
                  <w14:solidFill>
                    <w14:schemeClr w14:val="tx1"/>
                  </w14:solidFill>
                </w14:textFill>
              </w:rPr>
              <w:t>品牌</w:t>
            </w:r>
          </w:p>
        </w:tc>
        <w:tc>
          <w:tcPr>
            <w:tcW w:w="1157" w:type="dxa"/>
            <w:tcBorders>
              <w:top w:val="single" w:color="000000" w:sz="8" w:space="0"/>
              <w:left w:val="single" w:color="000000" w:sz="6" w:space="0"/>
              <w:bottom w:val="single" w:color="000000" w:sz="6" w:space="0"/>
              <w:right w:val="single" w:color="000000" w:sz="6" w:space="0"/>
            </w:tcBorders>
            <w:shd w:val="clear" w:color="000000" w:fill="FFFFFF"/>
            <w:vAlign w:val="center"/>
          </w:tcPr>
          <w:p w14:paraId="3933A8E2">
            <w:pPr>
              <w:spacing w:line="360" w:lineRule="auto"/>
              <w:jc w:val="center"/>
              <w:rPr>
                <w:rFonts w:ascii="宋体" w:hAnsi="宋体"/>
                <w:color w:val="000000" w:themeColor="text1"/>
                <w:sz w:val="24"/>
                <w:lang w:val="zh-CN"/>
                <w14:textFill>
                  <w14:solidFill>
                    <w14:schemeClr w14:val="tx1"/>
                  </w14:solidFill>
                </w14:textFill>
              </w:rPr>
            </w:pPr>
            <w:r>
              <w:rPr>
                <w:rFonts w:hint="eastAsia" w:ascii="宋体" w:hAnsi="宋体"/>
                <w:color w:val="000000" w:themeColor="text1"/>
                <w:sz w:val="24"/>
                <w:lang w:val="zh-CN"/>
                <w14:textFill>
                  <w14:solidFill>
                    <w14:schemeClr w14:val="tx1"/>
                  </w14:solidFill>
                </w14:textFill>
              </w:rPr>
              <w:t>规格</w:t>
            </w:r>
          </w:p>
          <w:p w14:paraId="16FC5CB5">
            <w:pPr>
              <w:spacing w:line="360" w:lineRule="auto"/>
              <w:jc w:val="center"/>
              <w:rPr>
                <w:rFonts w:ascii="宋体" w:hAnsi="宋体"/>
                <w:color w:val="000000" w:themeColor="text1"/>
                <w:sz w:val="24"/>
                <w:lang w:val="zh-CN"/>
                <w14:textFill>
                  <w14:solidFill>
                    <w14:schemeClr w14:val="tx1"/>
                  </w14:solidFill>
                </w14:textFill>
              </w:rPr>
            </w:pPr>
            <w:r>
              <w:rPr>
                <w:rFonts w:hint="eastAsia" w:ascii="宋体" w:hAnsi="宋体"/>
                <w:color w:val="000000" w:themeColor="text1"/>
                <w:sz w:val="24"/>
                <w:lang w:val="zh-CN"/>
                <w14:textFill>
                  <w14:solidFill>
                    <w14:schemeClr w14:val="tx1"/>
                  </w14:solidFill>
                </w14:textFill>
              </w:rPr>
              <w:t>型号</w:t>
            </w:r>
          </w:p>
        </w:tc>
        <w:tc>
          <w:tcPr>
            <w:tcW w:w="1338" w:type="dxa"/>
            <w:tcBorders>
              <w:top w:val="single" w:color="000000" w:sz="8" w:space="0"/>
              <w:left w:val="single" w:color="000000" w:sz="6" w:space="0"/>
              <w:bottom w:val="single" w:color="000000" w:sz="6" w:space="0"/>
              <w:right w:val="single" w:color="000000" w:sz="6" w:space="0"/>
            </w:tcBorders>
            <w:shd w:val="clear" w:color="000000" w:fill="FFFFFF"/>
            <w:vAlign w:val="center"/>
          </w:tcPr>
          <w:p w14:paraId="00AC94A9">
            <w:pPr>
              <w:spacing w:line="360" w:lineRule="auto"/>
              <w:jc w:val="center"/>
              <w:rPr>
                <w:rFonts w:ascii="宋体" w:hAnsi="宋体"/>
                <w:color w:val="000000" w:themeColor="text1"/>
                <w:sz w:val="24"/>
                <w:lang w:val="zh-CN"/>
                <w14:textFill>
                  <w14:solidFill>
                    <w14:schemeClr w14:val="tx1"/>
                  </w14:solidFill>
                </w14:textFill>
              </w:rPr>
            </w:pPr>
            <w:r>
              <w:rPr>
                <w:rFonts w:hint="eastAsia" w:ascii="宋体" w:hAnsi="宋体"/>
                <w:color w:val="000000" w:themeColor="text1"/>
                <w:sz w:val="24"/>
                <w:lang w:val="zh-CN"/>
                <w14:textFill>
                  <w14:solidFill>
                    <w14:schemeClr w14:val="tx1"/>
                  </w14:solidFill>
                </w14:textFill>
              </w:rPr>
              <w:t>生产厂家</w:t>
            </w:r>
          </w:p>
        </w:tc>
        <w:tc>
          <w:tcPr>
            <w:tcW w:w="1208" w:type="dxa"/>
            <w:tcBorders>
              <w:top w:val="single" w:color="000000" w:sz="8" w:space="0"/>
              <w:left w:val="single" w:color="000000" w:sz="6" w:space="0"/>
              <w:bottom w:val="single" w:color="000000" w:sz="6" w:space="0"/>
              <w:right w:val="single" w:color="000000" w:sz="6" w:space="0"/>
            </w:tcBorders>
            <w:shd w:val="clear" w:color="000000" w:fill="FFFFFF"/>
            <w:vAlign w:val="center"/>
          </w:tcPr>
          <w:p w14:paraId="0569BF14">
            <w:pPr>
              <w:spacing w:line="360" w:lineRule="auto"/>
              <w:jc w:val="center"/>
              <w:rPr>
                <w:rFonts w:ascii="宋体" w:hAnsi="宋体"/>
                <w:color w:val="000000" w:themeColor="text1"/>
                <w:sz w:val="24"/>
                <w:lang w:val="zh-CN"/>
                <w14:textFill>
                  <w14:solidFill>
                    <w14:schemeClr w14:val="tx1"/>
                  </w14:solidFill>
                </w14:textFill>
              </w:rPr>
            </w:pPr>
            <w:r>
              <w:rPr>
                <w:rFonts w:hint="eastAsia" w:ascii="宋体" w:hAnsi="宋体"/>
                <w:color w:val="000000" w:themeColor="text1"/>
                <w:sz w:val="24"/>
                <w:lang w:val="zh-CN"/>
                <w14:textFill>
                  <w14:solidFill>
                    <w14:schemeClr w14:val="tx1"/>
                  </w14:solidFill>
                </w14:textFill>
              </w:rPr>
              <w:t>数量</w:t>
            </w:r>
          </w:p>
        </w:tc>
        <w:tc>
          <w:tcPr>
            <w:tcW w:w="804" w:type="dxa"/>
            <w:tcBorders>
              <w:top w:val="single" w:color="000000" w:sz="8" w:space="0"/>
              <w:left w:val="single" w:color="000000" w:sz="6" w:space="0"/>
              <w:bottom w:val="single" w:color="000000" w:sz="6" w:space="0"/>
              <w:right w:val="single" w:color="000000" w:sz="6" w:space="0"/>
            </w:tcBorders>
            <w:shd w:val="clear" w:color="000000" w:fill="FFFFFF"/>
            <w:vAlign w:val="center"/>
          </w:tcPr>
          <w:p w14:paraId="7DCE4F3F">
            <w:pPr>
              <w:spacing w:line="360" w:lineRule="auto"/>
              <w:jc w:val="center"/>
              <w:rPr>
                <w:rFonts w:ascii="宋体" w:hAnsi="宋体"/>
                <w:color w:val="000000" w:themeColor="text1"/>
                <w:sz w:val="24"/>
                <w:lang w:val="zh-CN"/>
                <w14:textFill>
                  <w14:solidFill>
                    <w14:schemeClr w14:val="tx1"/>
                  </w14:solidFill>
                </w14:textFill>
              </w:rPr>
            </w:pPr>
            <w:r>
              <w:rPr>
                <w:rFonts w:hint="eastAsia" w:ascii="宋体" w:hAnsi="宋体"/>
                <w:color w:val="000000" w:themeColor="text1"/>
                <w:sz w:val="24"/>
                <w:lang w:val="zh-CN"/>
                <w14:textFill>
                  <w14:solidFill>
                    <w14:schemeClr w14:val="tx1"/>
                  </w14:solidFill>
                </w14:textFill>
              </w:rPr>
              <w:t>单价</w:t>
            </w:r>
          </w:p>
        </w:tc>
        <w:tc>
          <w:tcPr>
            <w:tcW w:w="947" w:type="dxa"/>
            <w:tcBorders>
              <w:top w:val="single" w:color="000000" w:sz="8" w:space="0"/>
              <w:left w:val="single" w:color="000000" w:sz="6" w:space="0"/>
              <w:bottom w:val="single" w:color="000000" w:sz="6" w:space="0"/>
              <w:right w:val="single" w:color="000000" w:sz="6" w:space="0"/>
            </w:tcBorders>
            <w:shd w:val="clear" w:color="000000" w:fill="FFFFFF"/>
            <w:vAlign w:val="center"/>
          </w:tcPr>
          <w:p w14:paraId="4244F44E">
            <w:pPr>
              <w:spacing w:line="360" w:lineRule="auto"/>
              <w:jc w:val="center"/>
              <w:rPr>
                <w:rFonts w:ascii="宋体" w:hAnsi="宋体"/>
                <w:color w:val="000000" w:themeColor="text1"/>
                <w:sz w:val="24"/>
                <w:lang w:val="zh-CN"/>
                <w14:textFill>
                  <w14:solidFill>
                    <w14:schemeClr w14:val="tx1"/>
                  </w14:solidFill>
                </w14:textFill>
              </w:rPr>
            </w:pPr>
            <w:r>
              <w:rPr>
                <w:rFonts w:hint="eastAsia" w:ascii="宋体" w:hAnsi="宋体"/>
                <w:color w:val="000000" w:themeColor="text1"/>
                <w:sz w:val="24"/>
                <w:lang w:val="zh-CN"/>
                <w14:textFill>
                  <w14:solidFill>
                    <w14:schemeClr w14:val="tx1"/>
                  </w14:solidFill>
                </w14:textFill>
              </w:rPr>
              <w:t>合计</w:t>
            </w:r>
          </w:p>
        </w:tc>
        <w:tc>
          <w:tcPr>
            <w:tcW w:w="945" w:type="dxa"/>
            <w:tcBorders>
              <w:top w:val="single" w:color="000000" w:sz="8" w:space="0"/>
              <w:left w:val="single" w:color="000000" w:sz="6" w:space="0"/>
              <w:bottom w:val="single" w:color="000000" w:sz="6" w:space="0"/>
              <w:right w:val="single" w:color="000000" w:sz="8" w:space="0"/>
            </w:tcBorders>
            <w:shd w:val="clear" w:color="000000" w:fill="FFFFFF"/>
            <w:vAlign w:val="center"/>
          </w:tcPr>
          <w:p w14:paraId="61D5EF24">
            <w:pPr>
              <w:spacing w:line="360" w:lineRule="auto"/>
              <w:jc w:val="center"/>
              <w:rPr>
                <w:rFonts w:ascii="宋体" w:hAnsi="宋体"/>
                <w:color w:val="000000" w:themeColor="text1"/>
                <w:sz w:val="24"/>
                <w:lang w:val="zh-CN"/>
                <w14:textFill>
                  <w14:solidFill>
                    <w14:schemeClr w14:val="tx1"/>
                  </w14:solidFill>
                </w14:textFill>
              </w:rPr>
            </w:pPr>
            <w:r>
              <w:rPr>
                <w:rFonts w:hint="eastAsia" w:ascii="宋体" w:hAnsi="宋体"/>
                <w:color w:val="000000" w:themeColor="text1"/>
                <w:sz w:val="24"/>
                <w:lang w:val="zh-CN"/>
                <w14:textFill>
                  <w14:solidFill>
                    <w14:schemeClr w14:val="tx1"/>
                  </w14:solidFill>
                </w14:textFill>
              </w:rPr>
              <w:t>备注</w:t>
            </w:r>
          </w:p>
        </w:tc>
      </w:tr>
      <w:tr w14:paraId="093A0C16">
        <w:tblPrEx>
          <w:tblCellMar>
            <w:top w:w="0" w:type="dxa"/>
            <w:left w:w="28" w:type="dxa"/>
            <w:bottom w:w="0" w:type="dxa"/>
            <w:right w:w="28" w:type="dxa"/>
          </w:tblCellMar>
        </w:tblPrEx>
        <w:trPr>
          <w:trHeight w:val="529" w:hRule="atLeast"/>
          <w:jc w:val="center"/>
        </w:trPr>
        <w:tc>
          <w:tcPr>
            <w:tcW w:w="713" w:type="dxa"/>
            <w:tcBorders>
              <w:top w:val="single" w:color="000000" w:sz="6" w:space="0"/>
              <w:left w:val="single" w:color="000000" w:sz="8" w:space="0"/>
              <w:bottom w:val="single" w:color="000000" w:sz="6" w:space="0"/>
              <w:right w:val="single" w:color="000000" w:sz="6" w:space="0"/>
            </w:tcBorders>
            <w:shd w:val="clear" w:color="000000" w:fill="FFFFFF"/>
            <w:vAlign w:val="center"/>
          </w:tcPr>
          <w:p w14:paraId="76B9B0B3">
            <w:pPr>
              <w:spacing w:line="360" w:lineRule="auto"/>
              <w:jc w:val="center"/>
              <w:rPr>
                <w:rFonts w:ascii="宋体" w:hAnsi="宋体"/>
                <w:color w:val="000000" w:themeColor="text1"/>
                <w:sz w:val="24"/>
                <w:lang w:val="zh-CN"/>
                <w14:textFill>
                  <w14:solidFill>
                    <w14:schemeClr w14:val="tx1"/>
                  </w14:solidFill>
                </w14:textFill>
              </w:rPr>
            </w:pPr>
            <w:r>
              <w:rPr>
                <w:rFonts w:ascii="宋体" w:hAnsi="宋体"/>
                <w:color w:val="000000" w:themeColor="text1"/>
                <w:sz w:val="24"/>
                <w:lang w:val="zh-CN"/>
                <w14:textFill>
                  <w14:solidFill>
                    <w14:schemeClr w14:val="tx1"/>
                  </w14:solidFill>
                </w14:textFill>
              </w:rPr>
              <w:t>1</w:t>
            </w:r>
          </w:p>
        </w:tc>
        <w:tc>
          <w:tcPr>
            <w:tcW w:w="16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D090C3C">
            <w:pPr>
              <w:spacing w:line="360" w:lineRule="auto"/>
              <w:jc w:val="center"/>
              <w:rPr>
                <w:rFonts w:ascii="宋体" w:hAnsi="宋体"/>
                <w:color w:val="000000" w:themeColor="text1"/>
                <w:sz w:val="24"/>
                <w:lang w:val="zh-CN"/>
                <w14:textFill>
                  <w14:solidFill>
                    <w14:schemeClr w14:val="tx1"/>
                  </w14:solidFill>
                </w14:textFill>
              </w:rPr>
            </w:pPr>
          </w:p>
        </w:tc>
        <w:tc>
          <w:tcPr>
            <w:tcW w:w="103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7B9C07D">
            <w:pPr>
              <w:spacing w:line="360" w:lineRule="auto"/>
              <w:jc w:val="center"/>
              <w:rPr>
                <w:rFonts w:ascii="宋体" w:hAnsi="宋体"/>
                <w:color w:val="000000" w:themeColor="text1"/>
                <w:sz w:val="24"/>
                <w:lang w:val="zh-CN"/>
                <w14:textFill>
                  <w14:solidFill>
                    <w14:schemeClr w14:val="tx1"/>
                  </w14:solidFill>
                </w14:textFill>
              </w:rPr>
            </w:pPr>
          </w:p>
        </w:tc>
        <w:tc>
          <w:tcPr>
            <w:tcW w:w="115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1AA83AC">
            <w:pPr>
              <w:spacing w:line="360" w:lineRule="auto"/>
              <w:jc w:val="center"/>
              <w:rPr>
                <w:rFonts w:ascii="宋体" w:hAnsi="宋体"/>
                <w:color w:val="000000" w:themeColor="text1"/>
                <w:sz w:val="24"/>
                <w:lang w:val="zh-CN"/>
                <w14:textFill>
                  <w14:solidFill>
                    <w14:schemeClr w14:val="tx1"/>
                  </w14:solidFill>
                </w14:textFill>
              </w:rPr>
            </w:pPr>
          </w:p>
        </w:tc>
        <w:tc>
          <w:tcPr>
            <w:tcW w:w="133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F701452">
            <w:pPr>
              <w:spacing w:line="360" w:lineRule="auto"/>
              <w:jc w:val="center"/>
              <w:rPr>
                <w:rFonts w:ascii="宋体" w:hAnsi="宋体"/>
                <w:color w:val="000000" w:themeColor="text1"/>
                <w:sz w:val="24"/>
                <w:lang w:val="zh-CN"/>
                <w14:textFill>
                  <w14:solidFill>
                    <w14:schemeClr w14:val="tx1"/>
                  </w14:solidFill>
                </w14:textFill>
              </w:rPr>
            </w:pPr>
          </w:p>
        </w:tc>
        <w:tc>
          <w:tcPr>
            <w:tcW w:w="120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C270A72">
            <w:pPr>
              <w:spacing w:line="360" w:lineRule="auto"/>
              <w:jc w:val="center"/>
              <w:rPr>
                <w:rFonts w:ascii="宋体" w:hAnsi="宋体"/>
                <w:color w:val="000000" w:themeColor="text1"/>
                <w:sz w:val="24"/>
                <w:lang w:val="zh-CN"/>
                <w14:textFill>
                  <w14:solidFill>
                    <w14:schemeClr w14:val="tx1"/>
                  </w14:solidFill>
                </w14:textFill>
              </w:rPr>
            </w:pPr>
          </w:p>
        </w:tc>
        <w:tc>
          <w:tcPr>
            <w:tcW w:w="804"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E423620">
            <w:pPr>
              <w:spacing w:line="360" w:lineRule="auto"/>
              <w:jc w:val="center"/>
              <w:rPr>
                <w:rFonts w:ascii="宋体" w:hAnsi="宋体"/>
                <w:color w:val="000000" w:themeColor="text1"/>
                <w:sz w:val="24"/>
                <w:lang w:val="zh-CN"/>
                <w14:textFill>
                  <w14:solidFill>
                    <w14:schemeClr w14:val="tx1"/>
                  </w14:solidFill>
                </w14:textFill>
              </w:rPr>
            </w:pPr>
          </w:p>
        </w:tc>
        <w:tc>
          <w:tcPr>
            <w:tcW w:w="9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678E6E8">
            <w:pPr>
              <w:spacing w:line="360" w:lineRule="auto"/>
              <w:jc w:val="center"/>
              <w:rPr>
                <w:rFonts w:ascii="宋体" w:hAnsi="宋体"/>
                <w:color w:val="000000" w:themeColor="text1"/>
                <w:sz w:val="24"/>
                <w:lang w:val="zh-CN"/>
                <w14:textFill>
                  <w14:solidFill>
                    <w14:schemeClr w14:val="tx1"/>
                  </w14:solidFill>
                </w14:textFill>
              </w:rPr>
            </w:pPr>
          </w:p>
        </w:tc>
        <w:tc>
          <w:tcPr>
            <w:tcW w:w="945" w:type="dxa"/>
            <w:tcBorders>
              <w:top w:val="single" w:color="000000" w:sz="6" w:space="0"/>
              <w:left w:val="single" w:color="000000" w:sz="6" w:space="0"/>
              <w:bottom w:val="single" w:color="000000" w:sz="6" w:space="0"/>
              <w:right w:val="single" w:color="000000" w:sz="8" w:space="0"/>
            </w:tcBorders>
            <w:shd w:val="clear" w:color="000000" w:fill="FFFFFF"/>
            <w:vAlign w:val="center"/>
          </w:tcPr>
          <w:p w14:paraId="1C0369C0">
            <w:pPr>
              <w:spacing w:line="360" w:lineRule="auto"/>
              <w:jc w:val="center"/>
              <w:rPr>
                <w:rFonts w:ascii="宋体" w:hAnsi="宋体"/>
                <w:color w:val="000000" w:themeColor="text1"/>
                <w:sz w:val="24"/>
                <w:lang w:val="zh-CN"/>
                <w14:textFill>
                  <w14:solidFill>
                    <w14:schemeClr w14:val="tx1"/>
                  </w14:solidFill>
                </w14:textFill>
              </w:rPr>
            </w:pPr>
          </w:p>
        </w:tc>
      </w:tr>
      <w:tr w14:paraId="7E65FBD1">
        <w:tblPrEx>
          <w:tblCellMar>
            <w:top w:w="0" w:type="dxa"/>
            <w:left w:w="28" w:type="dxa"/>
            <w:bottom w:w="0" w:type="dxa"/>
            <w:right w:w="28" w:type="dxa"/>
          </w:tblCellMar>
        </w:tblPrEx>
        <w:trPr>
          <w:trHeight w:val="529" w:hRule="atLeast"/>
          <w:jc w:val="center"/>
        </w:trPr>
        <w:tc>
          <w:tcPr>
            <w:tcW w:w="713" w:type="dxa"/>
            <w:tcBorders>
              <w:top w:val="single" w:color="000000" w:sz="6" w:space="0"/>
              <w:left w:val="single" w:color="000000" w:sz="8" w:space="0"/>
              <w:bottom w:val="single" w:color="000000" w:sz="6" w:space="0"/>
              <w:right w:val="single" w:color="000000" w:sz="6" w:space="0"/>
            </w:tcBorders>
            <w:shd w:val="clear" w:color="000000" w:fill="FFFFFF"/>
            <w:vAlign w:val="center"/>
          </w:tcPr>
          <w:p w14:paraId="4FA9BA69">
            <w:pPr>
              <w:spacing w:line="360" w:lineRule="auto"/>
              <w:jc w:val="center"/>
              <w:rPr>
                <w:rFonts w:ascii="宋体" w:hAnsi="宋体"/>
                <w:color w:val="000000" w:themeColor="text1"/>
                <w:sz w:val="24"/>
                <w:lang w:val="zh-CN"/>
                <w14:textFill>
                  <w14:solidFill>
                    <w14:schemeClr w14:val="tx1"/>
                  </w14:solidFill>
                </w14:textFill>
              </w:rPr>
            </w:pPr>
            <w:r>
              <w:rPr>
                <w:rFonts w:ascii="宋体" w:hAnsi="宋体"/>
                <w:color w:val="000000" w:themeColor="text1"/>
                <w:sz w:val="24"/>
                <w:lang w:val="zh-CN"/>
                <w14:textFill>
                  <w14:solidFill>
                    <w14:schemeClr w14:val="tx1"/>
                  </w14:solidFill>
                </w14:textFill>
              </w:rPr>
              <w:t>2</w:t>
            </w:r>
          </w:p>
        </w:tc>
        <w:tc>
          <w:tcPr>
            <w:tcW w:w="16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C6C54A4">
            <w:pPr>
              <w:spacing w:line="360" w:lineRule="auto"/>
              <w:jc w:val="center"/>
              <w:rPr>
                <w:rFonts w:ascii="宋体" w:hAnsi="宋体"/>
                <w:color w:val="000000" w:themeColor="text1"/>
                <w:sz w:val="24"/>
                <w:lang w:val="zh-CN"/>
                <w14:textFill>
                  <w14:solidFill>
                    <w14:schemeClr w14:val="tx1"/>
                  </w14:solidFill>
                </w14:textFill>
              </w:rPr>
            </w:pPr>
          </w:p>
        </w:tc>
        <w:tc>
          <w:tcPr>
            <w:tcW w:w="103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AA3AF42">
            <w:pPr>
              <w:spacing w:line="360" w:lineRule="auto"/>
              <w:jc w:val="center"/>
              <w:rPr>
                <w:rFonts w:ascii="宋体" w:hAnsi="宋体"/>
                <w:color w:val="000000" w:themeColor="text1"/>
                <w:sz w:val="24"/>
                <w:lang w:val="zh-CN"/>
                <w14:textFill>
                  <w14:solidFill>
                    <w14:schemeClr w14:val="tx1"/>
                  </w14:solidFill>
                </w14:textFill>
              </w:rPr>
            </w:pPr>
          </w:p>
        </w:tc>
        <w:tc>
          <w:tcPr>
            <w:tcW w:w="115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BB31432">
            <w:pPr>
              <w:spacing w:line="360" w:lineRule="auto"/>
              <w:jc w:val="center"/>
              <w:rPr>
                <w:rFonts w:ascii="宋体" w:hAnsi="宋体"/>
                <w:color w:val="000000" w:themeColor="text1"/>
                <w:sz w:val="24"/>
                <w:lang w:val="zh-CN"/>
                <w14:textFill>
                  <w14:solidFill>
                    <w14:schemeClr w14:val="tx1"/>
                  </w14:solidFill>
                </w14:textFill>
              </w:rPr>
            </w:pPr>
          </w:p>
        </w:tc>
        <w:tc>
          <w:tcPr>
            <w:tcW w:w="133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0F35DA4">
            <w:pPr>
              <w:spacing w:line="360" w:lineRule="auto"/>
              <w:jc w:val="center"/>
              <w:rPr>
                <w:rFonts w:ascii="宋体" w:hAnsi="宋体"/>
                <w:color w:val="000000" w:themeColor="text1"/>
                <w:sz w:val="24"/>
                <w:lang w:val="zh-CN"/>
                <w14:textFill>
                  <w14:solidFill>
                    <w14:schemeClr w14:val="tx1"/>
                  </w14:solidFill>
                </w14:textFill>
              </w:rPr>
            </w:pPr>
          </w:p>
        </w:tc>
        <w:tc>
          <w:tcPr>
            <w:tcW w:w="120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984626A">
            <w:pPr>
              <w:spacing w:line="360" w:lineRule="auto"/>
              <w:jc w:val="center"/>
              <w:rPr>
                <w:rFonts w:ascii="宋体" w:hAnsi="宋体"/>
                <w:color w:val="000000" w:themeColor="text1"/>
                <w:sz w:val="24"/>
                <w:lang w:val="zh-CN"/>
                <w14:textFill>
                  <w14:solidFill>
                    <w14:schemeClr w14:val="tx1"/>
                  </w14:solidFill>
                </w14:textFill>
              </w:rPr>
            </w:pPr>
          </w:p>
        </w:tc>
        <w:tc>
          <w:tcPr>
            <w:tcW w:w="804"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061FF3B">
            <w:pPr>
              <w:spacing w:line="360" w:lineRule="auto"/>
              <w:jc w:val="center"/>
              <w:rPr>
                <w:rFonts w:ascii="宋体" w:hAnsi="宋体"/>
                <w:color w:val="000000" w:themeColor="text1"/>
                <w:sz w:val="24"/>
                <w:lang w:val="zh-CN"/>
                <w14:textFill>
                  <w14:solidFill>
                    <w14:schemeClr w14:val="tx1"/>
                  </w14:solidFill>
                </w14:textFill>
              </w:rPr>
            </w:pPr>
          </w:p>
        </w:tc>
        <w:tc>
          <w:tcPr>
            <w:tcW w:w="9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4207B32">
            <w:pPr>
              <w:spacing w:line="360" w:lineRule="auto"/>
              <w:jc w:val="center"/>
              <w:rPr>
                <w:rFonts w:ascii="宋体" w:hAnsi="宋体"/>
                <w:color w:val="000000" w:themeColor="text1"/>
                <w:sz w:val="24"/>
                <w:lang w:val="zh-CN"/>
                <w14:textFill>
                  <w14:solidFill>
                    <w14:schemeClr w14:val="tx1"/>
                  </w14:solidFill>
                </w14:textFill>
              </w:rPr>
            </w:pPr>
          </w:p>
        </w:tc>
        <w:tc>
          <w:tcPr>
            <w:tcW w:w="945" w:type="dxa"/>
            <w:tcBorders>
              <w:top w:val="single" w:color="000000" w:sz="6" w:space="0"/>
              <w:left w:val="single" w:color="000000" w:sz="6" w:space="0"/>
              <w:bottom w:val="single" w:color="000000" w:sz="6" w:space="0"/>
              <w:right w:val="single" w:color="000000" w:sz="8" w:space="0"/>
            </w:tcBorders>
            <w:shd w:val="clear" w:color="000000" w:fill="FFFFFF"/>
            <w:vAlign w:val="center"/>
          </w:tcPr>
          <w:p w14:paraId="0DEFFBBE">
            <w:pPr>
              <w:spacing w:line="360" w:lineRule="auto"/>
              <w:jc w:val="center"/>
              <w:rPr>
                <w:rFonts w:ascii="宋体" w:hAnsi="宋体"/>
                <w:color w:val="000000" w:themeColor="text1"/>
                <w:sz w:val="24"/>
                <w:lang w:val="zh-CN"/>
                <w14:textFill>
                  <w14:solidFill>
                    <w14:schemeClr w14:val="tx1"/>
                  </w14:solidFill>
                </w14:textFill>
              </w:rPr>
            </w:pPr>
          </w:p>
        </w:tc>
      </w:tr>
      <w:tr w14:paraId="49B07E8F">
        <w:tblPrEx>
          <w:tblCellMar>
            <w:top w:w="0" w:type="dxa"/>
            <w:left w:w="28" w:type="dxa"/>
            <w:bottom w:w="0" w:type="dxa"/>
            <w:right w:w="28" w:type="dxa"/>
          </w:tblCellMar>
        </w:tblPrEx>
        <w:trPr>
          <w:trHeight w:val="529" w:hRule="atLeast"/>
          <w:jc w:val="center"/>
        </w:trPr>
        <w:tc>
          <w:tcPr>
            <w:tcW w:w="713" w:type="dxa"/>
            <w:tcBorders>
              <w:top w:val="single" w:color="000000" w:sz="6" w:space="0"/>
              <w:left w:val="single" w:color="000000" w:sz="8" w:space="0"/>
              <w:bottom w:val="single" w:color="000000" w:sz="6" w:space="0"/>
              <w:right w:val="single" w:color="000000" w:sz="6" w:space="0"/>
            </w:tcBorders>
            <w:shd w:val="clear" w:color="000000" w:fill="FFFFFF"/>
            <w:vAlign w:val="center"/>
          </w:tcPr>
          <w:p w14:paraId="4E1B5A0E">
            <w:pPr>
              <w:spacing w:line="360" w:lineRule="auto"/>
              <w:jc w:val="center"/>
              <w:rPr>
                <w:rFonts w:ascii="宋体" w:hAnsi="宋体"/>
                <w:color w:val="000000" w:themeColor="text1"/>
                <w:sz w:val="24"/>
                <w:lang w:val="zh-CN"/>
                <w14:textFill>
                  <w14:solidFill>
                    <w14:schemeClr w14:val="tx1"/>
                  </w14:solidFill>
                </w14:textFill>
              </w:rPr>
            </w:pPr>
            <w:r>
              <w:rPr>
                <w:rFonts w:ascii="宋体" w:hAnsi="宋体"/>
                <w:color w:val="000000" w:themeColor="text1"/>
                <w:sz w:val="24"/>
                <w:lang w:val="zh-CN"/>
                <w14:textFill>
                  <w14:solidFill>
                    <w14:schemeClr w14:val="tx1"/>
                  </w14:solidFill>
                </w14:textFill>
              </w:rPr>
              <w:t>3</w:t>
            </w:r>
          </w:p>
        </w:tc>
        <w:tc>
          <w:tcPr>
            <w:tcW w:w="16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4BAC808">
            <w:pPr>
              <w:spacing w:line="360" w:lineRule="auto"/>
              <w:jc w:val="center"/>
              <w:rPr>
                <w:rFonts w:ascii="宋体" w:hAnsi="宋体"/>
                <w:color w:val="000000" w:themeColor="text1"/>
                <w:sz w:val="24"/>
                <w:lang w:val="zh-CN"/>
                <w14:textFill>
                  <w14:solidFill>
                    <w14:schemeClr w14:val="tx1"/>
                  </w14:solidFill>
                </w14:textFill>
              </w:rPr>
            </w:pPr>
          </w:p>
        </w:tc>
        <w:tc>
          <w:tcPr>
            <w:tcW w:w="103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83F2F84">
            <w:pPr>
              <w:spacing w:line="360" w:lineRule="auto"/>
              <w:jc w:val="center"/>
              <w:rPr>
                <w:rFonts w:ascii="宋体" w:hAnsi="宋体"/>
                <w:color w:val="000000" w:themeColor="text1"/>
                <w:sz w:val="24"/>
                <w:lang w:val="zh-CN"/>
                <w14:textFill>
                  <w14:solidFill>
                    <w14:schemeClr w14:val="tx1"/>
                  </w14:solidFill>
                </w14:textFill>
              </w:rPr>
            </w:pPr>
          </w:p>
        </w:tc>
        <w:tc>
          <w:tcPr>
            <w:tcW w:w="115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5DEFD04">
            <w:pPr>
              <w:spacing w:line="360" w:lineRule="auto"/>
              <w:jc w:val="center"/>
              <w:rPr>
                <w:rFonts w:ascii="宋体" w:hAnsi="宋体"/>
                <w:color w:val="000000" w:themeColor="text1"/>
                <w:sz w:val="24"/>
                <w:lang w:val="zh-CN"/>
                <w14:textFill>
                  <w14:solidFill>
                    <w14:schemeClr w14:val="tx1"/>
                  </w14:solidFill>
                </w14:textFill>
              </w:rPr>
            </w:pPr>
          </w:p>
        </w:tc>
        <w:tc>
          <w:tcPr>
            <w:tcW w:w="133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21CF280">
            <w:pPr>
              <w:spacing w:line="360" w:lineRule="auto"/>
              <w:jc w:val="center"/>
              <w:rPr>
                <w:rFonts w:ascii="宋体" w:hAnsi="宋体"/>
                <w:color w:val="000000" w:themeColor="text1"/>
                <w:sz w:val="24"/>
                <w:lang w:val="zh-CN"/>
                <w14:textFill>
                  <w14:solidFill>
                    <w14:schemeClr w14:val="tx1"/>
                  </w14:solidFill>
                </w14:textFill>
              </w:rPr>
            </w:pPr>
          </w:p>
        </w:tc>
        <w:tc>
          <w:tcPr>
            <w:tcW w:w="120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6285382">
            <w:pPr>
              <w:spacing w:line="360" w:lineRule="auto"/>
              <w:jc w:val="center"/>
              <w:rPr>
                <w:rFonts w:ascii="宋体" w:hAnsi="宋体"/>
                <w:color w:val="000000" w:themeColor="text1"/>
                <w:sz w:val="24"/>
                <w:lang w:val="zh-CN"/>
                <w14:textFill>
                  <w14:solidFill>
                    <w14:schemeClr w14:val="tx1"/>
                  </w14:solidFill>
                </w14:textFill>
              </w:rPr>
            </w:pPr>
          </w:p>
        </w:tc>
        <w:tc>
          <w:tcPr>
            <w:tcW w:w="804"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EB9933E">
            <w:pPr>
              <w:spacing w:line="360" w:lineRule="auto"/>
              <w:jc w:val="center"/>
              <w:rPr>
                <w:rFonts w:ascii="宋体" w:hAnsi="宋体"/>
                <w:color w:val="000000" w:themeColor="text1"/>
                <w:sz w:val="24"/>
                <w:lang w:val="zh-CN"/>
                <w14:textFill>
                  <w14:solidFill>
                    <w14:schemeClr w14:val="tx1"/>
                  </w14:solidFill>
                </w14:textFill>
              </w:rPr>
            </w:pPr>
          </w:p>
        </w:tc>
        <w:tc>
          <w:tcPr>
            <w:tcW w:w="9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80925C2">
            <w:pPr>
              <w:spacing w:line="360" w:lineRule="auto"/>
              <w:jc w:val="center"/>
              <w:rPr>
                <w:rFonts w:ascii="宋体" w:hAnsi="宋体"/>
                <w:color w:val="000000" w:themeColor="text1"/>
                <w:sz w:val="24"/>
                <w:lang w:val="zh-CN"/>
                <w14:textFill>
                  <w14:solidFill>
                    <w14:schemeClr w14:val="tx1"/>
                  </w14:solidFill>
                </w14:textFill>
              </w:rPr>
            </w:pPr>
          </w:p>
        </w:tc>
        <w:tc>
          <w:tcPr>
            <w:tcW w:w="945" w:type="dxa"/>
            <w:tcBorders>
              <w:top w:val="single" w:color="000000" w:sz="6" w:space="0"/>
              <w:left w:val="single" w:color="000000" w:sz="6" w:space="0"/>
              <w:bottom w:val="single" w:color="000000" w:sz="6" w:space="0"/>
              <w:right w:val="single" w:color="000000" w:sz="8" w:space="0"/>
            </w:tcBorders>
            <w:shd w:val="clear" w:color="000000" w:fill="FFFFFF"/>
            <w:vAlign w:val="center"/>
          </w:tcPr>
          <w:p w14:paraId="50FE7507">
            <w:pPr>
              <w:spacing w:line="360" w:lineRule="auto"/>
              <w:jc w:val="center"/>
              <w:rPr>
                <w:rFonts w:ascii="宋体" w:hAnsi="宋体"/>
                <w:color w:val="000000" w:themeColor="text1"/>
                <w:sz w:val="24"/>
                <w:lang w:val="zh-CN"/>
                <w14:textFill>
                  <w14:solidFill>
                    <w14:schemeClr w14:val="tx1"/>
                  </w14:solidFill>
                </w14:textFill>
              </w:rPr>
            </w:pPr>
          </w:p>
        </w:tc>
      </w:tr>
      <w:tr w14:paraId="1EC4131E">
        <w:tblPrEx>
          <w:tblCellMar>
            <w:top w:w="0" w:type="dxa"/>
            <w:left w:w="28" w:type="dxa"/>
            <w:bottom w:w="0" w:type="dxa"/>
            <w:right w:w="28" w:type="dxa"/>
          </w:tblCellMar>
        </w:tblPrEx>
        <w:trPr>
          <w:trHeight w:val="529" w:hRule="atLeast"/>
          <w:jc w:val="center"/>
        </w:trPr>
        <w:tc>
          <w:tcPr>
            <w:tcW w:w="713" w:type="dxa"/>
            <w:tcBorders>
              <w:top w:val="single" w:color="000000" w:sz="6" w:space="0"/>
              <w:left w:val="single" w:color="000000" w:sz="8" w:space="0"/>
              <w:bottom w:val="single" w:color="000000" w:sz="6" w:space="0"/>
              <w:right w:val="single" w:color="000000" w:sz="6" w:space="0"/>
            </w:tcBorders>
            <w:shd w:val="clear" w:color="000000" w:fill="FFFFFF"/>
            <w:vAlign w:val="center"/>
          </w:tcPr>
          <w:p w14:paraId="0E0DAED7">
            <w:pPr>
              <w:spacing w:line="360" w:lineRule="auto"/>
              <w:jc w:val="center"/>
              <w:rPr>
                <w:rFonts w:ascii="宋体" w:hAnsi="宋体"/>
                <w:color w:val="000000" w:themeColor="text1"/>
                <w:sz w:val="24"/>
                <w:lang w:val="zh-CN"/>
                <w14:textFill>
                  <w14:solidFill>
                    <w14:schemeClr w14:val="tx1"/>
                  </w14:solidFill>
                </w14:textFill>
              </w:rPr>
            </w:pPr>
            <w:r>
              <w:rPr>
                <w:rFonts w:ascii="宋体" w:hAnsi="宋体"/>
                <w:color w:val="000000" w:themeColor="text1"/>
                <w:sz w:val="24"/>
                <w:lang w:val="zh-CN"/>
                <w14:textFill>
                  <w14:solidFill>
                    <w14:schemeClr w14:val="tx1"/>
                  </w14:solidFill>
                </w14:textFill>
              </w:rPr>
              <w:t>4</w:t>
            </w:r>
          </w:p>
        </w:tc>
        <w:tc>
          <w:tcPr>
            <w:tcW w:w="16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1DFAF13">
            <w:pPr>
              <w:spacing w:line="360" w:lineRule="auto"/>
              <w:jc w:val="center"/>
              <w:rPr>
                <w:rFonts w:ascii="宋体" w:hAnsi="宋体"/>
                <w:color w:val="000000" w:themeColor="text1"/>
                <w:sz w:val="24"/>
                <w:lang w:val="zh-CN"/>
                <w14:textFill>
                  <w14:solidFill>
                    <w14:schemeClr w14:val="tx1"/>
                  </w14:solidFill>
                </w14:textFill>
              </w:rPr>
            </w:pPr>
          </w:p>
        </w:tc>
        <w:tc>
          <w:tcPr>
            <w:tcW w:w="103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C05679E">
            <w:pPr>
              <w:spacing w:line="360" w:lineRule="auto"/>
              <w:jc w:val="center"/>
              <w:rPr>
                <w:rFonts w:ascii="宋体" w:hAnsi="宋体"/>
                <w:color w:val="000000" w:themeColor="text1"/>
                <w:sz w:val="24"/>
                <w:lang w:val="zh-CN"/>
                <w14:textFill>
                  <w14:solidFill>
                    <w14:schemeClr w14:val="tx1"/>
                  </w14:solidFill>
                </w14:textFill>
              </w:rPr>
            </w:pPr>
          </w:p>
        </w:tc>
        <w:tc>
          <w:tcPr>
            <w:tcW w:w="115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C68AA8A">
            <w:pPr>
              <w:spacing w:line="360" w:lineRule="auto"/>
              <w:jc w:val="center"/>
              <w:rPr>
                <w:rFonts w:ascii="宋体" w:hAnsi="宋体"/>
                <w:color w:val="000000" w:themeColor="text1"/>
                <w:sz w:val="24"/>
                <w:lang w:val="zh-CN"/>
                <w14:textFill>
                  <w14:solidFill>
                    <w14:schemeClr w14:val="tx1"/>
                  </w14:solidFill>
                </w14:textFill>
              </w:rPr>
            </w:pPr>
          </w:p>
        </w:tc>
        <w:tc>
          <w:tcPr>
            <w:tcW w:w="133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C8AE7C5">
            <w:pPr>
              <w:spacing w:line="360" w:lineRule="auto"/>
              <w:jc w:val="center"/>
              <w:rPr>
                <w:rFonts w:ascii="宋体" w:hAnsi="宋体"/>
                <w:color w:val="000000" w:themeColor="text1"/>
                <w:sz w:val="24"/>
                <w:lang w:val="zh-CN"/>
                <w14:textFill>
                  <w14:solidFill>
                    <w14:schemeClr w14:val="tx1"/>
                  </w14:solidFill>
                </w14:textFill>
              </w:rPr>
            </w:pPr>
          </w:p>
        </w:tc>
        <w:tc>
          <w:tcPr>
            <w:tcW w:w="120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7F546E7">
            <w:pPr>
              <w:spacing w:line="360" w:lineRule="auto"/>
              <w:jc w:val="center"/>
              <w:rPr>
                <w:rFonts w:ascii="宋体" w:hAnsi="宋体"/>
                <w:color w:val="000000" w:themeColor="text1"/>
                <w:sz w:val="24"/>
                <w:lang w:val="zh-CN"/>
                <w14:textFill>
                  <w14:solidFill>
                    <w14:schemeClr w14:val="tx1"/>
                  </w14:solidFill>
                </w14:textFill>
              </w:rPr>
            </w:pPr>
          </w:p>
        </w:tc>
        <w:tc>
          <w:tcPr>
            <w:tcW w:w="804"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45E6B14">
            <w:pPr>
              <w:spacing w:line="360" w:lineRule="auto"/>
              <w:jc w:val="center"/>
              <w:rPr>
                <w:rFonts w:ascii="宋体" w:hAnsi="宋体"/>
                <w:color w:val="000000" w:themeColor="text1"/>
                <w:sz w:val="24"/>
                <w:lang w:val="zh-CN"/>
                <w14:textFill>
                  <w14:solidFill>
                    <w14:schemeClr w14:val="tx1"/>
                  </w14:solidFill>
                </w14:textFill>
              </w:rPr>
            </w:pPr>
          </w:p>
        </w:tc>
        <w:tc>
          <w:tcPr>
            <w:tcW w:w="9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F8FDE66">
            <w:pPr>
              <w:spacing w:line="360" w:lineRule="auto"/>
              <w:jc w:val="center"/>
              <w:rPr>
                <w:rFonts w:ascii="宋体" w:hAnsi="宋体"/>
                <w:color w:val="000000" w:themeColor="text1"/>
                <w:sz w:val="24"/>
                <w:lang w:val="zh-CN"/>
                <w14:textFill>
                  <w14:solidFill>
                    <w14:schemeClr w14:val="tx1"/>
                  </w14:solidFill>
                </w14:textFill>
              </w:rPr>
            </w:pPr>
          </w:p>
        </w:tc>
        <w:tc>
          <w:tcPr>
            <w:tcW w:w="945" w:type="dxa"/>
            <w:tcBorders>
              <w:top w:val="single" w:color="000000" w:sz="6" w:space="0"/>
              <w:left w:val="single" w:color="000000" w:sz="6" w:space="0"/>
              <w:bottom w:val="single" w:color="000000" w:sz="6" w:space="0"/>
              <w:right w:val="single" w:color="000000" w:sz="8" w:space="0"/>
            </w:tcBorders>
            <w:shd w:val="clear" w:color="000000" w:fill="FFFFFF"/>
            <w:vAlign w:val="center"/>
          </w:tcPr>
          <w:p w14:paraId="78FCD133">
            <w:pPr>
              <w:spacing w:line="360" w:lineRule="auto"/>
              <w:jc w:val="center"/>
              <w:rPr>
                <w:rFonts w:ascii="宋体" w:hAnsi="宋体"/>
                <w:color w:val="000000" w:themeColor="text1"/>
                <w:sz w:val="24"/>
                <w:lang w:val="zh-CN"/>
                <w14:textFill>
                  <w14:solidFill>
                    <w14:schemeClr w14:val="tx1"/>
                  </w14:solidFill>
                </w14:textFill>
              </w:rPr>
            </w:pPr>
          </w:p>
        </w:tc>
      </w:tr>
      <w:tr w14:paraId="036B0A9B">
        <w:tblPrEx>
          <w:tblCellMar>
            <w:top w:w="0" w:type="dxa"/>
            <w:left w:w="28" w:type="dxa"/>
            <w:bottom w:w="0" w:type="dxa"/>
            <w:right w:w="28" w:type="dxa"/>
          </w:tblCellMar>
        </w:tblPrEx>
        <w:trPr>
          <w:trHeight w:val="529" w:hRule="atLeast"/>
          <w:jc w:val="center"/>
        </w:trPr>
        <w:tc>
          <w:tcPr>
            <w:tcW w:w="713" w:type="dxa"/>
            <w:tcBorders>
              <w:top w:val="single" w:color="000000" w:sz="6" w:space="0"/>
              <w:left w:val="single" w:color="000000" w:sz="8" w:space="0"/>
              <w:bottom w:val="single" w:color="000000" w:sz="6" w:space="0"/>
              <w:right w:val="single" w:color="000000" w:sz="6" w:space="0"/>
            </w:tcBorders>
            <w:shd w:val="clear" w:color="000000" w:fill="FFFFFF"/>
            <w:vAlign w:val="center"/>
          </w:tcPr>
          <w:p w14:paraId="17471B1E">
            <w:pPr>
              <w:spacing w:line="360" w:lineRule="auto"/>
              <w:jc w:val="center"/>
              <w:rPr>
                <w:rFonts w:ascii="宋体" w:hAnsi="宋体"/>
                <w:color w:val="000000" w:themeColor="text1"/>
                <w:sz w:val="24"/>
                <w:lang w:val="zh-CN"/>
                <w14:textFill>
                  <w14:solidFill>
                    <w14:schemeClr w14:val="tx1"/>
                  </w14:solidFill>
                </w14:textFill>
              </w:rPr>
            </w:pPr>
            <w:r>
              <w:rPr>
                <w:rFonts w:ascii="宋体" w:hAnsi="宋体"/>
                <w:color w:val="000000" w:themeColor="text1"/>
                <w:sz w:val="24"/>
                <w:lang w:val="zh-CN"/>
                <w14:textFill>
                  <w14:solidFill>
                    <w14:schemeClr w14:val="tx1"/>
                  </w14:solidFill>
                </w14:textFill>
              </w:rPr>
              <w:t>…</w:t>
            </w:r>
          </w:p>
        </w:tc>
        <w:tc>
          <w:tcPr>
            <w:tcW w:w="16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2ADC4D8">
            <w:pPr>
              <w:spacing w:line="360" w:lineRule="auto"/>
              <w:jc w:val="center"/>
              <w:rPr>
                <w:rFonts w:ascii="宋体" w:hAnsi="宋体"/>
                <w:color w:val="000000" w:themeColor="text1"/>
                <w:sz w:val="24"/>
                <w:lang w:val="zh-CN"/>
                <w14:textFill>
                  <w14:solidFill>
                    <w14:schemeClr w14:val="tx1"/>
                  </w14:solidFill>
                </w14:textFill>
              </w:rPr>
            </w:pPr>
          </w:p>
        </w:tc>
        <w:tc>
          <w:tcPr>
            <w:tcW w:w="103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723FCD9">
            <w:pPr>
              <w:spacing w:line="360" w:lineRule="auto"/>
              <w:jc w:val="center"/>
              <w:rPr>
                <w:rFonts w:ascii="宋体" w:hAnsi="宋体"/>
                <w:color w:val="000000" w:themeColor="text1"/>
                <w:sz w:val="24"/>
                <w:lang w:val="zh-CN"/>
                <w14:textFill>
                  <w14:solidFill>
                    <w14:schemeClr w14:val="tx1"/>
                  </w14:solidFill>
                </w14:textFill>
              </w:rPr>
            </w:pPr>
          </w:p>
        </w:tc>
        <w:tc>
          <w:tcPr>
            <w:tcW w:w="115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5E8121B">
            <w:pPr>
              <w:spacing w:line="360" w:lineRule="auto"/>
              <w:jc w:val="center"/>
              <w:rPr>
                <w:rFonts w:ascii="宋体" w:hAnsi="宋体"/>
                <w:color w:val="000000" w:themeColor="text1"/>
                <w:sz w:val="24"/>
                <w:lang w:val="zh-CN"/>
                <w14:textFill>
                  <w14:solidFill>
                    <w14:schemeClr w14:val="tx1"/>
                  </w14:solidFill>
                </w14:textFill>
              </w:rPr>
            </w:pPr>
          </w:p>
        </w:tc>
        <w:tc>
          <w:tcPr>
            <w:tcW w:w="133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57897AB">
            <w:pPr>
              <w:spacing w:line="360" w:lineRule="auto"/>
              <w:jc w:val="center"/>
              <w:rPr>
                <w:rFonts w:ascii="宋体" w:hAnsi="宋体"/>
                <w:color w:val="000000" w:themeColor="text1"/>
                <w:sz w:val="24"/>
                <w:lang w:val="zh-CN"/>
                <w14:textFill>
                  <w14:solidFill>
                    <w14:schemeClr w14:val="tx1"/>
                  </w14:solidFill>
                </w14:textFill>
              </w:rPr>
            </w:pPr>
          </w:p>
        </w:tc>
        <w:tc>
          <w:tcPr>
            <w:tcW w:w="120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56E46CD">
            <w:pPr>
              <w:spacing w:line="360" w:lineRule="auto"/>
              <w:jc w:val="center"/>
              <w:rPr>
                <w:rFonts w:ascii="宋体" w:hAnsi="宋体"/>
                <w:color w:val="000000" w:themeColor="text1"/>
                <w:sz w:val="24"/>
                <w:lang w:val="zh-CN"/>
                <w14:textFill>
                  <w14:solidFill>
                    <w14:schemeClr w14:val="tx1"/>
                  </w14:solidFill>
                </w14:textFill>
              </w:rPr>
            </w:pPr>
          </w:p>
        </w:tc>
        <w:tc>
          <w:tcPr>
            <w:tcW w:w="804"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723D095">
            <w:pPr>
              <w:spacing w:line="360" w:lineRule="auto"/>
              <w:jc w:val="center"/>
              <w:rPr>
                <w:rFonts w:ascii="宋体" w:hAnsi="宋体"/>
                <w:color w:val="000000" w:themeColor="text1"/>
                <w:sz w:val="24"/>
                <w:lang w:val="zh-CN"/>
                <w14:textFill>
                  <w14:solidFill>
                    <w14:schemeClr w14:val="tx1"/>
                  </w14:solidFill>
                </w14:textFill>
              </w:rPr>
            </w:pPr>
          </w:p>
        </w:tc>
        <w:tc>
          <w:tcPr>
            <w:tcW w:w="9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F393196">
            <w:pPr>
              <w:spacing w:line="360" w:lineRule="auto"/>
              <w:jc w:val="center"/>
              <w:rPr>
                <w:rFonts w:ascii="宋体" w:hAnsi="宋体"/>
                <w:color w:val="000000" w:themeColor="text1"/>
                <w:sz w:val="24"/>
                <w:lang w:val="zh-CN"/>
                <w14:textFill>
                  <w14:solidFill>
                    <w14:schemeClr w14:val="tx1"/>
                  </w14:solidFill>
                </w14:textFill>
              </w:rPr>
            </w:pPr>
          </w:p>
        </w:tc>
        <w:tc>
          <w:tcPr>
            <w:tcW w:w="945" w:type="dxa"/>
            <w:tcBorders>
              <w:top w:val="single" w:color="000000" w:sz="6" w:space="0"/>
              <w:left w:val="single" w:color="000000" w:sz="6" w:space="0"/>
              <w:bottom w:val="single" w:color="000000" w:sz="6" w:space="0"/>
              <w:right w:val="single" w:color="000000" w:sz="8" w:space="0"/>
            </w:tcBorders>
            <w:shd w:val="clear" w:color="000000" w:fill="FFFFFF"/>
            <w:vAlign w:val="center"/>
          </w:tcPr>
          <w:p w14:paraId="22FA2AFE">
            <w:pPr>
              <w:spacing w:line="360" w:lineRule="auto"/>
              <w:jc w:val="center"/>
              <w:rPr>
                <w:rFonts w:ascii="宋体" w:hAnsi="宋体"/>
                <w:color w:val="000000" w:themeColor="text1"/>
                <w:sz w:val="24"/>
                <w:lang w:val="zh-CN"/>
                <w14:textFill>
                  <w14:solidFill>
                    <w14:schemeClr w14:val="tx1"/>
                  </w14:solidFill>
                </w14:textFill>
              </w:rPr>
            </w:pPr>
          </w:p>
        </w:tc>
      </w:tr>
      <w:tr w14:paraId="7AC2A856">
        <w:tblPrEx>
          <w:tblCellMar>
            <w:top w:w="0" w:type="dxa"/>
            <w:left w:w="28" w:type="dxa"/>
            <w:bottom w:w="0" w:type="dxa"/>
            <w:right w:w="28" w:type="dxa"/>
          </w:tblCellMar>
        </w:tblPrEx>
        <w:trPr>
          <w:trHeight w:val="1067" w:hRule="atLeast"/>
          <w:jc w:val="center"/>
        </w:trPr>
        <w:tc>
          <w:tcPr>
            <w:tcW w:w="9808" w:type="dxa"/>
            <w:gridSpan w:val="9"/>
            <w:tcBorders>
              <w:top w:val="single" w:color="000000" w:sz="6" w:space="0"/>
              <w:left w:val="single" w:color="000000" w:sz="8" w:space="0"/>
              <w:bottom w:val="single" w:color="000000" w:sz="6" w:space="0"/>
              <w:right w:val="single" w:color="000000" w:sz="8" w:space="0"/>
            </w:tcBorders>
            <w:shd w:val="clear" w:color="000000" w:fill="FFFFFF"/>
            <w:vAlign w:val="center"/>
          </w:tcPr>
          <w:p w14:paraId="1A7D55A3">
            <w:pPr>
              <w:spacing w:line="360" w:lineRule="auto"/>
              <w:rPr>
                <w:rFonts w:ascii="宋体" w:hAnsi="宋体"/>
                <w:color w:val="000000" w:themeColor="text1"/>
                <w:sz w:val="24"/>
                <w:lang w:val="zh-CN"/>
                <w14:textFill>
                  <w14:solidFill>
                    <w14:schemeClr w14:val="tx1"/>
                  </w14:solidFill>
                </w14:textFill>
              </w:rPr>
            </w:pPr>
            <w:r>
              <w:rPr>
                <w:rFonts w:hint="eastAsia" w:ascii="宋体" w:hAnsi="宋体"/>
                <w:color w:val="000000" w:themeColor="text1"/>
                <w:sz w:val="24"/>
                <w:lang w:val="zh-CN"/>
                <w14:textFill>
                  <w14:solidFill>
                    <w14:schemeClr w14:val="tx1"/>
                  </w14:solidFill>
                </w14:textFill>
              </w:rPr>
              <w:t>优惠承诺及其他：</w:t>
            </w:r>
          </w:p>
          <w:p w14:paraId="34D99CD8">
            <w:pPr>
              <w:spacing w:line="360" w:lineRule="auto"/>
              <w:rPr>
                <w:rFonts w:ascii="宋体" w:hAnsi="宋体"/>
                <w:color w:val="000000" w:themeColor="text1"/>
                <w:sz w:val="24"/>
                <w:lang w:val="zh-CN"/>
                <w14:textFill>
                  <w14:solidFill>
                    <w14:schemeClr w14:val="tx1"/>
                  </w14:solidFill>
                </w14:textFill>
              </w:rPr>
            </w:pPr>
          </w:p>
        </w:tc>
      </w:tr>
      <w:tr w14:paraId="2F9E0E7C">
        <w:tblPrEx>
          <w:tblCellMar>
            <w:top w:w="0" w:type="dxa"/>
            <w:left w:w="28" w:type="dxa"/>
            <w:bottom w:w="0" w:type="dxa"/>
            <w:right w:w="28" w:type="dxa"/>
          </w:tblCellMar>
        </w:tblPrEx>
        <w:trPr>
          <w:trHeight w:val="1038" w:hRule="atLeast"/>
          <w:jc w:val="center"/>
        </w:trPr>
        <w:tc>
          <w:tcPr>
            <w:tcW w:w="2379" w:type="dxa"/>
            <w:gridSpan w:val="2"/>
            <w:tcBorders>
              <w:top w:val="single" w:color="000000" w:sz="6" w:space="0"/>
              <w:left w:val="single" w:color="000000" w:sz="8" w:space="0"/>
              <w:bottom w:val="single" w:color="000000" w:sz="8" w:space="0"/>
              <w:right w:val="single" w:color="000000" w:sz="6" w:space="0"/>
            </w:tcBorders>
            <w:shd w:val="clear" w:color="000000" w:fill="FFFFFF"/>
            <w:vAlign w:val="center"/>
          </w:tcPr>
          <w:p w14:paraId="54E45026">
            <w:pPr>
              <w:spacing w:line="360" w:lineRule="auto"/>
              <w:rPr>
                <w:rFonts w:ascii="宋体" w:hAnsi="宋体"/>
                <w:color w:val="000000" w:themeColor="text1"/>
                <w:sz w:val="24"/>
                <w:lang w:val="zh-CN"/>
                <w14:textFill>
                  <w14:solidFill>
                    <w14:schemeClr w14:val="tx1"/>
                  </w14:solidFill>
                </w14:textFill>
              </w:rPr>
            </w:pPr>
            <w:r>
              <w:rPr>
                <w:rFonts w:hint="eastAsia" w:ascii="宋体" w:hAnsi="宋体"/>
                <w:color w:val="000000" w:themeColor="text1"/>
                <w:sz w:val="24"/>
                <w:lang w:val="zh-CN"/>
                <w14:textFill>
                  <w14:solidFill>
                    <w14:schemeClr w14:val="tx1"/>
                  </w14:solidFill>
                </w14:textFill>
              </w:rPr>
              <w:t>投标总价</w:t>
            </w:r>
          </w:p>
        </w:tc>
        <w:tc>
          <w:tcPr>
            <w:tcW w:w="7429" w:type="dxa"/>
            <w:gridSpan w:val="7"/>
            <w:tcBorders>
              <w:top w:val="single" w:color="000000" w:sz="6" w:space="0"/>
              <w:left w:val="single" w:color="000000" w:sz="6" w:space="0"/>
              <w:bottom w:val="single" w:color="000000" w:sz="8" w:space="0"/>
              <w:right w:val="single" w:color="000000" w:sz="8" w:space="0"/>
            </w:tcBorders>
            <w:shd w:val="clear" w:color="000000" w:fill="FFFFFF"/>
            <w:vAlign w:val="center"/>
          </w:tcPr>
          <w:p w14:paraId="700C7E34">
            <w:pPr>
              <w:spacing w:line="360" w:lineRule="auto"/>
              <w:rPr>
                <w:rFonts w:ascii="宋体" w:hAnsi="宋体"/>
                <w:color w:val="000000" w:themeColor="text1"/>
                <w:sz w:val="24"/>
                <w:lang w:val="zh-CN"/>
                <w14:textFill>
                  <w14:solidFill>
                    <w14:schemeClr w14:val="tx1"/>
                  </w14:solidFill>
                </w14:textFill>
              </w:rPr>
            </w:pPr>
            <w:r>
              <w:rPr>
                <w:rFonts w:hint="eastAsia" w:ascii="宋体" w:hAnsi="宋体"/>
                <w:color w:val="000000" w:themeColor="text1"/>
                <w:sz w:val="24"/>
                <w:lang w:val="zh-CN"/>
                <w14:textFill>
                  <w14:solidFill>
                    <w14:schemeClr w14:val="tx1"/>
                  </w14:solidFill>
                </w14:textFill>
              </w:rPr>
              <w:t>小写：</w:t>
            </w:r>
          </w:p>
          <w:p w14:paraId="113F0404">
            <w:pPr>
              <w:spacing w:line="360" w:lineRule="auto"/>
              <w:rPr>
                <w:rFonts w:ascii="宋体" w:hAnsi="宋体"/>
                <w:color w:val="000000" w:themeColor="text1"/>
                <w:sz w:val="24"/>
                <w:lang w:val="zh-CN"/>
                <w14:textFill>
                  <w14:solidFill>
                    <w14:schemeClr w14:val="tx1"/>
                  </w14:solidFill>
                </w14:textFill>
              </w:rPr>
            </w:pPr>
          </w:p>
          <w:p w14:paraId="08B5BBA1">
            <w:pPr>
              <w:spacing w:line="360" w:lineRule="auto"/>
              <w:rPr>
                <w:rFonts w:ascii="宋体" w:hAnsi="宋体"/>
                <w:color w:val="000000" w:themeColor="text1"/>
                <w:sz w:val="24"/>
                <w:lang w:val="zh-CN"/>
                <w14:textFill>
                  <w14:solidFill>
                    <w14:schemeClr w14:val="tx1"/>
                  </w14:solidFill>
                </w14:textFill>
              </w:rPr>
            </w:pPr>
            <w:r>
              <w:rPr>
                <w:rFonts w:hint="eastAsia" w:ascii="宋体" w:hAnsi="宋体"/>
                <w:color w:val="000000" w:themeColor="text1"/>
                <w:sz w:val="24"/>
                <w:lang w:val="zh-CN"/>
                <w14:textFill>
                  <w14:solidFill>
                    <w14:schemeClr w14:val="tx1"/>
                  </w14:solidFill>
                </w14:textFill>
              </w:rPr>
              <w:t>大写：</w:t>
            </w:r>
          </w:p>
        </w:tc>
      </w:tr>
    </w:tbl>
    <w:p w14:paraId="396642D9">
      <w:pPr>
        <w:autoSpaceDE w:val="0"/>
        <w:autoSpaceDN w:val="0"/>
        <w:spacing w:line="360" w:lineRule="auto"/>
        <w:rPr>
          <w:rFonts w:ascii="宋体" w:hAnsi="宋体" w:cs="Arial"/>
          <w:b/>
          <w:bCs/>
          <w:color w:val="000000" w:themeColor="text1"/>
          <w:sz w:val="24"/>
          <w:lang w:val="zh-CN"/>
          <w14:textFill>
            <w14:solidFill>
              <w14:schemeClr w14:val="tx1"/>
            </w14:solidFill>
          </w14:textFill>
        </w:rPr>
      </w:pPr>
      <w:r>
        <w:rPr>
          <w:rFonts w:ascii="宋体" w:hAnsi="宋体" w:cs="Arial"/>
          <w:b/>
          <w:bCs/>
          <w:color w:val="000000" w:themeColor="text1"/>
          <w:sz w:val="24"/>
          <w:lang w:val="zh-CN"/>
          <w14:textFill>
            <w14:solidFill>
              <w14:schemeClr w14:val="tx1"/>
            </w14:solidFill>
          </w14:textFill>
        </w:rPr>
        <w:t>注：1、本表应依照</w:t>
      </w:r>
      <w:r>
        <w:rPr>
          <w:rFonts w:hint="eastAsia" w:ascii="宋体" w:hAnsi="宋体" w:cs="Arial"/>
          <w:b/>
          <w:bCs/>
          <w:color w:val="000000" w:themeColor="text1"/>
          <w:sz w:val="24"/>
          <w:lang w:val="zh-CN"/>
          <w14:textFill>
            <w14:solidFill>
              <w14:schemeClr w14:val="tx1"/>
            </w14:solidFill>
          </w14:textFill>
        </w:rPr>
        <w:t>采购项目参数及要求</w:t>
      </w:r>
      <w:r>
        <w:rPr>
          <w:rFonts w:ascii="宋体" w:hAnsi="宋体" w:cs="Arial"/>
          <w:b/>
          <w:bCs/>
          <w:color w:val="000000" w:themeColor="text1"/>
          <w:sz w:val="24"/>
          <w:lang w:val="zh-CN"/>
          <w14:textFill>
            <w14:solidFill>
              <w14:schemeClr w14:val="tx1"/>
            </w14:solidFill>
          </w14:textFill>
        </w:rPr>
        <w:t>中的产品序号按顺序逐项填写，不得遗漏。</w:t>
      </w:r>
    </w:p>
    <w:p w14:paraId="7A5A1DDF">
      <w:pPr>
        <w:autoSpaceDE w:val="0"/>
        <w:autoSpaceDN w:val="0"/>
        <w:spacing w:line="360" w:lineRule="auto"/>
        <w:ind w:firstLine="482" w:firstLineChars="200"/>
        <w:rPr>
          <w:rFonts w:ascii="宋体" w:hAnsi="宋体" w:cs="Arial"/>
          <w:b/>
          <w:bCs/>
          <w:color w:val="000000" w:themeColor="text1"/>
          <w:sz w:val="24"/>
          <w:lang w:val="zh-CN"/>
          <w14:textFill>
            <w14:solidFill>
              <w14:schemeClr w14:val="tx1"/>
            </w14:solidFill>
          </w14:textFill>
        </w:rPr>
      </w:pPr>
      <w:r>
        <w:rPr>
          <w:rFonts w:ascii="宋体" w:hAnsi="宋体" w:cs="Arial"/>
          <w:b/>
          <w:bCs/>
          <w:color w:val="000000" w:themeColor="text1"/>
          <w:sz w:val="24"/>
          <w:lang w:val="zh-CN"/>
          <w14:textFill>
            <w14:solidFill>
              <w14:schemeClr w14:val="tx1"/>
            </w14:solidFill>
          </w14:textFill>
        </w:rPr>
        <w:t>2</w:t>
      </w:r>
      <w:r>
        <w:rPr>
          <w:rFonts w:hint="eastAsia" w:ascii="宋体" w:hAnsi="宋体" w:cs="Arial"/>
          <w:b/>
          <w:bCs/>
          <w:color w:val="000000" w:themeColor="text1"/>
          <w:sz w:val="24"/>
          <w:lang w:val="zh-CN"/>
          <w14:textFill>
            <w14:solidFill>
              <w14:schemeClr w14:val="tx1"/>
            </w14:solidFill>
          </w14:textFill>
        </w:rPr>
        <w:t>、“分项报价</w:t>
      </w:r>
      <w:r>
        <w:rPr>
          <w:rFonts w:ascii="宋体" w:hAnsi="宋体" w:cs="Arial"/>
          <w:b/>
          <w:bCs/>
          <w:color w:val="000000" w:themeColor="text1"/>
          <w:sz w:val="24"/>
          <w:lang w:val="zh-CN"/>
          <w14:textFill>
            <w14:solidFill>
              <w14:schemeClr w14:val="tx1"/>
            </w14:solidFill>
          </w14:textFill>
        </w:rPr>
        <w:t>表</w:t>
      </w:r>
      <w:r>
        <w:rPr>
          <w:rFonts w:hint="eastAsia" w:ascii="宋体" w:hAnsi="宋体" w:cs="Arial"/>
          <w:b/>
          <w:bCs/>
          <w:color w:val="000000" w:themeColor="text1"/>
          <w:sz w:val="24"/>
          <w:lang w:val="zh-CN"/>
          <w14:textFill>
            <w14:solidFill>
              <w14:schemeClr w14:val="tx1"/>
            </w14:solidFill>
          </w14:textFill>
        </w:rPr>
        <w:t>”</w:t>
      </w:r>
      <w:r>
        <w:rPr>
          <w:rFonts w:ascii="宋体" w:hAnsi="宋体" w:cs="Arial"/>
          <w:b/>
          <w:bCs/>
          <w:color w:val="000000" w:themeColor="text1"/>
          <w:sz w:val="24"/>
          <w:lang w:val="zh-CN"/>
          <w14:textFill>
            <w14:solidFill>
              <w14:schemeClr w14:val="tx1"/>
            </w14:solidFill>
          </w14:textFill>
        </w:rPr>
        <w:t>须为打印版，手写无效。</w:t>
      </w:r>
    </w:p>
    <w:p w14:paraId="097DF171">
      <w:pPr>
        <w:spacing w:line="360" w:lineRule="auto"/>
        <w:rPr>
          <w:rFonts w:ascii="宋体" w:hAnsi="宋体"/>
          <w:color w:val="000000" w:themeColor="text1"/>
          <w:sz w:val="24"/>
          <w:lang w:val="zh-CN"/>
          <w14:textFill>
            <w14:solidFill>
              <w14:schemeClr w14:val="tx1"/>
            </w14:solidFill>
          </w14:textFill>
        </w:rPr>
      </w:pPr>
    </w:p>
    <w:p w14:paraId="2788211A">
      <w:pPr>
        <w:spacing w:line="360" w:lineRule="auto"/>
        <w:rPr>
          <w:rFonts w:ascii="宋体" w:hAnsi="宋体"/>
          <w:color w:val="000000" w:themeColor="text1"/>
          <w:sz w:val="24"/>
          <w:lang w:val="zh-CN"/>
          <w14:textFill>
            <w14:solidFill>
              <w14:schemeClr w14:val="tx1"/>
            </w14:solidFill>
          </w14:textFill>
        </w:rPr>
      </w:pPr>
    </w:p>
    <w:p w14:paraId="58544220">
      <w:pPr>
        <w:spacing w:line="360" w:lineRule="auto"/>
        <w:rPr>
          <w:rFonts w:ascii="宋体" w:hAnsi="宋体"/>
          <w:color w:val="000000" w:themeColor="text1"/>
          <w:sz w:val="24"/>
          <w:lang w:val="zh-CN"/>
          <w14:textFill>
            <w14:solidFill>
              <w14:schemeClr w14:val="tx1"/>
            </w14:solidFill>
          </w14:textFill>
        </w:rPr>
      </w:pPr>
    </w:p>
    <w:p w14:paraId="5C94D916">
      <w:pPr>
        <w:spacing w:line="360" w:lineRule="auto"/>
        <w:rPr>
          <w:rFonts w:ascii="宋体" w:hAnsi="宋体"/>
          <w:color w:val="000000" w:themeColor="text1"/>
          <w:sz w:val="24"/>
          <w:lang w:val="zh-CN"/>
          <w14:textFill>
            <w14:solidFill>
              <w14:schemeClr w14:val="tx1"/>
            </w14:solidFill>
          </w14:textFill>
        </w:rPr>
      </w:pPr>
    </w:p>
    <w:p w14:paraId="26818E51">
      <w:pPr>
        <w:tabs>
          <w:tab w:val="left" w:pos="168"/>
        </w:tabs>
        <w:adjustRightInd w:val="0"/>
        <w:spacing w:line="360" w:lineRule="auto"/>
        <w:jc w:val="righ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投标供应商：             （公章）</w:t>
      </w:r>
    </w:p>
    <w:p w14:paraId="0B4348CB">
      <w:pPr>
        <w:tabs>
          <w:tab w:val="left" w:pos="168"/>
        </w:tabs>
        <w:adjustRightInd w:val="0"/>
        <w:spacing w:line="360" w:lineRule="auto"/>
        <w:jc w:val="righ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法定代表人或委托代理人：       （签字）</w:t>
      </w:r>
    </w:p>
    <w:p w14:paraId="703930D8">
      <w:pPr>
        <w:tabs>
          <w:tab w:val="left" w:pos="168"/>
        </w:tabs>
        <w:adjustRightInd w:val="0"/>
        <w:spacing w:line="360" w:lineRule="auto"/>
        <w:jc w:val="righ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日期：    年   月   日</w:t>
      </w:r>
    </w:p>
    <w:p w14:paraId="63F02393">
      <w:pPr>
        <w:pStyle w:val="4"/>
        <w:numPr>
          <w:ilvl w:val="0"/>
          <w:numId w:val="0"/>
        </w:numPr>
        <w:ind w:left="709" w:hanging="709"/>
        <w:rPr>
          <w:rFonts w:hAnsi="宋体" w:cs="宋体"/>
          <w:color w:val="000000" w:themeColor="text1"/>
          <w:sz w:val="24"/>
          <w:szCs w:val="24"/>
          <w14:textFill>
            <w14:solidFill>
              <w14:schemeClr w14:val="tx1"/>
            </w14:solidFill>
          </w14:textFill>
        </w:rPr>
      </w:pPr>
      <w:r>
        <w:rPr>
          <w:rFonts w:hAnsi="宋体"/>
          <w:bCs/>
          <w:color w:val="000000" w:themeColor="text1"/>
          <w:sz w:val="24"/>
          <w:szCs w:val="24"/>
          <w14:textFill>
            <w14:solidFill>
              <w14:schemeClr w14:val="tx1"/>
            </w14:solidFill>
          </w14:textFill>
        </w:rPr>
        <w:br w:type="page"/>
      </w:r>
      <w:bookmarkStart w:id="107" w:name="_Toc25319"/>
      <w:r>
        <w:rPr>
          <w:rFonts w:hint="eastAsia" w:hAnsi="宋体"/>
          <w:b/>
          <w:color w:val="000000" w:themeColor="text1"/>
          <w:sz w:val="24"/>
          <w:szCs w:val="24"/>
          <w:lang w:val="zh-CN"/>
          <w14:textFill>
            <w14:solidFill>
              <w14:schemeClr w14:val="tx1"/>
            </w14:solidFill>
          </w14:textFill>
        </w:rPr>
        <w:t>格式1</w:t>
      </w:r>
      <w:r>
        <w:rPr>
          <w:rFonts w:hint="eastAsia" w:hAnsi="宋体"/>
          <w:b/>
          <w:color w:val="000000" w:themeColor="text1"/>
          <w:sz w:val="24"/>
          <w:szCs w:val="24"/>
          <w:lang w:val="en-US" w:eastAsia="zh-CN"/>
          <w14:textFill>
            <w14:solidFill>
              <w14:schemeClr w14:val="tx1"/>
            </w14:solidFill>
          </w14:textFill>
        </w:rPr>
        <w:t>3</w:t>
      </w:r>
      <w:r>
        <w:rPr>
          <w:rFonts w:hint="eastAsia" w:hAnsi="宋体"/>
          <w:b/>
          <w:color w:val="000000" w:themeColor="text1"/>
          <w:sz w:val="24"/>
          <w:szCs w:val="24"/>
          <w:lang w:val="zh-CN"/>
          <w14:textFill>
            <w14:solidFill>
              <w14:schemeClr w14:val="tx1"/>
            </w14:solidFill>
          </w14:textFill>
        </w:rPr>
        <w:t>、技术规格响应表</w:t>
      </w:r>
      <w:bookmarkEnd w:id="107"/>
    </w:p>
    <w:p w14:paraId="213CDC33">
      <w:pPr>
        <w:autoSpaceDE w:val="0"/>
        <w:autoSpaceDN w:val="0"/>
        <w:adjustRightInd w:val="0"/>
        <w:spacing w:line="360" w:lineRule="auto"/>
        <w:jc w:val="center"/>
        <w:rPr>
          <w:rFonts w:ascii="宋体" w:hAnsi="宋体" w:cs="宋体"/>
          <w:b/>
          <w:bCs/>
          <w:color w:val="000000" w:themeColor="text1"/>
          <w:kern w:val="0"/>
          <w:sz w:val="24"/>
          <w:lang w:val="zh-CN"/>
          <w14:textFill>
            <w14:solidFill>
              <w14:schemeClr w14:val="tx1"/>
            </w14:solidFill>
          </w14:textFill>
        </w:rPr>
      </w:pPr>
      <w:bookmarkStart w:id="108" w:name="_Toc20510"/>
      <w:bookmarkStart w:id="109" w:name="_Toc444715742"/>
      <w:bookmarkStart w:id="110" w:name="_Toc25742"/>
      <w:r>
        <w:rPr>
          <w:rFonts w:hint="eastAsia" w:ascii="宋体" w:hAnsi="宋体" w:cs="宋体"/>
          <w:b/>
          <w:bCs/>
          <w:color w:val="000000" w:themeColor="text1"/>
          <w:kern w:val="0"/>
          <w:sz w:val="24"/>
          <w:lang w:val="zh-CN"/>
          <w14:textFill>
            <w14:solidFill>
              <w14:schemeClr w14:val="tx1"/>
            </w14:solidFill>
          </w14:textFill>
        </w:rPr>
        <w:t>技术规格响应表</w:t>
      </w:r>
    </w:p>
    <w:p w14:paraId="3C121239">
      <w:pPr>
        <w:autoSpaceDE w:val="0"/>
        <w:autoSpaceDN w:val="0"/>
        <w:adjustRightInd w:val="0"/>
        <w:spacing w:line="360" w:lineRule="auto"/>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采购项目名称:</w:t>
      </w:r>
    </w:p>
    <w:p w14:paraId="449AB538">
      <w:pPr>
        <w:autoSpaceDE w:val="0"/>
        <w:autoSpaceDN w:val="0"/>
        <w:adjustRightInd w:val="0"/>
        <w:spacing w:line="360" w:lineRule="auto"/>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采购项目编号：</w:t>
      </w:r>
    </w:p>
    <w:tbl>
      <w:tblPr>
        <w:tblStyle w:val="36"/>
        <w:tblW w:w="10254"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1"/>
        <w:gridCol w:w="863"/>
        <w:gridCol w:w="1450"/>
        <w:gridCol w:w="950"/>
        <w:gridCol w:w="712"/>
        <w:gridCol w:w="825"/>
        <w:gridCol w:w="1463"/>
        <w:gridCol w:w="1612"/>
        <w:gridCol w:w="950"/>
        <w:gridCol w:w="738"/>
      </w:tblGrid>
      <w:tr w14:paraId="66009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05" w:hRule="atLeast"/>
        </w:trPr>
        <w:tc>
          <w:tcPr>
            <w:tcW w:w="691" w:type="dxa"/>
            <w:vMerge w:val="restart"/>
            <w:vAlign w:val="center"/>
          </w:tcPr>
          <w:p w14:paraId="2F3AA330">
            <w:pPr>
              <w:spacing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序号</w:t>
            </w:r>
          </w:p>
        </w:tc>
        <w:tc>
          <w:tcPr>
            <w:tcW w:w="3263" w:type="dxa"/>
            <w:gridSpan w:val="3"/>
            <w:vAlign w:val="center"/>
          </w:tcPr>
          <w:p w14:paraId="2B188190">
            <w:pPr>
              <w:spacing w:line="360" w:lineRule="auto"/>
              <w:jc w:val="center"/>
              <w:rPr>
                <w:rFonts w:ascii="宋体" w:hAnsi="宋体"/>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采购需求技术参数、指标</w:t>
            </w:r>
          </w:p>
        </w:tc>
        <w:tc>
          <w:tcPr>
            <w:tcW w:w="5562" w:type="dxa"/>
            <w:gridSpan w:val="5"/>
            <w:vAlign w:val="center"/>
          </w:tcPr>
          <w:p w14:paraId="04B517E3">
            <w:pPr>
              <w:spacing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投标产品技术参数、指标</w:t>
            </w:r>
          </w:p>
        </w:tc>
        <w:tc>
          <w:tcPr>
            <w:tcW w:w="738" w:type="dxa"/>
            <w:vMerge w:val="restart"/>
            <w:vAlign w:val="center"/>
          </w:tcPr>
          <w:p w14:paraId="549DFF11">
            <w:pPr>
              <w:spacing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偏离</w:t>
            </w:r>
          </w:p>
        </w:tc>
      </w:tr>
      <w:tr w14:paraId="4EDBB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6" w:hRule="atLeast"/>
        </w:trPr>
        <w:tc>
          <w:tcPr>
            <w:tcW w:w="691" w:type="dxa"/>
            <w:vMerge w:val="continue"/>
            <w:vAlign w:val="center"/>
          </w:tcPr>
          <w:p w14:paraId="4A175A5A">
            <w:pPr>
              <w:spacing w:line="360" w:lineRule="auto"/>
              <w:jc w:val="center"/>
              <w:rPr>
                <w:rFonts w:ascii="宋体" w:hAnsi="宋体"/>
                <w:color w:val="000000" w:themeColor="text1"/>
                <w:sz w:val="24"/>
                <w14:textFill>
                  <w14:solidFill>
                    <w14:schemeClr w14:val="tx1"/>
                  </w14:solidFill>
                </w14:textFill>
              </w:rPr>
            </w:pPr>
          </w:p>
        </w:tc>
        <w:tc>
          <w:tcPr>
            <w:tcW w:w="863" w:type="dxa"/>
            <w:vAlign w:val="center"/>
          </w:tcPr>
          <w:p w14:paraId="43E0CB3F">
            <w:pPr>
              <w:spacing w:line="360" w:lineRule="auto"/>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名称</w:t>
            </w:r>
          </w:p>
        </w:tc>
        <w:tc>
          <w:tcPr>
            <w:tcW w:w="1450" w:type="dxa"/>
            <w:vAlign w:val="center"/>
          </w:tcPr>
          <w:p w14:paraId="47BA6063">
            <w:pPr>
              <w:spacing w:line="360" w:lineRule="auto"/>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技术参数及配置</w:t>
            </w:r>
          </w:p>
        </w:tc>
        <w:tc>
          <w:tcPr>
            <w:tcW w:w="950" w:type="dxa"/>
            <w:vAlign w:val="center"/>
          </w:tcPr>
          <w:p w14:paraId="28F8A758">
            <w:pPr>
              <w:spacing w:line="360" w:lineRule="auto"/>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数量</w:t>
            </w:r>
          </w:p>
        </w:tc>
        <w:tc>
          <w:tcPr>
            <w:tcW w:w="712" w:type="dxa"/>
            <w:vAlign w:val="center"/>
          </w:tcPr>
          <w:p w14:paraId="6AE3E67B">
            <w:pPr>
              <w:spacing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名称</w:t>
            </w:r>
          </w:p>
        </w:tc>
        <w:tc>
          <w:tcPr>
            <w:tcW w:w="825" w:type="dxa"/>
            <w:vAlign w:val="center"/>
          </w:tcPr>
          <w:p w14:paraId="5A4CC66F">
            <w:pPr>
              <w:spacing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品牌</w:t>
            </w:r>
          </w:p>
        </w:tc>
        <w:tc>
          <w:tcPr>
            <w:tcW w:w="1463" w:type="dxa"/>
            <w:vAlign w:val="center"/>
          </w:tcPr>
          <w:p w14:paraId="3878A687">
            <w:pPr>
              <w:spacing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规格型号、产地</w:t>
            </w:r>
          </w:p>
        </w:tc>
        <w:tc>
          <w:tcPr>
            <w:tcW w:w="1612" w:type="dxa"/>
            <w:vAlign w:val="center"/>
          </w:tcPr>
          <w:p w14:paraId="2A8D0629">
            <w:pPr>
              <w:spacing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技术参数及配置</w:t>
            </w:r>
          </w:p>
        </w:tc>
        <w:tc>
          <w:tcPr>
            <w:tcW w:w="950" w:type="dxa"/>
            <w:vAlign w:val="center"/>
          </w:tcPr>
          <w:p w14:paraId="385E0C31">
            <w:pPr>
              <w:spacing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数量</w:t>
            </w:r>
          </w:p>
        </w:tc>
        <w:tc>
          <w:tcPr>
            <w:tcW w:w="738" w:type="dxa"/>
            <w:vMerge w:val="continue"/>
            <w:vAlign w:val="center"/>
          </w:tcPr>
          <w:p w14:paraId="1B83DB5B">
            <w:pPr>
              <w:spacing w:line="360" w:lineRule="auto"/>
              <w:jc w:val="center"/>
              <w:rPr>
                <w:rFonts w:ascii="宋体" w:hAnsi="宋体"/>
                <w:color w:val="000000" w:themeColor="text1"/>
                <w:sz w:val="24"/>
                <w14:textFill>
                  <w14:solidFill>
                    <w14:schemeClr w14:val="tx1"/>
                  </w14:solidFill>
                </w14:textFill>
              </w:rPr>
            </w:pPr>
          </w:p>
        </w:tc>
      </w:tr>
      <w:tr w14:paraId="62E8C2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1" w:hRule="atLeast"/>
        </w:trPr>
        <w:tc>
          <w:tcPr>
            <w:tcW w:w="691" w:type="dxa"/>
            <w:vAlign w:val="center"/>
          </w:tcPr>
          <w:p w14:paraId="2AE7B7B3">
            <w:pPr>
              <w:tabs>
                <w:tab w:val="left" w:pos="3327"/>
              </w:tabs>
              <w:spacing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w:t>
            </w:r>
          </w:p>
        </w:tc>
        <w:tc>
          <w:tcPr>
            <w:tcW w:w="863" w:type="dxa"/>
            <w:vAlign w:val="center"/>
          </w:tcPr>
          <w:p w14:paraId="5F94CCAB">
            <w:pPr>
              <w:tabs>
                <w:tab w:val="left" w:pos="3327"/>
              </w:tabs>
              <w:spacing w:line="360" w:lineRule="auto"/>
              <w:rPr>
                <w:rFonts w:ascii="宋体" w:hAnsi="宋体"/>
                <w:color w:val="000000" w:themeColor="text1"/>
                <w:sz w:val="24"/>
                <w14:textFill>
                  <w14:solidFill>
                    <w14:schemeClr w14:val="tx1"/>
                  </w14:solidFill>
                </w14:textFill>
              </w:rPr>
            </w:pPr>
          </w:p>
        </w:tc>
        <w:tc>
          <w:tcPr>
            <w:tcW w:w="1450" w:type="dxa"/>
            <w:vAlign w:val="center"/>
          </w:tcPr>
          <w:p w14:paraId="3454F5E5">
            <w:pPr>
              <w:tabs>
                <w:tab w:val="left" w:pos="3327"/>
              </w:tabs>
              <w:spacing w:line="360" w:lineRule="auto"/>
              <w:rPr>
                <w:rFonts w:ascii="宋体" w:hAnsi="宋体"/>
                <w:color w:val="000000" w:themeColor="text1"/>
                <w:sz w:val="24"/>
                <w14:textFill>
                  <w14:solidFill>
                    <w14:schemeClr w14:val="tx1"/>
                  </w14:solidFill>
                </w14:textFill>
              </w:rPr>
            </w:pPr>
          </w:p>
        </w:tc>
        <w:tc>
          <w:tcPr>
            <w:tcW w:w="950" w:type="dxa"/>
            <w:vAlign w:val="center"/>
          </w:tcPr>
          <w:p w14:paraId="13569D30">
            <w:pPr>
              <w:tabs>
                <w:tab w:val="left" w:pos="3327"/>
              </w:tabs>
              <w:spacing w:line="360" w:lineRule="auto"/>
              <w:rPr>
                <w:rFonts w:ascii="宋体" w:hAnsi="宋体"/>
                <w:color w:val="000000" w:themeColor="text1"/>
                <w:sz w:val="24"/>
                <w14:textFill>
                  <w14:solidFill>
                    <w14:schemeClr w14:val="tx1"/>
                  </w14:solidFill>
                </w14:textFill>
              </w:rPr>
            </w:pPr>
          </w:p>
        </w:tc>
        <w:tc>
          <w:tcPr>
            <w:tcW w:w="712" w:type="dxa"/>
            <w:vAlign w:val="center"/>
          </w:tcPr>
          <w:p w14:paraId="37FA3E92">
            <w:pPr>
              <w:tabs>
                <w:tab w:val="left" w:pos="3327"/>
              </w:tabs>
              <w:spacing w:line="360" w:lineRule="auto"/>
              <w:rPr>
                <w:rFonts w:ascii="宋体" w:hAnsi="宋体"/>
                <w:color w:val="000000" w:themeColor="text1"/>
                <w:sz w:val="24"/>
                <w14:textFill>
                  <w14:solidFill>
                    <w14:schemeClr w14:val="tx1"/>
                  </w14:solidFill>
                </w14:textFill>
              </w:rPr>
            </w:pPr>
          </w:p>
        </w:tc>
        <w:tc>
          <w:tcPr>
            <w:tcW w:w="825" w:type="dxa"/>
            <w:vAlign w:val="center"/>
          </w:tcPr>
          <w:p w14:paraId="3D323582">
            <w:pPr>
              <w:tabs>
                <w:tab w:val="left" w:pos="3327"/>
              </w:tabs>
              <w:spacing w:line="360" w:lineRule="auto"/>
              <w:rPr>
                <w:rFonts w:ascii="宋体" w:hAnsi="宋体"/>
                <w:color w:val="000000" w:themeColor="text1"/>
                <w:sz w:val="24"/>
                <w14:textFill>
                  <w14:solidFill>
                    <w14:schemeClr w14:val="tx1"/>
                  </w14:solidFill>
                </w14:textFill>
              </w:rPr>
            </w:pPr>
          </w:p>
        </w:tc>
        <w:tc>
          <w:tcPr>
            <w:tcW w:w="1463" w:type="dxa"/>
            <w:vAlign w:val="center"/>
          </w:tcPr>
          <w:p w14:paraId="345BC28A">
            <w:pPr>
              <w:tabs>
                <w:tab w:val="left" w:pos="3327"/>
              </w:tabs>
              <w:spacing w:line="360" w:lineRule="auto"/>
              <w:rPr>
                <w:rFonts w:ascii="宋体" w:hAnsi="宋体"/>
                <w:color w:val="000000" w:themeColor="text1"/>
                <w:sz w:val="24"/>
                <w14:textFill>
                  <w14:solidFill>
                    <w14:schemeClr w14:val="tx1"/>
                  </w14:solidFill>
                </w14:textFill>
              </w:rPr>
            </w:pPr>
          </w:p>
        </w:tc>
        <w:tc>
          <w:tcPr>
            <w:tcW w:w="1612" w:type="dxa"/>
            <w:vAlign w:val="center"/>
          </w:tcPr>
          <w:p w14:paraId="0D4A98EB">
            <w:pPr>
              <w:tabs>
                <w:tab w:val="left" w:pos="3327"/>
              </w:tabs>
              <w:spacing w:line="360" w:lineRule="auto"/>
              <w:rPr>
                <w:rFonts w:ascii="宋体" w:hAnsi="宋体"/>
                <w:color w:val="000000" w:themeColor="text1"/>
                <w:sz w:val="24"/>
                <w14:textFill>
                  <w14:solidFill>
                    <w14:schemeClr w14:val="tx1"/>
                  </w14:solidFill>
                </w14:textFill>
              </w:rPr>
            </w:pPr>
          </w:p>
        </w:tc>
        <w:tc>
          <w:tcPr>
            <w:tcW w:w="950" w:type="dxa"/>
            <w:vAlign w:val="center"/>
          </w:tcPr>
          <w:p w14:paraId="422E833D">
            <w:pPr>
              <w:tabs>
                <w:tab w:val="left" w:pos="3327"/>
              </w:tabs>
              <w:spacing w:line="360" w:lineRule="auto"/>
              <w:rPr>
                <w:rFonts w:ascii="宋体" w:hAnsi="宋体"/>
                <w:color w:val="000000" w:themeColor="text1"/>
                <w:sz w:val="24"/>
                <w14:textFill>
                  <w14:solidFill>
                    <w14:schemeClr w14:val="tx1"/>
                  </w14:solidFill>
                </w14:textFill>
              </w:rPr>
            </w:pPr>
          </w:p>
        </w:tc>
        <w:tc>
          <w:tcPr>
            <w:tcW w:w="738" w:type="dxa"/>
            <w:vAlign w:val="center"/>
          </w:tcPr>
          <w:p w14:paraId="25D72CD4">
            <w:pPr>
              <w:spacing w:line="360" w:lineRule="auto"/>
              <w:jc w:val="center"/>
              <w:rPr>
                <w:rFonts w:ascii="宋体" w:hAnsi="宋体"/>
                <w:color w:val="000000" w:themeColor="text1"/>
                <w:sz w:val="24"/>
                <w14:textFill>
                  <w14:solidFill>
                    <w14:schemeClr w14:val="tx1"/>
                  </w14:solidFill>
                </w14:textFill>
              </w:rPr>
            </w:pPr>
          </w:p>
        </w:tc>
      </w:tr>
      <w:tr w14:paraId="512ECE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5" w:hRule="atLeast"/>
        </w:trPr>
        <w:tc>
          <w:tcPr>
            <w:tcW w:w="691" w:type="dxa"/>
            <w:vAlign w:val="center"/>
          </w:tcPr>
          <w:p w14:paraId="45A4F6A6">
            <w:pPr>
              <w:tabs>
                <w:tab w:val="left" w:pos="3327"/>
              </w:tabs>
              <w:spacing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w:t>
            </w:r>
          </w:p>
        </w:tc>
        <w:tc>
          <w:tcPr>
            <w:tcW w:w="863" w:type="dxa"/>
            <w:vAlign w:val="center"/>
          </w:tcPr>
          <w:p w14:paraId="1C9CF6F6">
            <w:pPr>
              <w:tabs>
                <w:tab w:val="left" w:pos="3327"/>
              </w:tabs>
              <w:spacing w:line="360" w:lineRule="auto"/>
              <w:rPr>
                <w:rFonts w:ascii="宋体" w:hAnsi="宋体"/>
                <w:color w:val="000000" w:themeColor="text1"/>
                <w:sz w:val="24"/>
                <w14:textFill>
                  <w14:solidFill>
                    <w14:schemeClr w14:val="tx1"/>
                  </w14:solidFill>
                </w14:textFill>
              </w:rPr>
            </w:pPr>
          </w:p>
        </w:tc>
        <w:tc>
          <w:tcPr>
            <w:tcW w:w="1450" w:type="dxa"/>
            <w:vAlign w:val="center"/>
          </w:tcPr>
          <w:p w14:paraId="76C30B5E">
            <w:pPr>
              <w:tabs>
                <w:tab w:val="left" w:pos="3327"/>
              </w:tabs>
              <w:spacing w:line="360" w:lineRule="auto"/>
              <w:rPr>
                <w:rFonts w:ascii="宋体" w:hAnsi="宋体"/>
                <w:color w:val="000000" w:themeColor="text1"/>
                <w:sz w:val="24"/>
                <w14:textFill>
                  <w14:solidFill>
                    <w14:schemeClr w14:val="tx1"/>
                  </w14:solidFill>
                </w14:textFill>
              </w:rPr>
            </w:pPr>
          </w:p>
        </w:tc>
        <w:tc>
          <w:tcPr>
            <w:tcW w:w="950" w:type="dxa"/>
            <w:vAlign w:val="center"/>
          </w:tcPr>
          <w:p w14:paraId="09C0C62E">
            <w:pPr>
              <w:tabs>
                <w:tab w:val="left" w:pos="3327"/>
              </w:tabs>
              <w:spacing w:line="360" w:lineRule="auto"/>
              <w:rPr>
                <w:rFonts w:ascii="宋体" w:hAnsi="宋体"/>
                <w:color w:val="000000" w:themeColor="text1"/>
                <w:sz w:val="24"/>
                <w14:textFill>
                  <w14:solidFill>
                    <w14:schemeClr w14:val="tx1"/>
                  </w14:solidFill>
                </w14:textFill>
              </w:rPr>
            </w:pPr>
          </w:p>
        </w:tc>
        <w:tc>
          <w:tcPr>
            <w:tcW w:w="712" w:type="dxa"/>
            <w:vAlign w:val="center"/>
          </w:tcPr>
          <w:p w14:paraId="13D50FDF">
            <w:pPr>
              <w:tabs>
                <w:tab w:val="left" w:pos="3327"/>
              </w:tabs>
              <w:spacing w:line="360" w:lineRule="auto"/>
              <w:rPr>
                <w:rFonts w:ascii="宋体" w:hAnsi="宋体"/>
                <w:color w:val="000000" w:themeColor="text1"/>
                <w:sz w:val="24"/>
                <w14:textFill>
                  <w14:solidFill>
                    <w14:schemeClr w14:val="tx1"/>
                  </w14:solidFill>
                </w14:textFill>
              </w:rPr>
            </w:pPr>
          </w:p>
        </w:tc>
        <w:tc>
          <w:tcPr>
            <w:tcW w:w="825" w:type="dxa"/>
            <w:vAlign w:val="center"/>
          </w:tcPr>
          <w:p w14:paraId="7EFE9BFD">
            <w:pPr>
              <w:tabs>
                <w:tab w:val="left" w:pos="3327"/>
              </w:tabs>
              <w:spacing w:line="360" w:lineRule="auto"/>
              <w:rPr>
                <w:rFonts w:ascii="宋体" w:hAnsi="宋体"/>
                <w:color w:val="000000" w:themeColor="text1"/>
                <w:sz w:val="24"/>
                <w14:textFill>
                  <w14:solidFill>
                    <w14:schemeClr w14:val="tx1"/>
                  </w14:solidFill>
                </w14:textFill>
              </w:rPr>
            </w:pPr>
          </w:p>
        </w:tc>
        <w:tc>
          <w:tcPr>
            <w:tcW w:w="1463" w:type="dxa"/>
            <w:vAlign w:val="center"/>
          </w:tcPr>
          <w:p w14:paraId="57871E1F">
            <w:pPr>
              <w:tabs>
                <w:tab w:val="left" w:pos="3327"/>
              </w:tabs>
              <w:spacing w:line="360" w:lineRule="auto"/>
              <w:rPr>
                <w:rFonts w:ascii="宋体" w:hAnsi="宋体"/>
                <w:color w:val="000000" w:themeColor="text1"/>
                <w:sz w:val="24"/>
                <w14:textFill>
                  <w14:solidFill>
                    <w14:schemeClr w14:val="tx1"/>
                  </w14:solidFill>
                </w14:textFill>
              </w:rPr>
            </w:pPr>
          </w:p>
        </w:tc>
        <w:tc>
          <w:tcPr>
            <w:tcW w:w="1612" w:type="dxa"/>
            <w:vAlign w:val="center"/>
          </w:tcPr>
          <w:p w14:paraId="4B550464">
            <w:pPr>
              <w:tabs>
                <w:tab w:val="left" w:pos="3327"/>
              </w:tabs>
              <w:spacing w:line="360" w:lineRule="auto"/>
              <w:rPr>
                <w:rFonts w:ascii="宋体" w:hAnsi="宋体"/>
                <w:color w:val="000000" w:themeColor="text1"/>
                <w:sz w:val="24"/>
                <w14:textFill>
                  <w14:solidFill>
                    <w14:schemeClr w14:val="tx1"/>
                  </w14:solidFill>
                </w14:textFill>
              </w:rPr>
            </w:pPr>
          </w:p>
        </w:tc>
        <w:tc>
          <w:tcPr>
            <w:tcW w:w="950" w:type="dxa"/>
            <w:vAlign w:val="center"/>
          </w:tcPr>
          <w:p w14:paraId="7ED148C1">
            <w:pPr>
              <w:tabs>
                <w:tab w:val="left" w:pos="3327"/>
              </w:tabs>
              <w:spacing w:line="360" w:lineRule="auto"/>
              <w:rPr>
                <w:rFonts w:ascii="宋体" w:hAnsi="宋体"/>
                <w:color w:val="000000" w:themeColor="text1"/>
                <w:sz w:val="24"/>
                <w14:textFill>
                  <w14:solidFill>
                    <w14:schemeClr w14:val="tx1"/>
                  </w14:solidFill>
                </w14:textFill>
              </w:rPr>
            </w:pPr>
          </w:p>
        </w:tc>
        <w:tc>
          <w:tcPr>
            <w:tcW w:w="738" w:type="dxa"/>
            <w:vAlign w:val="center"/>
          </w:tcPr>
          <w:p w14:paraId="405C48A7">
            <w:pPr>
              <w:spacing w:line="360" w:lineRule="auto"/>
              <w:jc w:val="center"/>
              <w:rPr>
                <w:rFonts w:ascii="宋体" w:hAnsi="宋体"/>
                <w:color w:val="000000" w:themeColor="text1"/>
                <w:sz w:val="24"/>
                <w14:textFill>
                  <w14:solidFill>
                    <w14:schemeClr w14:val="tx1"/>
                  </w14:solidFill>
                </w14:textFill>
              </w:rPr>
            </w:pPr>
          </w:p>
        </w:tc>
      </w:tr>
      <w:tr w14:paraId="489DC8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 w:hRule="atLeast"/>
        </w:trPr>
        <w:tc>
          <w:tcPr>
            <w:tcW w:w="691" w:type="dxa"/>
            <w:vAlign w:val="center"/>
          </w:tcPr>
          <w:p w14:paraId="516D481F">
            <w:pPr>
              <w:tabs>
                <w:tab w:val="left" w:pos="3327"/>
              </w:tabs>
              <w:spacing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w:t>
            </w:r>
          </w:p>
        </w:tc>
        <w:tc>
          <w:tcPr>
            <w:tcW w:w="863" w:type="dxa"/>
            <w:vAlign w:val="center"/>
          </w:tcPr>
          <w:p w14:paraId="5748EDA0">
            <w:pPr>
              <w:tabs>
                <w:tab w:val="left" w:pos="3327"/>
              </w:tabs>
              <w:spacing w:line="360" w:lineRule="auto"/>
              <w:rPr>
                <w:rFonts w:ascii="宋体" w:hAnsi="宋体"/>
                <w:color w:val="000000" w:themeColor="text1"/>
                <w:sz w:val="24"/>
                <w14:textFill>
                  <w14:solidFill>
                    <w14:schemeClr w14:val="tx1"/>
                  </w14:solidFill>
                </w14:textFill>
              </w:rPr>
            </w:pPr>
          </w:p>
        </w:tc>
        <w:tc>
          <w:tcPr>
            <w:tcW w:w="1450" w:type="dxa"/>
            <w:vAlign w:val="center"/>
          </w:tcPr>
          <w:p w14:paraId="1C9EA4C9">
            <w:pPr>
              <w:tabs>
                <w:tab w:val="left" w:pos="3327"/>
              </w:tabs>
              <w:spacing w:line="360" w:lineRule="auto"/>
              <w:rPr>
                <w:rFonts w:ascii="宋体" w:hAnsi="宋体"/>
                <w:color w:val="000000" w:themeColor="text1"/>
                <w:sz w:val="24"/>
                <w14:textFill>
                  <w14:solidFill>
                    <w14:schemeClr w14:val="tx1"/>
                  </w14:solidFill>
                </w14:textFill>
              </w:rPr>
            </w:pPr>
          </w:p>
        </w:tc>
        <w:tc>
          <w:tcPr>
            <w:tcW w:w="950" w:type="dxa"/>
            <w:vAlign w:val="center"/>
          </w:tcPr>
          <w:p w14:paraId="51B5DBB6">
            <w:pPr>
              <w:tabs>
                <w:tab w:val="left" w:pos="3327"/>
              </w:tabs>
              <w:spacing w:line="360" w:lineRule="auto"/>
              <w:rPr>
                <w:rFonts w:ascii="宋体" w:hAnsi="宋体"/>
                <w:color w:val="000000" w:themeColor="text1"/>
                <w:sz w:val="24"/>
                <w14:textFill>
                  <w14:solidFill>
                    <w14:schemeClr w14:val="tx1"/>
                  </w14:solidFill>
                </w14:textFill>
              </w:rPr>
            </w:pPr>
          </w:p>
        </w:tc>
        <w:tc>
          <w:tcPr>
            <w:tcW w:w="712" w:type="dxa"/>
            <w:vAlign w:val="center"/>
          </w:tcPr>
          <w:p w14:paraId="2CF679F4">
            <w:pPr>
              <w:tabs>
                <w:tab w:val="left" w:pos="3327"/>
              </w:tabs>
              <w:spacing w:line="360" w:lineRule="auto"/>
              <w:rPr>
                <w:rFonts w:ascii="宋体" w:hAnsi="宋体"/>
                <w:color w:val="000000" w:themeColor="text1"/>
                <w:sz w:val="24"/>
                <w14:textFill>
                  <w14:solidFill>
                    <w14:schemeClr w14:val="tx1"/>
                  </w14:solidFill>
                </w14:textFill>
              </w:rPr>
            </w:pPr>
          </w:p>
        </w:tc>
        <w:tc>
          <w:tcPr>
            <w:tcW w:w="825" w:type="dxa"/>
            <w:vAlign w:val="center"/>
          </w:tcPr>
          <w:p w14:paraId="4D664D83">
            <w:pPr>
              <w:tabs>
                <w:tab w:val="left" w:pos="3327"/>
              </w:tabs>
              <w:spacing w:line="360" w:lineRule="auto"/>
              <w:rPr>
                <w:rFonts w:ascii="宋体" w:hAnsi="宋体"/>
                <w:color w:val="000000" w:themeColor="text1"/>
                <w:sz w:val="24"/>
                <w14:textFill>
                  <w14:solidFill>
                    <w14:schemeClr w14:val="tx1"/>
                  </w14:solidFill>
                </w14:textFill>
              </w:rPr>
            </w:pPr>
          </w:p>
        </w:tc>
        <w:tc>
          <w:tcPr>
            <w:tcW w:w="1463" w:type="dxa"/>
            <w:vAlign w:val="center"/>
          </w:tcPr>
          <w:p w14:paraId="49AC799D">
            <w:pPr>
              <w:tabs>
                <w:tab w:val="left" w:pos="3327"/>
              </w:tabs>
              <w:spacing w:line="360" w:lineRule="auto"/>
              <w:rPr>
                <w:rFonts w:ascii="宋体" w:hAnsi="宋体"/>
                <w:color w:val="000000" w:themeColor="text1"/>
                <w:sz w:val="24"/>
                <w14:textFill>
                  <w14:solidFill>
                    <w14:schemeClr w14:val="tx1"/>
                  </w14:solidFill>
                </w14:textFill>
              </w:rPr>
            </w:pPr>
          </w:p>
        </w:tc>
        <w:tc>
          <w:tcPr>
            <w:tcW w:w="1612" w:type="dxa"/>
            <w:vAlign w:val="center"/>
          </w:tcPr>
          <w:p w14:paraId="01649CBF">
            <w:pPr>
              <w:tabs>
                <w:tab w:val="left" w:pos="3327"/>
              </w:tabs>
              <w:spacing w:line="360" w:lineRule="auto"/>
              <w:rPr>
                <w:rFonts w:ascii="宋体" w:hAnsi="宋体"/>
                <w:color w:val="000000" w:themeColor="text1"/>
                <w:sz w:val="24"/>
                <w14:textFill>
                  <w14:solidFill>
                    <w14:schemeClr w14:val="tx1"/>
                  </w14:solidFill>
                </w14:textFill>
              </w:rPr>
            </w:pPr>
          </w:p>
        </w:tc>
        <w:tc>
          <w:tcPr>
            <w:tcW w:w="950" w:type="dxa"/>
            <w:vAlign w:val="center"/>
          </w:tcPr>
          <w:p w14:paraId="2D4A7DAF">
            <w:pPr>
              <w:tabs>
                <w:tab w:val="left" w:pos="3327"/>
              </w:tabs>
              <w:spacing w:line="360" w:lineRule="auto"/>
              <w:rPr>
                <w:rFonts w:ascii="宋体" w:hAnsi="宋体"/>
                <w:color w:val="000000" w:themeColor="text1"/>
                <w:sz w:val="24"/>
                <w14:textFill>
                  <w14:solidFill>
                    <w14:schemeClr w14:val="tx1"/>
                  </w14:solidFill>
                </w14:textFill>
              </w:rPr>
            </w:pPr>
          </w:p>
        </w:tc>
        <w:tc>
          <w:tcPr>
            <w:tcW w:w="738" w:type="dxa"/>
            <w:vAlign w:val="center"/>
          </w:tcPr>
          <w:p w14:paraId="4DC8B803">
            <w:pPr>
              <w:spacing w:line="360" w:lineRule="auto"/>
              <w:jc w:val="center"/>
              <w:rPr>
                <w:rFonts w:ascii="宋体" w:hAnsi="宋体"/>
                <w:color w:val="000000" w:themeColor="text1"/>
                <w:sz w:val="24"/>
                <w14:textFill>
                  <w14:solidFill>
                    <w14:schemeClr w14:val="tx1"/>
                  </w14:solidFill>
                </w14:textFill>
              </w:rPr>
            </w:pPr>
          </w:p>
        </w:tc>
      </w:tr>
      <w:tr w14:paraId="1962A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 w:hRule="atLeast"/>
        </w:trPr>
        <w:tc>
          <w:tcPr>
            <w:tcW w:w="691" w:type="dxa"/>
            <w:vAlign w:val="center"/>
          </w:tcPr>
          <w:p w14:paraId="35680C91">
            <w:pPr>
              <w:tabs>
                <w:tab w:val="left" w:pos="3327"/>
              </w:tabs>
              <w:spacing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w:t>
            </w:r>
          </w:p>
        </w:tc>
        <w:tc>
          <w:tcPr>
            <w:tcW w:w="863" w:type="dxa"/>
            <w:vAlign w:val="center"/>
          </w:tcPr>
          <w:p w14:paraId="26E29CA6">
            <w:pPr>
              <w:tabs>
                <w:tab w:val="left" w:pos="3327"/>
              </w:tabs>
              <w:spacing w:line="360" w:lineRule="auto"/>
              <w:rPr>
                <w:rFonts w:ascii="宋体" w:hAnsi="宋体"/>
                <w:color w:val="000000" w:themeColor="text1"/>
                <w:sz w:val="24"/>
                <w14:textFill>
                  <w14:solidFill>
                    <w14:schemeClr w14:val="tx1"/>
                  </w14:solidFill>
                </w14:textFill>
              </w:rPr>
            </w:pPr>
          </w:p>
        </w:tc>
        <w:tc>
          <w:tcPr>
            <w:tcW w:w="1450" w:type="dxa"/>
            <w:vAlign w:val="center"/>
          </w:tcPr>
          <w:p w14:paraId="727EDA70">
            <w:pPr>
              <w:tabs>
                <w:tab w:val="left" w:pos="3327"/>
              </w:tabs>
              <w:spacing w:line="360" w:lineRule="auto"/>
              <w:rPr>
                <w:rFonts w:ascii="宋体" w:hAnsi="宋体"/>
                <w:color w:val="000000" w:themeColor="text1"/>
                <w:sz w:val="24"/>
                <w14:textFill>
                  <w14:solidFill>
                    <w14:schemeClr w14:val="tx1"/>
                  </w14:solidFill>
                </w14:textFill>
              </w:rPr>
            </w:pPr>
          </w:p>
        </w:tc>
        <w:tc>
          <w:tcPr>
            <w:tcW w:w="950" w:type="dxa"/>
            <w:vAlign w:val="center"/>
          </w:tcPr>
          <w:p w14:paraId="126BEFED">
            <w:pPr>
              <w:tabs>
                <w:tab w:val="left" w:pos="3327"/>
              </w:tabs>
              <w:spacing w:line="360" w:lineRule="auto"/>
              <w:rPr>
                <w:rFonts w:ascii="宋体" w:hAnsi="宋体"/>
                <w:color w:val="000000" w:themeColor="text1"/>
                <w:sz w:val="24"/>
                <w14:textFill>
                  <w14:solidFill>
                    <w14:schemeClr w14:val="tx1"/>
                  </w14:solidFill>
                </w14:textFill>
              </w:rPr>
            </w:pPr>
          </w:p>
        </w:tc>
        <w:tc>
          <w:tcPr>
            <w:tcW w:w="712" w:type="dxa"/>
            <w:vAlign w:val="center"/>
          </w:tcPr>
          <w:p w14:paraId="03ACF9A6">
            <w:pPr>
              <w:tabs>
                <w:tab w:val="left" w:pos="3327"/>
              </w:tabs>
              <w:spacing w:line="360" w:lineRule="auto"/>
              <w:rPr>
                <w:rFonts w:ascii="宋体" w:hAnsi="宋体"/>
                <w:color w:val="000000" w:themeColor="text1"/>
                <w:sz w:val="24"/>
                <w14:textFill>
                  <w14:solidFill>
                    <w14:schemeClr w14:val="tx1"/>
                  </w14:solidFill>
                </w14:textFill>
              </w:rPr>
            </w:pPr>
          </w:p>
        </w:tc>
        <w:tc>
          <w:tcPr>
            <w:tcW w:w="825" w:type="dxa"/>
            <w:vAlign w:val="center"/>
          </w:tcPr>
          <w:p w14:paraId="5E5104DC">
            <w:pPr>
              <w:tabs>
                <w:tab w:val="left" w:pos="3327"/>
              </w:tabs>
              <w:spacing w:line="360" w:lineRule="auto"/>
              <w:rPr>
                <w:rFonts w:ascii="宋体" w:hAnsi="宋体"/>
                <w:color w:val="000000" w:themeColor="text1"/>
                <w:sz w:val="24"/>
                <w14:textFill>
                  <w14:solidFill>
                    <w14:schemeClr w14:val="tx1"/>
                  </w14:solidFill>
                </w14:textFill>
              </w:rPr>
            </w:pPr>
          </w:p>
        </w:tc>
        <w:tc>
          <w:tcPr>
            <w:tcW w:w="1463" w:type="dxa"/>
            <w:vAlign w:val="center"/>
          </w:tcPr>
          <w:p w14:paraId="711F05B0">
            <w:pPr>
              <w:tabs>
                <w:tab w:val="left" w:pos="3327"/>
              </w:tabs>
              <w:spacing w:line="360" w:lineRule="auto"/>
              <w:rPr>
                <w:rFonts w:ascii="宋体" w:hAnsi="宋体"/>
                <w:color w:val="000000" w:themeColor="text1"/>
                <w:sz w:val="24"/>
                <w14:textFill>
                  <w14:solidFill>
                    <w14:schemeClr w14:val="tx1"/>
                  </w14:solidFill>
                </w14:textFill>
              </w:rPr>
            </w:pPr>
          </w:p>
        </w:tc>
        <w:tc>
          <w:tcPr>
            <w:tcW w:w="1612" w:type="dxa"/>
            <w:vAlign w:val="center"/>
          </w:tcPr>
          <w:p w14:paraId="61B2EB31">
            <w:pPr>
              <w:tabs>
                <w:tab w:val="left" w:pos="3327"/>
              </w:tabs>
              <w:spacing w:line="360" w:lineRule="auto"/>
              <w:rPr>
                <w:rFonts w:ascii="宋体" w:hAnsi="宋体"/>
                <w:color w:val="000000" w:themeColor="text1"/>
                <w:sz w:val="24"/>
                <w14:textFill>
                  <w14:solidFill>
                    <w14:schemeClr w14:val="tx1"/>
                  </w14:solidFill>
                </w14:textFill>
              </w:rPr>
            </w:pPr>
          </w:p>
        </w:tc>
        <w:tc>
          <w:tcPr>
            <w:tcW w:w="950" w:type="dxa"/>
            <w:vAlign w:val="center"/>
          </w:tcPr>
          <w:p w14:paraId="3F79C7C1">
            <w:pPr>
              <w:tabs>
                <w:tab w:val="left" w:pos="3327"/>
              </w:tabs>
              <w:spacing w:line="360" w:lineRule="auto"/>
              <w:rPr>
                <w:rFonts w:ascii="宋体" w:hAnsi="宋体"/>
                <w:color w:val="000000" w:themeColor="text1"/>
                <w:sz w:val="24"/>
                <w14:textFill>
                  <w14:solidFill>
                    <w14:schemeClr w14:val="tx1"/>
                  </w14:solidFill>
                </w14:textFill>
              </w:rPr>
            </w:pPr>
          </w:p>
        </w:tc>
        <w:tc>
          <w:tcPr>
            <w:tcW w:w="738" w:type="dxa"/>
            <w:vAlign w:val="center"/>
          </w:tcPr>
          <w:p w14:paraId="4DF9521C">
            <w:pPr>
              <w:spacing w:line="360" w:lineRule="auto"/>
              <w:jc w:val="center"/>
              <w:rPr>
                <w:rFonts w:ascii="宋体" w:hAnsi="宋体"/>
                <w:color w:val="000000" w:themeColor="text1"/>
                <w:sz w:val="24"/>
                <w14:textFill>
                  <w14:solidFill>
                    <w14:schemeClr w14:val="tx1"/>
                  </w14:solidFill>
                </w14:textFill>
              </w:rPr>
            </w:pPr>
          </w:p>
        </w:tc>
      </w:tr>
      <w:tr w14:paraId="3A32D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 w:hRule="atLeast"/>
        </w:trPr>
        <w:tc>
          <w:tcPr>
            <w:tcW w:w="691" w:type="dxa"/>
            <w:vAlign w:val="center"/>
          </w:tcPr>
          <w:p w14:paraId="02B6F9A2">
            <w:pPr>
              <w:tabs>
                <w:tab w:val="left" w:pos="3327"/>
              </w:tabs>
              <w:spacing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w:t>
            </w:r>
          </w:p>
        </w:tc>
        <w:tc>
          <w:tcPr>
            <w:tcW w:w="863" w:type="dxa"/>
            <w:vAlign w:val="center"/>
          </w:tcPr>
          <w:p w14:paraId="623B4470">
            <w:pPr>
              <w:tabs>
                <w:tab w:val="left" w:pos="3327"/>
              </w:tabs>
              <w:spacing w:line="360" w:lineRule="auto"/>
              <w:rPr>
                <w:rFonts w:ascii="宋体" w:hAnsi="宋体"/>
                <w:color w:val="000000" w:themeColor="text1"/>
                <w:sz w:val="24"/>
                <w14:textFill>
                  <w14:solidFill>
                    <w14:schemeClr w14:val="tx1"/>
                  </w14:solidFill>
                </w14:textFill>
              </w:rPr>
            </w:pPr>
          </w:p>
        </w:tc>
        <w:tc>
          <w:tcPr>
            <w:tcW w:w="1450" w:type="dxa"/>
            <w:vAlign w:val="center"/>
          </w:tcPr>
          <w:p w14:paraId="62CA8C12">
            <w:pPr>
              <w:tabs>
                <w:tab w:val="left" w:pos="3327"/>
              </w:tabs>
              <w:spacing w:line="360" w:lineRule="auto"/>
              <w:rPr>
                <w:rFonts w:ascii="宋体" w:hAnsi="宋体"/>
                <w:color w:val="000000" w:themeColor="text1"/>
                <w:sz w:val="24"/>
                <w14:textFill>
                  <w14:solidFill>
                    <w14:schemeClr w14:val="tx1"/>
                  </w14:solidFill>
                </w14:textFill>
              </w:rPr>
            </w:pPr>
          </w:p>
        </w:tc>
        <w:tc>
          <w:tcPr>
            <w:tcW w:w="950" w:type="dxa"/>
            <w:vAlign w:val="center"/>
          </w:tcPr>
          <w:p w14:paraId="7794834F">
            <w:pPr>
              <w:tabs>
                <w:tab w:val="left" w:pos="3327"/>
              </w:tabs>
              <w:spacing w:line="360" w:lineRule="auto"/>
              <w:rPr>
                <w:rFonts w:ascii="宋体" w:hAnsi="宋体"/>
                <w:color w:val="000000" w:themeColor="text1"/>
                <w:sz w:val="24"/>
                <w14:textFill>
                  <w14:solidFill>
                    <w14:schemeClr w14:val="tx1"/>
                  </w14:solidFill>
                </w14:textFill>
              </w:rPr>
            </w:pPr>
          </w:p>
        </w:tc>
        <w:tc>
          <w:tcPr>
            <w:tcW w:w="712" w:type="dxa"/>
            <w:vAlign w:val="center"/>
          </w:tcPr>
          <w:p w14:paraId="6F39C7BF">
            <w:pPr>
              <w:tabs>
                <w:tab w:val="left" w:pos="3327"/>
              </w:tabs>
              <w:spacing w:line="360" w:lineRule="auto"/>
              <w:rPr>
                <w:rFonts w:ascii="宋体" w:hAnsi="宋体"/>
                <w:color w:val="000000" w:themeColor="text1"/>
                <w:sz w:val="24"/>
                <w14:textFill>
                  <w14:solidFill>
                    <w14:schemeClr w14:val="tx1"/>
                  </w14:solidFill>
                </w14:textFill>
              </w:rPr>
            </w:pPr>
          </w:p>
        </w:tc>
        <w:tc>
          <w:tcPr>
            <w:tcW w:w="825" w:type="dxa"/>
            <w:vAlign w:val="center"/>
          </w:tcPr>
          <w:p w14:paraId="53917907">
            <w:pPr>
              <w:tabs>
                <w:tab w:val="left" w:pos="3327"/>
              </w:tabs>
              <w:spacing w:line="360" w:lineRule="auto"/>
              <w:rPr>
                <w:rFonts w:ascii="宋体" w:hAnsi="宋体"/>
                <w:color w:val="000000" w:themeColor="text1"/>
                <w:sz w:val="24"/>
                <w14:textFill>
                  <w14:solidFill>
                    <w14:schemeClr w14:val="tx1"/>
                  </w14:solidFill>
                </w14:textFill>
              </w:rPr>
            </w:pPr>
          </w:p>
        </w:tc>
        <w:tc>
          <w:tcPr>
            <w:tcW w:w="1463" w:type="dxa"/>
            <w:vAlign w:val="center"/>
          </w:tcPr>
          <w:p w14:paraId="642C8DC7">
            <w:pPr>
              <w:tabs>
                <w:tab w:val="left" w:pos="3327"/>
              </w:tabs>
              <w:spacing w:line="360" w:lineRule="auto"/>
              <w:rPr>
                <w:rFonts w:ascii="宋体" w:hAnsi="宋体"/>
                <w:color w:val="000000" w:themeColor="text1"/>
                <w:sz w:val="24"/>
                <w14:textFill>
                  <w14:solidFill>
                    <w14:schemeClr w14:val="tx1"/>
                  </w14:solidFill>
                </w14:textFill>
              </w:rPr>
            </w:pPr>
          </w:p>
        </w:tc>
        <w:tc>
          <w:tcPr>
            <w:tcW w:w="1612" w:type="dxa"/>
            <w:vAlign w:val="center"/>
          </w:tcPr>
          <w:p w14:paraId="42A26811">
            <w:pPr>
              <w:tabs>
                <w:tab w:val="left" w:pos="3327"/>
              </w:tabs>
              <w:spacing w:line="360" w:lineRule="auto"/>
              <w:rPr>
                <w:rFonts w:ascii="宋体" w:hAnsi="宋体"/>
                <w:color w:val="000000" w:themeColor="text1"/>
                <w:sz w:val="24"/>
                <w14:textFill>
                  <w14:solidFill>
                    <w14:schemeClr w14:val="tx1"/>
                  </w14:solidFill>
                </w14:textFill>
              </w:rPr>
            </w:pPr>
          </w:p>
        </w:tc>
        <w:tc>
          <w:tcPr>
            <w:tcW w:w="950" w:type="dxa"/>
            <w:vAlign w:val="center"/>
          </w:tcPr>
          <w:p w14:paraId="14763BB0">
            <w:pPr>
              <w:tabs>
                <w:tab w:val="left" w:pos="3327"/>
              </w:tabs>
              <w:spacing w:line="360" w:lineRule="auto"/>
              <w:rPr>
                <w:rFonts w:ascii="宋体" w:hAnsi="宋体"/>
                <w:color w:val="000000" w:themeColor="text1"/>
                <w:sz w:val="24"/>
                <w14:textFill>
                  <w14:solidFill>
                    <w14:schemeClr w14:val="tx1"/>
                  </w14:solidFill>
                </w14:textFill>
              </w:rPr>
            </w:pPr>
          </w:p>
        </w:tc>
        <w:tc>
          <w:tcPr>
            <w:tcW w:w="738" w:type="dxa"/>
            <w:vAlign w:val="center"/>
          </w:tcPr>
          <w:p w14:paraId="5D46758C">
            <w:pPr>
              <w:spacing w:line="360" w:lineRule="auto"/>
              <w:jc w:val="center"/>
              <w:rPr>
                <w:rFonts w:ascii="宋体" w:hAnsi="宋体"/>
                <w:color w:val="000000" w:themeColor="text1"/>
                <w:sz w:val="24"/>
                <w14:textFill>
                  <w14:solidFill>
                    <w14:schemeClr w14:val="tx1"/>
                  </w14:solidFill>
                </w14:textFill>
              </w:rPr>
            </w:pPr>
          </w:p>
        </w:tc>
      </w:tr>
    </w:tbl>
    <w:p w14:paraId="3E590B4D">
      <w:pPr>
        <w:autoSpaceDE w:val="0"/>
        <w:autoSpaceDN w:val="0"/>
        <w:spacing w:line="360" w:lineRule="auto"/>
        <w:rPr>
          <w:rFonts w:ascii="宋体" w:hAnsi="宋体" w:cs="Arial"/>
          <w:b/>
          <w:bCs/>
          <w:color w:val="000000" w:themeColor="text1"/>
          <w:sz w:val="24"/>
          <w:lang w:val="zh-CN"/>
          <w14:textFill>
            <w14:solidFill>
              <w14:schemeClr w14:val="tx1"/>
            </w14:solidFill>
          </w14:textFill>
        </w:rPr>
      </w:pPr>
      <w:r>
        <w:rPr>
          <w:rFonts w:ascii="宋体" w:hAnsi="宋体" w:cs="Arial"/>
          <w:b/>
          <w:bCs/>
          <w:color w:val="000000" w:themeColor="text1"/>
          <w:sz w:val="24"/>
          <w:lang w:val="zh-CN"/>
          <w14:textFill>
            <w14:solidFill>
              <w14:schemeClr w14:val="tx1"/>
            </w14:solidFill>
          </w14:textFill>
        </w:rPr>
        <w:t>注：1</w:t>
      </w:r>
      <w:r>
        <w:rPr>
          <w:rFonts w:hint="eastAsia" w:ascii="宋体" w:hAnsi="宋体" w:cs="Arial"/>
          <w:b/>
          <w:bCs/>
          <w:color w:val="000000" w:themeColor="text1"/>
          <w:sz w:val="24"/>
          <w:lang w:val="zh-CN"/>
          <w14:textFill>
            <w14:solidFill>
              <w14:schemeClr w14:val="tx1"/>
            </w14:solidFill>
          </w14:textFill>
        </w:rPr>
        <w:t>、</w:t>
      </w:r>
      <w:r>
        <w:rPr>
          <w:rFonts w:ascii="宋体" w:hAnsi="宋体" w:cs="Arial"/>
          <w:b/>
          <w:bCs/>
          <w:color w:val="000000" w:themeColor="text1"/>
          <w:sz w:val="24"/>
          <w:lang w:val="zh-CN"/>
          <w14:textFill>
            <w14:solidFill>
              <w14:schemeClr w14:val="tx1"/>
            </w14:solidFill>
          </w14:textFill>
        </w:rPr>
        <w:t>本表应按照</w:t>
      </w:r>
      <w:r>
        <w:rPr>
          <w:rFonts w:hint="eastAsia" w:ascii="宋体" w:hAnsi="宋体" w:cs="Arial"/>
          <w:b/>
          <w:bCs/>
          <w:color w:val="000000" w:themeColor="text1"/>
          <w:sz w:val="24"/>
          <w:lang w:val="zh-CN"/>
          <w14:textFill>
            <w14:solidFill>
              <w14:schemeClr w14:val="tx1"/>
            </w14:solidFill>
          </w14:textFill>
        </w:rPr>
        <w:t>采购项目参数及要求</w:t>
      </w:r>
      <w:r>
        <w:rPr>
          <w:rFonts w:ascii="宋体" w:hAnsi="宋体" w:cs="Arial"/>
          <w:b/>
          <w:bCs/>
          <w:color w:val="000000" w:themeColor="text1"/>
          <w:sz w:val="24"/>
          <w:lang w:val="zh-CN"/>
          <w14:textFill>
            <w14:solidFill>
              <w14:schemeClr w14:val="tx1"/>
            </w14:solidFill>
          </w14:textFill>
        </w:rPr>
        <w:t>中产品序号的指标逐项填写，不得遗漏。</w:t>
      </w:r>
    </w:p>
    <w:p w14:paraId="0163A56C">
      <w:pPr>
        <w:autoSpaceDE w:val="0"/>
        <w:autoSpaceDN w:val="0"/>
        <w:spacing w:line="360" w:lineRule="auto"/>
        <w:ind w:firstLine="482" w:firstLineChars="200"/>
        <w:rPr>
          <w:rFonts w:ascii="宋体" w:hAnsi="宋体" w:cs="Arial"/>
          <w:b/>
          <w:bCs/>
          <w:color w:val="000000" w:themeColor="text1"/>
          <w:sz w:val="24"/>
          <w:lang w:val="zh-CN"/>
          <w14:textFill>
            <w14:solidFill>
              <w14:schemeClr w14:val="tx1"/>
            </w14:solidFill>
          </w14:textFill>
        </w:rPr>
      </w:pPr>
      <w:r>
        <w:rPr>
          <w:rFonts w:ascii="宋体" w:hAnsi="宋体" w:cs="Arial"/>
          <w:b/>
          <w:bCs/>
          <w:color w:val="000000" w:themeColor="text1"/>
          <w:sz w:val="24"/>
          <w:lang w:val="zh-CN"/>
          <w14:textFill>
            <w14:solidFill>
              <w14:schemeClr w14:val="tx1"/>
            </w14:solidFill>
          </w14:textFill>
        </w:rPr>
        <w:t>2</w:t>
      </w:r>
      <w:r>
        <w:rPr>
          <w:rFonts w:hint="eastAsia" w:ascii="宋体" w:hAnsi="宋体" w:cs="Arial"/>
          <w:b/>
          <w:bCs/>
          <w:color w:val="000000" w:themeColor="text1"/>
          <w:sz w:val="24"/>
          <w:lang w:val="zh-CN"/>
          <w14:textFill>
            <w14:solidFill>
              <w14:schemeClr w14:val="tx1"/>
            </w14:solidFill>
          </w14:textFill>
        </w:rPr>
        <w:t>、“投标产品技术参数、指标”必须与投标文件中提供的产品检测报告、彩页等证明材料的实质性响应情况相一致。若在评标环节发现该项与投标文件中提供的产品检测报告（或厂家公开发布的资料参数）等证明材料的实质性响应情况不一致或直接复制招标文件“采购需求技术参数、指标”内容的，按无效投标处理。</w:t>
      </w:r>
    </w:p>
    <w:p w14:paraId="0D48F2AF">
      <w:pPr>
        <w:autoSpaceDE w:val="0"/>
        <w:autoSpaceDN w:val="0"/>
        <w:spacing w:line="360" w:lineRule="auto"/>
        <w:ind w:firstLine="482" w:firstLineChars="200"/>
        <w:rPr>
          <w:rFonts w:ascii="宋体" w:hAnsi="宋体" w:cs="Arial"/>
          <w:b/>
          <w:bCs/>
          <w:color w:val="000000" w:themeColor="text1"/>
          <w:sz w:val="24"/>
          <w:lang w:val="zh-CN"/>
          <w14:textFill>
            <w14:solidFill>
              <w14:schemeClr w14:val="tx1"/>
            </w14:solidFill>
          </w14:textFill>
        </w:rPr>
      </w:pPr>
      <w:r>
        <w:rPr>
          <w:rFonts w:ascii="宋体" w:hAnsi="宋体" w:cs="Arial"/>
          <w:b/>
          <w:bCs/>
          <w:color w:val="000000" w:themeColor="text1"/>
          <w:sz w:val="24"/>
          <w:lang w:val="zh-CN"/>
          <w14:textFill>
            <w14:solidFill>
              <w14:schemeClr w14:val="tx1"/>
            </w14:solidFill>
          </w14:textFill>
        </w:rPr>
        <w:t>3</w:t>
      </w:r>
      <w:r>
        <w:rPr>
          <w:rFonts w:hint="eastAsia" w:ascii="宋体" w:hAnsi="宋体" w:cs="Arial"/>
          <w:b/>
          <w:bCs/>
          <w:color w:val="000000" w:themeColor="text1"/>
          <w:sz w:val="24"/>
          <w:lang w:val="zh-CN"/>
          <w14:textFill>
            <w14:solidFill>
              <w14:schemeClr w14:val="tx1"/>
            </w14:solidFill>
          </w14:textFill>
        </w:rPr>
        <w:t>、投标供应商响应采购需求应具体、明确，应以招标项目参数要求为基本投标要求，对超出或不满足招标项目参数要求的指标需列出“</w:t>
      </w:r>
      <w:r>
        <w:rPr>
          <w:rFonts w:ascii="宋体" w:hAnsi="宋体" w:cs="Arial"/>
          <w:b/>
          <w:bCs/>
          <w:color w:val="000000" w:themeColor="text1"/>
          <w:sz w:val="24"/>
          <w:lang w:val="zh-CN"/>
          <w14:textFill>
            <w14:solidFill>
              <w14:schemeClr w14:val="tx1"/>
            </w14:solidFill>
          </w14:textFill>
        </w:rPr>
        <w:t>+</w:t>
      </w:r>
      <w:r>
        <w:rPr>
          <w:rFonts w:hint="eastAsia" w:ascii="宋体" w:hAnsi="宋体" w:cs="Arial"/>
          <w:b/>
          <w:bCs/>
          <w:color w:val="000000" w:themeColor="text1"/>
          <w:sz w:val="24"/>
          <w:lang w:val="zh-CN"/>
          <w14:textFill>
            <w14:solidFill>
              <w14:schemeClr w14:val="tx1"/>
            </w14:solidFill>
          </w14:textFill>
        </w:rPr>
        <w:t>、</w:t>
      </w:r>
      <w:r>
        <w:rPr>
          <w:rFonts w:ascii="宋体" w:hAnsi="宋体" w:cs="Arial"/>
          <w:b/>
          <w:bCs/>
          <w:color w:val="000000" w:themeColor="text1"/>
          <w:sz w:val="24"/>
          <w:lang w:val="zh-CN"/>
          <w14:textFill>
            <w14:solidFill>
              <w14:schemeClr w14:val="tx1"/>
            </w14:solidFill>
          </w14:textFill>
        </w:rPr>
        <w:t>-</w:t>
      </w:r>
      <w:r>
        <w:rPr>
          <w:rFonts w:hint="eastAsia" w:ascii="宋体" w:hAnsi="宋体" w:cs="Arial"/>
          <w:b/>
          <w:bCs/>
          <w:color w:val="000000" w:themeColor="text1"/>
          <w:sz w:val="24"/>
          <w:lang w:val="zh-CN"/>
          <w14:textFill>
            <w14:solidFill>
              <w14:schemeClr w14:val="tx1"/>
            </w14:solidFill>
          </w14:textFill>
        </w:rPr>
        <w:t>”偏差，并做出详细说明；如果只注明“</w:t>
      </w:r>
      <w:r>
        <w:rPr>
          <w:rFonts w:ascii="宋体" w:hAnsi="宋体" w:cs="Arial"/>
          <w:b/>
          <w:bCs/>
          <w:color w:val="000000" w:themeColor="text1"/>
          <w:sz w:val="24"/>
          <w:lang w:val="zh-CN"/>
          <w14:textFill>
            <w14:solidFill>
              <w14:schemeClr w14:val="tx1"/>
            </w14:solidFill>
          </w14:textFill>
        </w:rPr>
        <w:t>+</w:t>
      </w:r>
      <w:r>
        <w:rPr>
          <w:rFonts w:hint="eastAsia" w:ascii="宋体" w:hAnsi="宋体" w:cs="Arial"/>
          <w:b/>
          <w:bCs/>
          <w:color w:val="000000" w:themeColor="text1"/>
          <w:sz w:val="24"/>
          <w:lang w:val="zh-CN"/>
          <w14:textFill>
            <w14:solidFill>
              <w14:schemeClr w14:val="tx1"/>
            </w14:solidFill>
          </w14:textFill>
        </w:rPr>
        <w:t>”、“</w:t>
      </w:r>
      <w:r>
        <w:rPr>
          <w:rFonts w:ascii="宋体" w:hAnsi="宋体" w:cs="Arial"/>
          <w:b/>
          <w:bCs/>
          <w:color w:val="000000" w:themeColor="text1"/>
          <w:sz w:val="24"/>
          <w:lang w:val="zh-CN"/>
          <w14:textFill>
            <w14:solidFill>
              <w14:schemeClr w14:val="tx1"/>
            </w14:solidFill>
          </w14:textFill>
        </w:rPr>
        <w:t>-</w:t>
      </w:r>
      <w:r>
        <w:rPr>
          <w:rFonts w:hint="eastAsia" w:ascii="宋体" w:hAnsi="宋体" w:cs="Arial"/>
          <w:b/>
          <w:bCs/>
          <w:color w:val="000000" w:themeColor="text1"/>
          <w:sz w:val="24"/>
          <w:lang w:val="zh-CN"/>
          <w14:textFill>
            <w14:solidFill>
              <w14:schemeClr w14:val="tx1"/>
            </w14:solidFill>
          </w14:textFill>
        </w:rPr>
        <w:t>”或未填写，将视为该项指标不响应。</w:t>
      </w:r>
    </w:p>
    <w:p w14:paraId="48D0ABDF">
      <w:pPr>
        <w:autoSpaceDE w:val="0"/>
        <w:autoSpaceDN w:val="0"/>
        <w:spacing w:line="360" w:lineRule="auto"/>
        <w:ind w:firstLine="482" w:firstLineChars="200"/>
        <w:rPr>
          <w:rFonts w:ascii="宋体" w:hAnsi="宋体" w:cs="Arial"/>
          <w:b/>
          <w:bCs/>
          <w:color w:val="000000" w:themeColor="text1"/>
          <w:sz w:val="24"/>
          <w:lang w:val="zh-CN"/>
          <w14:textFill>
            <w14:solidFill>
              <w14:schemeClr w14:val="tx1"/>
            </w14:solidFill>
          </w14:textFill>
        </w:rPr>
      </w:pPr>
      <w:r>
        <w:rPr>
          <w:rFonts w:ascii="宋体" w:hAnsi="宋体" w:cs="Arial"/>
          <w:b/>
          <w:bCs/>
          <w:color w:val="000000" w:themeColor="text1"/>
          <w:sz w:val="24"/>
          <w:lang w:val="zh-CN"/>
          <w14:textFill>
            <w14:solidFill>
              <w14:schemeClr w14:val="tx1"/>
            </w14:solidFill>
          </w14:textFill>
        </w:rPr>
        <w:t>4</w:t>
      </w:r>
      <w:r>
        <w:rPr>
          <w:rFonts w:hint="eastAsia" w:ascii="宋体" w:hAnsi="宋体" w:cs="Arial"/>
          <w:b/>
          <w:bCs/>
          <w:color w:val="000000" w:themeColor="text1"/>
          <w:sz w:val="24"/>
          <w:lang w:val="zh-CN"/>
          <w14:textFill>
            <w14:solidFill>
              <w14:schemeClr w14:val="tx1"/>
            </w14:solidFill>
          </w14:textFill>
        </w:rPr>
        <w:t>、投标供应商应按投标产品实际情况填写，不得照抄、复制招标文件技术参数要求。</w:t>
      </w:r>
    </w:p>
    <w:p w14:paraId="0257EEA1">
      <w:pPr>
        <w:autoSpaceDE w:val="0"/>
        <w:autoSpaceDN w:val="0"/>
        <w:spacing w:line="360" w:lineRule="auto"/>
        <w:ind w:firstLine="482" w:firstLineChars="200"/>
        <w:rPr>
          <w:rFonts w:ascii="宋体" w:hAnsi="宋体" w:cs="Arial"/>
          <w:b/>
          <w:bCs/>
          <w:color w:val="000000" w:themeColor="text1"/>
          <w:sz w:val="24"/>
          <w:lang w:val="zh-CN"/>
          <w14:textFill>
            <w14:solidFill>
              <w14:schemeClr w14:val="tx1"/>
            </w14:solidFill>
          </w14:textFill>
        </w:rPr>
      </w:pPr>
      <w:r>
        <w:rPr>
          <w:rFonts w:ascii="宋体" w:hAnsi="宋体" w:cs="Arial"/>
          <w:b/>
          <w:bCs/>
          <w:color w:val="000000" w:themeColor="text1"/>
          <w:sz w:val="24"/>
          <w:lang w:val="zh-CN"/>
          <w14:textFill>
            <w14:solidFill>
              <w14:schemeClr w14:val="tx1"/>
            </w14:solidFill>
          </w14:textFill>
        </w:rPr>
        <w:t>5</w:t>
      </w:r>
      <w:r>
        <w:rPr>
          <w:rFonts w:hint="eastAsia" w:ascii="宋体" w:hAnsi="宋体" w:cs="Arial"/>
          <w:b/>
          <w:bCs/>
          <w:color w:val="000000" w:themeColor="text1"/>
          <w:sz w:val="24"/>
          <w:lang w:val="zh-CN"/>
          <w14:textFill>
            <w14:solidFill>
              <w14:schemeClr w14:val="tx1"/>
            </w14:solidFill>
          </w14:textFill>
        </w:rPr>
        <w:t>、投标供应商响应采购需求应具体、明确，含糊不清、不确切或伪造、编造证明材料的，按照实质性不响应处理。对伪造、编造证明材料的，将报送采购监管部门查处。</w:t>
      </w:r>
    </w:p>
    <w:p w14:paraId="490BAFF9">
      <w:pPr>
        <w:autoSpaceDE w:val="0"/>
        <w:autoSpaceDN w:val="0"/>
        <w:adjustRightInd w:val="0"/>
        <w:spacing w:line="360" w:lineRule="auto"/>
        <w:rPr>
          <w:rFonts w:ascii="宋体" w:hAnsi="宋体" w:cs="宋体"/>
          <w:b/>
          <w:bCs/>
          <w:color w:val="000000" w:themeColor="text1"/>
          <w:kern w:val="0"/>
          <w:sz w:val="24"/>
          <w:lang w:val="zh-CN"/>
          <w14:textFill>
            <w14:solidFill>
              <w14:schemeClr w14:val="tx1"/>
            </w14:solidFill>
          </w14:textFill>
        </w:rPr>
      </w:pPr>
    </w:p>
    <w:p w14:paraId="1BC24A09">
      <w:pPr>
        <w:tabs>
          <w:tab w:val="left" w:pos="168"/>
        </w:tabs>
        <w:adjustRightInd w:val="0"/>
        <w:spacing w:line="360" w:lineRule="auto"/>
        <w:textAlignment w:val="baseline"/>
        <w:rPr>
          <w:rFonts w:ascii="宋体" w:hAnsi="宋体"/>
          <w:bCs/>
          <w:color w:val="000000" w:themeColor="text1"/>
          <w:sz w:val="24"/>
          <w14:textFill>
            <w14:solidFill>
              <w14:schemeClr w14:val="tx1"/>
            </w14:solidFill>
          </w14:textFill>
        </w:rPr>
      </w:pPr>
    </w:p>
    <w:p w14:paraId="05A60441">
      <w:pPr>
        <w:tabs>
          <w:tab w:val="left" w:pos="168"/>
        </w:tabs>
        <w:adjustRightInd w:val="0"/>
        <w:spacing w:line="360" w:lineRule="auto"/>
        <w:jc w:val="righ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投标供应商：             （公章）</w:t>
      </w:r>
    </w:p>
    <w:p w14:paraId="7405A747">
      <w:pPr>
        <w:tabs>
          <w:tab w:val="left" w:pos="168"/>
        </w:tabs>
        <w:adjustRightInd w:val="0"/>
        <w:spacing w:line="360" w:lineRule="auto"/>
        <w:jc w:val="righ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法定代表人或委托代理人：       （签字）</w:t>
      </w:r>
    </w:p>
    <w:p w14:paraId="7C4A58F8">
      <w:pPr>
        <w:tabs>
          <w:tab w:val="left" w:pos="168"/>
        </w:tabs>
        <w:adjustRightInd w:val="0"/>
        <w:spacing w:line="360" w:lineRule="auto"/>
        <w:jc w:val="righ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日期：    年   月   日</w:t>
      </w:r>
    </w:p>
    <w:p w14:paraId="05EC4DE7">
      <w:pPr>
        <w:pStyle w:val="4"/>
        <w:numPr>
          <w:ilvl w:val="0"/>
          <w:numId w:val="0"/>
        </w:numPr>
        <w:rPr>
          <w:rFonts w:hAnsi="宋体" w:cs="宋体"/>
          <w:bCs/>
          <w:color w:val="000000" w:themeColor="text1"/>
          <w:sz w:val="24"/>
          <w:szCs w:val="24"/>
          <w14:textFill>
            <w14:solidFill>
              <w14:schemeClr w14:val="tx1"/>
            </w14:solidFill>
          </w14:textFill>
        </w:rPr>
      </w:pPr>
      <w:r>
        <w:rPr>
          <w:rFonts w:hAnsi="宋体"/>
          <w:bCs/>
          <w:color w:val="000000" w:themeColor="text1"/>
          <w:sz w:val="24"/>
          <w:szCs w:val="24"/>
          <w14:textFill>
            <w14:solidFill>
              <w14:schemeClr w14:val="tx1"/>
            </w14:solidFill>
          </w14:textFill>
        </w:rPr>
        <w:br w:type="page"/>
      </w:r>
      <w:bookmarkStart w:id="111" w:name="_Toc27762"/>
      <w:r>
        <w:rPr>
          <w:rFonts w:hint="eastAsia" w:hAnsi="宋体"/>
          <w:b/>
          <w:color w:val="000000" w:themeColor="text1"/>
          <w:sz w:val="24"/>
          <w:szCs w:val="24"/>
          <w:lang w:val="zh-CN"/>
          <w14:textFill>
            <w14:solidFill>
              <w14:schemeClr w14:val="tx1"/>
            </w14:solidFill>
          </w14:textFill>
        </w:rPr>
        <w:t>格式1</w:t>
      </w:r>
      <w:r>
        <w:rPr>
          <w:rFonts w:hint="eastAsia" w:hAnsi="宋体"/>
          <w:b/>
          <w:color w:val="000000" w:themeColor="text1"/>
          <w:sz w:val="24"/>
          <w:szCs w:val="24"/>
          <w:lang w:val="en-US" w:eastAsia="zh-CN"/>
          <w14:textFill>
            <w14:solidFill>
              <w14:schemeClr w14:val="tx1"/>
            </w14:solidFill>
          </w14:textFill>
        </w:rPr>
        <w:t>4</w:t>
      </w:r>
      <w:r>
        <w:rPr>
          <w:rFonts w:hint="eastAsia" w:hAnsi="宋体"/>
          <w:b/>
          <w:color w:val="000000" w:themeColor="text1"/>
          <w:sz w:val="24"/>
          <w:szCs w:val="24"/>
          <w:lang w:val="zh-CN"/>
          <w14:textFill>
            <w14:solidFill>
              <w14:schemeClr w14:val="tx1"/>
            </w14:solidFill>
          </w14:textFill>
        </w:rPr>
        <w:t>、磋商产品相关资料</w:t>
      </w:r>
      <w:bookmarkEnd w:id="111"/>
    </w:p>
    <w:p w14:paraId="7C85453A">
      <w:pPr>
        <w:spacing w:line="360" w:lineRule="auto"/>
        <w:rPr>
          <w:rFonts w:ascii="宋体" w:hAnsi="宋体"/>
          <w:b/>
          <w:bCs/>
          <w:color w:val="000000" w:themeColor="text1"/>
          <w:kern w:val="28"/>
          <w:sz w:val="24"/>
          <w:lang w:val="zh-CN"/>
          <w14:textFill>
            <w14:solidFill>
              <w14:schemeClr w14:val="tx1"/>
            </w14:solidFill>
          </w14:textFill>
        </w:rPr>
      </w:pPr>
    </w:p>
    <w:p w14:paraId="5AA5B43C">
      <w:pPr>
        <w:autoSpaceDE w:val="0"/>
        <w:autoSpaceDN w:val="0"/>
        <w:adjustRightInd w:val="0"/>
        <w:spacing w:line="360" w:lineRule="auto"/>
        <w:jc w:val="center"/>
        <w:rPr>
          <w:rFonts w:ascii="宋体" w:hAnsi="宋体" w:cs="Arial"/>
          <w:bCs/>
          <w:color w:val="000000" w:themeColor="text1"/>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磋商</w:t>
      </w:r>
      <w:r>
        <w:rPr>
          <w:rFonts w:ascii="宋体" w:hAnsi="宋体" w:cs="宋体"/>
          <w:b/>
          <w:bCs/>
          <w:color w:val="000000" w:themeColor="text1"/>
          <w:kern w:val="0"/>
          <w:sz w:val="24"/>
          <w:lang w:val="zh-CN"/>
          <w14:textFill>
            <w14:solidFill>
              <w14:schemeClr w14:val="tx1"/>
            </w14:solidFill>
          </w14:textFill>
        </w:rPr>
        <w:t>产品相关资料</w:t>
      </w:r>
    </w:p>
    <w:p w14:paraId="4BAB014A">
      <w:pPr>
        <w:spacing w:line="360" w:lineRule="auto"/>
        <w:ind w:firstLine="424" w:firstLineChars="177"/>
        <w:rPr>
          <w:rFonts w:ascii="宋体" w:hAnsi="宋体"/>
          <w:b/>
          <w:color w:val="000000" w:themeColor="text1"/>
          <w:sz w:val="24"/>
          <w:lang w:val="zh-CN"/>
          <w14:textFill>
            <w14:solidFill>
              <w14:schemeClr w14:val="tx1"/>
            </w14:solidFill>
          </w14:textFill>
        </w:rPr>
      </w:pPr>
      <w:r>
        <w:rPr>
          <w:rFonts w:hint="eastAsia" w:ascii="宋体" w:hAnsi="宋体" w:cs="Arial"/>
          <w:color w:val="000000" w:themeColor="text1"/>
          <w:sz w:val="24"/>
          <w14:textFill>
            <w14:solidFill>
              <w14:schemeClr w14:val="tx1"/>
            </w14:solidFill>
          </w14:textFill>
        </w:rPr>
        <w:t>根据采购项目内容，磋商时提供国家认可的质监机构出具的磋商产品的产品材料的检验报告（或彩页）或证明技术参数响应的相关资料（或厂家公开发布的资料参数）或相关认证等资料。</w:t>
      </w:r>
      <w:bookmarkEnd w:id="108"/>
      <w:bookmarkEnd w:id="109"/>
      <w:bookmarkEnd w:id="110"/>
    </w:p>
    <w:p w14:paraId="7F7A58B1">
      <w:pPr>
        <w:pStyle w:val="4"/>
        <w:numPr>
          <w:ilvl w:val="0"/>
          <w:numId w:val="0"/>
        </w:numPr>
        <w:ind w:left="709" w:hanging="709"/>
        <w:rPr>
          <w:rFonts w:hAnsi="宋体" w:cs="宋体"/>
          <w:color w:val="000000" w:themeColor="text1"/>
          <w:sz w:val="24"/>
          <w:szCs w:val="24"/>
          <w14:textFill>
            <w14:solidFill>
              <w14:schemeClr w14:val="tx1"/>
            </w14:solidFill>
          </w14:textFill>
        </w:rPr>
      </w:pPr>
      <w:r>
        <w:rPr>
          <w:rFonts w:hAnsi="宋体"/>
          <w:bCs/>
          <w:color w:val="000000" w:themeColor="text1"/>
          <w:sz w:val="24"/>
          <w:szCs w:val="24"/>
          <w14:textFill>
            <w14:solidFill>
              <w14:schemeClr w14:val="tx1"/>
            </w14:solidFill>
          </w14:textFill>
        </w:rPr>
        <w:br w:type="page"/>
      </w:r>
      <w:bookmarkStart w:id="112" w:name="_Toc10781"/>
      <w:r>
        <w:rPr>
          <w:rFonts w:hint="eastAsia" w:hAnsi="宋体"/>
          <w:b/>
          <w:color w:val="000000" w:themeColor="text1"/>
          <w:sz w:val="24"/>
          <w:szCs w:val="24"/>
          <w:lang w:val="zh-CN"/>
          <w14:textFill>
            <w14:solidFill>
              <w14:schemeClr w14:val="tx1"/>
            </w14:solidFill>
          </w14:textFill>
        </w:rPr>
        <w:t>格式</w:t>
      </w:r>
      <w:r>
        <w:rPr>
          <w:rFonts w:hint="eastAsia" w:hAnsi="宋体"/>
          <w:b/>
          <w:color w:val="000000" w:themeColor="text1"/>
          <w:sz w:val="24"/>
          <w:szCs w:val="24"/>
          <w:lang w:val="en-US" w:eastAsia="zh-CN"/>
          <w14:textFill>
            <w14:solidFill>
              <w14:schemeClr w14:val="tx1"/>
            </w14:solidFill>
          </w14:textFill>
        </w:rPr>
        <w:t>15</w:t>
      </w:r>
      <w:r>
        <w:rPr>
          <w:rFonts w:hint="eastAsia" w:hAnsi="宋体"/>
          <w:b/>
          <w:color w:val="000000" w:themeColor="text1"/>
          <w:sz w:val="24"/>
          <w:szCs w:val="24"/>
          <w:lang w:val="zh-CN"/>
          <w14:textFill>
            <w14:solidFill>
              <w14:schemeClr w14:val="tx1"/>
            </w14:solidFill>
          </w14:textFill>
        </w:rPr>
        <w:t>、磋商供应商的类似业绩证明材料</w:t>
      </w:r>
      <w:bookmarkEnd w:id="112"/>
    </w:p>
    <w:p w14:paraId="135D8C1D">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0CE6CBAA">
      <w:pPr>
        <w:autoSpaceDE w:val="0"/>
        <w:autoSpaceDN w:val="0"/>
        <w:adjustRightInd w:val="0"/>
        <w:spacing w:line="360" w:lineRule="auto"/>
        <w:jc w:val="center"/>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磋商供应商的类似业绩证明材料</w:t>
      </w:r>
    </w:p>
    <w:p w14:paraId="242160C0">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6973816C">
      <w:pPr>
        <w:autoSpaceDE w:val="0"/>
        <w:autoSpaceDN w:val="0"/>
        <w:adjustRightInd w:val="0"/>
        <w:spacing w:line="360" w:lineRule="auto"/>
        <w:ind w:firstLine="840" w:firstLineChars="35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根据评分表要求提供相应的业绩证明材料</w:t>
      </w:r>
      <w:r>
        <w:rPr>
          <w:rFonts w:ascii="宋体" w:hAnsi="宋体" w:cs="宋体"/>
          <w:color w:val="000000" w:themeColor="text1"/>
          <w:kern w:val="0"/>
          <w:sz w:val="24"/>
          <w:lang w:val="zh-CN"/>
          <w14:textFill>
            <w14:solidFill>
              <w14:schemeClr w14:val="tx1"/>
            </w14:solidFill>
          </w14:textFill>
        </w:rPr>
        <w:t>。</w:t>
      </w:r>
    </w:p>
    <w:p w14:paraId="418C610B">
      <w:pPr>
        <w:pStyle w:val="4"/>
        <w:numPr>
          <w:ilvl w:val="0"/>
          <w:numId w:val="0"/>
        </w:numPr>
        <w:ind w:left="709" w:hanging="709"/>
        <w:rPr>
          <w:rFonts w:hAnsi="宋体"/>
          <w:b/>
          <w:color w:val="000000" w:themeColor="text1"/>
          <w:sz w:val="24"/>
          <w:szCs w:val="24"/>
          <w:lang w:val="zh-CN"/>
          <w14:textFill>
            <w14:solidFill>
              <w14:schemeClr w14:val="tx1"/>
            </w14:solidFill>
          </w14:textFill>
        </w:rPr>
      </w:pPr>
      <w:r>
        <w:rPr>
          <w:rFonts w:hAnsi="宋体"/>
          <w:bCs/>
          <w:color w:val="000000" w:themeColor="text1"/>
          <w:sz w:val="24"/>
          <w:szCs w:val="24"/>
          <w14:textFill>
            <w14:solidFill>
              <w14:schemeClr w14:val="tx1"/>
            </w14:solidFill>
          </w14:textFill>
        </w:rPr>
        <w:br w:type="page"/>
      </w:r>
      <w:bookmarkStart w:id="113" w:name="_Toc3305"/>
      <w:r>
        <w:rPr>
          <w:rFonts w:hint="eastAsia" w:hAnsi="宋体"/>
          <w:b/>
          <w:color w:val="000000" w:themeColor="text1"/>
          <w:sz w:val="24"/>
          <w:szCs w:val="24"/>
          <w:lang w:val="zh-CN"/>
          <w14:textFill>
            <w14:solidFill>
              <w14:schemeClr w14:val="tx1"/>
            </w14:solidFill>
          </w14:textFill>
        </w:rPr>
        <w:t>格式</w:t>
      </w:r>
      <w:r>
        <w:rPr>
          <w:rFonts w:hint="eastAsia" w:hAnsi="宋体"/>
          <w:b/>
          <w:color w:val="000000" w:themeColor="text1"/>
          <w:sz w:val="24"/>
          <w:szCs w:val="24"/>
          <w:lang w:val="en-US" w:eastAsia="zh-CN"/>
          <w14:textFill>
            <w14:solidFill>
              <w14:schemeClr w14:val="tx1"/>
            </w14:solidFill>
          </w14:textFill>
        </w:rPr>
        <w:t>16</w:t>
      </w:r>
      <w:r>
        <w:rPr>
          <w:rFonts w:hint="eastAsia" w:hAnsi="宋体"/>
          <w:b/>
          <w:color w:val="000000" w:themeColor="text1"/>
          <w:sz w:val="24"/>
          <w:szCs w:val="24"/>
          <w:lang w:val="zh-CN"/>
          <w14:textFill>
            <w14:solidFill>
              <w14:schemeClr w14:val="tx1"/>
            </w14:solidFill>
          </w14:textFill>
        </w:rPr>
        <w:t>、享受政府采购政策优惠的证明资料</w:t>
      </w:r>
      <w:bookmarkEnd w:id="113"/>
    </w:p>
    <w:p w14:paraId="0C80B0C4">
      <w:pPr>
        <w:spacing w:line="360" w:lineRule="auto"/>
        <w:rPr>
          <w:rFonts w:ascii="宋体" w:hAnsi="宋体"/>
          <w:color w:val="000000" w:themeColor="text1"/>
          <w:sz w:val="24"/>
          <w:lang w:val="zh-CN"/>
          <w14:textFill>
            <w14:solidFill>
              <w14:schemeClr w14:val="tx1"/>
            </w14:solidFill>
          </w14:textFill>
        </w:rPr>
      </w:pPr>
    </w:p>
    <w:p w14:paraId="73F31AF8">
      <w:pPr>
        <w:autoSpaceDE w:val="0"/>
        <w:autoSpaceDN w:val="0"/>
        <w:spacing w:line="360" w:lineRule="auto"/>
        <w:jc w:val="center"/>
        <w:rPr>
          <w:b/>
          <w:bCs/>
          <w:color w:val="000000" w:themeColor="text1"/>
          <w:kern w:val="0"/>
          <w:sz w:val="28"/>
          <w:szCs w:val="28"/>
          <w14:textFill>
            <w14:solidFill>
              <w14:schemeClr w14:val="tx1"/>
            </w14:solidFill>
          </w14:textFill>
        </w:rPr>
      </w:pPr>
      <w:bookmarkStart w:id="114" w:name="_Toc25276"/>
    </w:p>
    <w:p w14:paraId="6E0017AD">
      <w:pPr>
        <w:autoSpaceDE w:val="0"/>
        <w:autoSpaceDN w:val="0"/>
        <w:spacing w:line="360" w:lineRule="auto"/>
        <w:jc w:val="center"/>
        <w:rPr>
          <w:b/>
          <w:bCs/>
          <w:color w:val="000000" w:themeColor="text1"/>
          <w:kern w:val="0"/>
          <w:sz w:val="28"/>
          <w:szCs w:val="28"/>
          <w14:textFill>
            <w14:solidFill>
              <w14:schemeClr w14:val="tx1"/>
            </w14:solidFill>
          </w14:textFill>
        </w:rPr>
      </w:pPr>
      <w:r>
        <w:rPr>
          <w:rFonts w:hint="eastAsia"/>
          <w:b/>
          <w:bCs/>
          <w:color w:val="000000" w:themeColor="text1"/>
          <w:kern w:val="0"/>
          <w:sz w:val="28"/>
          <w:szCs w:val="28"/>
          <w14:textFill>
            <w14:solidFill>
              <w14:schemeClr w14:val="tx1"/>
            </w14:solidFill>
          </w14:textFill>
        </w:rPr>
        <w:t>节能产品、环境标志产品证明材料</w:t>
      </w:r>
      <w:bookmarkEnd w:id="114"/>
    </w:p>
    <w:p w14:paraId="47747698">
      <w:pPr>
        <w:autoSpaceDE w:val="0"/>
        <w:autoSpaceDN w:val="0"/>
        <w:spacing w:line="360" w:lineRule="auto"/>
        <w:jc w:val="center"/>
        <w:rPr>
          <w:b/>
          <w:bCs/>
          <w:color w:val="000000" w:themeColor="text1"/>
          <w:kern w:val="0"/>
          <w:sz w:val="28"/>
          <w:szCs w:val="28"/>
          <w14:textFill>
            <w14:solidFill>
              <w14:schemeClr w14:val="tx1"/>
            </w14:solidFill>
          </w14:textFill>
        </w:rPr>
      </w:pPr>
    </w:p>
    <w:p w14:paraId="5EBB5073">
      <w:pPr>
        <w:autoSpaceDE w:val="0"/>
        <w:autoSpaceDN w:val="0"/>
        <w:spacing w:line="360" w:lineRule="auto"/>
        <w:ind w:firstLine="480" w:firstLineChars="200"/>
        <w:rPr>
          <w:rFonts w:ascii="宋体" w:hAnsi="宋体" w:cs="宋体"/>
          <w:color w:val="000000" w:themeColor="text1"/>
          <w:kern w:val="0"/>
          <w:sz w:val="24"/>
          <w:lang w:val="zh-CN"/>
          <w14:textFill>
            <w14:solidFill>
              <w14:schemeClr w14:val="tx1"/>
            </w14:solidFill>
          </w14:textFill>
        </w:rPr>
      </w:pPr>
      <w:r>
        <w:rPr>
          <w:rFonts w:hint="eastAsia" w:ascii="宋体" w:hAnsi="宋体" w:cs="仿宋"/>
          <w:color w:val="000000" w:themeColor="text1"/>
          <w:kern w:val="0"/>
          <w:sz w:val="24"/>
          <w14:textFill>
            <w14:solidFill>
              <w14:schemeClr w14:val="tx1"/>
            </w14:solidFill>
          </w14:textFill>
        </w:rPr>
        <w:t>产品属于品目清单范围的，实施政府优先采购和强制采购。供应商应提供国家确定的认证机构出具的、处于有效期之内的节能产品、环境标志产品认证证书，并加盖供应商单位公章。</w:t>
      </w:r>
    </w:p>
    <w:p w14:paraId="7DFE6183">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p>
    <w:p w14:paraId="33162AEE">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p>
    <w:p w14:paraId="65283B5E">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p>
    <w:p w14:paraId="6EC96BA0">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p>
    <w:p w14:paraId="7E45629B">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p>
    <w:p w14:paraId="67587FFE">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p>
    <w:p w14:paraId="0E83691C">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p>
    <w:p w14:paraId="3F728031">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p>
    <w:p w14:paraId="4D6C377C">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p>
    <w:p w14:paraId="3F614970">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p>
    <w:p w14:paraId="6C5E0561">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p>
    <w:p w14:paraId="65B46528">
      <w:pPr>
        <w:autoSpaceDE w:val="0"/>
        <w:autoSpaceDN w:val="0"/>
        <w:spacing w:line="360" w:lineRule="auto"/>
        <w:rPr>
          <w:rFonts w:ascii="宋体" w:hAnsi="宋体" w:cs="宋体"/>
          <w:color w:val="000000" w:themeColor="text1"/>
          <w:kern w:val="0"/>
          <w:sz w:val="24"/>
          <w:lang w:val="zh-CN"/>
          <w14:textFill>
            <w14:solidFill>
              <w14:schemeClr w14:val="tx1"/>
            </w14:solidFill>
          </w14:textFill>
        </w:rPr>
      </w:pPr>
    </w:p>
    <w:p w14:paraId="5A1911EE">
      <w:pPr>
        <w:autoSpaceDE w:val="0"/>
        <w:autoSpaceDN w:val="0"/>
        <w:spacing w:line="360" w:lineRule="auto"/>
        <w:jc w:val="right"/>
        <w:rPr>
          <w:rFonts w:ascii="宋体" w:hAnsi="宋体"/>
          <w:bCs/>
          <w:color w:val="000000" w:themeColor="text1"/>
          <w:sz w:val="24"/>
          <w14:textFill>
            <w14:solidFill>
              <w14:schemeClr w14:val="tx1"/>
            </w14:solidFill>
          </w14:textFill>
        </w:rPr>
      </w:pPr>
    </w:p>
    <w:p w14:paraId="357BE4D3">
      <w:pPr>
        <w:autoSpaceDE w:val="0"/>
        <w:autoSpaceDN w:val="0"/>
        <w:spacing w:line="360" w:lineRule="auto"/>
        <w:jc w:val="right"/>
        <w:rPr>
          <w:rFonts w:ascii="宋体" w:hAnsi="宋体"/>
          <w:bCs/>
          <w:color w:val="000000" w:themeColor="text1"/>
          <w:sz w:val="24"/>
          <w14:textFill>
            <w14:solidFill>
              <w14:schemeClr w14:val="tx1"/>
            </w14:solidFill>
          </w14:textFill>
        </w:rPr>
      </w:pPr>
    </w:p>
    <w:p w14:paraId="28ECFF41">
      <w:pPr>
        <w:autoSpaceDE w:val="0"/>
        <w:autoSpaceDN w:val="0"/>
        <w:spacing w:line="360" w:lineRule="auto"/>
        <w:jc w:val="right"/>
        <w:rPr>
          <w:rFonts w:ascii="宋体" w:hAnsi="宋体" w:cs="宋体"/>
          <w:b/>
          <w:bCs/>
          <w:color w:val="000000" w:themeColor="text1"/>
          <w:kern w:val="0"/>
          <w:sz w:val="24"/>
          <w:lang w:val="zh-CN"/>
          <w14:textFill>
            <w14:solidFill>
              <w14:schemeClr w14:val="tx1"/>
            </w14:solidFill>
          </w14:textFill>
        </w:rPr>
      </w:pPr>
    </w:p>
    <w:p w14:paraId="6D70E7DC">
      <w:pPr>
        <w:autoSpaceDE w:val="0"/>
        <w:autoSpaceDN w:val="0"/>
        <w:spacing w:line="360" w:lineRule="auto"/>
        <w:jc w:val="center"/>
        <w:rPr>
          <w:b/>
          <w:bCs/>
          <w:color w:val="000000" w:themeColor="text1"/>
          <w:kern w:val="0"/>
          <w:sz w:val="36"/>
          <w:szCs w:val="36"/>
          <w:lang w:val="zh-CN"/>
          <w14:textFill>
            <w14:solidFill>
              <w14:schemeClr w14:val="tx1"/>
            </w14:solidFill>
          </w14:textFill>
        </w:rPr>
      </w:pPr>
      <w:r>
        <w:rPr>
          <w:rFonts w:hAnsi="宋体"/>
          <w:color w:val="000000" w:themeColor="text1"/>
          <w:sz w:val="24"/>
          <w:lang w:val="zh-CN"/>
          <w14:textFill>
            <w14:solidFill>
              <w14:schemeClr w14:val="tx1"/>
            </w14:solidFill>
          </w14:textFill>
        </w:rPr>
        <w:br w:type="page"/>
      </w:r>
      <w:r>
        <w:rPr>
          <w:rFonts w:hint="eastAsia"/>
          <w:b/>
          <w:bCs/>
          <w:color w:val="000000" w:themeColor="text1"/>
          <w:kern w:val="0"/>
          <w:sz w:val="28"/>
          <w:szCs w:val="28"/>
          <w14:textFill>
            <w14:solidFill>
              <w14:schemeClr w14:val="tx1"/>
            </w14:solidFill>
          </w14:textFill>
        </w:rPr>
        <w:t>中小</w:t>
      </w:r>
      <w:r>
        <w:rPr>
          <w:b/>
          <w:bCs/>
          <w:color w:val="000000" w:themeColor="text1"/>
          <w:kern w:val="0"/>
          <w:sz w:val="28"/>
          <w:szCs w:val="28"/>
          <w:lang w:val="zh-CN"/>
          <w14:textFill>
            <w14:solidFill>
              <w14:schemeClr w14:val="tx1"/>
            </w14:solidFill>
          </w14:textFill>
        </w:rPr>
        <w:t>企业声明函</w:t>
      </w:r>
    </w:p>
    <w:p w14:paraId="02C153F6">
      <w:pPr>
        <w:autoSpaceDE w:val="0"/>
        <w:autoSpaceDN w:val="0"/>
        <w:spacing w:line="360" w:lineRule="auto"/>
        <w:rPr>
          <w:color w:val="000000" w:themeColor="text1"/>
          <w:kern w:val="0"/>
          <w:sz w:val="28"/>
          <w:szCs w:val="28"/>
          <w:lang w:val="zh-CN"/>
          <w14:textFill>
            <w14:solidFill>
              <w14:schemeClr w14:val="tx1"/>
            </w14:solidFill>
          </w14:textFill>
        </w:rPr>
      </w:pPr>
    </w:p>
    <w:p w14:paraId="4C7386EA">
      <w:pPr>
        <w:autoSpaceDE w:val="0"/>
        <w:autoSpaceDN w:val="0"/>
        <w:adjustRightInd w:val="0"/>
        <w:spacing w:line="360" w:lineRule="auto"/>
        <w:rPr>
          <w:rFonts w:ascii="宋体" w:hAnsi="宋体" w:cs="仿宋"/>
          <w:color w:val="000000" w:themeColor="text1"/>
          <w:kern w:val="0"/>
          <w:sz w:val="24"/>
          <w14:textFill>
            <w14:solidFill>
              <w14:schemeClr w14:val="tx1"/>
            </w14:solidFill>
          </w14:textFill>
        </w:rPr>
      </w:pPr>
      <w:r>
        <w:rPr>
          <w:rFonts w:hint="eastAsia" w:ascii="宋体" w:hAnsi="宋体" w:cs="仿宋"/>
          <w:color w:val="000000" w:themeColor="text1"/>
          <w:kern w:val="0"/>
          <w:sz w:val="24"/>
          <w14:textFill>
            <w14:solidFill>
              <w14:schemeClr w14:val="tx1"/>
            </w14:solidFill>
          </w14:textFill>
        </w:rPr>
        <w:t xml:space="preserve">   本公司（联合体）郑重声明，根据《政府采购促进中小企业发展管理办法》（财库</w:t>
      </w:r>
      <w:r>
        <w:rPr>
          <w:rFonts w:hint="eastAsia" w:ascii="宋体" w:hAnsi="宋体" w:cs="宋体"/>
          <w:color w:val="000000" w:themeColor="text1"/>
          <w:kern w:val="0"/>
          <w:sz w:val="24"/>
          <w14:textFill>
            <w14:solidFill>
              <w14:schemeClr w14:val="tx1"/>
            </w14:solidFill>
          </w14:textFill>
        </w:rPr>
        <w:t>﹝</w:t>
      </w:r>
      <w:r>
        <w:rPr>
          <w:rFonts w:ascii="宋体" w:hAnsi="宋体" w:cs="仿宋"/>
          <w:color w:val="000000" w:themeColor="text1"/>
          <w:kern w:val="0"/>
          <w:sz w:val="24"/>
          <w14:textFill>
            <w14:solidFill>
              <w14:schemeClr w14:val="tx1"/>
            </w14:solidFill>
          </w14:textFill>
        </w:rPr>
        <w:t>2020</w:t>
      </w:r>
      <w:r>
        <w:rPr>
          <w:rFonts w:hint="eastAsia" w:ascii="宋体" w:hAnsi="宋体" w:cs="宋体"/>
          <w:color w:val="000000" w:themeColor="text1"/>
          <w:kern w:val="0"/>
          <w:sz w:val="24"/>
          <w14:textFill>
            <w14:solidFill>
              <w14:schemeClr w14:val="tx1"/>
            </w14:solidFill>
          </w14:textFill>
        </w:rPr>
        <w:t>﹞</w:t>
      </w:r>
      <w:r>
        <w:rPr>
          <w:rFonts w:ascii="宋体" w:hAnsi="宋体" w:cs="仿宋"/>
          <w:color w:val="000000" w:themeColor="text1"/>
          <w:kern w:val="0"/>
          <w:sz w:val="24"/>
          <w14:textFill>
            <w14:solidFill>
              <w14:schemeClr w14:val="tx1"/>
            </w14:solidFill>
          </w14:textFill>
        </w:rPr>
        <w:t xml:space="preserve">46 </w:t>
      </w:r>
      <w:r>
        <w:rPr>
          <w:rFonts w:hint="eastAsia" w:ascii="宋体" w:hAnsi="宋体" w:cs="仿宋"/>
          <w:color w:val="000000" w:themeColor="text1"/>
          <w:kern w:val="0"/>
          <w:sz w:val="24"/>
          <w14:textFill>
            <w14:solidFill>
              <w14:schemeClr w14:val="tx1"/>
            </w14:solidFill>
          </w14:textFill>
        </w:rPr>
        <w:t>号）的规定，本公司（联合体）参加</w:t>
      </w:r>
      <w:r>
        <w:rPr>
          <w:rFonts w:hint="eastAsia" w:ascii="宋体" w:hAnsi="宋体" w:cs="仿宋"/>
          <w:color w:val="000000" w:themeColor="text1"/>
          <w:kern w:val="0"/>
          <w:sz w:val="24"/>
          <w:u w:val="single"/>
          <w14:textFill>
            <w14:solidFill>
              <w14:schemeClr w14:val="tx1"/>
            </w14:solidFill>
          </w14:textFill>
        </w:rPr>
        <w:t>（单位名称）</w:t>
      </w:r>
      <w:r>
        <w:rPr>
          <w:rFonts w:hint="eastAsia" w:ascii="宋体" w:hAnsi="宋体" w:cs="仿宋"/>
          <w:color w:val="000000" w:themeColor="text1"/>
          <w:kern w:val="0"/>
          <w:sz w:val="24"/>
          <w14:textFill>
            <w14:solidFill>
              <w14:schemeClr w14:val="tx1"/>
            </w14:solidFill>
          </w14:textFill>
        </w:rPr>
        <w:t>的</w:t>
      </w:r>
      <w:r>
        <w:rPr>
          <w:rFonts w:hint="eastAsia" w:ascii="宋体" w:hAnsi="宋体" w:cs="仿宋"/>
          <w:color w:val="000000" w:themeColor="text1"/>
          <w:kern w:val="0"/>
          <w:sz w:val="24"/>
          <w:u w:val="single"/>
          <w14:textFill>
            <w14:solidFill>
              <w14:schemeClr w14:val="tx1"/>
            </w14:solidFill>
          </w14:textFill>
        </w:rPr>
        <w:t>（项目名称）</w:t>
      </w:r>
      <w:r>
        <w:rPr>
          <w:rFonts w:hint="eastAsia" w:ascii="宋体" w:hAnsi="宋体" w:cs="仿宋"/>
          <w:color w:val="000000" w:themeColor="text1"/>
          <w:kern w:val="0"/>
          <w:sz w:val="24"/>
          <w14:textFill>
            <w14:solidFill>
              <w14:schemeClr w14:val="tx1"/>
            </w14:solidFill>
          </w14:textFill>
        </w:rPr>
        <w:t>采购活动，提供的货物全部由符合政策要求的中小企业制造。相关企业（含联合体中的中小企业、签订分包意向协议的中小企业）的具体情况如下：</w:t>
      </w:r>
    </w:p>
    <w:p w14:paraId="6C915EE3">
      <w:pPr>
        <w:autoSpaceDE w:val="0"/>
        <w:autoSpaceDN w:val="0"/>
        <w:adjustRightInd w:val="0"/>
        <w:spacing w:line="360" w:lineRule="auto"/>
        <w:rPr>
          <w:rFonts w:ascii="宋体" w:hAnsi="宋体" w:cs="仿宋"/>
          <w:color w:val="000000" w:themeColor="text1"/>
          <w:kern w:val="0"/>
          <w:sz w:val="24"/>
          <w14:textFill>
            <w14:solidFill>
              <w14:schemeClr w14:val="tx1"/>
            </w14:solidFill>
          </w14:textFill>
        </w:rPr>
      </w:pPr>
      <w:r>
        <w:rPr>
          <w:rFonts w:hint="eastAsia" w:ascii="宋体" w:hAnsi="宋体" w:cs="仿宋"/>
          <w:color w:val="000000" w:themeColor="text1"/>
          <w:kern w:val="0"/>
          <w:sz w:val="24"/>
          <w14:textFill>
            <w14:solidFill>
              <w14:schemeClr w14:val="tx1"/>
            </w14:solidFill>
          </w14:textFill>
        </w:rPr>
        <w:t xml:space="preserve">  </w:t>
      </w:r>
      <w:r>
        <w:rPr>
          <w:rFonts w:ascii="宋体" w:hAnsi="宋体" w:cs="仿宋"/>
          <w:color w:val="000000" w:themeColor="text1"/>
          <w:kern w:val="0"/>
          <w:sz w:val="24"/>
          <w14:textFill>
            <w14:solidFill>
              <w14:schemeClr w14:val="tx1"/>
            </w14:solidFill>
          </w14:textFill>
        </w:rPr>
        <w:t xml:space="preserve">1. </w:t>
      </w:r>
      <w:r>
        <w:rPr>
          <w:rFonts w:hint="eastAsia" w:ascii="宋体" w:hAnsi="宋体" w:cs="仿宋"/>
          <w:color w:val="000000" w:themeColor="text1"/>
          <w:kern w:val="0"/>
          <w:sz w:val="24"/>
          <w:u w:val="single"/>
          <w14:textFill>
            <w14:solidFill>
              <w14:schemeClr w14:val="tx1"/>
            </w14:solidFill>
          </w14:textFill>
        </w:rPr>
        <w:t>（标的名称）</w:t>
      </w:r>
      <w:r>
        <w:rPr>
          <w:rFonts w:ascii="宋体" w:hAnsi="宋体" w:cs="仿宋"/>
          <w:color w:val="000000" w:themeColor="text1"/>
          <w:kern w:val="0"/>
          <w:sz w:val="24"/>
          <w:u w:val="single"/>
          <w14:textFill>
            <w14:solidFill>
              <w14:schemeClr w14:val="tx1"/>
            </w14:solidFill>
          </w14:textFill>
        </w:rPr>
        <w:t xml:space="preserve"> </w:t>
      </w:r>
      <w:r>
        <w:rPr>
          <w:rFonts w:hint="eastAsia" w:ascii="宋体" w:hAnsi="宋体" w:cs="仿宋"/>
          <w:color w:val="000000" w:themeColor="text1"/>
          <w:kern w:val="0"/>
          <w:sz w:val="24"/>
          <w14:textFill>
            <w14:solidFill>
              <w14:schemeClr w14:val="tx1"/>
            </w14:solidFill>
          </w14:textFill>
        </w:rPr>
        <w:t>，属于</w:t>
      </w:r>
      <w:r>
        <w:rPr>
          <w:rFonts w:hint="eastAsia" w:ascii="宋体" w:hAnsi="宋体" w:cs="仿宋"/>
          <w:color w:val="000000" w:themeColor="text1"/>
          <w:kern w:val="0"/>
          <w:sz w:val="24"/>
          <w:u w:val="single"/>
          <w14:textFill>
            <w14:solidFill>
              <w14:schemeClr w14:val="tx1"/>
            </w14:solidFill>
          </w14:textFill>
        </w:rPr>
        <w:t>（采购文件中明确的所属行业）</w:t>
      </w:r>
      <w:r>
        <w:rPr>
          <w:rFonts w:hint="eastAsia" w:ascii="宋体" w:hAnsi="宋体" w:cs="仿宋"/>
          <w:color w:val="000000" w:themeColor="text1"/>
          <w:kern w:val="0"/>
          <w:sz w:val="24"/>
          <w14:textFill>
            <w14:solidFill>
              <w14:schemeClr w14:val="tx1"/>
            </w14:solidFill>
          </w14:textFill>
        </w:rPr>
        <w:t>行业；制造商为</w:t>
      </w:r>
      <w:r>
        <w:rPr>
          <w:rFonts w:hint="eastAsia" w:ascii="宋体" w:hAnsi="宋体" w:cs="仿宋"/>
          <w:color w:val="000000" w:themeColor="text1"/>
          <w:kern w:val="0"/>
          <w:sz w:val="24"/>
          <w:u w:val="single"/>
          <w14:textFill>
            <w14:solidFill>
              <w14:schemeClr w14:val="tx1"/>
            </w14:solidFill>
          </w14:textFill>
        </w:rPr>
        <w:t>（企业名称）</w:t>
      </w:r>
      <w:r>
        <w:rPr>
          <w:rFonts w:hint="eastAsia" w:ascii="宋体" w:hAnsi="宋体" w:cs="仿宋"/>
          <w:color w:val="000000" w:themeColor="text1"/>
          <w:kern w:val="0"/>
          <w:sz w:val="24"/>
          <w14:textFill>
            <w14:solidFill>
              <w14:schemeClr w14:val="tx1"/>
            </w14:solidFill>
          </w14:textFill>
        </w:rPr>
        <w:t>，从业人员</w:t>
      </w:r>
      <w:r>
        <w:rPr>
          <w:rFonts w:hint="eastAsia" w:ascii="宋体" w:hAnsi="宋体" w:cs="仿宋"/>
          <w:color w:val="000000" w:themeColor="text1"/>
          <w:kern w:val="0"/>
          <w:sz w:val="24"/>
          <w:u w:val="single"/>
          <w14:textFill>
            <w14:solidFill>
              <w14:schemeClr w14:val="tx1"/>
            </w14:solidFill>
          </w14:textFill>
        </w:rPr>
        <w:t xml:space="preserve">       </w:t>
      </w:r>
      <w:r>
        <w:rPr>
          <w:rFonts w:hint="eastAsia" w:ascii="宋体" w:hAnsi="宋体" w:cs="仿宋"/>
          <w:color w:val="000000" w:themeColor="text1"/>
          <w:kern w:val="0"/>
          <w:sz w:val="24"/>
          <w14:textFill>
            <w14:solidFill>
              <w14:schemeClr w14:val="tx1"/>
            </w14:solidFill>
          </w14:textFill>
        </w:rPr>
        <w:t>人，营业收入为</w:t>
      </w:r>
      <w:r>
        <w:rPr>
          <w:rFonts w:hint="eastAsia" w:ascii="宋体" w:hAnsi="宋体" w:cs="仿宋"/>
          <w:color w:val="000000" w:themeColor="text1"/>
          <w:kern w:val="0"/>
          <w:sz w:val="24"/>
          <w:u w:val="single"/>
          <w14:textFill>
            <w14:solidFill>
              <w14:schemeClr w14:val="tx1"/>
            </w14:solidFill>
          </w14:textFill>
        </w:rPr>
        <w:t xml:space="preserve">    </w:t>
      </w:r>
      <w:r>
        <w:rPr>
          <w:rFonts w:hint="eastAsia" w:ascii="宋体" w:hAnsi="宋体" w:cs="仿宋"/>
          <w:color w:val="000000" w:themeColor="text1"/>
          <w:kern w:val="0"/>
          <w:sz w:val="24"/>
          <w14:textFill>
            <w14:solidFill>
              <w14:schemeClr w14:val="tx1"/>
            </w14:solidFill>
          </w14:textFill>
        </w:rPr>
        <w:t>万元，资产总额为</w:t>
      </w:r>
      <w:r>
        <w:rPr>
          <w:rFonts w:hint="eastAsia" w:ascii="宋体" w:hAnsi="宋体" w:cs="仿宋"/>
          <w:color w:val="000000" w:themeColor="text1"/>
          <w:kern w:val="0"/>
          <w:sz w:val="24"/>
          <w:u w:val="single"/>
          <w14:textFill>
            <w14:solidFill>
              <w14:schemeClr w14:val="tx1"/>
            </w14:solidFill>
          </w14:textFill>
        </w:rPr>
        <w:t xml:space="preserve">   </w:t>
      </w:r>
      <w:r>
        <w:rPr>
          <w:rFonts w:hint="eastAsia" w:ascii="宋体" w:hAnsi="宋体" w:cs="仿宋"/>
          <w:color w:val="000000" w:themeColor="text1"/>
          <w:kern w:val="0"/>
          <w:sz w:val="24"/>
          <w14:textFill>
            <w14:solidFill>
              <w14:schemeClr w14:val="tx1"/>
            </w14:solidFill>
          </w14:textFill>
        </w:rPr>
        <w:t>万元，属于</w:t>
      </w:r>
      <w:r>
        <w:rPr>
          <w:rFonts w:hint="eastAsia" w:ascii="宋体" w:hAnsi="宋体" w:cs="仿宋"/>
          <w:color w:val="000000" w:themeColor="text1"/>
          <w:kern w:val="0"/>
          <w:sz w:val="24"/>
          <w:u w:val="single"/>
          <w14:textFill>
            <w14:solidFill>
              <w14:schemeClr w14:val="tx1"/>
            </w14:solidFill>
          </w14:textFill>
        </w:rPr>
        <w:t>（中型企业、小型企业、微型企业）</w:t>
      </w:r>
      <w:r>
        <w:rPr>
          <w:rFonts w:hint="eastAsia" w:ascii="宋体" w:hAnsi="宋体" w:cs="仿宋"/>
          <w:color w:val="000000" w:themeColor="text1"/>
          <w:kern w:val="0"/>
          <w:sz w:val="24"/>
          <w14:textFill>
            <w14:solidFill>
              <w14:schemeClr w14:val="tx1"/>
            </w14:solidFill>
          </w14:textFill>
        </w:rPr>
        <w:t>；</w:t>
      </w:r>
    </w:p>
    <w:p w14:paraId="02EED361">
      <w:pPr>
        <w:autoSpaceDE w:val="0"/>
        <w:autoSpaceDN w:val="0"/>
        <w:adjustRightInd w:val="0"/>
        <w:spacing w:line="360" w:lineRule="auto"/>
        <w:rPr>
          <w:rFonts w:ascii="宋体" w:hAnsi="宋体" w:cs="仿宋"/>
          <w:color w:val="000000" w:themeColor="text1"/>
          <w:kern w:val="0"/>
          <w:sz w:val="24"/>
          <w14:textFill>
            <w14:solidFill>
              <w14:schemeClr w14:val="tx1"/>
            </w14:solidFill>
          </w14:textFill>
        </w:rPr>
      </w:pPr>
      <w:r>
        <w:rPr>
          <w:rFonts w:hint="eastAsia" w:ascii="宋体" w:hAnsi="宋体" w:cs="仿宋"/>
          <w:color w:val="000000" w:themeColor="text1"/>
          <w:kern w:val="0"/>
          <w:sz w:val="24"/>
          <w14:textFill>
            <w14:solidFill>
              <w14:schemeClr w14:val="tx1"/>
            </w14:solidFill>
          </w14:textFill>
        </w:rPr>
        <w:t xml:space="preserve">  </w:t>
      </w:r>
      <w:r>
        <w:rPr>
          <w:rFonts w:ascii="宋体" w:hAnsi="宋体" w:cs="仿宋"/>
          <w:color w:val="000000" w:themeColor="text1"/>
          <w:kern w:val="0"/>
          <w:sz w:val="24"/>
          <w14:textFill>
            <w14:solidFill>
              <w14:schemeClr w14:val="tx1"/>
            </w14:solidFill>
          </w14:textFill>
        </w:rPr>
        <w:t xml:space="preserve">2. </w:t>
      </w:r>
      <w:r>
        <w:rPr>
          <w:rFonts w:hint="eastAsia" w:ascii="宋体" w:hAnsi="宋体" w:cs="仿宋"/>
          <w:color w:val="000000" w:themeColor="text1"/>
          <w:kern w:val="0"/>
          <w:sz w:val="24"/>
          <w:u w:val="single"/>
          <w14:textFill>
            <w14:solidFill>
              <w14:schemeClr w14:val="tx1"/>
            </w14:solidFill>
          </w14:textFill>
        </w:rPr>
        <w:t>（标的名称）</w:t>
      </w:r>
      <w:r>
        <w:rPr>
          <w:rFonts w:ascii="宋体" w:hAnsi="宋体" w:cs="仿宋"/>
          <w:color w:val="000000" w:themeColor="text1"/>
          <w:kern w:val="0"/>
          <w:sz w:val="24"/>
          <w:u w:val="single"/>
          <w14:textFill>
            <w14:solidFill>
              <w14:schemeClr w14:val="tx1"/>
            </w14:solidFill>
          </w14:textFill>
        </w:rPr>
        <w:t xml:space="preserve"> </w:t>
      </w:r>
      <w:r>
        <w:rPr>
          <w:rFonts w:hint="eastAsia" w:ascii="宋体" w:hAnsi="宋体" w:cs="仿宋"/>
          <w:color w:val="000000" w:themeColor="text1"/>
          <w:kern w:val="0"/>
          <w:sz w:val="24"/>
          <w14:textFill>
            <w14:solidFill>
              <w14:schemeClr w14:val="tx1"/>
            </w14:solidFill>
          </w14:textFill>
        </w:rPr>
        <w:t>，属于</w:t>
      </w:r>
      <w:r>
        <w:rPr>
          <w:rFonts w:hint="eastAsia" w:ascii="宋体" w:hAnsi="宋体" w:cs="仿宋"/>
          <w:color w:val="000000" w:themeColor="text1"/>
          <w:kern w:val="0"/>
          <w:sz w:val="24"/>
          <w:u w:val="single"/>
          <w14:textFill>
            <w14:solidFill>
              <w14:schemeClr w14:val="tx1"/>
            </w14:solidFill>
          </w14:textFill>
        </w:rPr>
        <w:t>（采购文件中明确的所属行业）</w:t>
      </w:r>
      <w:r>
        <w:rPr>
          <w:rFonts w:hint="eastAsia" w:ascii="宋体" w:hAnsi="宋体" w:cs="仿宋"/>
          <w:color w:val="000000" w:themeColor="text1"/>
          <w:kern w:val="0"/>
          <w:sz w:val="24"/>
          <w14:textFill>
            <w14:solidFill>
              <w14:schemeClr w14:val="tx1"/>
            </w14:solidFill>
          </w14:textFill>
        </w:rPr>
        <w:t>行业；制造商为</w:t>
      </w:r>
      <w:r>
        <w:rPr>
          <w:rFonts w:hint="eastAsia" w:ascii="宋体" w:hAnsi="宋体" w:cs="仿宋"/>
          <w:color w:val="000000" w:themeColor="text1"/>
          <w:kern w:val="0"/>
          <w:sz w:val="24"/>
          <w:u w:val="single"/>
          <w14:textFill>
            <w14:solidFill>
              <w14:schemeClr w14:val="tx1"/>
            </w14:solidFill>
          </w14:textFill>
        </w:rPr>
        <w:t>（企业名称）</w:t>
      </w:r>
      <w:r>
        <w:rPr>
          <w:rFonts w:hint="eastAsia" w:ascii="宋体" w:hAnsi="宋体" w:cs="仿宋"/>
          <w:color w:val="000000" w:themeColor="text1"/>
          <w:kern w:val="0"/>
          <w:sz w:val="24"/>
          <w14:textFill>
            <w14:solidFill>
              <w14:schemeClr w14:val="tx1"/>
            </w14:solidFill>
          </w14:textFill>
        </w:rPr>
        <w:t>，从业人员</w:t>
      </w:r>
      <w:r>
        <w:rPr>
          <w:rFonts w:hint="eastAsia" w:ascii="宋体" w:hAnsi="宋体" w:cs="仿宋"/>
          <w:color w:val="000000" w:themeColor="text1"/>
          <w:kern w:val="0"/>
          <w:sz w:val="24"/>
          <w:u w:val="single"/>
          <w14:textFill>
            <w14:solidFill>
              <w14:schemeClr w14:val="tx1"/>
            </w14:solidFill>
          </w14:textFill>
        </w:rPr>
        <w:t xml:space="preserve">       </w:t>
      </w:r>
      <w:r>
        <w:rPr>
          <w:rFonts w:hint="eastAsia" w:ascii="宋体" w:hAnsi="宋体" w:cs="仿宋"/>
          <w:color w:val="000000" w:themeColor="text1"/>
          <w:kern w:val="0"/>
          <w:sz w:val="24"/>
          <w14:textFill>
            <w14:solidFill>
              <w14:schemeClr w14:val="tx1"/>
            </w14:solidFill>
          </w14:textFill>
        </w:rPr>
        <w:t>人，营业收入为</w:t>
      </w:r>
      <w:r>
        <w:rPr>
          <w:rFonts w:hint="eastAsia" w:ascii="宋体" w:hAnsi="宋体" w:cs="仿宋"/>
          <w:color w:val="000000" w:themeColor="text1"/>
          <w:kern w:val="0"/>
          <w:sz w:val="24"/>
          <w:u w:val="single"/>
          <w14:textFill>
            <w14:solidFill>
              <w14:schemeClr w14:val="tx1"/>
            </w14:solidFill>
          </w14:textFill>
        </w:rPr>
        <w:t xml:space="preserve">    </w:t>
      </w:r>
      <w:r>
        <w:rPr>
          <w:rFonts w:hint="eastAsia" w:ascii="宋体" w:hAnsi="宋体" w:cs="仿宋"/>
          <w:color w:val="000000" w:themeColor="text1"/>
          <w:kern w:val="0"/>
          <w:sz w:val="24"/>
          <w14:textFill>
            <w14:solidFill>
              <w14:schemeClr w14:val="tx1"/>
            </w14:solidFill>
          </w14:textFill>
        </w:rPr>
        <w:t>万元，资产总额为</w:t>
      </w:r>
      <w:r>
        <w:rPr>
          <w:rFonts w:hint="eastAsia" w:ascii="宋体" w:hAnsi="宋体" w:cs="仿宋"/>
          <w:color w:val="000000" w:themeColor="text1"/>
          <w:kern w:val="0"/>
          <w:sz w:val="24"/>
          <w:u w:val="single"/>
          <w14:textFill>
            <w14:solidFill>
              <w14:schemeClr w14:val="tx1"/>
            </w14:solidFill>
          </w14:textFill>
        </w:rPr>
        <w:t xml:space="preserve">    </w:t>
      </w:r>
      <w:r>
        <w:rPr>
          <w:rFonts w:hint="eastAsia" w:ascii="宋体" w:hAnsi="宋体" w:cs="仿宋"/>
          <w:color w:val="000000" w:themeColor="text1"/>
          <w:kern w:val="0"/>
          <w:sz w:val="24"/>
          <w14:textFill>
            <w14:solidFill>
              <w14:schemeClr w14:val="tx1"/>
            </w14:solidFill>
          </w14:textFill>
        </w:rPr>
        <w:t>万元，属于</w:t>
      </w:r>
      <w:r>
        <w:rPr>
          <w:rFonts w:hint="eastAsia" w:ascii="宋体" w:hAnsi="宋体" w:cs="仿宋"/>
          <w:color w:val="000000" w:themeColor="text1"/>
          <w:kern w:val="0"/>
          <w:sz w:val="24"/>
          <w:u w:val="single"/>
          <w14:textFill>
            <w14:solidFill>
              <w14:schemeClr w14:val="tx1"/>
            </w14:solidFill>
          </w14:textFill>
        </w:rPr>
        <w:t>（中型企业、小型企业、微型企业）</w:t>
      </w:r>
      <w:r>
        <w:rPr>
          <w:rFonts w:hint="eastAsia" w:ascii="宋体" w:hAnsi="宋体" w:cs="仿宋"/>
          <w:color w:val="000000" w:themeColor="text1"/>
          <w:kern w:val="0"/>
          <w:sz w:val="24"/>
          <w14:textFill>
            <w14:solidFill>
              <w14:schemeClr w14:val="tx1"/>
            </w14:solidFill>
          </w14:textFill>
        </w:rPr>
        <w:t>；</w:t>
      </w:r>
    </w:p>
    <w:p w14:paraId="5430B2A9">
      <w:pPr>
        <w:autoSpaceDE w:val="0"/>
        <w:autoSpaceDN w:val="0"/>
        <w:adjustRightInd w:val="0"/>
        <w:spacing w:line="360" w:lineRule="auto"/>
        <w:rPr>
          <w:rFonts w:ascii="宋体" w:hAnsi="宋体" w:cs="仿宋"/>
          <w:color w:val="000000" w:themeColor="text1"/>
          <w:kern w:val="0"/>
          <w:sz w:val="24"/>
          <w14:textFill>
            <w14:solidFill>
              <w14:schemeClr w14:val="tx1"/>
            </w14:solidFill>
          </w14:textFill>
        </w:rPr>
      </w:pPr>
      <w:r>
        <w:rPr>
          <w:rFonts w:hint="eastAsia" w:ascii="宋体" w:hAnsi="宋体" w:cs="仿宋"/>
          <w:color w:val="000000" w:themeColor="text1"/>
          <w:kern w:val="0"/>
          <w:sz w:val="24"/>
          <w14:textFill>
            <w14:solidFill>
              <w14:schemeClr w14:val="tx1"/>
            </w14:solidFill>
          </w14:textFill>
        </w:rPr>
        <w:t>……</w:t>
      </w:r>
    </w:p>
    <w:p w14:paraId="749CCBCB">
      <w:pPr>
        <w:autoSpaceDE w:val="0"/>
        <w:autoSpaceDN w:val="0"/>
        <w:adjustRightInd w:val="0"/>
        <w:spacing w:line="360" w:lineRule="auto"/>
        <w:rPr>
          <w:rFonts w:ascii="宋体" w:hAnsi="宋体" w:cs="仿宋"/>
          <w:color w:val="000000" w:themeColor="text1"/>
          <w:kern w:val="0"/>
          <w:sz w:val="24"/>
          <w14:textFill>
            <w14:solidFill>
              <w14:schemeClr w14:val="tx1"/>
            </w14:solidFill>
          </w14:textFill>
        </w:rPr>
      </w:pPr>
      <w:r>
        <w:rPr>
          <w:rFonts w:hint="eastAsia" w:ascii="宋体" w:hAnsi="宋体" w:cs="仿宋"/>
          <w:color w:val="000000" w:themeColor="text1"/>
          <w:kern w:val="0"/>
          <w:sz w:val="24"/>
          <w14:textFill>
            <w14:solidFill>
              <w14:schemeClr w14:val="tx1"/>
            </w14:solidFill>
          </w14:textFill>
        </w:rPr>
        <w:t xml:space="preserve">  以上企业，不属于大企业的分支机构，不存在控股股东为大企业的情形，也不存在与大企业的负责人为同一人的情形。</w:t>
      </w:r>
    </w:p>
    <w:p w14:paraId="7D625F69">
      <w:pPr>
        <w:autoSpaceDE w:val="0"/>
        <w:autoSpaceDN w:val="0"/>
        <w:adjustRightInd w:val="0"/>
        <w:spacing w:line="360" w:lineRule="auto"/>
        <w:rPr>
          <w:rFonts w:ascii="宋体" w:hAnsi="宋体" w:cs="仿宋"/>
          <w:color w:val="000000" w:themeColor="text1"/>
          <w:kern w:val="0"/>
          <w:sz w:val="24"/>
          <w14:textFill>
            <w14:solidFill>
              <w14:schemeClr w14:val="tx1"/>
            </w14:solidFill>
          </w14:textFill>
        </w:rPr>
      </w:pPr>
      <w:r>
        <w:rPr>
          <w:rFonts w:hint="eastAsia" w:ascii="宋体" w:hAnsi="宋体" w:cs="仿宋"/>
          <w:color w:val="000000" w:themeColor="text1"/>
          <w:kern w:val="0"/>
          <w:sz w:val="24"/>
          <w14:textFill>
            <w14:solidFill>
              <w14:schemeClr w14:val="tx1"/>
            </w14:solidFill>
          </w14:textFill>
        </w:rPr>
        <w:t xml:space="preserve">  本企业对上述声明内容的真实性负责。如有虚假，将依法承担相应责任。</w:t>
      </w:r>
    </w:p>
    <w:p w14:paraId="217B61F7">
      <w:pPr>
        <w:autoSpaceDE w:val="0"/>
        <w:autoSpaceDN w:val="0"/>
        <w:adjustRightInd w:val="0"/>
        <w:spacing w:line="360" w:lineRule="auto"/>
        <w:ind w:firstLine="723" w:firstLineChars="300"/>
        <w:rPr>
          <w:b/>
          <w:color w:val="000000" w:themeColor="text1"/>
          <w:sz w:val="24"/>
          <w14:textFill>
            <w14:solidFill>
              <w14:schemeClr w14:val="tx1"/>
            </w14:solidFill>
          </w14:textFill>
        </w:rPr>
      </w:pPr>
      <w:r>
        <w:rPr>
          <w:b/>
          <w:color w:val="000000" w:themeColor="text1"/>
          <w:sz w:val="24"/>
          <w14:textFill>
            <w14:solidFill>
              <w14:schemeClr w14:val="tx1"/>
            </w14:solidFill>
          </w14:textFill>
        </w:rPr>
        <w:t>注：</w:t>
      </w:r>
      <w:r>
        <w:rPr>
          <w:rFonts w:hint="eastAsia"/>
          <w:b/>
          <w:color w:val="000000" w:themeColor="text1"/>
          <w:sz w:val="24"/>
          <w14:textFill>
            <w14:solidFill>
              <w14:schemeClr w14:val="tx1"/>
            </w14:solidFill>
          </w14:textFill>
        </w:rPr>
        <w:t>本项目的所属行业为工业</w:t>
      </w:r>
      <w:r>
        <w:rPr>
          <w:b/>
          <w:color w:val="000000" w:themeColor="text1"/>
          <w:sz w:val="24"/>
          <w14:textFill>
            <w14:solidFill>
              <w14:schemeClr w14:val="tx1"/>
            </w14:solidFill>
          </w14:textFill>
        </w:rPr>
        <w:t>。</w:t>
      </w:r>
    </w:p>
    <w:p w14:paraId="77BAEF4C">
      <w:pPr>
        <w:autoSpaceDE w:val="0"/>
        <w:autoSpaceDN w:val="0"/>
        <w:adjustRightInd w:val="0"/>
        <w:spacing w:line="360" w:lineRule="auto"/>
        <w:jc w:val="right"/>
        <w:rPr>
          <w:rFonts w:ascii="宋体" w:hAnsi="宋体" w:cs="仿宋"/>
          <w:color w:val="000000" w:themeColor="text1"/>
          <w:kern w:val="0"/>
          <w:sz w:val="24"/>
          <w14:textFill>
            <w14:solidFill>
              <w14:schemeClr w14:val="tx1"/>
            </w14:solidFill>
          </w14:textFill>
        </w:rPr>
      </w:pPr>
    </w:p>
    <w:p w14:paraId="2536D1DE">
      <w:pPr>
        <w:autoSpaceDE w:val="0"/>
        <w:autoSpaceDN w:val="0"/>
        <w:adjustRightInd w:val="0"/>
        <w:spacing w:line="360" w:lineRule="auto"/>
        <w:jc w:val="right"/>
        <w:rPr>
          <w:rFonts w:ascii="宋体" w:hAnsi="宋体" w:cs="仿宋"/>
          <w:color w:val="000000" w:themeColor="text1"/>
          <w:kern w:val="0"/>
          <w:sz w:val="24"/>
          <w14:textFill>
            <w14:solidFill>
              <w14:schemeClr w14:val="tx1"/>
            </w14:solidFill>
          </w14:textFill>
        </w:rPr>
      </w:pPr>
    </w:p>
    <w:p w14:paraId="2A74A520">
      <w:pPr>
        <w:autoSpaceDE w:val="0"/>
        <w:autoSpaceDN w:val="0"/>
        <w:adjustRightInd w:val="0"/>
        <w:spacing w:line="360" w:lineRule="auto"/>
        <w:jc w:val="right"/>
        <w:rPr>
          <w:rFonts w:ascii="宋体" w:hAnsi="宋体" w:cs="仿宋"/>
          <w:color w:val="000000" w:themeColor="text1"/>
          <w:kern w:val="0"/>
          <w:sz w:val="24"/>
          <w14:textFill>
            <w14:solidFill>
              <w14:schemeClr w14:val="tx1"/>
            </w14:solidFill>
          </w14:textFill>
        </w:rPr>
      </w:pPr>
    </w:p>
    <w:p w14:paraId="525D5F19">
      <w:pPr>
        <w:autoSpaceDE w:val="0"/>
        <w:autoSpaceDN w:val="0"/>
        <w:adjustRightInd w:val="0"/>
        <w:spacing w:line="360" w:lineRule="auto"/>
        <w:rPr>
          <w:rFonts w:ascii="宋体" w:hAnsi="宋体" w:cs="仿宋"/>
          <w:color w:val="000000" w:themeColor="text1"/>
          <w:kern w:val="0"/>
          <w:sz w:val="24"/>
          <w14:textFill>
            <w14:solidFill>
              <w14:schemeClr w14:val="tx1"/>
            </w14:solidFill>
          </w14:textFill>
        </w:rPr>
      </w:pPr>
    </w:p>
    <w:p w14:paraId="538D0EA2">
      <w:pPr>
        <w:autoSpaceDE w:val="0"/>
        <w:autoSpaceDN w:val="0"/>
        <w:adjustRightInd w:val="0"/>
        <w:spacing w:line="360" w:lineRule="auto"/>
        <w:jc w:val="center"/>
        <w:rPr>
          <w:rFonts w:ascii="宋体" w:hAnsi="宋体" w:cs="仿宋"/>
          <w:color w:val="000000" w:themeColor="text1"/>
          <w:kern w:val="0"/>
          <w:sz w:val="24"/>
          <w14:textFill>
            <w14:solidFill>
              <w14:schemeClr w14:val="tx1"/>
            </w14:solidFill>
          </w14:textFill>
        </w:rPr>
      </w:pPr>
      <w:r>
        <w:rPr>
          <w:rFonts w:hint="eastAsia" w:ascii="宋体" w:hAnsi="宋体" w:cs="仿宋"/>
          <w:color w:val="000000" w:themeColor="text1"/>
          <w:kern w:val="0"/>
          <w:sz w:val="24"/>
          <w14:textFill>
            <w14:solidFill>
              <w14:schemeClr w14:val="tx1"/>
            </w14:solidFill>
          </w14:textFill>
        </w:rPr>
        <w:t xml:space="preserve">                                             企业名称（盖章）：   </w:t>
      </w:r>
    </w:p>
    <w:p w14:paraId="37D7FCA6">
      <w:pPr>
        <w:autoSpaceDE w:val="0"/>
        <w:autoSpaceDN w:val="0"/>
        <w:adjustRightInd w:val="0"/>
        <w:spacing w:line="360" w:lineRule="auto"/>
        <w:jc w:val="center"/>
        <w:rPr>
          <w:rFonts w:ascii="宋体" w:hAnsi="宋体" w:cs="仿宋"/>
          <w:color w:val="000000" w:themeColor="text1"/>
          <w:kern w:val="0"/>
          <w:sz w:val="24"/>
          <w14:textFill>
            <w14:solidFill>
              <w14:schemeClr w14:val="tx1"/>
            </w14:solidFill>
          </w14:textFill>
        </w:rPr>
      </w:pPr>
      <w:r>
        <w:rPr>
          <w:rFonts w:hint="eastAsia" w:ascii="宋体" w:hAnsi="宋体" w:cs="仿宋"/>
          <w:color w:val="000000" w:themeColor="text1"/>
          <w:kern w:val="0"/>
          <w:sz w:val="24"/>
          <w14:textFill>
            <w14:solidFill>
              <w14:schemeClr w14:val="tx1"/>
            </w14:solidFill>
          </w14:textFill>
        </w:rPr>
        <w:t xml:space="preserve">                                                         日期：</w:t>
      </w:r>
    </w:p>
    <w:p w14:paraId="4E807194">
      <w:pPr>
        <w:autoSpaceDE w:val="0"/>
        <w:autoSpaceDN w:val="0"/>
        <w:adjustRightInd w:val="0"/>
        <w:spacing w:line="360" w:lineRule="auto"/>
        <w:jc w:val="right"/>
        <w:rPr>
          <w:rFonts w:ascii="宋体" w:hAnsi="宋体" w:cs="仿宋"/>
          <w:color w:val="000000" w:themeColor="text1"/>
          <w:kern w:val="0"/>
          <w:sz w:val="24"/>
          <w14:textFill>
            <w14:solidFill>
              <w14:schemeClr w14:val="tx1"/>
            </w14:solidFill>
          </w14:textFill>
        </w:rPr>
      </w:pPr>
    </w:p>
    <w:p w14:paraId="1C49E18A">
      <w:pPr>
        <w:spacing w:line="360" w:lineRule="auto"/>
        <w:rPr>
          <w:color w:val="000000" w:themeColor="text1"/>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从业人员、营业收入、资产总额填报上一年度数据，无上一年度数据的新成立企业可不填报。</w:t>
      </w:r>
    </w:p>
    <w:p w14:paraId="785B2CF3">
      <w:pPr>
        <w:spacing w:line="480" w:lineRule="auto"/>
        <w:jc w:val="right"/>
        <w:rPr>
          <w:b/>
          <w:bCs/>
          <w:color w:val="000000" w:themeColor="text1"/>
          <w:kern w:val="0"/>
          <w14:textFill>
            <w14:solidFill>
              <w14:schemeClr w14:val="tx1"/>
            </w14:solidFill>
          </w14:textFill>
        </w:rPr>
      </w:pPr>
    </w:p>
    <w:p w14:paraId="198FB36E">
      <w:pPr>
        <w:adjustRightInd w:val="0"/>
        <w:snapToGrid w:val="0"/>
        <w:spacing w:line="440" w:lineRule="exact"/>
        <w:ind w:left="6114" w:hanging="6114" w:hangingChars="2900"/>
        <w:jc w:val="center"/>
        <w:rPr>
          <w:b/>
          <w:bCs/>
          <w:color w:val="000000" w:themeColor="text1"/>
          <w:kern w:val="0"/>
          <w:lang w:val="zh-CN"/>
          <w14:textFill>
            <w14:solidFill>
              <w14:schemeClr w14:val="tx1"/>
            </w14:solidFill>
          </w14:textFill>
        </w:rPr>
      </w:pPr>
    </w:p>
    <w:p w14:paraId="0BE6F3E5">
      <w:pPr>
        <w:autoSpaceDE w:val="0"/>
        <w:autoSpaceDN w:val="0"/>
        <w:spacing w:line="360" w:lineRule="auto"/>
        <w:jc w:val="center"/>
        <w:rPr>
          <w:b/>
          <w:bCs/>
          <w:color w:val="000000" w:themeColor="text1"/>
          <w:kern w:val="0"/>
          <w:sz w:val="28"/>
          <w:szCs w:val="28"/>
          <w14:textFill>
            <w14:solidFill>
              <w14:schemeClr w14:val="tx1"/>
            </w14:solidFill>
          </w14:textFill>
        </w:rPr>
      </w:pPr>
      <w:r>
        <w:rPr>
          <w:color w:val="000000" w:themeColor="text1"/>
          <w:sz w:val="30"/>
          <w:szCs w:val="30"/>
          <w14:textFill>
            <w14:solidFill>
              <w14:schemeClr w14:val="tx1"/>
            </w14:solidFill>
          </w14:textFill>
        </w:rPr>
        <w:br w:type="page"/>
      </w:r>
      <w:bookmarkStart w:id="115" w:name="_Toc30801"/>
      <w:bookmarkStart w:id="116" w:name="_Toc9477"/>
      <w:r>
        <w:rPr>
          <w:rFonts w:hint="eastAsia"/>
          <w:b/>
          <w:bCs/>
          <w:color w:val="000000" w:themeColor="text1"/>
          <w:kern w:val="0"/>
          <w:sz w:val="28"/>
          <w:szCs w:val="28"/>
          <w14:textFill>
            <w14:solidFill>
              <w14:schemeClr w14:val="tx1"/>
            </w14:solidFill>
          </w14:textFill>
        </w:rPr>
        <w:t>监狱企业证明资料</w:t>
      </w:r>
      <w:bookmarkEnd w:id="115"/>
      <w:bookmarkEnd w:id="116"/>
    </w:p>
    <w:p w14:paraId="24B4D89D">
      <w:pPr>
        <w:autoSpaceDE w:val="0"/>
        <w:autoSpaceDN w:val="0"/>
        <w:spacing w:line="360" w:lineRule="auto"/>
        <w:jc w:val="center"/>
        <w:rPr>
          <w:rFonts w:ascii="楷体" w:hAnsi="楷体" w:eastAsia="楷体" w:cs="楷体"/>
          <w:color w:val="000000" w:themeColor="text1"/>
          <w:sz w:val="32"/>
          <w:szCs w:val="32"/>
          <w14:textFill>
            <w14:solidFill>
              <w14:schemeClr w14:val="tx1"/>
            </w14:solidFill>
          </w14:textFill>
        </w:rPr>
      </w:pPr>
    </w:p>
    <w:p w14:paraId="1641B5A4">
      <w:pPr>
        <w:adjustRightInd w:val="0"/>
        <w:snapToGrid w:val="0"/>
        <w:spacing w:line="560" w:lineRule="exact"/>
        <w:jc w:val="center"/>
        <w:rPr>
          <w:rFonts w:ascii="仿宋_GB2312" w:hAnsi="仿宋_GB2312" w:eastAsia="仿宋_GB2312" w:cs="仿宋_GB2312"/>
          <w:color w:val="000000" w:themeColor="text1"/>
          <w:sz w:val="32"/>
          <w:szCs w:val="32"/>
          <w14:textFill>
            <w14:solidFill>
              <w14:schemeClr w14:val="tx1"/>
            </w14:solidFill>
          </w14:textFill>
        </w:rPr>
      </w:pPr>
      <w:bookmarkStart w:id="117" w:name="_Toc28022_WPSOffice_Level3"/>
      <w:bookmarkStart w:id="118" w:name="_Toc25903_WPSOffice_Level3"/>
      <w:r>
        <w:rPr>
          <w:rFonts w:hint="eastAsia" w:ascii="仿宋_GB2312" w:hAnsi="仿宋_GB2312" w:eastAsia="仿宋_GB2312" w:cs="仿宋_GB2312"/>
          <w:b/>
          <w:color w:val="000000" w:themeColor="text1"/>
          <w:spacing w:val="6"/>
          <w:sz w:val="32"/>
          <w:szCs w:val="32"/>
          <w14:textFill>
            <w14:solidFill>
              <w14:schemeClr w14:val="tx1"/>
            </w14:solidFill>
          </w14:textFill>
        </w:rPr>
        <w:t>(不属于监狱企业的无需提供)</w:t>
      </w:r>
      <w:bookmarkEnd w:id="117"/>
      <w:bookmarkEnd w:id="118"/>
    </w:p>
    <w:p w14:paraId="2EE755C4">
      <w:pPr>
        <w:adjustRightInd w:val="0"/>
        <w:snapToGrid w:val="0"/>
        <w:spacing w:line="560" w:lineRule="exact"/>
        <w:ind w:firstLine="480" w:firstLineChars="200"/>
        <w:rPr>
          <w:rFonts w:ascii="宋体" w:hAnsi="宋体" w:cs="仿宋"/>
          <w:color w:val="000000" w:themeColor="text1"/>
          <w:kern w:val="0"/>
          <w:sz w:val="24"/>
          <w14:textFill>
            <w14:solidFill>
              <w14:schemeClr w14:val="tx1"/>
            </w14:solidFill>
          </w14:textFill>
        </w:rPr>
      </w:pPr>
      <w:r>
        <w:rPr>
          <w:rFonts w:hint="eastAsia" w:ascii="宋体" w:hAnsi="宋体" w:cs="仿宋"/>
          <w:color w:val="000000" w:themeColor="text1"/>
          <w:kern w:val="0"/>
          <w:sz w:val="24"/>
          <w14:textFill>
            <w14:solidFill>
              <w14:schemeClr w14:val="tx1"/>
            </w14:solidFill>
          </w14:textFill>
        </w:rPr>
        <w:t>备注：按《财政部司法部关于政府采购支持监狱企业发展有关问题的通知》(财库〔2014〕68号)文件规定提供证明文件（复印件）。</w:t>
      </w:r>
    </w:p>
    <w:p w14:paraId="3BA2CAB1">
      <w:pPr>
        <w:spacing w:before="120" w:beforeLines="50" w:line="560" w:lineRule="exact"/>
        <w:ind w:firstLine="480" w:firstLineChars="200"/>
        <w:jc w:val="right"/>
        <w:rPr>
          <w:rFonts w:ascii="宋体" w:hAnsi="宋体" w:cs="仿宋"/>
          <w:color w:val="000000" w:themeColor="text1"/>
          <w:kern w:val="0"/>
          <w:sz w:val="24"/>
          <w14:textFill>
            <w14:solidFill>
              <w14:schemeClr w14:val="tx1"/>
            </w14:solidFill>
          </w14:textFill>
        </w:rPr>
      </w:pPr>
      <w:r>
        <w:rPr>
          <w:rFonts w:hint="eastAsia" w:ascii="宋体" w:hAnsi="宋体" w:cs="仿宋"/>
          <w:color w:val="000000" w:themeColor="text1"/>
          <w:kern w:val="0"/>
          <w:sz w:val="24"/>
          <w14:textFill>
            <w14:solidFill>
              <w14:schemeClr w14:val="tx1"/>
            </w14:solidFill>
          </w14:textFill>
        </w:rPr>
        <w:t xml:space="preserve">                 </w:t>
      </w:r>
      <w:bookmarkStart w:id="119" w:name="_Toc22071_WPSOffice_Level3"/>
    </w:p>
    <w:p w14:paraId="395C0906">
      <w:pPr>
        <w:spacing w:before="120" w:beforeLines="50" w:line="560" w:lineRule="exact"/>
        <w:ind w:firstLine="480" w:firstLineChars="200"/>
        <w:jc w:val="right"/>
        <w:rPr>
          <w:rFonts w:ascii="宋体" w:hAnsi="宋体" w:cs="仿宋"/>
          <w:color w:val="000000" w:themeColor="text1"/>
          <w:kern w:val="0"/>
          <w:sz w:val="24"/>
          <w14:textFill>
            <w14:solidFill>
              <w14:schemeClr w14:val="tx1"/>
            </w14:solidFill>
          </w14:textFill>
        </w:rPr>
      </w:pPr>
    </w:p>
    <w:p w14:paraId="20AFC17E">
      <w:pPr>
        <w:spacing w:before="120" w:beforeLines="50" w:line="560" w:lineRule="exact"/>
        <w:ind w:firstLine="480" w:firstLineChars="200"/>
        <w:jc w:val="right"/>
        <w:rPr>
          <w:rFonts w:ascii="宋体" w:hAnsi="宋体" w:cs="仿宋"/>
          <w:color w:val="000000" w:themeColor="text1"/>
          <w:kern w:val="0"/>
          <w:sz w:val="24"/>
          <w14:textFill>
            <w14:solidFill>
              <w14:schemeClr w14:val="tx1"/>
            </w14:solidFill>
          </w14:textFill>
        </w:rPr>
      </w:pPr>
    </w:p>
    <w:p w14:paraId="469C91E4">
      <w:pPr>
        <w:spacing w:before="120" w:beforeLines="50" w:line="560" w:lineRule="exact"/>
        <w:ind w:firstLine="480" w:firstLineChars="200"/>
        <w:jc w:val="right"/>
        <w:rPr>
          <w:rFonts w:ascii="宋体" w:hAnsi="宋体" w:cs="仿宋"/>
          <w:color w:val="000000" w:themeColor="text1"/>
          <w:kern w:val="0"/>
          <w:sz w:val="24"/>
          <w14:textFill>
            <w14:solidFill>
              <w14:schemeClr w14:val="tx1"/>
            </w14:solidFill>
          </w14:textFill>
        </w:rPr>
      </w:pPr>
    </w:p>
    <w:p w14:paraId="1B597314">
      <w:pPr>
        <w:spacing w:before="120" w:beforeLines="50" w:line="560" w:lineRule="exact"/>
        <w:ind w:firstLine="480" w:firstLineChars="200"/>
        <w:jc w:val="right"/>
        <w:rPr>
          <w:rFonts w:ascii="宋体" w:hAnsi="宋体" w:cs="仿宋"/>
          <w:color w:val="000000" w:themeColor="text1"/>
          <w:kern w:val="0"/>
          <w:sz w:val="24"/>
          <w14:textFill>
            <w14:solidFill>
              <w14:schemeClr w14:val="tx1"/>
            </w14:solidFill>
          </w14:textFill>
        </w:rPr>
      </w:pPr>
    </w:p>
    <w:p w14:paraId="66B264AD">
      <w:pPr>
        <w:spacing w:before="120" w:beforeLines="50" w:line="560" w:lineRule="exact"/>
        <w:ind w:firstLine="480" w:firstLineChars="200"/>
        <w:jc w:val="right"/>
        <w:rPr>
          <w:rFonts w:ascii="宋体" w:hAnsi="宋体" w:cs="仿宋"/>
          <w:color w:val="000000" w:themeColor="text1"/>
          <w:kern w:val="0"/>
          <w:sz w:val="24"/>
          <w14:textFill>
            <w14:solidFill>
              <w14:schemeClr w14:val="tx1"/>
            </w14:solidFill>
          </w14:textFill>
        </w:rPr>
      </w:pPr>
    </w:p>
    <w:p w14:paraId="12AE5207">
      <w:pPr>
        <w:spacing w:before="120" w:beforeLines="50" w:line="560" w:lineRule="exact"/>
        <w:ind w:firstLine="480" w:firstLineChars="200"/>
        <w:jc w:val="right"/>
        <w:rPr>
          <w:rFonts w:ascii="宋体" w:hAnsi="宋体" w:cs="仿宋"/>
          <w:color w:val="000000" w:themeColor="text1"/>
          <w:kern w:val="0"/>
          <w:sz w:val="24"/>
          <w14:textFill>
            <w14:solidFill>
              <w14:schemeClr w14:val="tx1"/>
            </w14:solidFill>
          </w14:textFill>
        </w:rPr>
      </w:pPr>
    </w:p>
    <w:p w14:paraId="0EF143D4">
      <w:pPr>
        <w:spacing w:before="120" w:beforeLines="50" w:line="560" w:lineRule="exact"/>
        <w:ind w:firstLine="480" w:firstLineChars="200"/>
        <w:jc w:val="right"/>
        <w:rPr>
          <w:rFonts w:ascii="宋体" w:hAnsi="宋体" w:cs="仿宋"/>
          <w:color w:val="000000" w:themeColor="text1"/>
          <w:kern w:val="0"/>
          <w:sz w:val="24"/>
          <w14:textFill>
            <w14:solidFill>
              <w14:schemeClr w14:val="tx1"/>
            </w14:solidFill>
          </w14:textFill>
        </w:rPr>
      </w:pPr>
    </w:p>
    <w:p w14:paraId="21C0B713">
      <w:pPr>
        <w:spacing w:before="120" w:beforeLines="50" w:line="560" w:lineRule="exact"/>
        <w:ind w:firstLine="480" w:firstLineChars="200"/>
        <w:jc w:val="right"/>
        <w:rPr>
          <w:rFonts w:ascii="宋体" w:hAnsi="宋体" w:cs="仿宋"/>
          <w:color w:val="000000" w:themeColor="text1"/>
          <w:kern w:val="0"/>
          <w:sz w:val="24"/>
          <w14:textFill>
            <w14:solidFill>
              <w14:schemeClr w14:val="tx1"/>
            </w14:solidFill>
          </w14:textFill>
        </w:rPr>
      </w:pPr>
    </w:p>
    <w:p w14:paraId="56514F8E">
      <w:pPr>
        <w:spacing w:before="120" w:beforeLines="50" w:line="560" w:lineRule="exact"/>
        <w:ind w:firstLine="480" w:firstLineChars="200"/>
        <w:jc w:val="right"/>
        <w:rPr>
          <w:rFonts w:ascii="宋体" w:hAnsi="宋体" w:cs="仿宋"/>
          <w:color w:val="000000" w:themeColor="text1"/>
          <w:kern w:val="0"/>
          <w:sz w:val="24"/>
          <w14:textFill>
            <w14:solidFill>
              <w14:schemeClr w14:val="tx1"/>
            </w14:solidFill>
          </w14:textFill>
        </w:rPr>
      </w:pPr>
    </w:p>
    <w:p w14:paraId="3EB5B01B">
      <w:pPr>
        <w:spacing w:before="120" w:beforeLines="50" w:line="560" w:lineRule="exact"/>
        <w:ind w:firstLine="480" w:firstLineChars="200"/>
        <w:jc w:val="right"/>
        <w:rPr>
          <w:rFonts w:ascii="宋体" w:hAnsi="宋体" w:cs="仿宋"/>
          <w:color w:val="000000" w:themeColor="text1"/>
          <w:kern w:val="0"/>
          <w:sz w:val="24"/>
          <w14:textFill>
            <w14:solidFill>
              <w14:schemeClr w14:val="tx1"/>
            </w14:solidFill>
          </w14:textFill>
        </w:rPr>
      </w:pPr>
    </w:p>
    <w:p w14:paraId="1F36A94F">
      <w:pPr>
        <w:spacing w:before="120" w:beforeLines="50" w:line="560" w:lineRule="exact"/>
        <w:ind w:firstLine="480" w:firstLineChars="200"/>
        <w:jc w:val="right"/>
        <w:rPr>
          <w:rFonts w:ascii="宋体" w:hAnsi="宋体" w:cs="仿宋"/>
          <w:color w:val="000000" w:themeColor="text1"/>
          <w:kern w:val="0"/>
          <w:sz w:val="24"/>
          <w14:textFill>
            <w14:solidFill>
              <w14:schemeClr w14:val="tx1"/>
            </w14:solidFill>
          </w14:textFill>
        </w:rPr>
      </w:pPr>
    </w:p>
    <w:p w14:paraId="35B0FE40">
      <w:pPr>
        <w:spacing w:before="120" w:beforeLines="50" w:line="560" w:lineRule="exact"/>
        <w:ind w:firstLine="480" w:firstLineChars="200"/>
        <w:jc w:val="right"/>
        <w:rPr>
          <w:rFonts w:ascii="宋体" w:hAnsi="宋体" w:cs="仿宋"/>
          <w:color w:val="000000" w:themeColor="text1"/>
          <w:kern w:val="0"/>
          <w:sz w:val="24"/>
          <w14:textFill>
            <w14:solidFill>
              <w14:schemeClr w14:val="tx1"/>
            </w14:solidFill>
          </w14:textFill>
        </w:rPr>
      </w:pPr>
      <w:r>
        <w:rPr>
          <w:rFonts w:hint="eastAsia" w:ascii="宋体" w:hAnsi="宋体" w:cs="仿宋"/>
          <w:color w:val="000000" w:themeColor="text1"/>
          <w:kern w:val="0"/>
          <w:sz w:val="24"/>
          <w14:textFill>
            <w14:solidFill>
              <w14:schemeClr w14:val="tx1"/>
            </w14:solidFill>
          </w14:textFill>
        </w:rPr>
        <w:t>单位名称：       （公章）</w:t>
      </w:r>
      <w:bookmarkEnd w:id="119"/>
    </w:p>
    <w:p w14:paraId="088303A2">
      <w:pPr>
        <w:spacing w:before="120" w:beforeLines="50" w:line="560" w:lineRule="exact"/>
        <w:ind w:firstLine="480" w:firstLineChars="200"/>
        <w:jc w:val="right"/>
        <w:rPr>
          <w:rFonts w:ascii="宋体" w:hAnsi="宋体" w:cs="仿宋"/>
          <w:color w:val="000000" w:themeColor="text1"/>
          <w:kern w:val="0"/>
          <w:sz w:val="24"/>
          <w14:textFill>
            <w14:solidFill>
              <w14:schemeClr w14:val="tx1"/>
            </w14:solidFill>
          </w14:textFill>
        </w:rPr>
      </w:pPr>
      <w:r>
        <w:rPr>
          <w:rFonts w:hint="eastAsia" w:ascii="宋体" w:hAnsi="宋体" w:cs="仿宋"/>
          <w:color w:val="000000" w:themeColor="text1"/>
          <w:kern w:val="0"/>
          <w:sz w:val="24"/>
          <w14:textFill>
            <w14:solidFill>
              <w14:schemeClr w14:val="tx1"/>
            </w14:solidFill>
          </w14:textFill>
        </w:rPr>
        <w:t xml:space="preserve">        </w:t>
      </w:r>
      <w:bookmarkStart w:id="120" w:name="_Toc11539_WPSOffice_Level3"/>
      <w:r>
        <w:rPr>
          <w:rFonts w:hint="eastAsia" w:ascii="宋体" w:hAnsi="宋体" w:cs="仿宋"/>
          <w:color w:val="000000" w:themeColor="text1"/>
          <w:kern w:val="0"/>
          <w:sz w:val="24"/>
          <w14:textFill>
            <w14:solidFill>
              <w14:schemeClr w14:val="tx1"/>
            </w14:solidFill>
          </w14:textFill>
        </w:rPr>
        <w:t>法定代表人或委托代理人：       （签字或盖章）</w:t>
      </w:r>
      <w:bookmarkEnd w:id="120"/>
    </w:p>
    <w:p w14:paraId="4AEA3636">
      <w:pPr>
        <w:spacing w:before="120" w:beforeLines="50" w:line="560" w:lineRule="exact"/>
        <w:ind w:firstLine="640" w:firstLineChars="200"/>
        <w:jc w:val="center"/>
        <w:rPr>
          <w:rFonts w:ascii="宋体" w:hAnsi="宋体" w:cs="仿宋"/>
          <w:color w:val="000000" w:themeColor="text1"/>
          <w:kern w:val="0"/>
          <w:sz w:val="24"/>
          <w14:textFill>
            <w14:solidFill>
              <w14:schemeClr w14:val="tx1"/>
            </w14:solidFill>
          </w14:textFill>
        </w:rPr>
      </w:pPr>
      <w:r>
        <w:rPr>
          <w:rFonts w:hint="eastAsia" w:ascii="仿宋_GB2312" w:hAnsi="仿宋_GB2312" w:eastAsia="仿宋_GB2312" w:cs="仿宋_GB2312"/>
          <w:bCs/>
          <w:color w:val="000000" w:themeColor="text1"/>
          <w:sz w:val="32"/>
          <w:szCs w:val="32"/>
          <w14:textFill>
            <w14:solidFill>
              <w14:schemeClr w14:val="tx1"/>
            </w14:solidFill>
          </w14:textFill>
        </w:rPr>
        <w:t xml:space="preserve">                                    </w:t>
      </w:r>
      <w:bookmarkStart w:id="121" w:name="_Toc3285_WPSOffice_Level3"/>
      <w:r>
        <w:rPr>
          <w:rFonts w:hint="eastAsia" w:ascii="宋体" w:hAnsi="宋体" w:cs="仿宋"/>
          <w:color w:val="000000" w:themeColor="text1"/>
          <w:kern w:val="0"/>
          <w:sz w:val="24"/>
          <w14:textFill>
            <w14:solidFill>
              <w14:schemeClr w14:val="tx1"/>
            </w14:solidFill>
          </w14:textFill>
        </w:rPr>
        <w:t>年   月  日</w:t>
      </w:r>
      <w:bookmarkEnd w:id="121"/>
    </w:p>
    <w:p w14:paraId="13A866CC">
      <w:pPr>
        <w:pStyle w:val="32"/>
        <w:jc w:val="both"/>
        <w:rPr>
          <w:rFonts w:ascii="Times New Roman" w:hAnsi="Times New Roman"/>
          <w:color w:val="000000" w:themeColor="text1"/>
          <w:sz w:val="30"/>
          <w:szCs w:val="30"/>
          <w14:textFill>
            <w14:solidFill>
              <w14:schemeClr w14:val="tx1"/>
            </w14:solidFill>
          </w14:textFill>
        </w:rPr>
      </w:pPr>
    </w:p>
    <w:p w14:paraId="34BB9165">
      <w:pPr>
        <w:rPr>
          <w:color w:val="000000" w:themeColor="text1"/>
          <w14:textFill>
            <w14:solidFill>
              <w14:schemeClr w14:val="tx1"/>
            </w14:solidFill>
          </w14:textFill>
        </w:rPr>
      </w:pPr>
    </w:p>
    <w:p w14:paraId="22D1B3ED">
      <w:pPr>
        <w:autoSpaceDE w:val="0"/>
        <w:autoSpaceDN w:val="0"/>
        <w:spacing w:line="360" w:lineRule="auto"/>
        <w:jc w:val="center"/>
        <w:rPr>
          <w:b/>
          <w:bCs/>
          <w:color w:val="000000" w:themeColor="text1"/>
          <w:kern w:val="0"/>
          <w:sz w:val="28"/>
          <w:szCs w:val="28"/>
          <w14:textFill>
            <w14:solidFill>
              <w14:schemeClr w14:val="tx1"/>
            </w14:solidFill>
          </w14:textFill>
        </w:rPr>
      </w:pPr>
      <w:r>
        <w:rPr>
          <w:b/>
          <w:bCs/>
          <w:color w:val="000000" w:themeColor="text1"/>
          <w:kern w:val="0"/>
          <w:sz w:val="28"/>
          <w:szCs w:val="28"/>
          <w:lang w:val="zh-CN"/>
          <w14:textFill>
            <w14:solidFill>
              <w14:schemeClr w14:val="tx1"/>
            </w14:solidFill>
          </w14:textFill>
        </w:rPr>
        <w:br w:type="page"/>
      </w:r>
      <w:r>
        <w:rPr>
          <w:b/>
          <w:bCs/>
          <w:color w:val="000000" w:themeColor="text1"/>
          <w:kern w:val="0"/>
          <w:sz w:val="28"/>
          <w:szCs w:val="28"/>
          <w14:textFill>
            <w14:solidFill>
              <w14:schemeClr w14:val="tx1"/>
            </w14:solidFill>
          </w14:textFill>
        </w:rPr>
        <w:t>残疾人福利性单位声明函</w:t>
      </w:r>
    </w:p>
    <w:p w14:paraId="16A47768">
      <w:pPr>
        <w:spacing w:after="120" w:afterLines="50"/>
        <w:rPr>
          <w:bCs/>
          <w:color w:val="000000" w:themeColor="text1"/>
          <w14:textFill>
            <w14:solidFill>
              <w14:schemeClr w14:val="tx1"/>
            </w14:solidFill>
          </w14:textFill>
        </w:rPr>
      </w:pPr>
    </w:p>
    <w:p w14:paraId="2D2AA0CE">
      <w:pPr>
        <w:adjustRightInd w:val="0"/>
        <w:snapToGrid w:val="0"/>
        <w:spacing w:line="440" w:lineRule="exact"/>
        <w:ind w:left="6987" w:hanging="6987" w:hangingChars="2900"/>
        <w:rPr>
          <w:b/>
          <w:bCs/>
          <w:color w:val="000000" w:themeColor="text1"/>
          <w:kern w:val="0"/>
          <w:sz w:val="24"/>
          <w:lang w:val="zh-CN"/>
          <w14:textFill>
            <w14:solidFill>
              <w14:schemeClr w14:val="tx1"/>
            </w14:solidFill>
          </w14:textFill>
        </w:rPr>
      </w:pPr>
      <w:r>
        <w:rPr>
          <w:b/>
          <w:bCs/>
          <w:color w:val="000000" w:themeColor="text1"/>
          <w:kern w:val="0"/>
          <w:sz w:val="24"/>
          <w:lang w:val="zh-CN"/>
          <w14:textFill>
            <w14:solidFill>
              <w14:schemeClr w14:val="tx1"/>
            </w14:solidFill>
          </w14:textFill>
        </w:rPr>
        <w:t>致：青海国焱工程项目管理有限公司</w:t>
      </w:r>
    </w:p>
    <w:p w14:paraId="24E10684">
      <w:pPr>
        <w:spacing w:line="360" w:lineRule="auto"/>
        <w:ind w:firstLine="480"/>
        <w:rPr>
          <w:color w:val="000000" w:themeColor="text1"/>
          <w14:textFill>
            <w14:solidFill>
              <w14:schemeClr w14:val="tx1"/>
            </w14:solidFill>
          </w14:textFill>
        </w:rPr>
      </w:pPr>
    </w:p>
    <w:p w14:paraId="6AF2C85C">
      <w:pPr>
        <w:adjustRightInd w:val="0"/>
        <w:snapToGrid w:val="0"/>
        <w:spacing w:line="440" w:lineRule="exact"/>
        <w:ind w:left="-4" w:leftChars="-2" w:firstLine="480" w:firstLineChars="200"/>
        <w:rPr>
          <w:color w:val="000000" w:themeColor="text1"/>
          <w:sz w:val="24"/>
          <w14:textFill>
            <w14:solidFill>
              <w14:schemeClr w14:val="tx1"/>
            </w14:solidFill>
          </w14:textFill>
        </w:rPr>
      </w:pPr>
      <w:r>
        <w:rPr>
          <w:color w:val="000000" w:themeColor="text1"/>
          <w:sz w:val="24"/>
          <w14:textFill>
            <w14:solidFill>
              <w14:schemeClr w14:val="tx1"/>
            </w14:solidFill>
          </w14:textFill>
        </w:rPr>
        <w:t>本单位郑重声明，根据《财政部、民政部、中国残疾人联合会关于促进残疾人就业政府采购政策的通知》（财库〔2017〕141号）的规定，本单位为符合条件的残疾人福利性单位，本单位在职职工人数为       人，安置的残疾人人数      人。且本单位参加______单位的______项目采购活动提供本单位制造的货物（由本单位承担工程/提供服务），或者提供其他残疾人福利性单位制造的货物（不包括使用非残疾人福利性单位注册商标的货物）。</w:t>
      </w:r>
    </w:p>
    <w:p w14:paraId="49A0987C">
      <w:pPr>
        <w:adjustRightInd w:val="0"/>
        <w:snapToGrid w:val="0"/>
        <w:spacing w:line="440" w:lineRule="exact"/>
        <w:ind w:left="-4" w:leftChars="-2" w:firstLine="480" w:firstLineChars="200"/>
        <w:rPr>
          <w:color w:val="000000" w:themeColor="text1"/>
          <w:sz w:val="24"/>
          <w14:textFill>
            <w14:solidFill>
              <w14:schemeClr w14:val="tx1"/>
            </w14:solidFill>
          </w14:textFill>
        </w:rPr>
      </w:pPr>
      <w:r>
        <w:rPr>
          <w:color w:val="000000" w:themeColor="text1"/>
          <w:sz w:val="24"/>
          <w14:textFill>
            <w14:solidFill>
              <w14:schemeClr w14:val="tx1"/>
            </w14:solidFill>
          </w14:textFill>
        </w:rPr>
        <w:t>本单位对上述声明的真实性负责。如有虚假，将依法承担相应责任。</w:t>
      </w:r>
    </w:p>
    <w:p w14:paraId="4EA00827">
      <w:pPr>
        <w:adjustRightInd w:val="0"/>
        <w:snapToGrid w:val="0"/>
        <w:spacing w:line="440" w:lineRule="exact"/>
        <w:ind w:left="-4" w:leftChars="-2" w:firstLine="480" w:firstLineChars="200"/>
        <w:rPr>
          <w:color w:val="000000" w:themeColor="text1"/>
          <w:sz w:val="24"/>
          <w14:textFill>
            <w14:solidFill>
              <w14:schemeClr w14:val="tx1"/>
            </w14:solidFill>
          </w14:textFill>
        </w:rPr>
      </w:pPr>
    </w:p>
    <w:p w14:paraId="7ADE9D2A">
      <w:pPr>
        <w:adjustRightInd w:val="0"/>
        <w:snapToGrid w:val="0"/>
        <w:spacing w:line="440" w:lineRule="exact"/>
        <w:ind w:left="-4" w:leftChars="-2" w:firstLine="480" w:firstLineChars="200"/>
        <w:rPr>
          <w:color w:val="000000" w:themeColor="text1"/>
          <w:sz w:val="24"/>
          <w14:textFill>
            <w14:solidFill>
              <w14:schemeClr w14:val="tx1"/>
            </w14:solidFill>
          </w14:textFill>
        </w:rPr>
      </w:pPr>
      <w:r>
        <w:rPr>
          <w:color w:val="000000" w:themeColor="text1"/>
          <w:sz w:val="24"/>
          <w14:textFill>
            <w14:solidFill>
              <w14:schemeClr w14:val="tx1"/>
            </w14:solidFill>
          </w14:textFill>
        </w:rPr>
        <w:t>注：若无此项内容，可不提供此函。</w:t>
      </w:r>
    </w:p>
    <w:p w14:paraId="11605454">
      <w:pPr>
        <w:spacing w:line="360" w:lineRule="auto"/>
        <w:ind w:firstLine="480"/>
        <w:rPr>
          <w:color w:val="000000" w:themeColor="text1"/>
          <w14:textFill>
            <w14:solidFill>
              <w14:schemeClr w14:val="tx1"/>
            </w14:solidFill>
          </w14:textFill>
        </w:rPr>
      </w:pPr>
    </w:p>
    <w:p w14:paraId="4BAD38F8">
      <w:pPr>
        <w:spacing w:line="360" w:lineRule="auto"/>
        <w:ind w:firstLine="480"/>
        <w:rPr>
          <w:color w:val="000000" w:themeColor="text1"/>
          <w14:textFill>
            <w14:solidFill>
              <w14:schemeClr w14:val="tx1"/>
            </w14:solidFill>
          </w14:textFill>
        </w:rPr>
      </w:pPr>
    </w:p>
    <w:p w14:paraId="67590728">
      <w:pPr>
        <w:spacing w:line="360" w:lineRule="auto"/>
        <w:ind w:firstLine="480"/>
        <w:rPr>
          <w:color w:val="000000" w:themeColor="text1"/>
          <w14:textFill>
            <w14:solidFill>
              <w14:schemeClr w14:val="tx1"/>
            </w14:solidFill>
          </w14:textFill>
        </w:rPr>
      </w:pPr>
    </w:p>
    <w:p w14:paraId="2746F700">
      <w:pPr>
        <w:spacing w:line="360" w:lineRule="auto"/>
        <w:ind w:firstLine="480"/>
        <w:rPr>
          <w:color w:val="000000" w:themeColor="text1"/>
          <w14:textFill>
            <w14:solidFill>
              <w14:schemeClr w14:val="tx1"/>
            </w14:solidFill>
          </w14:textFill>
        </w:rPr>
      </w:pPr>
    </w:p>
    <w:p w14:paraId="14832B52">
      <w:pPr>
        <w:spacing w:line="360" w:lineRule="auto"/>
        <w:ind w:firstLine="480"/>
        <w:rPr>
          <w:color w:val="000000" w:themeColor="text1"/>
          <w14:textFill>
            <w14:solidFill>
              <w14:schemeClr w14:val="tx1"/>
            </w14:solidFill>
          </w14:textFill>
        </w:rPr>
      </w:pPr>
    </w:p>
    <w:p w14:paraId="1FC22572">
      <w:pPr>
        <w:spacing w:line="360" w:lineRule="auto"/>
        <w:ind w:firstLine="480"/>
        <w:rPr>
          <w:color w:val="000000" w:themeColor="text1"/>
          <w14:textFill>
            <w14:solidFill>
              <w14:schemeClr w14:val="tx1"/>
            </w14:solidFill>
          </w14:textFill>
        </w:rPr>
      </w:pPr>
    </w:p>
    <w:p w14:paraId="5646C6EC">
      <w:pPr>
        <w:spacing w:line="360" w:lineRule="auto"/>
        <w:ind w:firstLine="480"/>
        <w:rPr>
          <w:color w:val="000000" w:themeColor="text1"/>
          <w14:textFill>
            <w14:solidFill>
              <w14:schemeClr w14:val="tx1"/>
            </w14:solidFill>
          </w14:textFill>
        </w:rPr>
      </w:pPr>
    </w:p>
    <w:p w14:paraId="0A831288">
      <w:pPr>
        <w:spacing w:line="360" w:lineRule="auto"/>
        <w:ind w:firstLine="480"/>
        <w:rPr>
          <w:color w:val="000000" w:themeColor="text1"/>
          <w14:textFill>
            <w14:solidFill>
              <w14:schemeClr w14:val="tx1"/>
            </w14:solidFill>
          </w14:textFill>
        </w:rPr>
      </w:pPr>
    </w:p>
    <w:p w14:paraId="37EEF4B6">
      <w:pPr>
        <w:spacing w:line="360" w:lineRule="auto"/>
        <w:ind w:firstLine="480"/>
        <w:rPr>
          <w:color w:val="000000" w:themeColor="text1"/>
          <w14:textFill>
            <w14:solidFill>
              <w14:schemeClr w14:val="tx1"/>
            </w14:solidFill>
          </w14:textFill>
        </w:rPr>
      </w:pPr>
    </w:p>
    <w:p w14:paraId="7810D3D6">
      <w:pPr>
        <w:spacing w:line="360" w:lineRule="auto"/>
        <w:ind w:firstLine="480"/>
        <w:rPr>
          <w:color w:val="000000" w:themeColor="text1"/>
          <w14:textFill>
            <w14:solidFill>
              <w14:schemeClr w14:val="tx1"/>
            </w14:solidFill>
          </w14:textFill>
        </w:rPr>
      </w:pPr>
    </w:p>
    <w:p w14:paraId="1FDBAA39">
      <w:pPr>
        <w:spacing w:line="360" w:lineRule="auto"/>
        <w:ind w:firstLine="480"/>
        <w:rPr>
          <w:color w:val="000000" w:themeColor="text1"/>
          <w14:textFill>
            <w14:solidFill>
              <w14:schemeClr w14:val="tx1"/>
            </w14:solidFill>
          </w14:textFill>
        </w:rPr>
      </w:pPr>
    </w:p>
    <w:p w14:paraId="58EC7E1E">
      <w:pPr>
        <w:spacing w:line="360" w:lineRule="auto"/>
        <w:ind w:firstLine="480"/>
        <w:rPr>
          <w:color w:val="000000" w:themeColor="text1"/>
          <w14:textFill>
            <w14:solidFill>
              <w14:schemeClr w14:val="tx1"/>
            </w14:solidFill>
          </w14:textFill>
        </w:rPr>
      </w:pPr>
    </w:p>
    <w:p w14:paraId="45E2B8DA">
      <w:pPr>
        <w:spacing w:line="360" w:lineRule="auto"/>
        <w:ind w:firstLine="480"/>
        <w:rPr>
          <w:color w:val="000000" w:themeColor="text1"/>
          <w14:textFill>
            <w14:solidFill>
              <w14:schemeClr w14:val="tx1"/>
            </w14:solidFill>
          </w14:textFill>
        </w:rPr>
      </w:pPr>
    </w:p>
    <w:p w14:paraId="4166232C">
      <w:pPr>
        <w:spacing w:line="360" w:lineRule="auto"/>
        <w:ind w:firstLine="480"/>
        <w:rPr>
          <w:color w:val="000000" w:themeColor="text1"/>
          <w14:textFill>
            <w14:solidFill>
              <w14:schemeClr w14:val="tx1"/>
            </w14:solidFill>
          </w14:textFill>
        </w:rPr>
      </w:pPr>
    </w:p>
    <w:p w14:paraId="77E4CD38">
      <w:pPr>
        <w:spacing w:line="360" w:lineRule="auto"/>
        <w:ind w:firstLine="480"/>
        <w:rPr>
          <w:color w:val="000000" w:themeColor="text1"/>
          <w14:textFill>
            <w14:solidFill>
              <w14:schemeClr w14:val="tx1"/>
            </w14:solidFill>
          </w14:textFill>
        </w:rPr>
      </w:pPr>
    </w:p>
    <w:p w14:paraId="1337DF94">
      <w:pPr>
        <w:spacing w:line="360" w:lineRule="auto"/>
        <w:ind w:firstLine="480"/>
        <w:rPr>
          <w:color w:val="000000" w:themeColor="text1"/>
          <w14:textFill>
            <w14:solidFill>
              <w14:schemeClr w14:val="tx1"/>
            </w14:solidFill>
          </w14:textFill>
        </w:rPr>
      </w:pPr>
    </w:p>
    <w:p w14:paraId="33712F1F">
      <w:pPr>
        <w:spacing w:line="360" w:lineRule="auto"/>
        <w:ind w:firstLine="480"/>
        <w:rPr>
          <w:color w:val="000000" w:themeColor="text1"/>
          <w14:textFill>
            <w14:solidFill>
              <w14:schemeClr w14:val="tx1"/>
            </w14:solidFill>
          </w14:textFill>
        </w:rPr>
      </w:pPr>
    </w:p>
    <w:p w14:paraId="54F23FAE">
      <w:pPr>
        <w:autoSpaceDE w:val="0"/>
        <w:autoSpaceDN w:val="0"/>
        <w:spacing w:line="360" w:lineRule="auto"/>
        <w:jc w:val="right"/>
        <w:rPr>
          <w:bCs/>
          <w:color w:val="000000" w:themeColor="text1"/>
          <w:sz w:val="24"/>
          <w:szCs w:val="28"/>
          <w14:textFill>
            <w14:solidFill>
              <w14:schemeClr w14:val="tx1"/>
            </w14:solidFill>
          </w14:textFill>
        </w:rPr>
      </w:pPr>
      <w:r>
        <w:rPr>
          <w:b/>
          <w:color w:val="000000" w:themeColor="text1"/>
          <w14:textFill>
            <w14:solidFill>
              <w14:schemeClr w14:val="tx1"/>
            </w14:solidFill>
          </w14:textFill>
        </w:rPr>
        <w:t xml:space="preserve">                                </w:t>
      </w:r>
      <w:r>
        <w:rPr>
          <w:bCs/>
          <w:color w:val="000000" w:themeColor="text1"/>
          <w:sz w:val="24"/>
          <w:szCs w:val="28"/>
          <w14:textFill>
            <w14:solidFill>
              <w14:schemeClr w14:val="tx1"/>
            </w14:solidFill>
          </w14:textFill>
        </w:rPr>
        <w:t>企业名称：       （公章）</w:t>
      </w:r>
    </w:p>
    <w:p w14:paraId="1AEB0D73">
      <w:pPr>
        <w:autoSpaceDE w:val="0"/>
        <w:autoSpaceDN w:val="0"/>
        <w:spacing w:line="360" w:lineRule="auto"/>
        <w:jc w:val="right"/>
        <w:rPr>
          <w:bCs/>
          <w:color w:val="000000" w:themeColor="text1"/>
          <w:sz w:val="24"/>
          <w:szCs w:val="28"/>
          <w14:textFill>
            <w14:solidFill>
              <w14:schemeClr w14:val="tx1"/>
            </w14:solidFill>
          </w14:textFill>
        </w:rPr>
      </w:pPr>
      <w:r>
        <w:rPr>
          <w:bCs/>
          <w:color w:val="000000" w:themeColor="text1"/>
          <w:sz w:val="24"/>
          <w:szCs w:val="28"/>
          <w14:textFill>
            <w14:solidFill>
              <w14:schemeClr w14:val="tx1"/>
            </w14:solidFill>
          </w14:textFill>
        </w:rPr>
        <w:t xml:space="preserve">       企业法定代表人：       （签字或盖章）</w:t>
      </w:r>
    </w:p>
    <w:p w14:paraId="40671808">
      <w:pPr>
        <w:autoSpaceDE w:val="0"/>
        <w:autoSpaceDN w:val="0"/>
        <w:spacing w:line="360" w:lineRule="auto"/>
        <w:jc w:val="right"/>
        <w:rPr>
          <w:bCs/>
          <w:color w:val="000000" w:themeColor="text1"/>
          <w:sz w:val="24"/>
          <w:szCs w:val="28"/>
          <w14:textFill>
            <w14:solidFill>
              <w14:schemeClr w14:val="tx1"/>
            </w14:solidFill>
          </w14:textFill>
        </w:rPr>
      </w:pPr>
      <w:r>
        <w:rPr>
          <w:bCs/>
          <w:color w:val="000000" w:themeColor="text1"/>
          <w:sz w:val="24"/>
          <w:szCs w:val="28"/>
          <w14:textFill>
            <w14:solidFill>
              <w14:schemeClr w14:val="tx1"/>
            </w14:solidFill>
          </w14:textFill>
        </w:rPr>
        <w:t xml:space="preserve">                                                              年   月  日</w:t>
      </w:r>
    </w:p>
    <w:p w14:paraId="4C4C094C">
      <w:pPr>
        <w:spacing w:line="360" w:lineRule="auto"/>
        <w:ind w:firstLine="480"/>
        <w:rPr>
          <w:rFonts w:ascii="宋体" w:hAnsi="宋体" w:cs="宋体"/>
          <w:color w:val="000000" w:themeColor="text1"/>
          <w:sz w:val="24"/>
          <w14:textFill>
            <w14:solidFill>
              <w14:schemeClr w14:val="tx1"/>
            </w14:solidFill>
          </w14:textFill>
        </w:rPr>
      </w:pPr>
    </w:p>
    <w:p w14:paraId="5D79896E">
      <w:pPr>
        <w:spacing w:line="360" w:lineRule="auto"/>
        <w:ind w:firstLine="480"/>
        <w:rPr>
          <w:rFonts w:ascii="宋体" w:hAnsi="宋体" w:cs="宋体"/>
          <w:color w:val="000000" w:themeColor="text1"/>
          <w:sz w:val="24"/>
          <w14:textFill>
            <w14:solidFill>
              <w14:schemeClr w14:val="tx1"/>
            </w14:solidFill>
          </w14:textFill>
        </w:rPr>
      </w:pPr>
    </w:p>
    <w:p w14:paraId="5B5307B2">
      <w:pPr>
        <w:pStyle w:val="4"/>
        <w:numPr>
          <w:ilvl w:val="0"/>
          <w:numId w:val="0"/>
        </w:numPr>
        <w:rPr>
          <w:rFonts w:hAnsi="宋体" w:cs="宋体"/>
          <w:color w:val="000000" w:themeColor="text1"/>
          <w:sz w:val="24"/>
          <w:szCs w:val="24"/>
          <w14:textFill>
            <w14:solidFill>
              <w14:schemeClr w14:val="tx1"/>
            </w14:solidFill>
          </w14:textFill>
        </w:rPr>
      </w:pPr>
      <w:r>
        <w:rPr>
          <w:rFonts w:hAnsi="宋体"/>
          <w:bCs/>
          <w:color w:val="000000" w:themeColor="text1"/>
          <w:sz w:val="24"/>
          <w:szCs w:val="24"/>
          <w14:textFill>
            <w14:solidFill>
              <w14:schemeClr w14:val="tx1"/>
            </w14:solidFill>
          </w14:textFill>
        </w:rPr>
        <w:br w:type="page"/>
      </w:r>
      <w:bookmarkStart w:id="122" w:name="_Toc31287"/>
      <w:bookmarkStart w:id="123" w:name="_Toc20744"/>
      <w:r>
        <w:rPr>
          <w:rFonts w:hint="eastAsia" w:hAnsi="宋体"/>
          <w:b/>
          <w:color w:val="000000" w:themeColor="text1"/>
          <w:sz w:val="24"/>
          <w:szCs w:val="24"/>
          <w:lang w:val="zh-CN"/>
          <w14:textFill>
            <w14:solidFill>
              <w14:schemeClr w14:val="tx1"/>
            </w14:solidFill>
          </w14:textFill>
        </w:rPr>
        <w:t>格式1</w:t>
      </w:r>
      <w:r>
        <w:rPr>
          <w:rFonts w:hint="eastAsia" w:hAnsi="宋体"/>
          <w:b/>
          <w:color w:val="000000" w:themeColor="text1"/>
          <w:sz w:val="24"/>
          <w:szCs w:val="24"/>
          <w:lang w:val="en-US" w:eastAsia="zh-CN"/>
          <w14:textFill>
            <w14:solidFill>
              <w14:schemeClr w14:val="tx1"/>
            </w14:solidFill>
          </w14:textFill>
        </w:rPr>
        <w:t>7</w:t>
      </w:r>
      <w:r>
        <w:rPr>
          <w:rFonts w:hint="eastAsia" w:hAnsi="宋体"/>
          <w:b/>
          <w:color w:val="000000" w:themeColor="text1"/>
          <w:sz w:val="24"/>
          <w:szCs w:val="24"/>
          <w:lang w:val="zh-CN"/>
          <w14:textFill>
            <w14:solidFill>
              <w14:schemeClr w14:val="tx1"/>
            </w14:solidFill>
          </w14:textFill>
        </w:rPr>
        <w:t>、磋商供应商认为在其他方面有必要说明的事项</w:t>
      </w:r>
      <w:bookmarkEnd w:id="122"/>
      <w:bookmarkEnd w:id="123"/>
    </w:p>
    <w:p w14:paraId="2CB42211">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3240441D">
      <w:pPr>
        <w:pStyle w:val="19"/>
        <w:spacing w:line="360" w:lineRule="auto"/>
        <w:jc w:val="center"/>
        <w:rPr>
          <w:rFonts w:hAnsi="宋体" w:cs="宋体"/>
          <w:b/>
          <w:bCs/>
          <w:color w:val="000000" w:themeColor="text1"/>
          <w:sz w:val="24"/>
          <w:szCs w:val="24"/>
          <w:lang w:val="zh-CN"/>
          <w14:textFill>
            <w14:solidFill>
              <w14:schemeClr w14:val="tx1"/>
            </w14:solidFill>
          </w14:textFill>
        </w:rPr>
      </w:pPr>
      <w:r>
        <w:rPr>
          <w:rFonts w:hint="eastAsia" w:hAnsi="宋体" w:cs="宋体"/>
          <w:b/>
          <w:bCs/>
          <w:color w:val="000000" w:themeColor="text1"/>
          <w:sz w:val="24"/>
          <w:szCs w:val="24"/>
          <w:lang w:val="zh-CN"/>
          <w14:textFill>
            <w14:solidFill>
              <w14:schemeClr w14:val="tx1"/>
            </w14:solidFill>
          </w14:textFill>
        </w:rPr>
        <w:t>磋商供应商认为在其他方面有必要说明的事项</w:t>
      </w:r>
    </w:p>
    <w:p w14:paraId="7AE374D1">
      <w:pPr>
        <w:autoSpaceDE w:val="0"/>
        <w:autoSpaceDN w:val="0"/>
        <w:adjustRightInd w:val="0"/>
        <w:spacing w:line="360" w:lineRule="auto"/>
        <w:rPr>
          <w:rFonts w:ascii="宋体" w:hAnsi="宋体" w:cs="宋体"/>
          <w:color w:val="000000" w:themeColor="text1"/>
          <w:kern w:val="0"/>
          <w:sz w:val="24"/>
          <w:lang w:val="zh-CN"/>
          <w14:textFill>
            <w14:solidFill>
              <w14:schemeClr w14:val="tx1"/>
            </w14:solidFill>
          </w14:textFill>
        </w:rPr>
      </w:pPr>
    </w:p>
    <w:p w14:paraId="594A94AC">
      <w:pPr>
        <w:autoSpaceDE w:val="0"/>
        <w:autoSpaceDN w:val="0"/>
        <w:spacing w:line="360" w:lineRule="auto"/>
        <w:ind w:firstLine="480" w:firstLineChars="20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磋商供应商在参加本项目磋商中根据磋商文件的要求认为需要说明的事项。如没有说明事项，此项可忽略。（格式可自定）</w:t>
      </w:r>
    </w:p>
    <w:p w14:paraId="17F73BF0">
      <w:pPr>
        <w:pStyle w:val="4"/>
        <w:numPr>
          <w:ilvl w:val="0"/>
          <w:numId w:val="0"/>
        </w:numPr>
        <w:ind w:left="709" w:hanging="709"/>
        <w:rPr>
          <w:rFonts w:hAnsi="宋体"/>
          <w:b/>
          <w:color w:val="000000" w:themeColor="text1"/>
          <w:sz w:val="24"/>
          <w:szCs w:val="24"/>
          <w:lang w:val="zh-CN"/>
          <w14:textFill>
            <w14:solidFill>
              <w14:schemeClr w14:val="tx1"/>
            </w14:solidFill>
          </w14:textFill>
        </w:rPr>
      </w:pPr>
      <w:r>
        <w:rPr>
          <w:rFonts w:hAnsi="宋体"/>
          <w:bCs/>
          <w:color w:val="000000" w:themeColor="text1"/>
          <w:sz w:val="24"/>
          <w:szCs w:val="24"/>
          <w14:textFill>
            <w14:solidFill>
              <w14:schemeClr w14:val="tx1"/>
            </w14:solidFill>
          </w14:textFill>
        </w:rPr>
        <w:br w:type="page"/>
      </w:r>
      <w:bookmarkStart w:id="124" w:name="_Toc16212"/>
      <w:r>
        <w:rPr>
          <w:rFonts w:hAnsi="宋体"/>
          <w:b/>
          <w:color w:val="000000" w:themeColor="text1"/>
          <w:sz w:val="24"/>
          <w:szCs w:val="24"/>
          <w:lang w:val="zh-CN"/>
          <w14:textFill>
            <w14:solidFill>
              <w14:schemeClr w14:val="tx1"/>
            </w14:solidFill>
          </w14:textFill>
        </w:rPr>
        <w:t>格式</w:t>
      </w:r>
      <w:r>
        <w:rPr>
          <w:rFonts w:hint="eastAsia" w:hAnsi="宋体"/>
          <w:b/>
          <w:color w:val="000000" w:themeColor="text1"/>
          <w:sz w:val="24"/>
          <w:szCs w:val="24"/>
          <w:lang w:val="zh-CN"/>
          <w14:textFill>
            <w14:solidFill>
              <w14:schemeClr w14:val="tx1"/>
            </w14:solidFill>
          </w14:textFill>
        </w:rPr>
        <w:t>1</w:t>
      </w:r>
      <w:r>
        <w:rPr>
          <w:rFonts w:hint="eastAsia" w:hAnsi="宋体"/>
          <w:b/>
          <w:color w:val="000000" w:themeColor="text1"/>
          <w:sz w:val="24"/>
          <w:szCs w:val="24"/>
          <w:lang w:val="en-US" w:eastAsia="zh-CN"/>
          <w14:textFill>
            <w14:solidFill>
              <w14:schemeClr w14:val="tx1"/>
            </w14:solidFill>
          </w14:textFill>
        </w:rPr>
        <w:t>8</w:t>
      </w:r>
      <w:r>
        <w:rPr>
          <w:rFonts w:hint="eastAsia" w:hAnsi="宋体"/>
          <w:b/>
          <w:color w:val="000000" w:themeColor="text1"/>
          <w:sz w:val="24"/>
          <w:szCs w:val="24"/>
          <w:lang w:val="zh-CN"/>
          <w14:textFill>
            <w14:solidFill>
              <w14:schemeClr w14:val="tx1"/>
            </w14:solidFill>
          </w14:textFill>
        </w:rPr>
        <w:t>、磋商最终报价表</w:t>
      </w:r>
      <w:r>
        <w:rPr>
          <w:rFonts w:hint="eastAsia" w:hAnsi="宋体"/>
          <w:b/>
          <w:color w:val="000000" w:themeColor="text1"/>
          <w:sz w:val="24"/>
          <w:szCs w:val="24"/>
          <w14:textFill>
            <w14:solidFill>
              <w14:schemeClr w14:val="tx1"/>
            </w14:solidFill>
          </w14:textFill>
        </w:rPr>
        <w:t>（单独提交）</w:t>
      </w:r>
      <w:bookmarkEnd w:id="124"/>
    </w:p>
    <w:p w14:paraId="41EA3CB7">
      <w:pPr>
        <w:spacing w:line="360" w:lineRule="auto"/>
        <w:jc w:val="center"/>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磋商最终报价表</w:t>
      </w:r>
    </w:p>
    <w:p w14:paraId="2A64C9F5">
      <w:pPr>
        <w:spacing w:line="360" w:lineRule="auto"/>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 xml:space="preserve">磋商供应商名称： </w:t>
      </w:r>
    </w:p>
    <w:p w14:paraId="558999B0">
      <w:pPr>
        <w:autoSpaceDE w:val="0"/>
        <w:autoSpaceDN w:val="0"/>
        <w:adjustRightInd w:val="0"/>
        <w:spacing w:line="360" w:lineRule="auto"/>
        <w:jc w:val="right"/>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b/>
          <w:bCs/>
          <w:color w:val="000000" w:themeColor="text1"/>
          <w:kern w:val="0"/>
          <w:sz w:val="24"/>
          <w:lang w:val="zh-CN"/>
          <w14:textFill>
            <w14:solidFill>
              <w14:schemeClr w14:val="tx1"/>
            </w14:solidFill>
          </w14:textFill>
        </w:rPr>
        <w:t xml:space="preserve">         </w:t>
      </w:r>
      <w:r>
        <w:rPr>
          <w:rFonts w:hint="eastAsia" w:ascii="宋体" w:hAnsi="宋体"/>
          <w:b/>
          <w:color w:val="000000" w:themeColor="text1"/>
          <w:sz w:val="24"/>
          <w14:textFill>
            <w14:solidFill>
              <w14:schemeClr w14:val="tx1"/>
            </w14:solidFill>
          </w14:textFill>
        </w:rPr>
        <w:t xml:space="preserve">                                                单位：元</w:t>
      </w:r>
    </w:p>
    <w:tbl>
      <w:tblPr>
        <w:tblStyle w:val="36"/>
        <w:tblW w:w="9968" w:type="dxa"/>
        <w:jc w:val="center"/>
        <w:tblLayout w:type="fixed"/>
        <w:tblCellMar>
          <w:top w:w="0" w:type="dxa"/>
          <w:left w:w="108" w:type="dxa"/>
          <w:bottom w:w="0" w:type="dxa"/>
          <w:right w:w="108" w:type="dxa"/>
        </w:tblCellMar>
      </w:tblPr>
      <w:tblGrid>
        <w:gridCol w:w="3458"/>
        <w:gridCol w:w="2951"/>
        <w:gridCol w:w="2313"/>
        <w:gridCol w:w="1246"/>
      </w:tblGrid>
      <w:tr w14:paraId="0CA345C8">
        <w:tblPrEx>
          <w:tblCellMar>
            <w:top w:w="0" w:type="dxa"/>
            <w:left w:w="108" w:type="dxa"/>
            <w:bottom w:w="0" w:type="dxa"/>
            <w:right w:w="108" w:type="dxa"/>
          </w:tblCellMar>
        </w:tblPrEx>
        <w:trPr>
          <w:trHeight w:val="699" w:hRule="atLeast"/>
          <w:jc w:val="center"/>
        </w:trPr>
        <w:tc>
          <w:tcPr>
            <w:tcW w:w="345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A4BD190">
            <w:pPr>
              <w:autoSpaceDE w:val="0"/>
              <w:autoSpaceDN w:val="0"/>
              <w:spacing w:line="360" w:lineRule="auto"/>
              <w:jc w:val="center"/>
              <w:rPr>
                <w:rFonts w:ascii="宋体" w:hAnsi="宋体" w:cs="Arial"/>
                <w:color w:val="000000" w:themeColor="text1"/>
                <w:sz w:val="24"/>
                <w:lang w:val="zh-CN"/>
                <w14:textFill>
                  <w14:solidFill>
                    <w14:schemeClr w14:val="tx1"/>
                  </w14:solidFill>
                </w14:textFill>
              </w:rPr>
            </w:pPr>
            <w:r>
              <w:rPr>
                <w:rFonts w:ascii="宋体" w:hAnsi="宋体" w:cs="Arial"/>
                <w:bCs/>
                <w:color w:val="000000" w:themeColor="text1"/>
                <w:sz w:val="24"/>
                <w:lang w:val="zh-CN"/>
                <w14:textFill>
                  <w14:solidFill>
                    <w14:schemeClr w14:val="tx1"/>
                  </w14:solidFill>
                </w14:textFill>
              </w:rPr>
              <w:t>项目名称</w:t>
            </w:r>
          </w:p>
        </w:tc>
        <w:tc>
          <w:tcPr>
            <w:tcW w:w="2951"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EEAA1F2">
            <w:pPr>
              <w:autoSpaceDE w:val="0"/>
              <w:autoSpaceDN w:val="0"/>
              <w:spacing w:line="360" w:lineRule="auto"/>
              <w:ind w:firstLine="482"/>
              <w:jc w:val="center"/>
              <w:rPr>
                <w:rFonts w:ascii="宋体" w:hAnsi="宋体" w:cs="Arial"/>
                <w:color w:val="000000" w:themeColor="text1"/>
                <w:sz w:val="24"/>
                <w:lang w:val="zh-CN"/>
                <w14:textFill>
                  <w14:solidFill>
                    <w14:schemeClr w14:val="tx1"/>
                  </w14:solidFill>
                </w14:textFill>
              </w:rPr>
            </w:pPr>
            <w:r>
              <w:rPr>
                <w:rFonts w:ascii="宋体" w:hAnsi="宋体" w:cs="Arial"/>
                <w:bCs/>
                <w:color w:val="000000" w:themeColor="text1"/>
                <w:sz w:val="24"/>
                <w:lang w:val="zh-CN"/>
                <w14:textFill>
                  <w14:solidFill>
                    <w14:schemeClr w14:val="tx1"/>
                  </w14:solidFill>
                </w14:textFill>
              </w:rPr>
              <w:t>投标报价</w:t>
            </w:r>
          </w:p>
        </w:tc>
        <w:tc>
          <w:tcPr>
            <w:tcW w:w="2313" w:type="dxa"/>
            <w:tcBorders>
              <w:top w:val="single" w:color="000000" w:sz="6" w:space="0"/>
              <w:left w:val="single" w:color="000000" w:sz="6" w:space="0"/>
              <w:bottom w:val="single" w:color="000000" w:sz="6" w:space="0"/>
              <w:right w:val="single" w:color="auto" w:sz="4" w:space="0"/>
            </w:tcBorders>
            <w:shd w:val="clear" w:color="000000" w:fill="FFFFFF"/>
            <w:vAlign w:val="center"/>
          </w:tcPr>
          <w:p w14:paraId="16172BCC">
            <w:pPr>
              <w:autoSpaceDE w:val="0"/>
              <w:autoSpaceDN w:val="0"/>
              <w:spacing w:line="360" w:lineRule="auto"/>
              <w:jc w:val="center"/>
              <w:rPr>
                <w:rFonts w:ascii="宋体" w:hAnsi="宋体" w:cs="Arial"/>
                <w:bCs/>
                <w:color w:val="000000" w:themeColor="text1"/>
                <w:sz w:val="24"/>
                <w:lang w:val="zh-CN"/>
                <w14:textFill>
                  <w14:solidFill>
                    <w14:schemeClr w14:val="tx1"/>
                  </w14:solidFill>
                </w14:textFill>
              </w:rPr>
            </w:pPr>
            <w:r>
              <w:rPr>
                <w:rFonts w:ascii="宋体" w:hAnsi="宋体" w:cs="Arial"/>
                <w:bCs/>
                <w:color w:val="000000" w:themeColor="text1"/>
                <w:sz w:val="24"/>
                <w:lang w:val="zh-CN"/>
                <w14:textFill>
                  <w14:solidFill>
                    <w14:schemeClr w14:val="tx1"/>
                  </w14:solidFill>
                </w14:textFill>
              </w:rPr>
              <w:t>交货期</w:t>
            </w:r>
          </w:p>
        </w:tc>
        <w:tc>
          <w:tcPr>
            <w:tcW w:w="124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161BFDA">
            <w:pPr>
              <w:autoSpaceDE w:val="0"/>
              <w:autoSpaceDN w:val="0"/>
              <w:spacing w:line="360" w:lineRule="auto"/>
              <w:jc w:val="center"/>
              <w:rPr>
                <w:rFonts w:ascii="宋体" w:hAnsi="宋体" w:cs="Arial"/>
                <w:color w:val="000000" w:themeColor="text1"/>
                <w:sz w:val="24"/>
                <w:lang w:val="zh-CN"/>
                <w14:textFill>
                  <w14:solidFill>
                    <w14:schemeClr w14:val="tx1"/>
                  </w14:solidFill>
                </w14:textFill>
              </w:rPr>
            </w:pPr>
            <w:r>
              <w:rPr>
                <w:rFonts w:ascii="宋体" w:hAnsi="宋体" w:cs="Arial"/>
                <w:bCs/>
                <w:color w:val="000000" w:themeColor="text1"/>
                <w:sz w:val="24"/>
                <w:lang w:val="zh-CN"/>
                <w14:textFill>
                  <w14:solidFill>
                    <w14:schemeClr w14:val="tx1"/>
                  </w14:solidFill>
                </w14:textFill>
              </w:rPr>
              <w:t>备注</w:t>
            </w:r>
          </w:p>
        </w:tc>
      </w:tr>
      <w:tr w14:paraId="06493379">
        <w:tblPrEx>
          <w:tblCellMar>
            <w:top w:w="0" w:type="dxa"/>
            <w:left w:w="108" w:type="dxa"/>
            <w:bottom w:w="0" w:type="dxa"/>
            <w:right w:w="108" w:type="dxa"/>
          </w:tblCellMar>
        </w:tblPrEx>
        <w:trPr>
          <w:trHeight w:val="749" w:hRule="atLeast"/>
          <w:jc w:val="center"/>
        </w:trPr>
        <w:tc>
          <w:tcPr>
            <w:tcW w:w="3458" w:type="dxa"/>
            <w:vMerge w:val="restart"/>
            <w:tcBorders>
              <w:top w:val="single" w:color="000000" w:sz="6" w:space="0"/>
              <w:left w:val="single" w:color="000000" w:sz="6" w:space="0"/>
              <w:right w:val="single" w:color="000000" w:sz="6" w:space="0"/>
            </w:tcBorders>
            <w:shd w:val="clear" w:color="000000" w:fill="FFFFFF"/>
            <w:vAlign w:val="center"/>
          </w:tcPr>
          <w:p w14:paraId="21720B06">
            <w:pPr>
              <w:autoSpaceDE w:val="0"/>
              <w:autoSpaceDN w:val="0"/>
              <w:spacing w:line="360" w:lineRule="auto"/>
              <w:jc w:val="center"/>
              <w:rPr>
                <w:rFonts w:ascii="宋体" w:hAnsi="宋体" w:cs="Arial"/>
                <w:color w:val="000000" w:themeColor="text1"/>
                <w:sz w:val="24"/>
                <w:lang w:val="zh-CN"/>
                <w14:textFill>
                  <w14:solidFill>
                    <w14:schemeClr w14:val="tx1"/>
                  </w14:solidFill>
                </w14:textFill>
              </w:rPr>
            </w:pPr>
          </w:p>
        </w:tc>
        <w:tc>
          <w:tcPr>
            <w:tcW w:w="2951"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9A1687A">
            <w:pPr>
              <w:autoSpaceDE w:val="0"/>
              <w:autoSpaceDN w:val="0"/>
              <w:spacing w:line="360" w:lineRule="auto"/>
              <w:rPr>
                <w:rFonts w:ascii="宋体" w:hAnsi="宋体" w:cs="Arial"/>
                <w:color w:val="000000" w:themeColor="text1"/>
                <w:sz w:val="24"/>
                <w:lang w:val="zh-CN"/>
                <w14:textFill>
                  <w14:solidFill>
                    <w14:schemeClr w14:val="tx1"/>
                  </w14:solidFill>
                </w14:textFill>
              </w:rPr>
            </w:pPr>
            <w:r>
              <w:rPr>
                <w:rFonts w:ascii="宋体" w:hAnsi="宋体" w:cs="Arial"/>
                <w:bCs/>
                <w:color w:val="000000" w:themeColor="text1"/>
                <w:sz w:val="24"/>
                <w:lang w:val="zh-CN"/>
                <w14:textFill>
                  <w14:solidFill>
                    <w14:schemeClr w14:val="tx1"/>
                  </w14:solidFill>
                </w14:textFill>
              </w:rPr>
              <w:t>大写：</w:t>
            </w:r>
          </w:p>
        </w:tc>
        <w:tc>
          <w:tcPr>
            <w:tcW w:w="2313" w:type="dxa"/>
            <w:vMerge w:val="restart"/>
            <w:tcBorders>
              <w:top w:val="single" w:color="000000" w:sz="6" w:space="0"/>
              <w:left w:val="single" w:color="000000" w:sz="6" w:space="0"/>
              <w:bottom w:val="single" w:color="000000" w:sz="6" w:space="0"/>
              <w:right w:val="single" w:color="auto" w:sz="4" w:space="0"/>
            </w:tcBorders>
            <w:shd w:val="clear" w:color="000000" w:fill="FFFFFF"/>
            <w:vAlign w:val="center"/>
          </w:tcPr>
          <w:p w14:paraId="07402357">
            <w:pPr>
              <w:autoSpaceDE w:val="0"/>
              <w:autoSpaceDN w:val="0"/>
              <w:spacing w:line="360" w:lineRule="auto"/>
              <w:ind w:firstLine="197"/>
              <w:jc w:val="center"/>
              <w:rPr>
                <w:rFonts w:ascii="宋体" w:hAnsi="宋体" w:cs="Arial"/>
                <w:color w:val="000000" w:themeColor="text1"/>
                <w:sz w:val="24"/>
                <w:lang w:val="zh-CN"/>
                <w14:textFill>
                  <w14:solidFill>
                    <w14:schemeClr w14:val="tx1"/>
                  </w14:solidFill>
                </w14:textFill>
              </w:rPr>
            </w:pPr>
          </w:p>
        </w:tc>
        <w:tc>
          <w:tcPr>
            <w:tcW w:w="1246" w:type="dxa"/>
            <w:vMerge w:val="restart"/>
            <w:tcBorders>
              <w:top w:val="single" w:color="000000" w:sz="6" w:space="0"/>
              <w:left w:val="single" w:color="000000" w:sz="6" w:space="0"/>
              <w:bottom w:val="single" w:color="000000" w:sz="6" w:space="0"/>
              <w:right w:val="single" w:color="000000" w:sz="6" w:space="0"/>
            </w:tcBorders>
            <w:shd w:val="clear" w:color="000000" w:fill="FFFFFF"/>
            <w:vAlign w:val="center"/>
          </w:tcPr>
          <w:p w14:paraId="36A2C1E6">
            <w:pPr>
              <w:autoSpaceDE w:val="0"/>
              <w:autoSpaceDN w:val="0"/>
              <w:spacing w:line="360" w:lineRule="auto"/>
              <w:jc w:val="center"/>
              <w:rPr>
                <w:rFonts w:ascii="宋体" w:hAnsi="宋体" w:cs="Arial"/>
                <w:color w:val="000000" w:themeColor="text1"/>
                <w:sz w:val="24"/>
                <w:lang w:val="zh-CN"/>
                <w14:textFill>
                  <w14:solidFill>
                    <w14:schemeClr w14:val="tx1"/>
                  </w14:solidFill>
                </w14:textFill>
              </w:rPr>
            </w:pPr>
          </w:p>
        </w:tc>
      </w:tr>
      <w:tr w14:paraId="54DB81D8">
        <w:tblPrEx>
          <w:tblCellMar>
            <w:top w:w="0" w:type="dxa"/>
            <w:left w:w="108" w:type="dxa"/>
            <w:bottom w:w="0" w:type="dxa"/>
            <w:right w:w="108" w:type="dxa"/>
          </w:tblCellMar>
        </w:tblPrEx>
        <w:trPr>
          <w:trHeight w:val="1026" w:hRule="atLeast"/>
          <w:jc w:val="center"/>
        </w:trPr>
        <w:tc>
          <w:tcPr>
            <w:tcW w:w="3458" w:type="dxa"/>
            <w:vMerge w:val="continue"/>
            <w:tcBorders>
              <w:left w:val="single" w:color="000000" w:sz="6" w:space="0"/>
              <w:bottom w:val="single" w:color="000000" w:sz="6" w:space="0"/>
              <w:right w:val="single" w:color="000000" w:sz="6" w:space="0"/>
            </w:tcBorders>
            <w:shd w:val="clear" w:color="000000" w:fill="FFFFFF"/>
            <w:vAlign w:val="center"/>
          </w:tcPr>
          <w:p w14:paraId="1348C125">
            <w:pPr>
              <w:autoSpaceDE w:val="0"/>
              <w:autoSpaceDN w:val="0"/>
              <w:spacing w:line="360" w:lineRule="auto"/>
              <w:jc w:val="center"/>
              <w:rPr>
                <w:rFonts w:ascii="宋体" w:hAnsi="宋体" w:cs="Arial"/>
                <w:color w:val="000000" w:themeColor="text1"/>
                <w:sz w:val="24"/>
                <w:lang w:val="zh-CN"/>
                <w14:textFill>
                  <w14:solidFill>
                    <w14:schemeClr w14:val="tx1"/>
                  </w14:solidFill>
                </w14:textFill>
              </w:rPr>
            </w:pPr>
          </w:p>
        </w:tc>
        <w:tc>
          <w:tcPr>
            <w:tcW w:w="2951"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97AC0BA">
            <w:pPr>
              <w:autoSpaceDE w:val="0"/>
              <w:autoSpaceDN w:val="0"/>
              <w:spacing w:line="360" w:lineRule="auto"/>
              <w:rPr>
                <w:rFonts w:ascii="宋体" w:hAnsi="宋体" w:cs="Arial"/>
                <w:color w:val="000000" w:themeColor="text1"/>
                <w:sz w:val="24"/>
                <w:lang w:val="zh-CN"/>
                <w14:textFill>
                  <w14:solidFill>
                    <w14:schemeClr w14:val="tx1"/>
                  </w14:solidFill>
                </w14:textFill>
              </w:rPr>
            </w:pPr>
            <w:r>
              <w:rPr>
                <w:rFonts w:ascii="宋体" w:hAnsi="宋体" w:cs="Arial"/>
                <w:bCs/>
                <w:color w:val="000000" w:themeColor="text1"/>
                <w:sz w:val="24"/>
                <w:lang w:val="zh-CN"/>
                <w14:textFill>
                  <w14:solidFill>
                    <w14:schemeClr w14:val="tx1"/>
                  </w14:solidFill>
                </w14:textFill>
              </w:rPr>
              <w:t>小写：</w:t>
            </w:r>
          </w:p>
        </w:tc>
        <w:tc>
          <w:tcPr>
            <w:tcW w:w="2313" w:type="dxa"/>
            <w:vMerge w:val="continue"/>
            <w:tcBorders>
              <w:top w:val="single" w:color="000000" w:sz="6" w:space="0"/>
              <w:left w:val="single" w:color="000000" w:sz="6" w:space="0"/>
              <w:bottom w:val="single" w:color="000000" w:sz="6" w:space="0"/>
              <w:right w:val="single" w:color="auto" w:sz="4" w:space="0"/>
            </w:tcBorders>
            <w:shd w:val="clear" w:color="000000" w:fill="FFFFFF"/>
            <w:vAlign w:val="center"/>
          </w:tcPr>
          <w:p w14:paraId="18C3D6ED">
            <w:pPr>
              <w:autoSpaceDE w:val="0"/>
              <w:autoSpaceDN w:val="0"/>
              <w:spacing w:line="360" w:lineRule="auto"/>
              <w:jc w:val="center"/>
              <w:rPr>
                <w:rFonts w:ascii="宋体" w:hAnsi="宋体" w:cs="Arial"/>
                <w:color w:val="000000" w:themeColor="text1"/>
                <w:sz w:val="24"/>
                <w:lang w:val="zh-CN"/>
                <w14:textFill>
                  <w14:solidFill>
                    <w14:schemeClr w14:val="tx1"/>
                  </w14:solidFill>
                </w14:textFill>
              </w:rPr>
            </w:pPr>
          </w:p>
        </w:tc>
        <w:tc>
          <w:tcPr>
            <w:tcW w:w="1246" w:type="dxa"/>
            <w:vMerge w:val="continue"/>
            <w:tcBorders>
              <w:top w:val="single" w:color="000000" w:sz="6" w:space="0"/>
              <w:left w:val="single" w:color="000000" w:sz="6" w:space="0"/>
              <w:bottom w:val="single" w:color="000000" w:sz="6" w:space="0"/>
              <w:right w:val="single" w:color="000000" w:sz="6" w:space="0"/>
            </w:tcBorders>
            <w:shd w:val="clear" w:color="000000" w:fill="FFFFFF"/>
            <w:vAlign w:val="center"/>
          </w:tcPr>
          <w:p w14:paraId="76D9B803">
            <w:pPr>
              <w:autoSpaceDE w:val="0"/>
              <w:autoSpaceDN w:val="0"/>
              <w:spacing w:line="360" w:lineRule="auto"/>
              <w:jc w:val="center"/>
              <w:rPr>
                <w:rFonts w:ascii="宋体" w:hAnsi="宋体" w:cs="Arial"/>
                <w:color w:val="000000" w:themeColor="text1"/>
                <w:sz w:val="24"/>
                <w:lang w:val="zh-CN"/>
                <w14:textFill>
                  <w14:solidFill>
                    <w14:schemeClr w14:val="tx1"/>
                  </w14:solidFill>
                </w14:textFill>
              </w:rPr>
            </w:pPr>
          </w:p>
        </w:tc>
      </w:tr>
    </w:tbl>
    <w:p w14:paraId="7EC488D9">
      <w:pPr>
        <w:spacing w:line="360" w:lineRule="auto"/>
        <w:rPr>
          <w:rFonts w:ascii="宋体" w:hAnsi="宋体"/>
          <w:b/>
          <w:color w:val="000000" w:themeColor="text1"/>
          <w:sz w:val="24"/>
          <w14:textFill>
            <w14:solidFill>
              <w14:schemeClr w14:val="tx1"/>
            </w14:solidFill>
          </w14:textFill>
        </w:rPr>
      </w:pPr>
    </w:p>
    <w:p w14:paraId="1336944C">
      <w:pPr>
        <w:spacing w:line="360" w:lineRule="auto"/>
        <w:ind w:firstLine="482" w:firstLineChars="200"/>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注</w:t>
      </w:r>
      <w:r>
        <w:rPr>
          <w:rFonts w:ascii="宋体" w:hAnsi="宋体"/>
          <w:b/>
          <w:color w:val="000000" w:themeColor="text1"/>
          <w:sz w:val="24"/>
          <w14:textFill>
            <w14:solidFill>
              <w14:schemeClr w14:val="tx1"/>
            </w14:solidFill>
          </w14:textFill>
        </w:rPr>
        <w:t>：</w:t>
      </w:r>
      <w:r>
        <w:rPr>
          <w:rFonts w:hint="eastAsia" w:ascii="宋体" w:hAnsi="宋体"/>
          <w:b/>
          <w:color w:val="000000" w:themeColor="text1"/>
          <w:sz w:val="24"/>
          <w14:textFill>
            <w14:solidFill>
              <w14:schemeClr w14:val="tx1"/>
            </w14:solidFill>
          </w14:textFill>
        </w:rPr>
        <w:t>此表不需填写在磋商响应文件中。在磋商期间，由磋商小组确定合格的磋商供应商线上提交，</w:t>
      </w:r>
      <w:r>
        <w:rPr>
          <w:rFonts w:ascii="宋体" w:hAnsi="宋体"/>
          <w:b/>
          <w:color w:val="000000" w:themeColor="text1"/>
          <w:sz w:val="24"/>
          <w14:textFill>
            <w14:solidFill>
              <w14:schemeClr w14:val="tx1"/>
            </w14:solidFill>
          </w14:textFill>
        </w:rPr>
        <w:t>磋商供应商须在固定电脑设备前登陆等待磋商最终报价，磋商供应商</w:t>
      </w:r>
      <w:r>
        <w:rPr>
          <w:rFonts w:hint="eastAsia" w:ascii="宋体" w:hAnsi="宋体"/>
          <w:b/>
          <w:color w:val="000000" w:themeColor="text1"/>
          <w:sz w:val="24"/>
          <w14:textFill>
            <w14:solidFill>
              <w14:schemeClr w14:val="tx1"/>
            </w14:solidFill>
          </w14:textFill>
        </w:rPr>
        <w:t>须在规定的时间内完成。</w:t>
      </w:r>
    </w:p>
    <w:p w14:paraId="4AFC9377">
      <w:pPr>
        <w:tabs>
          <w:tab w:val="left" w:pos="168"/>
        </w:tabs>
        <w:adjustRightInd w:val="0"/>
        <w:spacing w:line="360" w:lineRule="auto"/>
        <w:textAlignment w:val="baseline"/>
        <w:rPr>
          <w:rFonts w:ascii="宋体" w:hAnsi="宋体"/>
          <w:b/>
          <w:bCs/>
          <w:color w:val="000000" w:themeColor="text1"/>
          <w:sz w:val="24"/>
          <w14:textFill>
            <w14:solidFill>
              <w14:schemeClr w14:val="tx1"/>
            </w14:solidFill>
          </w14:textFill>
        </w:rPr>
      </w:pPr>
    </w:p>
    <w:p w14:paraId="1B6EB471">
      <w:pPr>
        <w:tabs>
          <w:tab w:val="left" w:pos="168"/>
        </w:tabs>
        <w:adjustRightInd w:val="0"/>
        <w:spacing w:line="360" w:lineRule="auto"/>
        <w:textAlignment w:val="baseline"/>
        <w:rPr>
          <w:rFonts w:ascii="宋体" w:hAnsi="宋体"/>
          <w:b/>
          <w:bCs/>
          <w:color w:val="000000" w:themeColor="text1"/>
          <w:sz w:val="24"/>
          <w14:textFill>
            <w14:solidFill>
              <w14:schemeClr w14:val="tx1"/>
            </w14:solidFill>
          </w14:textFill>
        </w:rPr>
      </w:pPr>
    </w:p>
    <w:p w14:paraId="09A0FD61">
      <w:pPr>
        <w:tabs>
          <w:tab w:val="left" w:pos="168"/>
        </w:tabs>
        <w:adjustRightInd w:val="0"/>
        <w:spacing w:line="360" w:lineRule="auto"/>
        <w:textAlignment w:val="baseline"/>
        <w:rPr>
          <w:rFonts w:ascii="宋体" w:hAnsi="宋体"/>
          <w:b/>
          <w:bCs/>
          <w:color w:val="000000" w:themeColor="text1"/>
          <w:sz w:val="24"/>
          <w14:textFill>
            <w14:solidFill>
              <w14:schemeClr w14:val="tx1"/>
            </w14:solidFill>
          </w14:textFill>
        </w:rPr>
      </w:pPr>
    </w:p>
    <w:p w14:paraId="4FC35A9A">
      <w:pPr>
        <w:tabs>
          <w:tab w:val="left" w:pos="168"/>
        </w:tabs>
        <w:adjustRightInd w:val="0"/>
        <w:spacing w:line="360" w:lineRule="auto"/>
        <w:textAlignment w:val="baseline"/>
        <w:rPr>
          <w:rFonts w:ascii="宋体" w:hAnsi="宋体"/>
          <w:b/>
          <w:bCs/>
          <w:color w:val="000000" w:themeColor="text1"/>
          <w:sz w:val="24"/>
          <w14:textFill>
            <w14:solidFill>
              <w14:schemeClr w14:val="tx1"/>
            </w14:solidFill>
          </w14:textFill>
        </w:rPr>
      </w:pPr>
    </w:p>
    <w:p w14:paraId="5D9AF07F">
      <w:pPr>
        <w:tabs>
          <w:tab w:val="left" w:pos="168"/>
        </w:tabs>
        <w:adjustRightInd w:val="0"/>
        <w:spacing w:line="360" w:lineRule="auto"/>
        <w:textAlignment w:val="baseline"/>
        <w:rPr>
          <w:rFonts w:ascii="宋体" w:hAnsi="宋体"/>
          <w:bCs/>
          <w:color w:val="000000" w:themeColor="text1"/>
          <w:sz w:val="24"/>
          <w14:textFill>
            <w14:solidFill>
              <w14:schemeClr w14:val="tx1"/>
            </w14:solidFill>
          </w14:textFill>
        </w:rPr>
      </w:pPr>
    </w:p>
    <w:p w14:paraId="1ABA370F">
      <w:pPr>
        <w:tabs>
          <w:tab w:val="left" w:pos="168"/>
        </w:tabs>
        <w:adjustRightInd w:val="0"/>
        <w:spacing w:line="360" w:lineRule="auto"/>
        <w:jc w:val="righ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磋商供应商：             （公章）</w:t>
      </w:r>
    </w:p>
    <w:p w14:paraId="5DEE5329">
      <w:pPr>
        <w:tabs>
          <w:tab w:val="left" w:pos="168"/>
        </w:tabs>
        <w:adjustRightInd w:val="0"/>
        <w:spacing w:line="360" w:lineRule="auto"/>
        <w:jc w:val="righ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法定代表人或委托代理人：                （签字）</w:t>
      </w:r>
    </w:p>
    <w:p w14:paraId="5CB80375">
      <w:pPr>
        <w:tabs>
          <w:tab w:val="left" w:pos="168"/>
        </w:tabs>
        <w:adjustRightInd w:val="0"/>
        <w:spacing w:line="360" w:lineRule="auto"/>
        <w:jc w:val="righ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日期：    年   月   日</w:t>
      </w:r>
    </w:p>
    <w:p w14:paraId="5AA9480D">
      <w:pPr>
        <w:spacing w:line="360" w:lineRule="auto"/>
        <w:jc w:val="center"/>
        <w:rPr>
          <w:rFonts w:ascii="宋体" w:hAnsi="宋体"/>
          <w:bCs/>
          <w:color w:val="000000" w:themeColor="text1"/>
          <w:sz w:val="24"/>
          <w14:textFill>
            <w14:solidFill>
              <w14:schemeClr w14:val="tx1"/>
            </w14:solidFill>
          </w14:textFill>
        </w:rPr>
      </w:pPr>
    </w:p>
    <w:p w14:paraId="6E4DD11A">
      <w:pPr>
        <w:pStyle w:val="26"/>
        <w:spacing w:before="0" w:after="0" w:line="360" w:lineRule="auto"/>
        <w:rPr>
          <w:rFonts w:ascii="宋体" w:hAnsi="宋体"/>
          <w:color w:val="000000" w:themeColor="text1"/>
          <w:sz w:val="48"/>
          <w:szCs w:val="48"/>
          <w14:textFill>
            <w14:solidFill>
              <w14:schemeClr w14:val="tx1"/>
            </w14:solidFill>
          </w14:textFill>
        </w:rPr>
      </w:pPr>
      <w:r>
        <w:rPr>
          <w:rFonts w:ascii="宋体" w:hAnsi="宋体"/>
          <w:b w:val="0"/>
          <w:color w:val="000000" w:themeColor="text1"/>
          <w:sz w:val="24"/>
          <w:szCs w:val="24"/>
          <w14:textFill>
            <w14:solidFill>
              <w14:schemeClr w14:val="tx1"/>
            </w14:solidFill>
          </w14:textFill>
        </w:rPr>
        <w:br w:type="page"/>
      </w:r>
      <w:bookmarkStart w:id="125" w:name="_Toc444715745"/>
      <w:bookmarkStart w:id="126" w:name="_Toc997"/>
      <w:bookmarkStart w:id="127" w:name="_Toc29404"/>
      <w:r>
        <w:rPr>
          <w:rFonts w:hint="eastAsia" w:ascii="宋体" w:hAnsi="宋体"/>
          <w:color w:val="000000" w:themeColor="text1"/>
          <w:sz w:val="48"/>
          <w:szCs w:val="48"/>
          <w14:textFill>
            <w14:solidFill>
              <w14:schemeClr w14:val="tx1"/>
            </w14:solidFill>
          </w14:textFill>
        </w:rPr>
        <w:t>第六部分  采购项目要求及技术参数</w:t>
      </w:r>
      <w:bookmarkEnd w:id="125"/>
      <w:bookmarkEnd w:id="126"/>
      <w:bookmarkEnd w:id="127"/>
    </w:p>
    <w:p w14:paraId="04287B13">
      <w:pPr>
        <w:pStyle w:val="4"/>
        <w:keepNext/>
        <w:keepLines/>
        <w:numPr>
          <w:ilvl w:val="0"/>
          <w:numId w:val="0"/>
        </w:numPr>
        <w:tabs>
          <w:tab w:val="clear" w:pos="425"/>
        </w:tabs>
        <w:snapToGrid/>
        <w:ind w:left="567" w:hanging="567"/>
        <w:rPr>
          <w:rFonts w:hAnsi="宋体"/>
          <w:b/>
          <w:bCs/>
          <w:color w:val="000000" w:themeColor="text1"/>
          <w:kern w:val="0"/>
          <w:sz w:val="24"/>
          <w:szCs w:val="24"/>
          <w14:textFill>
            <w14:solidFill>
              <w14:schemeClr w14:val="tx1"/>
            </w14:solidFill>
          </w14:textFill>
        </w:rPr>
      </w:pPr>
      <w:bookmarkStart w:id="128" w:name="_Toc428180595"/>
      <w:bookmarkStart w:id="129" w:name="_Toc2438"/>
      <w:r>
        <w:rPr>
          <w:rFonts w:hint="eastAsia" w:hAnsi="宋体"/>
          <w:b/>
          <w:bCs/>
          <w:color w:val="000000" w:themeColor="text1"/>
          <w:kern w:val="0"/>
          <w:sz w:val="24"/>
          <w:szCs w:val="24"/>
          <w14:textFill>
            <w14:solidFill>
              <w14:schemeClr w14:val="tx1"/>
            </w14:solidFill>
          </w14:textFill>
        </w:rPr>
        <w:t>一、磋商要求</w:t>
      </w:r>
      <w:bookmarkEnd w:id="128"/>
      <w:bookmarkEnd w:id="129"/>
    </w:p>
    <w:p w14:paraId="7F388FDD">
      <w:pPr>
        <w:adjustRightInd w:val="0"/>
        <w:snapToGrid w:val="0"/>
        <w:spacing w:line="360" w:lineRule="auto"/>
        <w:ind w:left="425" w:hanging="425"/>
        <w:rPr>
          <w:rFonts w:ascii="宋体" w:hAnsi="宋体"/>
          <w:color w:val="000000" w:themeColor="text1"/>
          <w:kern w:val="0"/>
          <w:sz w:val="24"/>
          <w14:textFill>
            <w14:solidFill>
              <w14:schemeClr w14:val="tx1"/>
            </w14:solidFill>
          </w14:textFill>
        </w:rPr>
      </w:pPr>
      <w:bookmarkStart w:id="130" w:name="_Toc428180596"/>
      <w:r>
        <w:rPr>
          <w:rFonts w:ascii="宋体" w:hAnsi="宋体"/>
          <w:color w:val="000000" w:themeColor="text1"/>
          <w:kern w:val="0"/>
          <w:sz w:val="24"/>
          <w14:textFill>
            <w14:solidFill>
              <w14:schemeClr w14:val="tx1"/>
            </w14:solidFill>
          </w14:textFill>
        </w:rPr>
        <w:t>1.</w:t>
      </w:r>
      <w:r>
        <w:rPr>
          <w:rFonts w:hint="eastAsia" w:ascii="宋体" w:hAnsi="宋体"/>
          <w:color w:val="000000" w:themeColor="text1"/>
          <w:kern w:val="0"/>
          <w:sz w:val="24"/>
          <w14:textFill>
            <w14:solidFill>
              <w14:schemeClr w14:val="tx1"/>
            </w14:solidFill>
          </w14:textFill>
        </w:rPr>
        <w:t>磋商说明</w:t>
      </w:r>
      <w:bookmarkEnd w:id="130"/>
    </w:p>
    <w:p w14:paraId="00CDDAE4">
      <w:pPr>
        <w:autoSpaceDE w:val="0"/>
        <w:autoSpaceDN w:val="0"/>
        <w:adjustRightInd w:val="0"/>
        <w:spacing w:line="360" w:lineRule="auto"/>
        <w:ind w:firstLine="480" w:firstLineChars="200"/>
        <w:rPr>
          <w:rFonts w:ascii="宋体" w:hAnsi="宋体" w:cs="宋体"/>
          <w:color w:val="000000" w:themeColor="text1"/>
          <w:kern w:val="0"/>
          <w:sz w:val="24"/>
          <w:lang w:val="zh-CN"/>
          <w14:textFill>
            <w14:solidFill>
              <w14:schemeClr w14:val="tx1"/>
            </w14:solidFill>
          </w14:textFill>
        </w:rPr>
      </w:pPr>
      <w:r>
        <w:rPr>
          <w:rFonts w:ascii="宋体" w:hAnsi="宋体" w:cs="宋体"/>
          <w:color w:val="000000" w:themeColor="text1"/>
          <w:kern w:val="0"/>
          <w:sz w:val="24"/>
          <w:lang w:val="zh-CN"/>
          <w14:textFill>
            <w14:solidFill>
              <w14:schemeClr w14:val="tx1"/>
            </w14:solidFill>
          </w14:textFill>
        </w:rPr>
        <w:t>1.1.</w:t>
      </w:r>
      <w:r>
        <w:rPr>
          <w:rFonts w:hint="eastAsia" w:ascii="宋体" w:hAnsi="宋体" w:cs="宋体"/>
          <w:color w:val="000000" w:themeColor="text1"/>
          <w:kern w:val="0"/>
          <w:sz w:val="24"/>
          <w:lang w:val="zh-CN"/>
          <w14:textFill>
            <w14:solidFill>
              <w14:schemeClr w14:val="tx1"/>
            </w14:solidFill>
          </w14:textFill>
        </w:rPr>
        <w:t>磋商供应商可以按照磋商文件的规定磋商，但必须对所投包号中的所有内容作为一个整体进行磋商，不能拆分或少报。否则，磋商无效。</w:t>
      </w:r>
    </w:p>
    <w:p w14:paraId="37F7D349">
      <w:pPr>
        <w:spacing w:line="360" w:lineRule="auto"/>
        <w:ind w:firstLine="480" w:firstLineChars="200"/>
        <w:rPr>
          <w:rFonts w:ascii="宋体" w:hAnsi="宋体"/>
          <w:color w:val="000000" w:themeColor="text1"/>
          <w:sz w:val="24"/>
          <w14:textFill>
            <w14:solidFill>
              <w14:schemeClr w14:val="tx1"/>
            </w14:solidFill>
          </w14:textFill>
        </w:rPr>
      </w:pPr>
      <w:r>
        <w:rPr>
          <w:rFonts w:ascii="宋体" w:hAnsi="宋体" w:cs="宋体"/>
          <w:color w:val="000000" w:themeColor="text1"/>
          <w:kern w:val="0"/>
          <w:sz w:val="24"/>
          <w:lang w:val="zh-CN"/>
          <w14:textFill>
            <w14:solidFill>
              <w14:schemeClr w14:val="tx1"/>
            </w14:solidFill>
          </w14:textFill>
        </w:rPr>
        <w:t>1.2.</w:t>
      </w:r>
      <w:r>
        <w:rPr>
          <w:rFonts w:hint="eastAsia" w:hAnsi="宋体"/>
          <w:color w:val="000000" w:themeColor="text1"/>
          <w:sz w:val="24"/>
          <w14:textFill>
            <w14:solidFill>
              <w14:schemeClr w14:val="tx1"/>
            </w14:solidFill>
          </w14:textFill>
        </w:rPr>
        <w:t>磋商报价必须包括：</w:t>
      </w:r>
      <w:r>
        <w:rPr>
          <w:rFonts w:hint="eastAsia" w:ascii="Arial" w:hAnsi="Arial" w:cs="Arial"/>
          <w:color w:val="000000" w:themeColor="text1"/>
          <w:sz w:val="24"/>
          <w:szCs w:val="28"/>
          <w:lang w:val="zh-CN"/>
          <w14:textFill>
            <w14:solidFill>
              <w14:schemeClr w14:val="tx1"/>
            </w14:solidFill>
          </w14:textFill>
        </w:rPr>
        <w:t>完成本项目可能发生的各项费用，分别为安装调试、验收、售后维保、培训、实施人员工资、交通、利润、税收、</w:t>
      </w:r>
      <w:r>
        <w:rPr>
          <w:rFonts w:hint="eastAsia" w:ascii="Arial" w:hAnsi="Arial" w:cs="Arial"/>
          <w:color w:val="000000" w:themeColor="text1"/>
          <w:sz w:val="24"/>
          <w:szCs w:val="28"/>
          <w14:textFill>
            <w14:solidFill>
              <w14:schemeClr w14:val="tx1"/>
            </w14:solidFill>
          </w14:textFill>
        </w:rPr>
        <w:t>医</w:t>
      </w:r>
      <w:r>
        <w:rPr>
          <w:rFonts w:hint="eastAsia" w:ascii="Arial" w:hAnsi="Arial" w:cs="Arial"/>
          <w:color w:val="000000" w:themeColor="text1"/>
          <w:sz w:val="24"/>
          <w:szCs w:val="28"/>
          <w:lang w:val="zh-CN"/>
          <w14:textFill>
            <w14:solidFill>
              <w14:schemeClr w14:val="tx1"/>
            </w14:solidFill>
          </w14:textFill>
        </w:rPr>
        <w:t>院现有软件信息系统接口费以及所有有关的管理成本和其他不可预见费等全部费用，</w:t>
      </w:r>
      <w:r>
        <w:rPr>
          <w:rFonts w:hint="eastAsia" w:ascii="Arial" w:hAnsi="Arial" w:cs="Arial"/>
          <w:color w:val="000000" w:themeColor="text1"/>
          <w:sz w:val="24"/>
          <w:szCs w:val="28"/>
          <w14:textFill>
            <w14:solidFill>
              <w14:schemeClr w14:val="tx1"/>
            </w14:solidFill>
          </w14:textFill>
        </w:rPr>
        <w:t>甲方不再另行支付其他费用</w:t>
      </w:r>
      <w:r>
        <w:rPr>
          <w:rFonts w:hint="eastAsia" w:ascii="Arial" w:hAnsi="Arial" w:cs="Arial"/>
          <w:color w:val="000000" w:themeColor="text1"/>
          <w:sz w:val="24"/>
          <w:szCs w:val="28"/>
          <w:lang w:val="zh-CN"/>
          <w14:textFill>
            <w14:solidFill>
              <w14:schemeClr w14:val="tx1"/>
            </w14:solidFill>
          </w14:textFill>
        </w:rPr>
        <w:t>。</w:t>
      </w:r>
    </w:p>
    <w:p w14:paraId="6ACAD784">
      <w:pPr>
        <w:autoSpaceDE w:val="0"/>
        <w:autoSpaceDN w:val="0"/>
        <w:adjustRightInd w:val="0"/>
        <w:spacing w:line="360" w:lineRule="auto"/>
        <w:ind w:firstLine="480" w:firstLineChars="200"/>
        <w:rPr>
          <w:rFonts w:ascii="宋体" w:hAnsi="宋体" w:cs="宋体"/>
          <w:color w:val="000000" w:themeColor="text1"/>
          <w:kern w:val="0"/>
          <w:sz w:val="24"/>
          <w:lang w:val="zh-CN"/>
          <w14:textFill>
            <w14:solidFill>
              <w14:schemeClr w14:val="tx1"/>
            </w14:solidFill>
          </w14:textFill>
        </w:rPr>
      </w:pPr>
      <w:r>
        <w:rPr>
          <w:rFonts w:hint="eastAsia" w:ascii="宋体" w:hAnsi="宋体"/>
          <w:color w:val="000000" w:themeColor="text1"/>
          <w:sz w:val="24"/>
          <w14:textFill>
            <w14:solidFill>
              <w14:schemeClr w14:val="tx1"/>
            </w14:solidFill>
          </w14:textFill>
        </w:rPr>
        <w:t>（说明：具体内容应根据项目特点实事求是的填写）</w:t>
      </w:r>
      <w:r>
        <w:rPr>
          <w:rFonts w:hint="eastAsia" w:ascii="宋体" w:hAnsi="宋体" w:cs="宋体"/>
          <w:color w:val="000000" w:themeColor="text1"/>
          <w:kern w:val="0"/>
          <w:sz w:val="24"/>
          <w:lang w:val="zh-CN"/>
          <w14:textFill>
            <w14:solidFill>
              <w14:schemeClr w14:val="tx1"/>
            </w14:solidFill>
          </w14:textFill>
        </w:rPr>
        <w:t>。若磋商报价不能完全包括上述内容，该磋商将被认为非实质性响应。</w:t>
      </w:r>
    </w:p>
    <w:p w14:paraId="43759352">
      <w:pPr>
        <w:autoSpaceDE w:val="0"/>
        <w:autoSpaceDN w:val="0"/>
        <w:adjustRightInd w:val="0"/>
        <w:spacing w:line="360" w:lineRule="auto"/>
        <w:ind w:firstLine="480" w:firstLineChars="200"/>
        <w:rPr>
          <w:rFonts w:ascii="宋体" w:hAnsi="宋体" w:cs="宋体"/>
          <w:color w:val="000000" w:themeColor="text1"/>
          <w:kern w:val="0"/>
          <w:sz w:val="24"/>
          <w:lang w:val="zh-CN"/>
          <w14:textFill>
            <w14:solidFill>
              <w14:schemeClr w14:val="tx1"/>
            </w14:solidFill>
          </w14:textFill>
        </w:rPr>
      </w:pPr>
      <w:r>
        <w:rPr>
          <w:rFonts w:ascii="宋体" w:hAnsi="宋体" w:cs="宋体"/>
          <w:color w:val="000000" w:themeColor="text1"/>
          <w:kern w:val="0"/>
          <w:sz w:val="24"/>
          <w:lang w:val="zh-CN"/>
          <w14:textFill>
            <w14:solidFill>
              <w14:schemeClr w14:val="tx1"/>
            </w14:solidFill>
          </w14:textFill>
        </w:rPr>
        <w:t>1.3.</w:t>
      </w:r>
      <w:r>
        <w:rPr>
          <w:rFonts w:hint="eastAsia" w:ascii="宋体" w:hAnsi="宋体" w:cs="宋体"/>
          <w:color w:val="000000" w:themeColor="text1"/>
          <w:kern w:val="0"/>
          <w:sz w:val="24"/>
          <w:lang w:val="zh-CN"/>
          <w14:textFill>
            <w14:solidFill>
              <w14:schemeClr w14:val="tx1"/>
            </w14:solidFill>
          </w14:textFill>
        </w:rPr>
        <w:t>磋商供应商必须如实填写</w:t>
      </w:r>
      <w:r>
        <w:rPr>
          <w:rFonts w:ascii="宋体" w:hAnsi="宋体" w:cs="宋体"/>
          <w:color w:val="000000" w:themeColor="text1"/>
          <w:kern w:val="0"/>
          <w:sz w:val="24"/>
          <w:lang w:val="zh-CN"/>
          <w14:textFill>
            <w14:solidFill>
              <w14:schemeClr w14:val="tx1"/>
            </w14:solidFill>
          </w14:textFill>
        </w:rPr>
        <w:t>“</w:t>
      </w:r>
      <w:r>
        <w:rPr>
          <w:rFonts w:hint="eastAsia" w:ascii="宋体" w:hAnsi="宋体" w:cs="宋体"/>
          <w:color w:val="000000" w:themeColor="text1"/>
          <w:kern w:val="0"/>
          <w:sz w:val="24"/>
          <w:lang w:val="zh-CN"/>
          <w14:textFill>
            <w14:solidFill>
              <w14:schemeClr w14:val="tx1"/>
            </w14:solidFill>
          </w14:textFill>
        </w:rPr>
        <w:t>技术规格响应表</w:t>
      </w:r>
      <w:r>
        <w:rPr>
          <w:rFonts w:ascii="宋体" w:hAnsi="宋体" w:cs="宋体"/>
          <w:color w:val="000000" w:themeColor="text1"/>
          <w:kern w:val="0"/>
          <w:sz w:val="24"/>
          <w:lang w:val="zh-CN"/>
          <w14:textFill>
            <w14:solidFill>
              <w14:schemeClr w14:val="tx1"/>
            </w14:solidFill>
          </w14:textFill>
        </w:rPr>
        <w:t>”</w:t>
      </w:r>
      <w:r>
        <w:rPr>
          <w:rFonts w:hint="eastAsia" w:ascii="宋体" w:hAnsi="宋体" w:cs="宋体"/>
          <w:color w:val="000000" w:themeColor="text1"/>
          <w:kern w:val="0"/>
          <w:sz w:val="24"/>
          <w:lang w:val="zh-CN"/>
          <w14:textFill>
            <w14:solidFill>
              <w14:schemeClr w14:val="tx1"/>
            </w14:solidFill>
          </w14:textFill>
        </w:rPr>
        <w:t>，在</w:t>
      </w:r>
      <w:r>
        <w:rPr>
          <w:rFonts w:ascii="宋体" w:hAnsi="宋体" w:cs="宋体"/>
          <w:color w:val="000000" w:themeColor="text1"/>
          <w:kern w:val="0"/>
          <w:sz w:val="24"/>
          <w:lang w:val="zh-CN"/>
          <w14:textFill>
            <w14:solidFill>
              <w14:schemeClr w14:val="tx1"/>
            </w14:solidFill>
          </w14:textFill>
        </w:rPr>
        <w:t>“</w:t>
      </w:r>
      <w:r>
        <w:rPr>
          <w:rFonts w:hint="eastAsia" w:ascii="宋体" w:hAnsi="宋体" w:cs="宋体"/>
          <w:color w:val="000000" w:themeColor="text1"/>
          <w:kern w:val="0"/>
          <w:sz w:val="24"/>
          <w:lang w:val="zh-CN"/>
          <w14:textFill>
            <w14:solidFill>
              <w14:schemeClr w14:val="tx1"/>
            </w14:solidFill>
          </w14:textFill>
        </w:rPr>
        <w:t>磋商产品技术参数、指标</w:t>
      </w:r>
      <w:r>
        <w:rPr>
          <w:rFonts w:ascii="宋体" w:hAnsi="宋体" w:cs="宋体"/>
          <w:color w:val="000000" w:themeColor="text1"/>
          <w:kern w:val="0"/>
          <w:sz w:val="24"/>
          <w:lang w:val="zh-CN"/>
          <w14:textFill>
            <w14:solidFill>
              <w14:schemeClr w14:val="tx1"/>
            </w14:solidFill>
          </w14:textFill>
        </w:rPr>
        <w:t>”</w:t>
      </w:r>
      <w:r>
        <w:rPr>
          <w:rFonts w:hint="eastAsia" w:ascii="宋体" w:hAnsi="宋体" w:cs="宋体"/>
          <w:color w:val="000000" w:themeColor="text1"/>
          <w:kern w:val="0"/>
          <w:sz w:val="24"/>
          <w:lang w:val="zh-CN"/>
          <w14:textFill>
            <w14:solidFill>
              <w14:schemeClr w14:val="tx1"/>
            </w14:solidFill>
          </w14:textFill>
        </w:rPr>
        <w:t>栏中列出所投产品的具体规格型号和具体技术参数、指标；以招标人需求为最低指标要求，磋商供应商对超出或不满足最低指标要求的指标需列出</w:t>
      </w:r>
      <w:r>
        <w:rPr>
          <w:rFonts w:ascii="宋体" w:hAnsi="宋体" w:cs="宋体"/>
          <w:color w:val="000000" w:themeColor="text1"/>
          <w:kern w:val="0"/>
          <w:sz w:val="24"/>
          <w:lang w:val="zh-CN"/>
          <w14:textFill>
            <w14:solidFill>
              <w14:schemeClr w14:val="tx1"/>
            </w14:solidFill>
          </w14:textFill>
        </w:rPr>
        <w:t>“</w:t>
      </w:r>
      <w:r>
        <w:rPr>
          <w:rFonts w:hint="eastAsia" w:ascii="宋体" w:hAnsi="宋体" w:cs="宋体"/>
          <w:color w:val="000000" w:themeColor="text1"/>
          <w:kern w:val="0"/>
          <w:sz w:val="24"/>
          <w:lang w:val="zh-CN"/>
          <w14:textFill>
            <w14:solidFill>
              <w14:schemeClr w14:val="tx1"/>
            </w14:solidFill>
          </w14:textFill>
        </w:rPr>
        <w:t>＋、</w:t>
      </w:r>
      <w:r>
        <w:rPr>
          <w:rFonts w:ascii="宋体" w:hAnsi="宋体" w:cs="宋体"/>
          <w:color w:val="000000" w:themeColor="text1"/>
          <w:kern w:val="0"/>
          <w:sz w:val="24"/>
          <w:lang w:val="zh-CN"/>
          <w14:textFill>
            <w14:solidFill>
              <w14:schemeClr w14:val="tx1"/>
            </w14:solidFill>
          </w14:textFill>
        </w:rPr>
        <w:t>-</w:t>
      </w:r>
      <w:r>
        <w:rPr>
          <w:rFonts w:hint="eastAsia" w:ascii="宋体" w:hAnsi="宋体" w:cs="宋体"/>
          <w:color w:val="000000" w:themeColor="text1"/>
          <w:kern w:val="0"/>
          <w:sz w:val="24"/>
          <w:lang w:val="zh-CN"/>
          <w14:textFill>
            <w14:solidFill>
              <w14:schemeClr w14:val="tx1"/>
            </w14:solidFill>
          </w14:textFill>
        </w:rPr>
        <w:t>偏差。如果与磋商响应文件中提供的产品检测报告等证明材料中的实质性响应情况不一致或直接复制磋商文件</w:t>
      </w:r>
      <w:r>
        <w:rPr>
          <w:rFonts w:ascii="宋体" w:hAnsi="宋体" w:cs="宋体"/>
          <w:color w:val="000000" w:themeColor="text1"/>
          <w:kern w:val="0"/>
          <w:sz w:val="24"/>
          <w:lang w:val="zh-CN"/>
          <w14:textFill>
            <w14:solidFill>
              <w14:schemeClr w14:val="tx1"/>
            </w14:solidFill>
          </w14:textFill>
        </w:rPr>
        <w:t>“</w:t>
      </w:r>
      <w:r>
        <w:rPr>
          <w:rFonts w:hint="eastAsia" w:ascii="宋体" w:hAnsi="宋体" w:cs="宋体"/>
          <w:color w:val="000000" w:themeColor="text1"/>
          <w:kern w:val="0"/>
          <w:sz w:val="24"/>
          <w:lang w:val="zh-CN"/>
          <w14:textFill>
            <w14:solidFill>
              <w14:schemeClr w14:val="tx1"/>
            </w14:solidFill>
          </w14:textFill>
        </w:rPr>
        <w:t>采购需求技术参数、指标</w:t>
      </w:r>
      <w:r>
        <w:rPr>
          <w:rFonts w:ascii="宋体" w:hAnsi="宋体" w:cs="宋体"/>
          <w:color w:val="000000" w:themeColor="text1"/>
          <w:kern w:val="0"/>
          <w:sz w:val="24"/>
          <w:lang w:val="zh-CN"/>
          <w14:textFill>
            <w14:solidFill>
              <w14:schemeClr w14:val="tx1"/>
            </w14:solidFill>
          </w14:textFill>
        </w:rPr>
        <w:t>”</w:t>
      </w:r>
      <w:r>
        <w:rPr>
          <w:rFonts w:hint="eastAsia" w:ascii="宋体" w:hAnsi="宋体" w:cs="宋体"/>
          <w:color w:val="000000" w:themeColor="text1"/>
          <w:kern w:val="0"/>
          <w:sz w:val="24"/>
          <w:lang w:val="zh-CN"/>
          <w14:textFill>
            <w14:solidFill>
              <w14:schemeClr w14:val="tx1"/>
            </w14:solidFill>
          </w14:textFill>
        </w:rPr>
        <w:t>内容的，按无效磋商处理。</w:t>
      </w:r>
    </w:p>
    <w:p w14:paraId="687F7173">
      <w:pPr>
        <w:autoSpaceDE w:val="0"/>
        <w:autoSpaceDN w:val="0"/>
        <w:adjustRightInd w:val="0"/>
        <w:spacing w:line="360" w:lineRule="auto"/>
        <w:ind w:firstLine="480" w:firstLineChars="200"/>
        <w:rPr>
          <w:rFonts w:ascii="宋体" w:hAnsi="宋体" w:cs="宋体"/>
          <w:color w:val="000000" w:themeColor="text1"/>
          <w:kern w:val="0"/>
          <w:sz w:val="24"/>
          <w:lang w:val="zh-CN"/>
          <w14:textFill>
            <w14:solidFill>
              <w14:schemeClr w14:val="tx1"/>
            </w14:solidFill>
          </w14:textFill>
        </w:rPr>
      </w:pPr>
      <w:r>
        <w:rPr>
          <w:rFonts w:ascii="宋体" w:hAnsi="宋体" w:cs="宋体"/>
          <w:color w:val="000000" w:themeColor="text1"/>
          <w:kern w:val="0"/>
          <w:sz w:val="24"/>
          <w:lang w:val="zh-CN"/>
          <w14:textFill>
            <w14:solidFill>
              <w14:schemeClr w14:val="tx1"/>
            </w14:solidFill>
          </w14:textFill>
        </w:rPr>
        <w:t>1.</w:t>
      </w:r>
      <w:r>
        <w:rPr>
          <w:rFonts w:hint="eastAsia" w:ascii="宋体" w:hAnsi="宋体" w:cs="宋体"/>
          <w:color w:val="000000" w:themeColor="text1"/>
          <w:kern w:val="0"/>
          <w:sz w:val="24"/>
          <w:lang w:val="zh-CN"/>
          <w14:textFill>
            <w14:solidFill>
              <w14:schemeClr w14:val="tx1"/>
            </w14:solidFill>
          </w14:textFill>
        </w:rPr>
        <w:t>4交货时间、地点：按采购单位指定的时间、地点交货并安装交付使用。</w:t>
      </w:r>
    </w:p>
    <w:p w14:paraId="619B82D6">
      <w:pPr>
        <w:adjustRightInd w:val="0"/>
        <w:snapToGrid w:val="0"/>
        <w:spacing w:line="360" w:lineRule="auto"/>
        <w:ind w:left="425" w:hanging="425"/>
        <w:rPr>
          <w:rFonts w:ascii="宋体" w:hAnsi="宋体"/>
          <w:color w:val="000000" w:themeColor="text1"/>
          <w:kern w:val="0"/>
          <w:sz w:val="24"/>
          <w14:textFill>
            <w14:solidFill>
              <w14:schemeClr w14:val="tx1"/>
            </w14:solidFill>
          </w14:textFill>
        </w:rPr>
      </w:pPr>
      <w:bookmarkStart w:id="131" w:name="_Toc428180597"/>
      <w:r>
        <w:rPr>
          <w:rFonts w:ascii="宋体" w:hAnsi="宋体"/>
          <w:color w:val="000000" w:themeColor="text1"/>
          <w:kern w:val="0"/>
          <w:sz w:val="24"/>
          <w14:textFill>
            <w14:solidFill>
              <w14:schemeClr w14:val="tx1"/>
            </w14:solidFill>
          </w14:textFill>
        </w:rPr>
        <w:t>2.</w:t>
      </w:r>
      <w:r>
        <w:rPr>
          <w:rFonts w:hint="eastAsia" w:ascii="宋体" w:hAnsi="宋体"/>
          <w:color w:val="000000" w:themeColor="text1"/>
          <w:kern w:val="0"/>
          <w:sz w:val="24"/>
          <w14:textFill>
            <w14:solidFill>
              <w14:schemeClr w14:val="tx1"/>
            </w14:solidFill>
          </w14:textFill>
        </w:rPr>
        <w:t>报价说明</w:t>
      </w:r>
      <w:bookmarkEnd w:id="131"/>
    </w:p>
    <w:p w14:paraId="17AC1EF4">
      <w:pPr>
        <w:autoSpaceDE w:val="0"/>
        <w:autoSpaceDN w:val="0"/>
        <w:adjustRightInd w:val="0"/>
        <w:spacing w:line="360" w:lineRule="auto"/>
        <w:ind w:firstLine="48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本次磋商文件中规定的采购预算额度为磋商最高限价，磋商供应商的磋商报价不得超出此额度。否则，磋商无效。</w:t>
      </w:r>
    </w:p>
    <w:p w14:paraId="5099F21C">
      <w:pPr>
        <w:adjustRightInd w:val="0"/>
        <w:snapToGrid w:val="0"/>
        <w:spacing w:line="360" w:lineRule="auto"/>
        <w:ind w:left="425" w:hanging="425"/>
        <w:rPr>
          <w:rFonts w:ascii="宋体" w:hAnsi="宋体"/>
          <w:color w:val="000000" w:themeColor="text1"/>
          <w:kern w:val="0"/>
          <w:sz w:val="24"/>
          <w14:textFill>
            <w14:solidFill>
              <w14:schemeClr w14:val="tx1"/>
            </w14:solidFill>
          </w14:textFill>
        </w:rPr>
      </w:pPr>
      <w:bookmarkStart w:id="132" w:name="_Toc428180599"/>
      <w:r>
        <w:rPr>
          <w:rFonts w:hint="eastAsia" w:ascii="宋体" w:hAnsi="宋体"/>
          <w:color w:val="000000" w:themeColor="text1"/>
          <w:kern w:val="0"/>
          <w:sz w:val="24"/>
          <w14:textFill>
            <w14:solidFill>
              <w14:schemeClr w14:val="tx1"/>
            </w14:solidFill>
          </w14:textFill>
        </w:rPr>
        <w:t>3</w:t>
      </w:r>
      <w:r>
        <w:rPr>
          <w:rFonts w:ascii="宋体" w:hAnsi="宋体"/>
          <w:color w:val="000000" w:themeColor="text1"/>
          <w:kern w:val="0"/>
          <w:sz w:val="24"/>
          <w14:textFill>
            <w14:solidFill>
              <w14:schemeClr w14:val="tx1"/>
            </w14:solidFill>
          </w14:textFill>
        </w:rPr>
        <w:t>.</w:t>
      </w:r>
      <w:r>
        <w:rPr>
          <w:rFonts w:hint="eastAsia" w:ascii="宋体" w:hAnsi="宋体"/>
          <w:color w:val="000000" w:themeColor="text1"/>
          <w:kern w:val="0"/>
          <w:sz w:val="24"/>
          <w14:textFill>
            <w14:solidFill>
              <w14:schemeClr w14:val="tx1"/>
            </w14:solidFill>
          </w14:textFill>
        </w:rPr>
        <w:t>商务要求</w:t>
      </w:r>
      <w:bookmarkEnd w:id="132"/>
    </w:p>
    <w:p w14:paraId="258B38D3">
      <w:pPr>
        <w:spacing w:line="360" w:lineRule="auto"/>
        <w:ind w:firstLine="240" w:firstLineChars="100"/>
        <w:rPr>
          <w:rFonts w:ascii="宋体" w:hAnsi="宋体"/>
          <w:color w:val="000000" w:themeColor="text1"/>
          <w:sz w:val="24"/>
          <w14:textFill>
            <w14:solidFill>
              <w14:schemeClr w14:val="tx1"/>
            </w14:solidFill>
          </w14:textFill>
        </w:rPr>
      </w:pPr>
      <w:bookmarkStart w:id="133" w:name="_Toc488673674"/>
      <w:r>
        <w:rPr>
          <w:rFonts w:hint="eastAsia" w:ascii="宋体" w:hAnsi="宋体" w:cs="宋体"/>
          <w:color w:val="000000" w:themeColor="text1"/>
          <w:kern w:val="0"/>
          <w:sz w:val="24"/>
          <w:lang w:val="zh-CN"/>
          <w14:textFill>
            <w14:solidFill>
              <w14:schemeClr w14:val="tx1"/>
            </w14:solidFill>
          </w14:textFill>
        </w:rPr>
        <w:t>3</w:t>
      </w:r>
      <w:r>
        <w:rPr>
          <w:rFonts w:ascii="宋体" w:hAnsi="宋体" w:cs="宋体"/>
          <w:color w:val="000000" w:themeColor="text1"/>
          <w:kern w:val="0"/>
          <w:sz w:val="24"/>
          <w:lang w:val="zh-CN"/>
          <w14:textFill>
            <w14:solidFill>
              <w14:schemeClr w14:val="tx1"/>
            </w14:solidFill>
          </w14:textFill>
        </w:rPr>
        <w:t>.1.</w:t>
      </w:r>
      <w:r>
        <w:rPr>
          <w:rFonts w:hint="eastAsia" w:ascii="宋体" w:hAnsi="宋体" w:cs="宋体"/>
          <w:color w:val="000000" w:themeColor="text1"/>
          <w:kern w:val="0"/>
          <w:sz w:val="24"/>
          <w:lang w:val="zh-CN"/>
          <w14:textFill>
            <w14:solidFill>
              <w14:schemeClr w14:val="tx1"/>
            </w14:solidFill>
          </w14:textFill>
        </w:rPr>
        <w:t>交货期：</w:t>
      </w:r>
      <w:bookmarkEnd w:id="133"/>
      <w:bookmarkStart w:id="134" w:name="_Toc488673675"/>
      <w:r>
        <w:rPr>
          <w:rFonts w:hint="eastAsia" w:ascii="宋体" w:hAnsi="宋体" w:cs="宋体"/>
          <w:color w:val="000000" w:themeColor="text1"/>
          <w:kern w:val="0"/>
          <w:sz w:val="24"/>
          <w:lang w:val="zh-CN"/>
          <w14:textFill>
            <w14:solidFill>
              <w14:schemeClr w14:val="tx1"/>
            </w14:solidFill>
          </w14:textFill>
        </w:rPr>
        <w:t>自合同签订后60个日历日内完成安装并调试到位</w:t>
      </w:r>
      <w:r>
        <w:rPr>
          <w:rFonts w:hint="eastAsia" w:ascii="宋体" w:hAnsi="宋体"/>
          <w:color w:val="000000" w:themeColor="text1"/>
          <w:sz w:val="24"/>
          <w14:textFill>
            <w14:solidFill>
              <w14:schemeClr w14:val="tx1"/>
            </w14:solidFill>
          </w14:textFill>
        </w:rPr>
        <w:t>；</w:t>
      </w:r>
    </w:p>
    <w:p w14:paraId="513C3D3E">
      <w:pPr>
        <w:spacing w:line="360" w:lineRule="auto"/>
        <w:ind w:firstLine="240" w:firstLineChars="100"/>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color w:val="000000" w:themeColor="text1"/>
          <w:sz w:val="24"/>
          <w14:textFill>
            <w14:solidFill>
              <w14:schemeClr w14:val="tx1"/>
            </w14:solidFill>
          </w14:textFill>
        </w:rPr>
        <w:t>3</w:t>
      </w:r>
      <w:r>
        <w:rPr>
          <w:rFonts w:ascii="宋体" w:hAnsi="宋体"/>
          <w:color w:val="000000" w:themeColor="text1"/>
          <w:sz w:val="24"/>
          <w14:textFill>
            <w14:solidFill>
              <w14:schemeClr w14:val="tx1"/>
            </w14:solidFill>
          </w14:textFill>
        </w:rPr>
        <w:t>.2.</w:t>
      </w:r>
      <w:r>
        <w:rPr>
          <w:rFonts w:hint="eastAsia" w:ascii="宋体" w:hAnsi="宋体"/>
          <w:color w:val="000000" w:themeColor="text1"/>
          <w:sz w:val="24"/>
          <w14:textFill>
            <w14:solidFill>
              <w14:schemeClr w14:val="tx1"/>
            </w14:solidFill>
          </w14:textFill>
        </w:rPr>
        <w:t>交货地点</w:t>
      </w:r>
      <w:r>
        <w:rPr>
          <w:rFonts w:hint="eastAsia" w:ascii="宋体" w:hAnsi="宋体" w:eastAsia="宋体" w:cs="Times New Roman"/>
          <w:color w:val="000000" w:themeColor="text1"/>
          <w:sz w:val="24"/>
          <w14:textFill>
            <w14:solidFill>
              <w14:schemeClr w14:val="tx1"/>
            </w14:solidFill>
          </w14:textFill>
        </w:rPr>
        <w:t>：</w:t>
      </w:r>
      <w:bookmarkEnd w:id="134"/>
      <w:r>
        <w:rPr>
          <w:rFonts w:hint="eastAsia" w:ascii="宋体" w:hAnsi="宋体" w:eastAsia="宋体" w:cs="Times New Roman"/>
          <w:color w:val="000000" w:themeColor="text1"/>
          <w:sz w:val="24"/>
          <w14:textFill>
            <w14:solidFill>
              <w14:schemeClr w14:val="tx1"/>
            </w14:solidFill>
          </w14:textFill>
        </w:rPr>
        <w:t>青海红十字医院（西</w:t>
      </w:r>
      <w:r>
        <w:rPr>
          <w:rFonts w:hint="eastAsia" w:ascii="宋体" w:hAnsi="宋体" w:eastAsia="宋体" w:cs="宋体"/>
          <w:color w:val="000000" w:themeColor="text1"/>
          <w:kern w:val="0"/>
          <w:sz w:val="24"/>
          <w:lang w:val="zh-CN"/>
          <w14:textFill>
            <w14:solidFill>
              <w14:schemeClr w14:val="tx1"/>
            </w14:solidFill>
          </w14:textFill>
        </w:rPr>
        <w:t>宁市南大街55号）；</w:t>
      </w:r>
    </w:p>
    <w:p w14:paraId="782FE49D">
      <w:pPr>
        <w:spacing w:line="360" w:lineRule="auto"/>
        <w:ind w:firstLine="240" w:firstLineChars="100"/>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3.3.质保期：本次项目中涉及的系统软件及硬件设备须至少提供三年免费质保服务；</w:t>
      </w:r>
    </w:p>
    <w:p w14:paraId="28659BE6">
      <w:pPr>
        <w:spacing w:line="360" w:lineRule="auto"/>
        <w:ind w:firstLine="240" w:firstLineChars="100"/>
        <w:rPr>
          <w:rFonts w:hAnsi="宋体"/>
          <w:b/>
          <w:bCs/>
          <w:color w:val="000000" w:themeColor="text1"/>
          <w:kern w:val="0"/>
          <w:sz w:val="24"/>
          <w14:textFill>
            <w14:solidFill>
              <w14:schemeClr w14:val="tx1"/>
            </w14:solidFill>
          </w14:textFill>
        </w:rPr>
      </w:pPr>
      <w:bookmarkStart w:id="135" w:name="_Toc488673676"/>
      <w:r>
        <w:rPr>
          <w:rFonts w:hint="eastAsia" w:ascii="宋体" w:hAnsi="宋体" w:eastAsia="宋体" w:cs="宋体"/>
          <w:color w:val="000000" w:themeColor="text1"/>
          <w:kern w:val="0"/>
          <w:sz w:val="24"/>
          <w:lang w:val="zh-CN"/>
          <w14:textFill>
            <w14:solidFill>
              <w14:schemeClr w14:val="tx1"/>
            </w14:solidFill>
          </w14:textFill>
        </w:rPr>
        <w:t>3.4.付款方式：</w:t>
      </w:r>
      <w:bookmarkEnd w:id="135"/>
      <w:bookmarkStart w:id="136" w:name="_Toc459377899"/>
      <w:bookmarkStart w:id="137" w:name="_Hlk486599483"/>
      <w:bookmarkStart w:id="138" w:name="_Toc480468113"/>
      <w:r>
        <w:rPr>
          <w:rFonts w:hint="eastAsia" w:ascii="宋体" w:hAnsi="宋体" w:eastAsia="宋体" w:cs="宋体"/>
          <w:color w:val="000000" w:themeColor="text1"/>
          <w:kern w:val="0"/>
          <w:sz w:val="24"/>
          <w:lang w:val="zh-CN"/>
          <w14:textFill>
            <w14:solidFill>
              <w14:schemeClr w14:val="tx1"/>
            </w14:solidFill>
          </w14:textFill>
        </w:rPr>
        <w:t>详见“第四部分青海省政府采购项目合同书范本”中“四、付款方式”的规定。</w:t>
      </w:r>
      <w:r>
        <w:rPr>
          <w:rFonts w:hint="eastAsia" w:ascii="宋体" w:hAnsi="宋体" w:eastAsia="宋体" w:cs="宋体"/>
          <w:color w:val="000000" w:themeColor="text1"/>
          <w:kern w:val="0"/>
          <w:sz w:val="24"/>
          <w:lang w:val="zh-CN"/>
          <w14:textFill>
            <w14:solidFill>
              <w14:schemeClr w14:val="tx1"/>
            </w14:solidFill>
          </w14:textFill>
        </w:rPr>
        <w:br w:type="textWrapping"/>
      </w:r>
      <w:r>
        <w:rPr>
          <w:rFonts w:hint="eastAsia" w:hAnsi="宋体"/>
          <w:b/>
          <w:bCs/>
          <w:color w:val="000000" w:themeColor="text1"/>
          <w:kern w:val="0"/>
          <w:sz w:val="24"/>
          <w14:textFill>
            <w14:solidFill>
              <w14:schemeClr w14:val="tx1"/>
            </w14:solidFill>
          </w14:textFill>
        </w:rPr>
        <w:t>二、</w:t>
      </w:r>
      <w:bookmarkStart w:id="139" w:name="_Hlk497464497"/>
      <w:r>
        <w:rPr>
          <w:rFonts w:hint="eastAsia" w:hAnsi="宋体"/>
          <w:b/>
          <w:bCs/>
          <w:color w:val="000000" w:themeColor="text1"/>
          <w:kern w:val="0"/>
          <w:sz w:val="24"/>
          <w14:textFill>
            <w14:solidFill>
              <w14:schemeClr w14:val="tx1"/>
            </w14:solidFill>
          </w14:textFill>
        </w:rPr>
        <w:t>采购项目参数及要求</w:t>
      </w:r>
      <w:bookmarkEnd w:id="136"/>
      <w:bookmarkEnd w:id="137"/>
      <w:bookmarkEnd w:id="138"/>
      <w:bookmarkEnd w:id="139"/>
    </w:p>
    <w:p w14:paraId="53BD3F1E">
      <w:pPr>
        <w:spacing w:line="360" w:lineRule="auto"/>
        <w:ind w:firstLine="241" w:firstLineChars="100"/>
        <w:rPr>
          <w:rFonts w:hint="eastAsia" w:ascii="Times New Roman" w:hAnsi="宋体" w:eastAsia="宋体" w:cs="Times New Roman"/>
          <w:b/>
          <w:bCs/>
          <w:color w:val="000000" w:themeColor="text1"/>
          <w:kern w:val="0"/>
          <w:sz w:val="24"/>
          <w:lang w:val="en-US" w:eastAsia="zh-CN"/>
          <w14:textFill>
            <w14:solidFill>
              <w14:schemeClr w14:val="tx1"/>
            </w14:solidFill>
          </w14:textFill>
        </w:rPr>
      </w:pPr>
      <w:bookmarkStart w:id="140" w:name="_Toc32105"/>
      <w:bookmarkStart w:id="141" w:name="_Toc444715749"/>
      <w:r>
        <w:rPr>
          <w:rFonts w:hint="eastAsia" w:ascii="Times New Roman" w:hAnsi="宋体" w:eastAsia="宋体" w:cs="Times New Roman"/>
          <w:b/>
          <w:bCs/>
          <w:color w:val="000000" w:themeColor="text1"/>
          <w:kern w:val="0"/>
          <w:sz w:val="24"/>
          <w:lang w:val="en-US" w:eastAsia="zh-CN"/>
          <w14:textFill>
            <w14:solidFill>
              <w14:schemeClr w14:val="tx1"/>
            </w14:solidFill>
          </w14:textFill>
        </w:rPr>
        <w:t>重要指标</w:t>
      </w:r>
      <w:bookmarkEnd w:id="140"/>
      <w:bookmarkEnd w:id="141"/>
    </w:p>
    <w:p w14:paraId="79BF72E1">
      <w:pPr>
        <w:spacing w:line="360" w:lineRule="auto"/>
        <w:ind w:firstLine="241" w:firstLineChars="100"/>
        <w:rPr>
          <w:rFonts w:hint="eastAsia" w:ascii="Times New Roman" w:hAnsi="宋体" w:eastAsia="宋体" w:cs="Times New Roman"/>
          <w:b/>
          <w:bCs/>
          <w:color w:val="000000" w:themeColor="text1"/>
          <w:kern w:val="0"/>
          <w:sz w:val="24"/>
          <w14:textFill>
            <w14:solidFill>
              <w14:schemeClr w14:val="tx1"/>
            </w14:solidFill>
          </w14:textFill>
        </w:rPr>
      </w:pPr>
      <w:r>
        <w:rPr>
          <w:rFonts w:hint="eastAsia" w:ascii="Times New Roman" w:hAnsi="宋体" w:eastAsia="宋体" w:cs="Times New Roman"/>
          <w:b/>
          <w:bCs/>
          <w:color w:val="000000" w:themeColor="text1"/>
          <w:kern w:val="0"/>
          <w:sz w:val="24"/>
          <w14:textFill>
            <w14:solidFill>
              <w14:schemeClr w14:val="tx1"/>
            </w14:solidFill>
          </w14:textFill>
        </w:rPr>
        <w:t>技术参数中除注明签订合同时提供的相关授权、服务承诺等资料以外，其余相关资料在</w:t>
      </w:r>
      <w:r>
        <w:rPr>
          <w:rFonts w:hint="eastAsia" w:ascii="Times New Roman" w:hAnsi="宋体" w:eastAsia="宋体" w:cs="Times New Roman"/>
          <w:b/>
          <w:bCs/>
          <w:color w:val="000000" w:themeColor="text1"/>
          <w:kern w:val="0"/>
          <w:sz w:val="24"/>
          <w:lang w:eastAsia="zh-CN"/>
          <w14:textFill>
            <w14:solidFill>
              <w14:schemeClr w14:val="tx1"/>
            </w14:solidFill>
          </w14:textFill>
        </w:rPr>
        <w:t>磋商</w:t>
      </w:r>
      <w:r>
        <w:rPr>
          <w:rFonts w:hint="eastAsia" w:ascii="Times New Roman" w:hAnsi="宋体" w:eastAsia="宋体" w:cs="Times New Roman"/>
          <w:b/>
          <w:bCs/>
          <w:color w:val="000000" w:themeColor="text1"/>
          <w:kern w:val="0"/>
          <w:sz w:val="24"/>
          <w14:textFill>
            <w14:solidFill>
              <w14:schemeClr w14:val="tx1"/>
            </w14:solidFill>
          </w14:textFill>
        </w:rPr>
        <w:t>时必须附在</w:t>
      </w:r>
      <w:r>
        <w:rPr>
          <w:rFonts w:hint="eastAsia" w:ascii="Times New Roman" w:hAnsi="宋体" w:eastAsia="宋体" w:cs="Times New Roman"/>
          <w:b/>
          <w:bCs/>
          <w:color w:val="000000" w:themeColor="text1"/>
          <w:kern w:val="0"/>
          <w:sz w:val="24"/>
          <w:lang w:eastAsia="zh-CN"/>
          <w14:textFill>
            <w14:solidFill>
              <w14:schemeClr w14:val="tx1"/>
            </w14:solidFill>
          </w14:textFill>
        </w:rPr>
        <w:t>磋商响应</w:t>
      </w:r>
      <w:r>
        <w:rPr>
          <w:rFonts w:hint="eastAsia" w:ascii="Times New Roman" w:hAnsi="宋体" w:eastAsia="宋体" w:cs="Times New Roman"/>
          <w:b/>
          <w:bCs/>
          <w:color w:val="000000" w:themeColor="text1"/>
          <w:kern w:val="0"/>
          <w:sz w:val="24"/>
          <w14:textFill>
            <w14:solidFill>
              <w14:schemeClr w14:val="tx1"/>
            </w14:solidFill>
          </w14:textFill>
        </w:rPr>
        <w:t>文件中。</w:t>
      </w:r>
      <w:r>
        <w:rPr>
          <w:rFonts w:hint="eastAsia" w:ascii="Times New Roman" w:hAnsi="宋体" w:eastAsia="宋体" w:cs="Times New Roman"/>
          <w:b/>
          <w:bCs/>
          <w:color w:val="000000" w:themeColor="text1"/>
          <w:kern w:val="0"/>
          <w:sz w:val="24"/>
          <w:lang w:val="zh-CN" w:eastAsia="zh-CN"/>
          <w14:textFill>
            <w14:solidFill>
              <w14:schemeClr w14:val="tx1"/>
            </w14:solidFill>
          </w14:textFill>
        </w:rPr>
        <w:t>技术参数中“</w:t>
      </w:r>
      <w:r>
        <w:rPr>
          <w:rFonts w:hint="eastAsia" w:ascii="Times New Roman" w:hAnsi="宋体" w:eastAsia="宋体" w:cs="Times New Roman"/>
          <w:b/>
          <w:bCs/>
          <w:color w:val="000000" w:themeColor="text1"/>
          <w:kern w:val="0"/>
          <w:sz w:val="24"/>
          <w14:textFill>
            <w14:solidFill>
              <w14:schemeClr w14:val="tx1"/>
            </w14:solidFill>
          </w14:textFill>
        </w:rPr>
        <w:t>*</w:t>
      </w:r>
      <w:r>
        <w:rPr>
          <w:rFonts w:hint="eastAsia" w:ascii="Times New Roman" w:hAnsi="宋体" w:eastAsia="宋体" w:cs="Times New Roman"/>
          <w:b/>
          <w:bCs/>
          <w:color w:val="000000" w:themeColor="text1"/>
          <w:kern w:val="0"/>
          <w:sz w:val="24"/>
          <w:lang w:val="zh-CN" w:eastAsia="zh-CN"/>
          <w14:textFill>
            <w14:solidFill>
              <w14:schemeClr w14:val="tx1"/>
            </w14:solidFill>
          </w14:textFill>
        </w:rPr>
        <w:t>”号项属于重要参数、指标，必须完全响应，否则视为无效磋商。</w:t>
      </w:r>
    </w:p>
    <w:p w14:paraId="2A8BF4D0">
      <w:pPr>
        <w:ind w:firstLine="3855" w:firstLineChars="1200"/>
        <w:outlineLvl w:val="0"/>
        <w:rPr>
          <w:rFonts w:ascii="宋体" w:hAnsi="宋体" w:cs="宋体"/>
          <w:b/>
          <w:bCs/>
          <w:color w:val="000000" w:themeColor="text1"/>
          <w:kern w:val="0"/>
          <w:sz w:val="32"/>
          <w:szCs w:val="32"/>
          <w14:textFill>
            <w14:solidFill>
              <w14:schemeClr w14:val="tx1"/>
            </w14:solidFill>
          </w14:textFill>
        </w:rPr>
      </w:pPr>
      <w:r>
        <w:rPr>
          <w:rFonts w:hint="eastAsia" w:ascii="宋体" w:hAnsi="宋体" w:cs="宋体"/>
          <w:b/>
          <w:color w:val="000000" w:themeColor="text1"/>
          <w:kern w:val="0"/>
          <w:sz w:val="32"/>
          <w:szCs w:val="20"/>
          <w:lang w:val="en-US" w:eastAsia="zh-CN"/>
          <w14:textFill>
            <w14:solidFill>
              <w14:schemeClr w14:val="tx1"/>
            </w14:solidFill>
          </w14:textFill>
        </w:rPr>
        <w:t>包一</w:t>
      </w:r>
      <w:r>
        <w:rPr>
          <w:rFonts w:hint="eastAsia" w:ascii="宋体" w:hAnsi="宋体" w:cs="宋体"/>
          <w:b/>
          <w:color w:val="000000" w:themeColor="text1"/>
          <w:kern w:val="0"/>
          <w:sz w:val="32"/>
          <w:szCs w:val="20"/>
          <w14:textFill>
            <w14:solidFill>
              <w14:schemeClr w14:val="tx1"/>
            </w14:solidFill>
          </w14:textFill>
        </w:rPr>
        <w:t>采购</w:t>
      </w:r>
      <w:r>
        <w:rPr>
          <w:rFonts w:hint="eastAsia" w:ascii="宋体" w:hAnsi="宋体" w:cs="宋体"/>
          <w:b/>
          <w:bCs/>
          <w:color w:val="000000" w:themeColor="text1"/>
          <w:kern w:val="0"/>
          <w:sz w:val="32"/>
          <w:szCs w:val="32"/>
          <w14:textFill>
            <w14:solidFill>
              <w14:schemeClr w14:val="tx1"/>
            </w14:solidFill>
          </w14:textFill>
        </w:rPr>
        <w:t>一览表及技术参数</w:t>
      </w:r>
    </w:p>
    <w:p w14:paraId="563B8CA1">
      <w:pPr>
        <w:pStyle w:val="3"/>
        <w:numPr>
          <w:ilvl w:val="1"/>
          <w:numId w:val="0"/>
        </w:numPr>
        <w:tabs>
          <w:tab w:val="clear" w:pos="425"/>
        </w:tabs>
        <w:rPr>
          <w:rFonts w:hAnsi="宋体" w:cs="宋体"/>
          <w:color w:val="000000" w:themeColor="text1"/>
          <w:sz w:val="21"/>
          <w:szCs w:val="21"/>
          <w14:textFill>
            <w14:solidFill>
              <w14:schemeClr w14:val="tx1"/>
            </w14:solidFill>
          </w14:textFill>
        </w:rPr>
      </w:pPr>
      <w:bookmarkStart w:id="142" w:name="_Toc14749"/>
      <w:r>
        <w:rPr>
          <w:rFonts w:hint="eastAsia" w:cs="宋体"/>
          <w:color w:val="000000" w:themeColor="text1"/>
          <w14:textFill>
            <w14:solidFill>
              <w14:schemeClr w14:val="tx1"/>
            </w14:solidFill>
          </w14:textFill>
        </w:rPr>
        <w:t>1.</w:t>
      </w:r>
      <w:r>
        <w:rPr>
          <w:rFonts w:hint="eastAsia" w:hAnsi="宋体" w:cs="宋体"/>
          <w:color w:val="000000" w:themeColor="text1"/>
          <w:sz w:val="21"/>
          <w:szCs w:val="21"/>
          <w14:textFill>
            <w14:solidFill>
              <w14:schemeClr w14:val="tx1"/>
            </w14:solidFill>
          </w14:textFill>
        </w:rPr>
        <w:t>项目概况</w:t>
      </w:r>
      <w:bookmarkEnd w:id="142"/>
    </w:p>
    <w:p w14:paraId="07D73E7D">
      <w:pPr>
        <w:spacing w:line="400" w:lineRule="atLeast"/>
        <w:ind w:firstLine="174" w:firstLineChars="83"/>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1.1项目名称：</w:t>
      </w:r>
      <w:r>
        <w:rPr>
          <w:rFonts w:hint="eastAsia" w:ascii="宋体" w:hAnsi="宋体" w:cs="宋体"/>
          <w:color w:val="000000" w:themeColor="text1"/>
          <w:szCs w:val="21"/>
          <w:lang w:eastAsia="zh-CN"/>
          <w14:textFill>
            <w14:solidFill>
              <w14:schemeClr w14:val="tx1"/>
            </w14:solidFill>
          </w14:textFill>
        </w:rPr>
        <w:t>青海红十字医院康复数字化信息管理系统等三项（包一第二次）</w:t>
      </w:r>
      <w:r>
        <w:rPr>
          <w:rFonts w:hint="eastAsia" w:ascii="宋体" w:hAnsi="宋体" w:cs="宋体"/>
          <w:color w:val="000000" w:themeColor="text1"/>
          <w:szCs w:val="21"/>
          <w14:textFill>
            <w14:solidFill>
              <w14:schemeClr w14:val="tx1"/>
            </w14:solidFill>
          </w14:textFill>
        </w:rPr>
        <w:t xml:space="preserve">  </w:t>
      </w:r>
    </w:p>
    <w:p w14:paraId="13F7C3BC">
      <w:pPr>
        <w:spacing w:line="400" w:lineRule="atLeast"/>
        <w:ind w:firstLine="174" w:firstLineChars="83"/>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1.2采购预算：85万元</w:t>
      </w:r>
    </w:p>
    <w:p w14:paraId="231CB4C0">
      <w:pPr>
        <w:spacing w:line="400" w:lineRule="atLeast"/>
        <w:ind w:firstLine="174" w:firstLineChars="83"/>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1.3服务地点：青海红十字医院（西宁市南大街55号）</w:t>
      </w:r>
    </w:p>
    <w:p w14:paraId="1F4EFF18">
      <w:pPr>
        <w:pStyle w:val="3"/>
        <w:numPr>
          <w:ilvl w:val="1"/>
          <w:numId w:val="0"/>
        </w:numPr>
        <w:tabs>
          <w:tab w:val="clear" w:pos="425"/>
        </w:tabs>
        <w:rPr>
          <w:rFonts w:hAnsi="宋体" w:cs="宋体"/>
          <w:color w:val="000000" w:themeColor="text1"/>
          <w:sz w:val="21"/>
          <w:szCs w:val="21"/>
          <w14:textFill>
            <w14:solidFill>
              <w14:schemeClr w14:val="tx1"/>
            </w14:solidFill>
          </w14:textFill>
        </w:rPr>
      </w:pPr>
      <w:bookmarkStart w:id="143" w:name="_Toc30105"/>
      <w:r>
        <w:rPr>
          <w:rFonts w:hint="eastAsia" w:hAnsi="宋体" w:cs="宋体"/>
          <w:color w:val="000000" w:themeColor="text1"/>
          <w:sz w:val="21"/>
          <w:szCs w:val="21"/>
          <w14:textFill>
            <w14:solidFill>
              <w14:schemeClr w14:val="tx1"/>
            </w14:solidFill>
          </w14:textFill>
        </w:rPr>
        <w:t>2.建设内容</w:t>
      </w:r>
      <w:bookmarkEnd w:id="143"/>
    </w:p>
    <w:p w14:paraId="349D114A">
      <w:pPr>
        <w:numPr>
          <w:ilvl w:val="255"/>
          <w:numId w:val="0"/>
        </w:numPr>
        <w:kinsoku w:val="0"/>
        <w:autoSpaceDE w:val="0"/>
        <w:autoSpaceDN w:val="0"/>
        <w:adjustRightInd w:val="0"/>
        <w:snapToGrid w:val="0"/>
        <w:spacing w:line="360" w:lineRule="auto"/>
        <w:ind w:firstLine="420" w:firstLineChars="200"/>
        <w:textAlignment w:val="baseline"/>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次招标内容包括系统软件的安装调试、开发、技术支持、运行维护、项目验收、培训及售后服务等，并与我院包括但不限于HIS、LIS、EMR、PACS、RIS、微信公众号、移动护理、集成平台、数据中心、CA数字签名、无纸化归档等系统对接，满足电子病历五级/六级评审标准，互联互通四甲/五乙标准等。投标方和制造商（如有）必须具备完成该项目的经营范围及技术能力。</w:t>
      </w:r>
    </w:p>
    <w:tbl>
      <w:tblPr>
        <w:tblStyle w:val="36"/>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72"/>
        <w:gridCol w:w="4161"/>
        <w:gridCol w:w="1326"/>
        <w:gridCol w:w="3505"/>
      </w:tblGrid>
      <w:tr w14:paraId="460DE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8" w:type="pct"/>
            <w:tcBorders>
              <w:top w:val="single" w:color="auto" w:sz="4" w:space="0"/>
              <w:left w:val="single" w:color="auto" w:sz="4" w:space="0"/>
              <w:bottom w:val="single" w:color="auto" w:sz="4" w:space="0"/>
              <w:right w:val="single" w:color="auto" w:sz="4" w:space="0"/>
            </w:tcBorders>
            <w:vAlign w:val="center"/>
          </w:tcPr>
          <w:p w14:paraId="08AD07FF">
            <w:pPr>
              <w:pStyle w:val="137"/>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序号</w:t>
            </w:r>
          </w:p>
        </w:tc>
        <w:tc>
          <w:tcPr>
            <w:tcW w:w="2087" w:type="pct"/>
            <w:tcBorders>
              <w:top w:val="single" w:color="auto" w:sz="4" w:space="0"/>
              <w:left w:val="single" w:color="auto" w:sz="4" w:space="0"/>
              <w:bottom w:val="single" w:color="auto" w:sz="4" w:space="0"/>
              <w:right w:val="single" w:color="auto" w:sz="4" w:space="0"/>
            </w:tcBorders>
            <w:vAlign w:val="center"/>
          </w:tcPr>
          <w:p w14:paraId="71187961">
            <w:pPr>
              <w:pStyle w:val="137"/>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产品名称</w:t>
            </w:r>
          </w:p>
        </w:tc>
        <w:tc>
          <w:tcPr>
            <w:tcW w:w="665" w:type="pct"/>
            <w:tcBorders>
              <w:top w:val="single" w:color="auto" w:sz="4" w:space="0"/>
              <w:left w:val="single" w:color="auto" w:sz="4" w:space="0"/>
              <w:bottom w:val="single" w:color="auto" w:sz="4" w:space="0"/>
              <w:right w:val="single" w:color="auto" w:sz="4" w:space="0"/>
            </w:tcBorders>
            <w:vAlign w:val="center"/>
          </w:tcPr>
          <w:p w14:paraId="52F583D6">
            <w:pPr>
              <w:pStyle w:val="137"/>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数量</w:t>
            </w:r>
          </w:p>
        </w:tc>
        <w:tc>
          <w:tcPr>
            <w:tcW w:w="1758" w:type="pct"/>
            <w:tcBorders>
              <w:top w:val="single" w:color="auto" w:sz="4" w:space="0"/>
              <w:left w:val="single" w:color="auto" w:sz="4" w:space="0"/>
              <w:bottom w:val="single" w:color="auto" w:sz="4" w:space="0"/>
              <w:right w:val="single" w:color="auto" w:sz="4" w:space="0"/>
            </w:tcBorders>
            <w:vAlign w:val="center"/>
          </w:tcPr>
          <w:p w14:paraId="2FCF7D7D">
            <w:pPr>
              <w:pStyle w:val="137"/>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交货期</w:t>
            </w:r>
          </w:p>
        </w:tc>
      </w:tr>
      <w:tr w14:paraId="5315CE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8" w:type="pct"/>
            <w:tcBorders>
              <w:top w:val="single" w:color="auto" w:sz="4" w:space="0"/>
              <w:left w:val="single" w:color="auto" w:sz="4" w:space="0"/>
              <w:bottom w:val="single" w:color="auto" w:sz="4" w:space="0"/>
              <w:right w:val="single" w:color="auto" w:sz="4" w:space="0"/>
            </w:tcBorders>
            <w:vAlign w:val="center"/>
          </w:tcPr>
          <w:p w14:paraId="1EA0F44D">
            <w:pPr>
              <w:pStyle w:val="137"/>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1</w:t>
            </w:r>
          </w:p>
        </w:tc>
        <w:tc>
          <w:tcPr>
            <w:tcW w:w="2087" w:type="pct"/>
            <w:tcBorders>
              <w:top w:val="single" w:color="auto" w:sz="4" w:space="0"/>
              <w:left w:val="single" w:color="auto" w:sz="4" w:space="0"/>
              <w:bottom w:val="single" w:color="auto" w:sz="4" w:space="0"/>
              <w:right w:val="single" w:color="auto" w:sz="4" w:space="0"/>
            </w:tcBorders>
            <w:vAlign w:val="center"/>
          </w:tcPr>
          <w:p w14:paraId="1FC8E2B9">
            <w:pPr>
              <w:pStyle w:val="137"/>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康复数字化信息管理系统</w:t>
            </w:r>
          </w:p>
        </w:tc>
        <w:tc>
          <w:tcPr>
            <w:tcW w:w="665" w:type="pct"/>
            <w:tcBorders>
              <w:top w:val="single" w:color="auto" w:sz="4" w:space="0"/>
              <w:left w:val="single" w:color="auto" w:sz="4" w:space="0"/>
              <w:bottom w:val="single" w:color="auto" w:sz="4" w:space="0"/>
              <w:right w:val="single" w:color="auto" w:sz="4" w:space="0"/>
            </w:tcBorders>
            <w:vAlign w:val="center"/>
          </w:tcPr>
          <w:p w14:paraId="78AEA83F">
            <w:pPr>
              <w:pStyle w:val="137"/>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1套</w:t>
            </w:r>
          </w:p>
        </w:tc>
        <w:tc>
          <w:tcPr>
            <w:tcW w:w="1758" w:type="pct"/>
            <w:tcBorders>
              <w:top w:val="single" w:color="auto" w:sz="4" w:space="0"/>
              <w:left w:val="single" w:color="auto" w:sz="4" w:space="0"/>
              <w:bottom w:val="single" w:color="auto" w:sz="4" w:space="0"/>
              <w:right w:val="single" w:color="auto" w:sz="4" w:space="0"/>
            </w:tcBorders>
            <w:vAlign w:val="center"/>
          </w:tcPr>
          <w:p w14:paraId="5F797F4E">
            <w:pPr>
              <w:pStyle w:val="137"/>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自合同签订后60个日历日内完成安装并调试到位</w:t>
            </w:r>
          </w:p>
        </w:tc>
      </w:tr>
    </w:tbl>
    <w:p w14:paraId="069DAF9A">
      <w:pPr>
        <w:rPr>
          <w:rFonts w:ascii="宋体" w:hAnsi="宋体" w:cs="宋体"/>
          <w:color w:val="000000" w:themeColor="text1"/>
          <w:szCs w:val="21"/>
          <w14:textFill>
            <w14:solidFill>
              <w14:schemeClr w14:val="tx1"/>
            </w14:solidFill>
          </w14:textFill>
        </w:rPr>
      </w:pPr>
    </w:p>
    <w:p w14:paraId="6A6665A8">
      <w:pPr>
        <w:pStyle w:val="3"/>
        <w:numPr>
          <w:ilvl w:val="0"/>
          <w:numId w:val="41"/>
        </w:numPr>
        <w:tabs>
          <w:tab w:val="clear" w:pos="425"/>
        </w:tabs>
        <w:spacing w:line="360" w:lineRule="auto"/>
        <w:rPr>
          <w:rFonts w:hAnsi="宋体" w:cs="宋体"/>
          <w:color w:val="000000" w:themeColor="text1"/>
          <w:sz w:val="21"/>
          <w:szCs w:val="21"/>
          <w14:textFill>
            <w14:solidFill>
              <w14:schemeClr w14:val="tx1"/>
            </w14:solidFill>
          </w14:textFill>
        </w:rPr>
      </w:pPr>
      <w:bookmarkStart w:id="144" w:name="_Toc28494"/>
      <w:r>
        <w:rPr>
          <w:rFonts w:hint="eastAsia" w:hAnsi="宋体" w:cs="宋体"/>
          <w:color w:val="000000" w:themeColor="text1"/>
          <w:sz w:val="21"/>
          <w:szCs w:val="21"/>
          <w14:textFill>
            <w14:solidFill>
              <w14:schemeClr w14:val="tx1"/>
            </w14:solidFill>
          </w14:textFill>
        </w:rPr>
        <w:t>技术规格和配置要求</w:t>
      </w:r>
      <w:bookmarkEnd w:id="144"/>
    </w:p>
    <w:p w14:paraId="7556DF81">
      <w:pPr>
        <w:pStyle w:val="4"/>
        <w:numPr>
          <w:ilvl w:val="2"/>
          <w:numId w:val="0"/>
        </w:numPr>
        <w:spacing w:line="360" w:lineRule="auto"/>
        <w:rPr>
          <w:rFonts w:ascii="宋体" w:hAnsi="宋体" w:cs="宋体"/>
          <w:color w:val="000000" w:themeColor="text1"/>
          <w:szCs w:val="21"/>
          <w14:textFill>
            <w14:solidFill>
              <w14:schemeClr w14:val="tx1"/>
            </w14:solidFill>
          </w14:textFill>
        </w:rPr>
      </w:pPr>
      <w:bookmarkStart w:id="145" w:name="_Toc481"/>
      <w:r>
        <w:rPr>
          <w:rFonts w:hint="eastAsia" w:ascii="宋体" w:hAnsi="宋体" w:cs="宋体"/>
          <w:color w:val="000000" w:themeColor="text1"/>
          <w:szCs w:val="21"/>
          <w14:textFill>
            <w14:solidFill>
              <w14:schemeClr w14:val="tx1"/>
            </w14:solidFill>
          </w14:textFill>
        </w:rPr>
        <w:t>3.1系统设计要求</w:t>
      </w:r>
      <w:bookmarkEnd w:id="145"/>
    </w:p>
    <w:p w14:paraId="20C95346">
      <w:pPr>
        <w:numPr>
          <w:ilvl w:val="255"/>
          <w:numId w:val="0"/>
        </w:numPr>
        <w:kinsoku w:val="0"/>
        <w:autoSpaceDE w:val="0"/>
        <w:autoSpaceDN w:val="0"/>
        <w:adjustRightInd w:val="0"/>
        <w:snapToGrid w:val="0"/>
        <w:spacing w:line="360" w:lineRule="auto"/>
        <w:ind w:firstLine="420" w:firstLineChars="200"/>
        <w:textAlignment w:val="baseline"/>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次项目建设考虑到医院业务现状及未来发展，以及医院评级要求，在满足电子病历评级、互联互通测评要求的基础上，建立康复全病程业务闭环管理，解决科室医治护患沟通障碍、重复工作和人工、绩效统计、漏计费等问题，完善康复治疗过程信息化及规范化管理、提高质控质量，实现康复医学专业质控指标一键式上报，提高科室沟通及工作效率；</w:t>
      </w:r>
    </w:p>
    <w:p w14:paraId="668C5E33">
      <w:pPr>
        <w:numPr>
          <w:ilvl w:val="255"/>
          <w:numId w:val="0"/>
        </w:numPr>
        <w:kinsoku w:val="0"/>
        <w:autoSpaceDE w:val="0"/>
        <w:autoSpaceDN w:val="0"/>
        <w:adjustRightInd w:val="0"/>
        <w:snapToGrid w:val="0"/>
        <w:spacing w:line="360" w:lineRule="auto"/>
        <w:ind w:firstLine="420" w:firstLineChars="200"/>
        <w:textAlignment w:val="baseline"/>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通过智能化结构化电子评估、治疗排程，建立以患者为中心的360°信息化康复档案，逐步推进无纸化办公，精准有效实现康复结构化数据沉淀，临床及康复数据应用于科研教学；</w:t>
      </w:r>
    </w:p>
    <w:p w14:paraId="3206A617">
      <w:pPr>
        <w:numPr>
          <w:ilvl w:val="255"/>
          <w:numId w:val="0"/>
        </w:numPr>
        <w:kinsoku w:val="0"/>
        <w:autoSpaceDE w:val="0"/>
        <w:autoSpaceDN w:val="0"/>
        <w:adjustRightInd w:val="0"/>
        <w:snapToGrid w:val="0"/>
        <w:spacing w:line="360" w:lineRule="auto"/>
        <w:ind w:firstLine="420" w:firstLineChars="200"/>
        <w:textAlignment w:val="baseline"/>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移动端患者治疗排程及治疗提醒，节省患者就医诊疗时间成本，提升就医体验，提高满意度。</w:t>
      </w:r>
    </w:p>
    <w:p w14:paraId="64DA8429">
      <w:pPr>
        <w:pStyle w:val="4"/>
        <w:numPr>
          <w:ilvl w:val="2"/>
          <w:numId w:val="0"/>
        </w:numPr>
        <w:spacing w:line="360" w:lineRule="auto"/>
        <w:rPr>
          <w:rFonts w:ascii="宋体" w:hAnsi="宋体" w:cs="宋体"/>
          <w:color w:val="000000" w:themeColor="text1"/>
          <w:szCs w:val="21"/>
          <w14:textFill>
            <w14:solidFill>
              <w14:schemeClr w14:val="tx1"/>
            </w14:solidFill>
          </w14:textFill>
        </w:rPr>
      </w:pPr>
      <w:bookmarkStart w:id="146" w:name="_Toc28932"/>
      <w:r>
        <w:rPr>
          <w:rFonts w:hint="eastAsia" w:ascii="宋体" w:hAnsi="宋体" w:cs="宋体"/>
          <w:color w:val="000000" w:themeColor="text1"/>
          <w:szCs w:val="21"/>
          <w14:textFill>
            <w14:solidFill>
              <w14:schemeClr w14:val="tx1"/>
            </w14:solidFill>
          </w14:textFill>
        </w:rPr>
        <w:t>3.2康复数字化管理系统技术要求</w:t>
      </w:r>
      <w:bookmarkEnd w:id="146"/>
    </w:p>
    <w:tbl>
      <w:tblPr>
        <w:tblStyle w:val="37"/>
        <w:tblW w:w="499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0"/>
        <w:gridCol w:w="1347"/>
        <w:gridCol w:w="7731"/>
      </w:tblGrid>
      <w:tr w14:paraId="4FB8B8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2" w:type="pct"/>
            <w:vAlign w:val="center"/>
          </w:tcPr>
          <w:p w14:paraId="2E0D161A">
            <w:pPr>
              <w:spacing w:line="360" w:lineRule="auto"/>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序号</w:t>
            </w:r>
          </w:p>
        </w:tc>
        <w:tc>
          <w:tcPr>
            <w:tcW w:w="676" w:type="pct"/>
            <w:vAlign w:val="center"/>
          </w:tcPr>
          <w:p w14:paraId="4715AAED">
            <w:pPr>
              <w:spacing w:line="360" w:lineRule="auto"/>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功能模块</w:t>
            </w:r>
          </w:p>
        </w:tc>
        <w:tc>
          <w:tcPr>
            <w:tcW w:w="3881" w:type="pct"/>
            <w:vAlign w:val="center"/>
          </w:tcPr>
          <w:p w14:paraId="254B2AE1">
            <w:pPr>
              <w:spacing w:line="360" w:lineRule="auto"/>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技术要求</w:t>
            </w:r>
          </w:p>
        </w:tc>
      </w:tr>
      <w:tr w14:paraId="61EBF7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442" w:type="pct"/>
            <w:tcBorders>
              <w:bottom w:val="single" w:color="auto" w:sz="4" w:space="0"/>
            </w:tcBorders>
            <w:vAlign w:val="center"/>
          </w:tcPr>
          <w:p w14:paraId="7C9D3458">
            <w:pPr>
              <w:pStyle w:val="92"/>
              <w:numPr>
                <w:ilvl w:val="0"/>
                <w:numId w:val="42"/>
              </w:numPr>
              <w:spacing w:line="360" w:lineRule="auto"/>
              <w:ind w:firstLineChars="0"/>
              <w:jc w:val="center"/>
              <w:rPr>
                <w:rFonts w:ascii="宋体" w:hAnsi="宋体" w:cs="宋体"/>
                <w:color w:val="000000" w:themeColor="text1"/>
                <w:kern w:val="0"/>
                <w:szCs w:val="21"/>
                <w14:textFill>
                  <w14:solidFill>
                    <w14:schemeClr w14:val="tx1"/>
                  </w14:solidFill>
                </w14:textFill>
              </w:rPr>
            </w:pPr>
          </w:p>
        </w:tc>
        <w:tc>
          <w:tcPr>
            <w:tcW w:w="676" w:type="pct"/>
            <w:tcBorders>
              <w:bottom w:val="single" w:color="auto" w:sz="4" w:space="0"/>
            </w:tcBorders>
            <w:vAlign w:val="center"/>
          </w:tcPr>
          <w:p w14:paraId="35EE18E4">
            <w:pPr>
              <w:spacing w:line="360" w:lineRule="auto"/>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流程管理</w:t>
            </w:r>
          </w:p>
        </w:tc>
        <w:tc>
          <w:tcPr>
            <w:tcW w:w="3881" w:type="pct"/>
            <w:tcBorders>
              <w:bottom w:val="single" w:color="auto" w:sz="4" w:space="0"/>
            </w:tcBorders>
            <w:vAlign w:val="center"/>
          </w:tcPr>
          <w:p w14:paraId="0A3DC5AA">
            <w:pPr>
              <w:pStyle w:val="92"/>
              <w:numPr>
                <w:ilvl w:val="0"/>
                <w:numId w:val="4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 支持建立康复门诊、康复住院闭环管理流程，包含建档、评估、治疗流程、结案归档。</w:t>
            </w:r>
          </w:p>
          <w:p w14:paraId="7ED4AE45">
            <w:pPr>
              <w:pStyle w:val="92"/>
              <w:numPr>
                <w:ilvl w:val="0"/>
                <w:numId w:val="4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支持监管患者诊疗进度，收录患者从入院到出院各阶段的诊疗数据集中展示。</w:t>
            </w:r>
          </w:p>
          <w:p w14:paraId="402E9104">
            <w:pPr>
              <w:pStyle w:val="92"/>
              <w:numPr>
                <w:ilvl w:val="0"/>
                <w:numId w:val="4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具备业务流程定位功能，支持定位患者当前诊疗的流程阶段</w:t>
            </w:r>
            <w:r>
              <w:rPr>
                <w:rStyle w:val="44"/>
                <w:rFonts w:hint="eastAsia" w:ascii="宋体" w:hAnsi="宋体" w:cs="宋体"/>
                <w:color w:val="000000" w:themeColor="text1"/>
                <w14:textFill>
                  <w14:solidFill>
                    <w14:schemeClr w14:val="tx1"/>
                  </w14:solidFill>
                </w14:textFill>
              </w:rPr>
              <w:t>。</w:t>
            </w:r>
          </w:p>
          <w:p w14:paraId="0681598F">
            <w:pPr>
              <w:pStyle w:val="92"/>
              <w:numPr>
                <w:ilvl w:val="0"/>
                <w:numId w:val="43"/>
              </w:numPr>
              <w:spacing w:line="360" w:lineRule="auto"/>
              <w:ind w:firstLineChars="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具备流程时间监管功能，支持在流程节点上呈现各诊疗业务开展的具体日期</w:t>
            </w:r>
            <w:r>
              <w:rPr>
                <w:rFonts w:hint="eastAsia" w:ascii="宋体" w:hAnsi="宋体" w:cs="宋体"/>
                <w:color w:val="000000" w:themeColor="text1"/>
                <w:szCs w:val="21"/>
                <w14:textFill>
                  <w14:solidFill>
                    <w14:schemeClr w14:val="tx1"/>
                  </w14:solidFill>
                </w14:textFill>
              </w:rPr>
              <w:t>。</w:t>
            </w:r>
          </w:p>
        </w:tc>
      </w:tr>
      <w:tr w14:paraId="73AF4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2" w:type="pct"/>
            <w:tcBorders>
              <w:bottom w:val="single" w:color="auto" w:sz="4" w:space="0"/>
            </w:tcBorders>
            <w:vAlign w:val="center"/>
          </w:tcPr>
          <w:p w14:paraId="3480F9FA">
            <w:pPr>
              <w:pStyle w:val="92"/>
              <w:numPr>
                <w:ilvl w:val="0"/>
                <w:numId w:val="42"/>
              </w:numPr>
              <w:spacing w:line="360" w:lineRule="auto"/>
              <w:ind w:firstLineChars="0"/>
              <w:jc w:val="center"/>
              <w:rPr>
                <w:rFonts w:ascii="宋体" w:hAnsi="宋体" w:cs="宋体"/>
                <w:color w:val="000000" w:themeColor="text1"/>
                <w:kern w:val="0"/>
                <w:szCs w:val="21"/>
                <w14:textFill>
                  <w14:solidFill>
                    <w14:schemeClr w14:val="tx1"/>
                  </w14:solidFill>
                </w14:textFill>
              </w:rPr>
            </w:pPr>
          </w:p>
        </w:tc>
        <w:tc>
          <w:tcPr>
            <w:tcW w:w="676" w:type="pct"/>
            <w:tcBorders>
              <w:top w:val="single" w:color="auto" w:sz="4" w:space="0"/>
              <w:left w:val="single" w:color="auto" w:sz="4" w:space="0"/>
              <w:bottom w:val="single" w:color="auto" w:sz="4" w:space="0"/>
              <w:right w:val="nil"/>
            </w:tcBorders>
            <w:shd w:val="clear" w:color="auto" w:fill="auto"/>
            <w:vAlign w:val="center"/>
          </w:tcPr>
          <w:p w14:paraId="5302C7AE">
            <w:pPr>
              <w:spacing w:line="360" w:lineRule="auto"/>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患者管理</w:t>
            </w:r>
          </w:p>
        </w:tc>
        <w:tc>
          <w:tcPr>
            <w:tcW w:w="3881" w:type="pct"/>
            <w:tcBorders>
              <w:top w:val="single" w:color="auto" w:sz="4" w:space="0"/>
              <w:left w:val="single" w:color="auto" w:sz="4" w:space="0"/>
              <w:bottom w:val="single" w:color="auto" w:sz="4" w:space="0"/>
              <w:right w:val="single" w:color="auto" w:sz="4" w:space="0"/>
            </w:tcBorders>
            <w:shd w:val="clear" w:color="auto" w:fill="auto"/>
            <w:vAlign w:val="center"/>
          </w:tcPr>
          <w:p w14:paraId="2CB35293">
            <w:pPr>
              <w:pStyle w:val="92"/>
              <w:numPr>
                <w:ilvl w:val="0"/>
                <w:numId w:val="4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对接HIS系统，获取患者信息；支持录入患者信息，及患者信息编辑。患者信息包含身份信息、疾病、诊疗等信息，支持建立患者档案。</w:t>
            </w:r>
          </w:p>
          <w:p w14:paraId="7673AE9C">
            <w:pPr>
              <w:pStyle w:val="92"/>
              <w:numPr>
                <w:ilvl w:val="0"/>
                <w:numId w:val="4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支持集成平台系统对接，自动进行患者建档。</w:t>
            </w:r>
          </w:p>
          <w:p w14:paraId="4EFE9560">
            <w:pPr>
              <w:pStyle w:val="92"/>
              <w:numPr>
                <w:ilvl w:val="0"/>
                <w:numId w:val="4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提供患者管理功能，支持以名片、列表两种方式进行管理。</w:t>
            </w:r>
          </w:p>
          <w:p w14:paraId="17B563B6">
            <w:pPr>
              <w:pStyle w:val="92"/>
              <w:numPr>
                <w:ilvl w:val="0"/>
                <w:numId w:val="4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支持名片方式进行管理，名片上需包含患者来源、患者标记、患者身份、费用余额、就诊信息、功能障碍等信息。</w:t>
            </w:r>
          </w:p>
          <w:p w14:paraId="24BEFCCF">
            <w:pPr>
              <w:pStyle w:val="92"/>
              <w:numPr>
                <w:ilvl w:val="0"/>
                <w:numId w:val="4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支持列表方式进行管理，集成治疗团队管理、患者标记、康复病历夹、康复看板、康复目标、康复评估、治疗执行、评估建议、治疗建议、康复文书、家庭训练、家庭随访等相关功能。</w:t>
            </w:r>
          </w:p>
          <w:p w14:paraId="4DF553CF">
            <w:pPr>
              <w:pStyle w:val="92"/>
              <w:numPr>
                <w:ilvl w:val="0"/>
                <w:numId w:val="4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支持未对接集成平台或his系统，手动进行患者建档，支持拍照进行患者信息录入。</w:t>
            </w:r>
          </w:p>
          <w:p w14:paraId="579D1865">
            <w:pPr>
              <w:pStyle w:val="92"/>
              <w:numPr>
                <w:ilvl w:val="0"/>
                <w:numId w:val="4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支持患者基本信息，就诊信息，诊断信息，评估信息，治疗信息等展示。</w:t>
            </w:r>
          </w:p>
          <w:p w14:paraId="40BDBF9F">
            <w:pPr>
              <w:pStyle w:val="92"/>
              <w:numPr>
                <w:ilvl w:val="0"/>
                <w:numId w:val="4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支持患者历史就诊信息，历史诊断信息，历史评估信息，历史治疗信息等展示。</w:t>
            </w:r>
          </w:p>
          <w:p w14:paraId="4A6D03F0">
            <w:pPr>
              <w:pStyle w:val="92"/>
              <w:numPr>
                <w:ilvl w:val="0"/>
                <w:numId w:val="4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支持跳转查看患者his档案及电子病历。</w:t>
            </w:r>
          </w:p>
          <w:p w14:paraId="533CEB79">
            <w:pPr>
              <w:pStyle w:val="92"/>
              <w:numPr>
                <w:ilvl w:val="0"/>
                <w:numId w:val="4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支持评估结果查看，支持评估资料查看及对比。</w:t>
            </w:r>
          </w:p>
          <w:p w14:paraId="63226044">
            <w:pPr>
              <w:pStyle w:val="92"/>
              <w:numPr>
                <w:ilvl w:val="0"/>
                <w:numId w:val="4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支持查看患者治疗排程表，支持打印患者排程表。</w:t>
            </w:r>
          </w:p>
          <w:p w14:paraId="38D3EC57">
            <w:pPr>
              <w:pStyle w:val="92"/>
              <w:numPr>
                <w:ilvl w:val="0"/>
                <w:numId w:val="4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对接医院现有无纸化归档系统，支持自动归档及手动归档</w:t>
            </w:r>
            <w:r>
              <w:rPr>
                <w:rFonts w:hint="eastAsia" w:ascii="宋体" w:hAnsi="宋体" w:cs="宋体"/>
                <w:color w:val="000000" w:themeColor="text1"/>
                <w:szCs w:val="21"/>
                <w14:textFill>
                  <w14:solidFill>
                    <w14:schemeClr w14:val="tx1"/>
                  </w14:solidFill>
                </w14:textFill>
              </w:rPr>
              <w:t>。</w:t>
            </w:r>
          </w:p>
          <w:p w14:paraId="351EA511">
            <w:pPr>
              <w:pStyle w:val="92"/>
              <w:numPr>
                <w:ilvl w:val="0"/>
                <w:numId w:val="43"/>
              </w:numPr>
              <w:spacing w:line="360" w:lineRule="auto"/>
              <w:ind w:firstLineChars="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w:t>
            </w:r>
            <w:r>
              <w:rPr>
                <w:rFonts w:hint="eastAsia" w:ascii="宋体" w:hAnsi="宋体" w:cs="宋体"/>
                <w:color w:val="000000" w:themeColor="text1"/>
                <w:szCs w:val="21"/>
                <w14:textFill>
                  <w14:solidFill>
                    <w14:schemeClr w14:val="tx1"/>
                  </w14:solidFill>
                </w14:textFill>
              </w:rPr>
              <w:t>康复闭环数据推送后，进行康复闭环流程图展示</w:t>
            </w:r>
            <w:r>
              <w:rPr>
                <w:rStyle w:val="44"/>
                <w:rFonts w:hint="eastAsia" w:ascii="宋体" w:hAnsi="宋体" w:cs="宋体"/>
                <w:color w:val="000000" w:themeColor="text1"/>
                <w14:textFill>
                  <w14:solidFill>
                    <w14:schemeClr w14:val="tx1"/>
                  </w14:solidFill>
                </w14:textFill>
              </w:rPr>
              <w:t>。</w:t>
            </w:r>
          </w:p>
          <w:p w14:paraId="0FD132C6">
            <w:pPr>
              <w:pStyle w:val="92"/>
              <w:numPr>
                <w:ilvl w:val="0"/>
                <w:numId w:val="0"/>
              </w:numPr>
              <w:spacing w:line="360" w:lineRule="auto"/>
              <w:ind w:leftChars="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lang w:eastAsia="zh-CN"/>
                <w14:textFill>
                  <w14:solidFill>
                    <w14:schemeClr w14:val="tx1"/>
                  </w14:solidFill>
                </w14:textFill>
              </w:rPr>
              <w:t>注：</w:t>
            </w:r>
            <w:r>
              <w:rPr>
                <w:rFonts w:hint="eastAsia" w:ascii="宋体" w:hAnsi="宋体" w:cs="宋体"/>
                <w:color w:val="000000" w:themeColor="text1"/>
                <w:szCs w:val="21"/>
                <w14:textFill>
                  <w14:solidFill>
                    <w14:schemeClr w14:val="tx1"/>
                  </w14:solidFill>
                </w14:textFill>
              </w:rPr>
              <w:t>建设软件功能需提供具有CNAS</w:t>
            </w:r>
            <w:r>
              <w:rPr>
                <w:rFonts w:hint="eastAsia" w:ascii="宋体" w:hAnsi="宋体" w:cs="宋体"/>
                <w:color w:val="000000" w:themeColor="text1"/>
                <w:kern w:val="0"/>
                <w:szCs w:val="21"/>
                <w14:textFill>
                  <w14:solidFill>
                    <w14:schemeClr w14:val="tx1"/>
                  </w14:solidFill>
                </w14:textFill>
              </w:rPr>
              <w:t>或CMA认证资质的检测机构出具的相关测试报告证明具备系统功能要求。</w:t>
            </w:r>
          </w:p>
        </w:tc>
      </w:tr>
      <w:tr w14:paraId="1CB7C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2" w:type="pct"/>
            <w:tcBorders>
              <w:top w:val="single" w:color="auto" w:sz="4" w:space="0"/>
              <w:left w:val="single" w:color="auto" w:sz="4" w:space="0"/>
              <w:bottom w:val="single" w:color="auto" w:sz="4" w:space="0"/>
              <w:right w:val="single" w:color="auto" w:sz="4" w:space="0"/>
            </w:tcBorders>
            <w:vAlign w:val="center"/>
          </w:tcPr>
          <w:p w14:paraId="2545ED2F">
            <w:pPr>
              <w:pStyle w:val="92"/>
              <w:numPr>
                <w:ilvl w:val="0"/>
                <w:numId w:val="42"/>
              </w:numPr>
              <w:spacing w:line="360" w:lineRule="auto"/>
              <w:ind w:firstLineChars="0"/>
              <w:jc w:val="center"/>
              <w:rPr>
                <w:rFonts w:ascii="宋体" w:hAnsi="宋体" w:cs="宋体"/>
                <w:color w:val="000000" w:themeColor="text1"/>
                <w:kern w:val="0"/>
                <w:szCs w:val="21"/>
                <w14:textFill>
                  <w14:solidFill>
                    <w14:schemeClr w14:val="tx1"/>
                  </w14:solidFill>
                </w14:textFill>
              </w:rPr>
            </w:pPr>
          </w:p>
        </w:tc>
        <w:tc>
          <w:tcPr>
            <w:tcW w:w="676" w:type="pct"/>
            <w:tcBorders>
              <w:top w:val="single" w:color="auto" w:sz="4" w:space="0"/>
              <w:left w:val="single" w:color="auto" w:sz="4" w:space="0"/>
              <w:bottom w:val="single" w:color="auto" w:sz="4" w:space="0"/>
              <w:right w:val="single" w:color="auto" w:sz="4" w:space="0"/>
            </w:tcBorders>
            <w:shd w:val="clear" w:color="auto" w:fill="auto"/>
            <w:vAlign w:val="center"/>
          </w:tcPr>
          <w:p w14:paraId="06A8E80A">
            <w:pPr>
              <w:spacing w:line="360" w:lineRule="auto"/>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评估管理</w:t>
            </w:r>
          </w:p>
        </w:tc>
        <w:tc>
          <w:tcPr>
            <w:tcW w:w="3881" w:type="pct"/>
            <w:tcBorders>
              <w:top w:val="single" w:color="auto" w:sz="4" w:space="0"/>
              <w:left w:val="single" w:color="auto" w:sz="4" w:space="0"/>
              <w:bottom w:val="single" w:color="auto" w:sz="4" w:space="0"/>
              <w:right w:val="single" w:color="auto" w:sz="4" w:space="0"/>
            </w:tcBorders>
            <w:shd w:val="clear" w:color="auto" w:fill="auto"/>
            <w:vAlign w:val="center"/>
          </w:tcPr>
          <w:p w14:paraId="18DA7172">
            <w:pPr>
              <w:pStyle w:val="92"/>
              <w:numPr>
                <w:ilvl w:val="0"/>
                <w:numId w:val="44"/>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支持对接集成平台或his系统，提取医生下达的评估医嘱，自动创建评估方案，支持再编辑。</w:t>
            </w:r>
          </w:p>
          <w:p w14:paraId="0F3EE388">
            <w:pPr>
              <w:pStyle w:val="92"/>
              <w:numPr>
                <w:ilvl w:val="0"/>
                <w:numId w:val="44"/>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支持新医嘱下达提醒，具备语音播报功能</w:t>
            </w:r>
            <w:r>
              <w:rPr>
                <w:rFonts w:hint="eastAsia" w:ascii="宋体" w:hAnsi="宋体" w:cs="宋体"/>
                <w:color w:val="000000" w:themeColor="text1"/>
                <w:szCs w:val="21"/>
                <w14:textFill>
                  <w14:solidFill>
                    <w14:schemeClr w14:val="tx1"/>
                  </w14:solidFill>
                </w14:textFill>
              </w:rPr>
              <w:t>。</w:t>
            </w:r>
          </w:p>
          <w:p w14:paraId="7AAB85F6">
            <w:pPr>
              <w:pStyle w:val="92"/>
              <w:numPr>
                <w:ilvl w:val="0"/>
                <w:numId w:val="44"/>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支持已排程的评估任务进行取消、转派操作。</w:t>
            </w:r>
          </w:p>
          <w:p w14:paraId="213F18FE">
            <w:pPr>
              <w:pStyle w:val="92"/>
              <w:numPr>
                <w:ilvl w:val="0"/>
                <w:numId w:val="44"/>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支持查看已分派医嘱及未分派医嘱。</w:t>
            </w:r>
          </w:p>
          <w:p w14:paraId="0CAE8E09">
            <w:pPr>
              <w:pStyle w:val="92"/>
              <w:numPr>
                <w:ilvl w:val="0"/>
                <w:numId w:val="44"/>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可定制电子评估报告，支持电子评估报告的移动操作，结构化数据录入</w:t>
            </w:r>
            <w:r>
              <w:rPr>
                <w:rFonts w:hint="eastAsia" w:ascii="宋体" w:hAnsi="宋体" w:cs="宋体"/>
                <w:color w:val="000000" w:themeColor="text1"/>
                <w:szCs w:val="21"/>
                <w14:textFill>
                  <w14:solidFill>
                    <w14:schemeClr w14:val="tx1"/>
                  </w14:solidFill>
                </w14:textFill>
              </w:rPr>
              <w:t>。</w:t>
            </w:r>
          </w:p>
          <w:p w14:paraId="1F8BA6DE">
            <w:pPr>
              <w:pStyle w:val="92"/>
              <w:numPr>
                <w:ilvl w:val="0"/>
                <w:numId w:val="44"/>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支持评估分派或评估任务执行时查看患者档案。</w:t>
            </w:r>
          </w:p>
          <w:p w14:paraId="4B8D63F2">
            <w:pPr>
              <w:pStyle w:val="92"/>
              <w:numPr>
                <w:ilvl w:val="0"/>
                <w:numId w:val="44"/>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支持按病种进行评估方案的生成，方案包含国内/国际通用量表</w:t>
            </w:r>
            <w:r>
              <w:rPr>
                <w:rFonts w:hint="eastAsia" w:ascii="宋体" w:hAnsi="宋体" w:cs="宋体"/>
                <w:color w:val="000000" w:themeColor="text1"/>
                <w:szCs w:val="21"/>
                <w14:textFill>
                  <w14:solidFill>
                    <w14:schemeClr w14:val="tx1"/>
                  </w14:solidFill>
                </w14:textFill>
              </w:rPr>
              <w:t>。</w:t>
            </w:r>
          </w:p>
          <w:p w14:paraId="0A4017D4">
            <w:pPr>
              <w:pStyle w:val="92"/>
              <w:numPr>
                <w:ilvl w:val="0"/>
                <w:numId w:val="44"/>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支持评定量表的编辑、删除 、查看、保存、打印。</w:t>
            </w:r>
          </w:p>
          <w:p w14:paraId="57DEDC7B">
            <w:pPr>
              <w:pStyle w:val="92"/>
              <w:numPr>
                <w:ilvl w:val="0"/>
                <w:numId w:val="44"/>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支持评定报告的编辑、保存、打印、导出、查看</w:t>
            </w:r>
          </w:p>
          <w:p w14:paraId="1BBD4AEE">
            <w:pPr>
              <w:pStyle w:val="92"/>
              <w:numPr>
                <w:ilvl w:val="0"/>
                <w:numId w:val="44"/>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支持评估量表自动计算。</w:t>
            </w:r>
          </w:p>
          <w:p w14:paraId="47F043AF">
            <w:pPr>
              <w:pStyle w:val="92"/>
              <w:numPr>
                <w:ilvl w:val="0"/>
                <w:numId w:val="44"/>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支持查看评定任务、评定状态、执行小组。</w:t>
            </w:r>
          </w:p>
          <w:p w14:paraId="67616564">
            <w:pPr>
              <w:pStyle w:val="92"/>
              <w:numPr>
                <w:ilvl w:val="0"/>
                <w:numId w:val="44"/>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提供丰富的常用评估量表、成人评估量表、儿童评估量表，以及提供量表定制功能、评估量表执行结果重置重新执行功能，评估量表取消功能、评估量表结果审核功能；提供专业的康复文书结构化评估报告可书写、编辑、重新设计、且报告模板可自定义定制。</w:t>
            </w:r>
          </w:p>
          <w:p w14:paraId="1E7B9ED9">
            <w:pPr>
              <w:pStyle w:val="92"/>
              <w:numPr>
                <w:ilvl w:val="0"/>
                <w:numId w:val="44"/>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提供评估量表和评估报告分别具有CA签名功能(UKey及移动端扫码签名)，提供评估量表结果文件对接归档系统及电子病历系统。</w:t>
            </w:r>
          </w:p>
          <w:p w14:paraId="0789A56E">
            <w:pPr>
              <w:pStyle w:val="92"/>
              <w:numPr>
                <w:ilvl w:val="0"/>
                <w:numId w:val="44"/>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具备疗效评估的三种对比分析方式，过程数据对比分析可支持数值和图形化两种呈现方式。</w:t>
            </w:r>
          </w:p>
          <w:p w14:paraId="469C2216">
            <w:pPr>
              <w:pStyle w:val="92"/>
              <w:numPr>
                <w:ilvl w:val="0"/>
                <w:numId w:val="44"/>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支持在评估执行界面展示近期检查/检验报告结果及历史检查/检验报告结果，包含超声及影像检查等，评估表可引用检查/检验报告结果。</w:t>
            </w:r>
          </w:p>
          <w:p w14:paraId="6ED47783">
            <w:pPr>
              <w:pStyle w:val="92"/>
              <w:numPr>
                <w:ilvl w:val="0"/>
                <w:numId w:val="44"/>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▲支持建立治疗方案知识库，根据评估结果进行智能治疗方案推送。</w:t>
            </w:r>
          </w:p>
          <w:p w14:paraId="67F9CE67">
            <w:pPr>
              <w:pStyle w:val="92"/>
              <w:spacing w:line="360" w:lineRule="auto"/>
              <w:ind w:firstLine="0" w:firstLineChars="0"/>
              <w:rPr>
                <w:rFonts w:ascii="宋体" w:hAnsi="宋体" w:cs="宋体"/>
                <w:b/>
                <w:bCs/>
                <w:color w:val="000000" w:themeColor="text1"/>
                <w:kern w:val="0"/>
                <w:szCs w:val="21"/>
                <w14:textFill>
                  <w14:solidFill>
                    <w14:schemeClr w14:val="tx1"/>
                  </w14:solidFill>
                </w14:textFill>
              </w:rPr>
            </w:pPr>
            <w:r>
              <w:rPr>
                <w:rFonts w:hint="eastAsia" w:ascii="宋体" w:hAnsi="宋体" w:cs="宋体"/>
                <w:b/>
                <w:bCs/>
                <w:color w:val="000000" w:themeColor="text1"/>
                <w:kern w:val="0"/>
                <w:szCs w:val="21"/>
                <w14:textFill>
                  <w14:solidFill>
                    <w14:schemeClr w14:val="tx1"/>
                  </w14:solidFill>
                </w14:textFill>
              </w:rPr>
              <w:t>患者初筛</w:t>
            </w:r>
          </w:p>
          <w:p w14:paraId="75704252">
            <w:pPr>
              <w:pStyle w:val="92"/>
              <w:numPr>
                <w:ilvl w:val="0"/>
                <w:numId w:val="45"/>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支持在不同院区或科室，对患者开展入院前进行初次功能健康评估筛查，平台可针对不同科室业务特点加载不同的筛查表单，筛查结果可为医生提供诊疗参考，对有康复需求的患者可同时展开临床康复评估。</w:t>
            </w:r>
          </w:p>
          <w:p w14:paraId="6EAD3C1F">
            <w:pPr>
              <w:pStyle w:val="92"/>
              <w:numPr>
                <w:ilvl w:val="0"/>
                <w:numId w:val="45"/>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支持查询患者。查询条件包含身份证号、患者编号（就诊卡）、病区、初评状态、在院出院状态</w:t>
            </w:r>
          </w:p>
          <w:p w14:paraId="06E866AE">
            <w:pPr>
              <w:pStyle w:val="92"/>
              <w:numPr>
                <w:ilvl w:val="0"/>
                <w:numId w:val="45"/>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支持对患者进行初次功能健康评估筛查。现有包含妇科、神内、神外、骨科类别。支持新增修改功能健康评估筛查表。</w:t>
            </w:r>
          </w:p>
          <w:p w14:paraId="0F79BBD6">
            <w:pPr>
              <w:pStyle w:val="92"/>
              <w:numPr>
                <w:ilvl w:val="0"/>
                <w:numId w:val="0"/>
              </w:numPr>
              <w:spacing w:line="360" w:lineRule="auto"/>
              <w:ind w:left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szCs w:val="21"/>
                <w:lang w:eastAsia="zh-CN"/>
                <w14:textFill>
                  <w14:solidFill>
                    <w14:schemeClr w14:val="tx1"/>
                  </w14:solidFill>
                </w14:textFill>
              </w:rPr>
              <w:t>注：</w:t>
            </w:r>
            <w:r>
              <w:rPr>
                <w:rFonts w:hint="eastAsia" w:ascii="宋体" w:hAnsi="宋体" w:cs="宋体"/>
                <w:color w:val="000000" w:themeColor="text1"/>
                <w:szCs w:val="21"/>
                <w14:textFill>
                  <w14:solidFill>
                    <w14:schemeClr w14:val="tx1"/>
                  </w14:solidFill>
                </w14:textFill>
              </w:rPr>
              <w:t>建设软件功能需提供具有CNAS</w:t>
            </w:r>
            <w:r>
              <w:rPr>
                <w:rFonts w:hint="eastAsia" w:ascii="宋体" w:hAnsi="宋体" w:cs="宋体"/>
                <w:color w:val="000000" w:themeColor="text1"/>
                <w:kern w:val="0"/>
                <w:szCs w:val="21"/>
                <w14:textFill>
                  <w14:solidFill>
                    <w14:schemeClr w14:val="tx1"/>
                  </w14:solidFill>
                </w14:textFill>
              </w:rPr>
              <w:t>或CMA认证资质的检测机构出具的相关测试报告证明具备系统功能要求。</w:t>
            </w:r>
          </w:p>
        </w:tc>
      </w:tr>
      <w:tr w14:paraId="1A22B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2" w:type="pct"/>
            <w:tcBorders>
              <w:top w:val="single" w:color="auto" w:sz="4" w:space="0"/>
            </w:tcBorders>
            <w:vAlign w:val="center"/>
          </w:tcPr>
          <w:p w14:paraId="514ACDEC">
            <w:pPr>
              <w:pStyle w:val="92"/>
              <w:numPr>
                <w:ilvl w:val="0"/>
                <w:numId w:val="42"/>
              </w:numPr>
              <w:spacing w:line="360" w:lineRule="auto"/>
              <w:ind w:firstLineChars="0"/>
              <w:jc w:val="center"/>
              <w:rPr>
                <w:rFonts w:ascii="宋体" w:hAnsi="宋体" w:cs="宋体"/>
                <w:color w:val="000000" w:themeColor="text1"/>
                <w:kern w:val="0"/>
                <w:szCs w:val="21"/>
                <w14:textFill>
                  <w14:solidFill>
                    <w14:schemeClr w14:val="tx1"/>
                  </w14:solidFill>
                </w14:textFill>
              </w:rPr>
            </w:pPr>
          </w:p>
        </w:tc>
        <w:tc>
          <w:tcPr>
            <w:tcW w:w="676" w:type="pct"/>
            <w:tcBorders>
              <w:top w:val="single" w:color="auto" w:sz="4" w:space="0"/>
              <w:left w:val="single" w:color="auto" w:sz="4" w:space="0"/>
              <w:bottom w:val="single" w:color="auto" w:sz="4" w:space="0"/>
              <w:right w:val="nil"/>
            </w:tcBorders>
            <w:shd w:val="clear" w:color="auto" w:fill="auto"/>
            <w:vAlign w:val="center"/>
          </w:tcPr>
          <w:p w14:paraId="3DCAB79E">
            <w:pPr>
              <w:spacing w:line="360" w:lineRule="auto"/>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治疗管理</w:t>
            </w:r>
          </w:p>
        </w:tc>
        <w:tc>
          <w:tcPr>
            <w:tcW w:w="3881" w:type="pct"/>
            <w:tcBorders>
              <w:top w:val="single" w:color="auto" w:sz="4" w:space="0"/>
              <w:left w:val="single" w:color="auto" w:sz="4" w:space="0"/>
              <w:bottom w:val="single" w:color="auto" w:sz="4" w:space="0"/>
              <w:right w:val="single" w:color="auto" w:sz="4" w:space="0"/>
            </w:tcBorders>
            <w:shd w:val="clear" w:color="auto" w:fill="auto"/>
            <w:vAlign w:val="center"/>
          </w:tcPr>
          <w:p w14:paraId="24F2FCEB">
            <w:pPr>
              <w:pStyle w:val="92"/>
              <w:numPr>
                <w:ilvl w:val="0"/>
                <w:numId w:val="46"/>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支持对接HIS系统，提取医生下达的治疗医嘱，进行治疗方案制定</w:t>
            </w:r>
          </w:p>
          <w:p w14:paraId="18DD9904">
            <w:pPr>
              <w:pStyle w:val="92"/>
              <w:numPr>
                <w:ilvl w:val="0"/>
                <w:numId w:val="46"/>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支持治疗分组管理，支持治疗医嘱分组推送</w:t>
            </w:r>
          </w:p>
          <w:p w14:paraId="0843F989">
            <w:pPr>
              <w:pStyle w:val="92"/>
              <w:numPr>
                <w:ilvl w:val="0"/>
                <w:numId w:val="46"/>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支持已排程的治疗任务进行完成操作及信息记录、未完成操作及信息记录、取消操作、临时转派操作、长期转派操作等</w:t>
            </w:r>
          </w:p>
          <w:p w14:paraId="32C8B065">
            <w:pPr>
              <w:pStyle w:val="92"/>
              <w:numPr>
                <w:ilvl w:val="0"/>
                <w:numId w:val="46"/>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支持治疗分派或治疗任务执行时查看患者档案</w:t>
            </w:r>
          </w:p>
          <w:p w14:paraId="5823F24C">
            <w:pPr>
              <w:pStyle w:val="92"/>
              <w:numPr>
                <w:ilvl w:val="0"/>
                <w:numId w:val="46"/>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支持治疗医嘱组合分派</w:t>
            </w:r>
          </w:p>
          <w:p w14:paraId="7613451E">
            <w:pPr>
              <w:pStyle w:val="92"/>
              <w:numPr>
                <w:ilvl w:val="0"/>
                <w:numId w:val="46"/>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支持自定义治疗项目名称</w:t>
            </w:r>
          </w:p>
          <w:p w14:paraId="5C4F853C">
            <w:pPr>
              <w:pStyle w:val="92"/>
              <w:numPr>
                <w:ilvl w:val="0"/>
                <w:numId w:val="46"/>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支持查看已分派医嘱及未分派医嘱</w:t>
            </w:r>
          </w:p>
          <w:p w14:paraId="71B73A04">
            <w:pPr>
              <w:pStyle w:val="92"/>
              <w:numPr>
                <w:ilvl w:val="0"/>
                <w:numId w:val="46"/>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支持查看今日已执行治疗任务及未执行治疗任务</w:t>
            </w:r>
          </w:p>
          <w:p w14:paraId="1D39A8E3">
            <w:pPr>
              <w:pStyle w:val="92"/>
              <w:numPr>
                <w:ilvl w:val="0"/>
                <w:numId w:val="46"/>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支持治疗项目执行确认并关联HIS进行收费</w:t>
            </w:r>
          </w:p>
          <w:p w14:paraId="4810C2A3">
            <w:pPr>
              <w:pStyle w:val="92"/>
              <w:numPr>
                <w:ilvl w:val="0"/>
                <w:numId w:val="46"/>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支持治疗师操作权限和数据权限管理，只能执行自己所辖治疗区的项目</w:t>
            </w:r>
          </w:p>
          <w:p w14:paraId="4607CD91">
            <w:pPr>
              <w:pStyle w:val="92"/>
              <w:numPr>
                <w:ilvl w:val="0"/>
                <w:numId w:val="46"/>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支持治疗执行情况同步患者档案，医生可查看</w:t>
            </w:r>
          </w:p>
          <w:p w14:paraId="34661229">
            <w:pPr>
              <w:pStyle w:val="92"/>
              <w:numPr>
                <w:ilvl w:val="0"/>
                <w:numId w:val="46"/>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建立高风险知识库，根据诊断、治疗医嘱在治疗排程、执行过程中智能提醒治疗师高风险治疗项目。</w:t>
            </w:r>
          </w:p>
          <w:p w14:paraId="4AD38A9B">
            <w:pPr>
              <w:pStyle w:val="92"/>
              <w:numPr>
                <w:ilvl w:val="0"/>
                <w:numId w:val="46"/>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▲支持生成各类康复治疗记录单，可按医院要求免费定制各类治疗记录单模板；治疗记录单支持打印、导出等功能。</w:t>
            </w:r>
          </w:p>
          <w:p w14:paraId="307942BD">
            <w:pPr>
              <w:pStyle w:val="92"/>
              <w:numPr>
                <w:ilvl w:val="0"/>
                <w:numId w:val="46"/>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具备治疗执行收费功能，支持对接HIS同步收费；提供三种计费模式（按部/穴位收费、按治疗项目费用清单收费、按HIS医嘱费用清单收费）。</w:t>
            </w:r>
          </w:p>
          <w:p w14:paraId="37020BC0">
            <w:pPr>
              <w:pStyle w:val="92"/>
              <w:numPr>
                <w:ilvl w:val="0"/>
                <w:numId w:val="46"/>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具备自动对账功能，支持系统与HIS自动进行对账。</w:t>
            </w:r>
          </w:p>
          <w:p w14:paraId="64899C57">
            <w:pPr>
              <w:pStyle w:val="92"/>
              <w:numPr>
                <w:ilvl w:val="0"/>
                <w:numId w:val="46"/>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具备退费权限管控功能，可设置精细化退费权限，支持通过设置实现仅限本人操作退费的功能。</w:t>
            </w:r>
          </w:p>
          <w:p w14:paraId="0E3F9C69">
            <w:pPr>
              <w:pStyle w:val="92"/>
              <w:numPr>
                <w:ilvl w:val="0"/>
                <w:numId w:val="46"/>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具有治疗列表中限定次数提醒、执行截止提醒、医嘱停止提醒功能；支持治疗中模式功能，可精准管理治疗时长（可根据需求进行参数配置选择）。</w:t>
            </w:r>
          </w:p>
          <w:p w14:paraId="396023B7">
            <w:pPr>
              <w:pStyle w:val="92"/>
              <w:numPr>
                <w:ilvl w:val="0"/>
                <w:numId w:val="46"/>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具备治疗执行时可根据实际情况调整费用，再次治疗执行时在治疗备注中填写治疗结论功能，利用填写治疗备注，形成治疗记录单功能。</w:t>
            </w:r>
          </w:p>
          <w:p w14:paraId="3846E678">
            <w:pPr>
              <w:pStyle w:val="92"/>
              <w:numPr>
                <w:ilvl w:val="0"/>
                <w:numId w:val="46"/>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支持以治疗项目和医嘱两种方式进行治疗登记功能，且在以医嘱方式进行登记时支持根据需要写入治疗次数，简化治疗执行操作同时提升执行准确性。</w:t>
            </w:r>
          </w:p>
          <w:p w14:paraId="13044BE9">
            <w:pPr>
              <w:pStyle w:val="92"/>
              <w:numPr>
                <w:ilvl w:val="0"/>
                <w:numId w:val="46"/>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具备治疗记录进行视频上传功能，以便核准对比；可调用HIS接口完成计费，可集成HIS接口完成执行计费，也可绑定收费医嘱功能。</w:t>
            </w:r>
          </w:p>
          <w:p w14:paraId="26E0D39B">
            <w:pPr>
              <w:pStyle w:val="92"/>
              <w:numPr>
                <w:ilvl w:val="0"/>
                <w:numId w:val="46"/>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对治疗中的记录进行直接执行和批量完成两种方式，可进行查看、编辑、移除康复患者的责任治疗师功能，可打印执行清单功能；配置治疗排班方式可选，可分别根据治疗区、治疗师、治疗设备排班方式选择；具有患者异常情况提示功能。</w:t>
            </w:r>
          </w:p>
          <w:p w14:paraId="2DA81547">
            <w:pPr>
              <w:pStyle w:val="92"/>
              <w:numPr>
                <w:ilvl w:val="0"/>
                <w:numId w:val="0"/>
              </w:numPr>
              <w:spacing w:line="360" w:lineRule="auto"/>
              <w:ind w:left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szCs w:val="21"/>
                <w:lang w:eastAsia="zh-CN"/>
                <w14:textFill>
                  <w14:solidFill>
                    <w14:schemeClr w14:val="tx1"/>
                  </w14:solidFill>
                </w14:textFill>
              </w:rPr>
              <w:t>注：</w:t>
            </w:r>
            <w:r>
              <w:rPr>
                <w:rFonts w:hint="eastAsia" w:ascii="宋体" w:hAnsi="宋体" w:cs="宋体"/>
                <w:color w:val="000000" w:themeColor="text1"/>
                <w:szCs w:val="21"/>
                <w14:textFill>
                  <w14:solidFill>
                    <w14:schemeClr w14:val="tx1"/>
                  </w14:solidFill>
                </w14:textFill>
              </w:rPr>
              <w:t>建设软件功能需提供具有CNAS</w:t>
            </w:r>
            <w:r>
              <w:rPr>
                <w:rFonts w:hint="eastAsia" w:ascii="宋体" w:hAnsi="宋体" w:cs="宋体"/>
                <w:color w:val="000000" w:themeColor="text1"/>
                <w:kern w:val="0"/>
                <w:szCs w:val="21"/>
                <w14:textFill>
                  <w14:solidFill>
                    <w14:schemeClr w14:val="tx1"/>
                  </w14:solidFill>
                </w14:textFill>
              </w:rPr>
              <w:t>或CMA认证资质的检测机构出具的相关测试报告证明具备系统功能要求。</w:t>
            </w:r>
          </w:p>
        </w:tc>
      </w:tr>
      <w:tr w14:paraId="3DEF9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2" w:type="pct"/>
            <w:tcBorders>
              <w:top w:val="single" w:color="auto" w:sz="4" w:space="0"/>
            </w:tcBorders>
            <w:vAlign w:val="center"/>
          </w:tcPr>
          <w:p w14:paraId="3FD4851A">
            <w:pPr>
              <w:pStyle w:val="92"/>
              <w:numPr>
                <w:ilvl w:val="0"/>
                <w:numId w:val="42"/>
              </w:numPr>
              <w:spacing w:line="360" w:lineRule="auto"/>
              <w:ind w:firstLineChars="0"/>
              <w:jc w:val="center"/>
              <w:rPr>
                <w:rFonts w:ascii="宋体" w:hAnsi="宋体" w:cs="宋体"/>
                <w:color w:val="000000" w:themeColor="text1"/>
                <w:kern w:val="0"/>
                <w:szCs w:val="21"/>
                <w14:textFill>
                  <w14:solidFill>
                    <w14:schemeClr w14:val="tx1"/>
                  </w14:solidFill>
                </w14:textFill>
              </w:rPr>
            </w:pPr>
          </w:p>
        </w:tc>
        <w:tc>
          <w:tcPr>
            <w:tcW w:w="676" w:type="pct"/>
            <w:tcBorders>
              <w:top w:val="single" w:color="auto" w:sz="4" w:space="0"/>
              <w:left w:val="single" w:color="auto" w:sz="4" w:space="0"/>
              <w:bottom w:val="single" w:color="auto" w:sz="4" w:space="0"/>
              <w:right w:val="nil"/>
            </w:tcBorders>
            <w:shd w:val="clear" w:color="auto" w:fill="auto"/>
            <w:vAlign w:val="center"/>
          </w:tcPr>
          <w:p w14:paraId="5702FB74">
            <w:pPr>
              <w:spacing w:line="360" w:lineRule="auto"/>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排程管理</w:t>
            </w:r>
          </w:p>
        </w:tc>
        <w:tc>
          <w:tcPr>
            <w:tcW w:w="3881" w:type="pct"/>
            <w:tcBorders>
              <w:top w:val="single" w:color="auto" w:sz="4" w:space="0"/>
              <w:left w:val="single" w:color="auto" w:sz="4" w:space="0"/>
              <w:bottom w:val="single" w:color="auto" w:sz="4" w:space="0"/>
              <w:right w:val="single" w:color="auto" w:sz="4" w:space="0"/>
            </w:tcBorders>
            <w:shd w:val="clear" w:color="auto" w:fill="auto"/>
            <w:vAlign w:val="center"/>
          </w:tcPr>
          <w:p w14:paraId="28757625">
            <w:pPr>
              <w:pStyle w:val="92"/>
              <w:numPr>
                <w:ilvl w:val="0"/>
                <w:numId w:val="47"/>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支持评估排程、治疗排程。</w:t>
            </w:r>
          </w:p>
          <w:p w14:paraId="3D423D96">
            <w:pPr>
              <w:pStyle w:val="92"/>
              <w:numPr>
                <w:ilvl w:val="0"/>
                <w:numId w:val="47"/>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支持关联患者医嘱对应治疗项目、治疗师空点、治疗设备、治疗时间、治疗地点五个因素智能关联及人工排程。</w:t>
            </w:r>
          </w:p>
          <w:p w14:paraId="31417CA8">
            <w:pPr>
              <w:pStyle w:val="92"/>
              <w:numPr>
                <w:ilvl w:val="0"/>
                <w:numId w:val="47"/>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支持按自定义周期排程。</w:t>
            </w:r>
          </w:p>
          <w:p w14:paraId="385818B7">
            <w:pPr>
              <w:pStyle w:val="92"/>
              <w:numPr>
                <w:ilvl w:val="0"/>
                <w:numId w:val="47"/>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支持临时排程和长期排程。</w:t>
            </w:r>
          </w:p>
          <w:p w14:paraId="26B8FC99">
            <w:pPr>
              <w:pStyle w:val="92"/>
              <w:numPr>
                <w:ilvl w:val="0"/>
                <w:numId w:val="47"/>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支持对排程任务进行转派、取消操作。</w:t>
            </w:r>
          </w:p>
          <w:p w14:paraId="21BF4470">
            <w:pPr>
              <w:pStyle w:val="92"/>
              <w:numPr>
                <w:ilvl w:val="0"/>
                <w:numId w:val="47"/>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支持排程按治疗师、患者、设备、时间等不同维度查询。</w:t>
            </w:r>
          </w:p>
          <w:p w14:paraId="41B141C6">
            <w:pPr>
              <w:pStyle w:val="92"/>
              <w:numPr>
                <w:ilvl w:val="0"/>
                <w:numId w:val="47"/>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具备精细化排班模式功能，支持以时刻和时段两种方式进行精细化治疗安排（时刻：根据治疗时长自动组合以划分时刻实现治疗安排；时段：根据设置时段匹配治疗项目实现治疗安排）。</w:t>
            </w:r>
          </w:p>
          <w:p w14:paraId="48350E8A">
            <w:pPr>
              <w:pStyle w:val="92"/>
              <w:numPr>
                <w:ilvl w:val="0"/>
                <w:numId w:val="47"/>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治疗排班具备精细化排班和点位排班功能模块，可以根据不同医院不同场景自由选择精细排班或点位排班，排班模式支持日排班模式和周排班模式，周排班模式完全可由用户自定义一周内的某天排班工作或非排班工作。</w:t>
            </w:r>
          </w:p>
          <w:p w14:paraId="367B9428">
            <w:pPr>
              <w:pStyle w:val="92"/>
              <w:numPr>
                <w:ilvl w:val="0"/>
                <w:numId w:val="47"/>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排班功能模块可自定义节假日，自由设置节假日和调休日，排班数据会根据设置数据自由跳过自动生成；并支持占位功能，占住点位防止其他人抢占，其中占位类型由用户自定义。</w:t>
            </w:r>
          </w:p>
        </w:tc>
      </w:tr>
      <w:tr w14:paraId="6C4E7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2" w:type="pct"/>
            <w:tcBorders>
              <w:top w:val="single" w:color="auto" w:sz="4" w:space="0"/>
            </w:tcBorders>
            <w:vAlign w:val="center"/>
          </w:tcPr>
          <w:p w14:paraId="2C433AB4">
            <w:pPr>
              <w:pStyle w:val="92"/>
              <w:numPr>
                <w:ilvl w:val="0"/>
                <w:numId w:val="42"/>
              </w:numPr>
              <w:spacing w:line="360" w:lineRule="auto"/>
              <w:ind w:firstLineChars="0"/>
              <w:jc w:val="center"/>
              <w:rPr>
                <w:rFonts w:ascii="宋体" w:hAnsi="宋体" w:cs="宋体"/>
                <w:color w:val="000000" w:themeColor="text1"/>
                <w:kern w:val="0"/>
                <w:szCs w:val="21"/>
                <w14:textFill>
                  <w14:solidFill>
                    <w14:schemeClr w14:val="tx1"/>
                  </w14:solidFill>
                </w14:textFill>
              </w:rPr>
            </w:pPr>
          </w:p>
        </w:tc>
        <w:tc>
          <w:tcPr>
            <w:tcW w:w="676" w:type="pct"/>
            <w:tcBorders>
              <w:top w:val="single" w:color="auto" w:sz="4" w:space="0"/>
              <w:left w:val="single" w:color="auto" w:sz="4" w:space="0"/>
              <w:bottom w:val="single" w:color="auto" w:sz="4" w:space="0"/>
              <w:right w:val="nil"/>
            </w:tcBorders>
            <w:shd w:val="clear" w:color="auto" w:fill="auto"/>
            <w:vAlign w:val="center"/>
          </w:tcPr>
          <w:p w14:paraId="2A2FCEE7">
            <w:pPr>
              <w:spacing w:line="360" w:lineRule="auto"/>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可视化大屏</w:t>
            </w:r>
          </w:p>
        </w:tc>
        <w:tc>
          <w:tcPr>
            <w:tcW w:w="3881" w:type="pct"/>
            <w:tcBorders>
              <w:top w:val="single" w:color="auto" w:sz="4" w:space="0"/>
              <w:left w:val="single" w:color="auto" w:sz="4" w:space="0"/>
              <w:bottom w:val="single" w:color="auto" w:sz="4" w:space="0"/>
              <w:right w:val="single" w:color="auto" w:sz="4" w:space="0"/>
            </w:tcBorders>
            <w:shd w:val="clear" w:color="auto" w:fill="auto"/>
            <w:vAlign w:val="center"/>
          </w:tcPr>
          <w:p w14:paraId="072140A6">
            <w:pPr>
              <w:pStyle w:val="92"/>
              <w:numPr>
                <w:ilvl w:val="0"/>
                <w:numId w:val="48"/>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大屏项目管理：支持创建、修改、删除大屏项目，可编辑项目名称、科室信息，为大屏项目配置医务人员或设备信息，自动生成所选医务人员/设备的可视化排程信息大屏，按医务人员/设备实时展示当天排程信息。</w:t>
            </w:r>
          </w:p>
          <w:p w14:paraId="21B9D3C8">
            <w:pPr>
              <w:pStyle w:val="92"/>
              <w:numPr>
                <w:ilvl w:val="0"/>
                <w:numId w:val="48"/>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大屏项目分组：创建、修改、删除大屏项目分组，可编辑分组名称，选择已建大屏项目至分组，自动生成分组的可视化信息大屏，在分组大屏内轮播展示各项目的可视化排程信息，各项目大屏按医务人员/设备实时展示当天排程信息。</w:t>
            </w:r>
          </w:p>
          <w:p w14:paraId="70FE7153">
            <w:pPr>
              <w:pStyle w:val="92"/>
              <w:numPr>
                <w:ilvl w:val="0"/>
                <w:numId w:val="48"/>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支持患者治疗叫号</w:t>
            </w:r>
            <w:r>
              <w:rPr>
                <w:rFonts w:hint="eastAsia" w:ascii="宋体" w:hAnsi="宋体" w:cs="宋体"/>
                <w:color w:val="000000" w:themeColor="text1"/>
                <w:szCs w:val="21"/>
                <w14:textFill>
                  <w14:solidFill>
                    <w14:schemeClr w14:val="tx1"/>
                  </w14:solidFill>
                </w14:textFill>
              </w:rPr>
              <w:t>。</w:t>
            </w:r>
          </w:p>
        </w:tc>
      </w:tr>
      <w:tr w14:paraId="4F94C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442" w:type="pct"/>
            <w:tcBorders>
              <w:top w:val="single" w:color="auto" w:sz="4" w:space="0"/>
              <w:bottom w:val="single" w:color="auto" w:sz="4" w:space="0"/>
            </w:tcBorders>
            <w:vAlign w:val="center"/>
          </w:tcPr>
          <w:p w14:paraId="1A1A9E95">
            <w:pPr>
              <w:pStyle w:val="92"/>
              <w:numPr>
                <w:ilvl w:val="0"/>
                <w:numId w:val="42"/>
              </w:numPr>
              <w:spacing w:line="360" w:lineRule="auto"/>
              <w:ind w:firstLineChars="0"/>
              <w:jc w:val="center"/>
              <w:rPr>
                <w:rFonts w:ascii="宋体" w:hAnsi="宋体" w:cs="宋体"/>
                <w:color w:val="000000" w:themeColor="text1"/>
                <w:kern w:val="0"/>
                <w:szCs w:val="21"/>
                <w14:textFill>
                  <w14:solidFill>
                    <w14:schemeClr w14:val="tx1"/>
                  </w14:solidFill>
                </w14:textFill>
              </w:rPr>
            </w:pPr>
          </w:p>
        </w:tc>
        <w:tc>
          <w:tcPr>
            <w:tcW w:w="676" w:type="pct"/>
            <w:tcBorders>
              <w:top w:val="single" w:color="auto" w:sz="4" w:space="0"/>
              <w:left w:val="single" w:color="auto" w:sz="4" w:space="0"/>
              <w:bottom w:val="single" w:color="auto" w:sz="4" w:space="0"/>
              <w:right w:val="single" w:color="auto" w:sz="4" w:space="0"/>
            </w:tcBorders>
            <w:shd w:val="clear" w:color="auto" w:fill="auto"/>
            <w:vAlign w:val="center"/>
          </w:tcPr>
          <w:p w14:paraId="0A428CEE">
            <w:pPr>
              <w:spacing w:line="360" w:lineRule="auto"/>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质控管理</w:t>
            </w:r>
          </w:p>
        </w:tc>
        <w:tc>
          <w:tcPr>
            <w:tcW w:w="3881" w:type="pct"/>
            <w:tcBorders>
              <w:top w:val="single" w:color="auto" w:sz="4" w:space="0"/>
              <w:left w:val="nil"/>
              <w:bottom w:val="single" w:color="auto" w:sz="4" w:space="0"/>
              <w:right w:val="single" w:color="auto" w:sz="4" w:space="0"/>
            </w:tcBorders>
            <w:shd w:val="clear" w:color="auto" w:fill="auto"/>
            <w:vAlign w:val="center"/>
          </w:tcPr>
          <w:p w14:paraId="36252EEC">
            <w:pPr>
              <w:pStyle w:val="92"/>
              <w:numPr>
                <w:ilvl w:val="0"/>
                <w:numId w:val="49"/>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采集康复诊疗数据，按质控要求，对患者初、中、末期康复评估数据；治疗组初、中、末期评估数据；评估业务量数据；质控逾期提醒数据；治疗有效率数据；进行监测分析，可多维度查看图表图形数据。</w:t>
            </w:r>
          </w:p>
          <w:p w14:paraId="4B85F0DF">
            <w:pPr>
              <w:pStyle w:val="92"/>
              <w:numPr>
                <w:ilvl w:val="0"/>
                <w:numId w:val="49"/>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按要求格式向医院提供医疗质量管理控制情况数据导出下载，便于医院进行质控数据的上报。</w:t>
            </w:r>
          </w:p>
          <w:p w14:paraId="6C766C62">
            <w:pPr>
              <w:pStyle w:val="92"/>
              <w:numPr>
                <w:ilvl w:val="0"/>
                <w:numId w:val="49"/>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支持根据康复医学专业医疗质量控制指标(2022版)对接his系统、电子病历等提取数据。</w:t>
            </w:r>
          </w:p>
          <w:p w14:paraId="1628CF7C">
            <w:pPr>
              <w:pStyle w:val="92"/>
              <w:numPr>
                <w:ilvl w:val="0"/>
                <w:numId w:val="49"/>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支持分类显示康复医学专业医疗质量控制22个指标，查看康复医学专业医疗质量控制指标数据详情</w:t>
            </w:r>
            <w:r>
              <w:rPr>
                <w:rFonts w:hint="eastAsia" w:ascii="宋体" w:hAnsi="宋体" w:cs="宋体"/>
                <w:color w:val="000000" w:themeColor="text1"/>
                <w:szCs w:val="21"/>
                <w14:textFill>
                  <w14:solidFill>
                    <w14:schemeClr w14:val="tx1"/>
                  </w14:solidFill>
                </w14:textFill>
              </w:rPr>
              <w:t>。</w:t>
            </w:r>
          </w:p>
          <w:p w14:paraId="36AC8078">
            <w:pPr>
              <w:pStyle w:val="92"/>
              <w:numPr>
                <w:ilvl w:val="0"/>
                <w:numId w:val="49"/>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支持按月提取康复医学专业医疗质量控制指标(最新版本)表单。</w:t>
            </w:r>
          </w:p>
          <w:p w14:paraId="12C94CD2">
            <w:pPr>
              <w:pStyle w:val="92"/>
              <w:numPr>
                <w:ilvl w:val="0"/>
                <w:numId w:val="49"/>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支持导出、下载康复医学专业医疗质量控制指标(最新版本)表单。</w:t>
            </w:r>
          </w:p>
        </w:tc>
      </w:tr>
      <w:tr w14:paraId="56FF8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0" w:hRule="atLeast"/>
          <w:jc w:val="center"/>
        </w:trPr>
        <w:tc>
          <w:tcPr>
            <w:tcW w:w="442" w:type="pct"/>
            <w:tcBorders>
              <w:top w:val="single" w:color="auto" w:sz="4" w:space="0"/>
              <w:bottom w:val="single" w:color="auto" w:sz="4" w:space="0"/>
            </w:tcBorders>
            <w:vAlign w:val="center"/>
          </w:tcPr>
          <w:p w14:paraId="192B029A">
            <w:pPr>
              <w:pStyle w:val="92"/>
              <w:numPr>
                <w:ilvl w:val="0"/>
                <w:numId w:val="42"/>
              </w:numPr>
              <w:spacing w:line="360" w:lineRule="auto"/>
              <w:ind w:firstLineChars="0"/>
              <w:jc w:val="center"/>
              <w:rPr>
                <w:rFonts w:ascii="宋体" w:hAnsi="宋体" w:cs="宋体"/>
                <w:color w:val="000000" w:themeColor="text1"/>
                <w:kern w:val="0"/>
                <w:szCs w:val="21"/>
                <w14:textFill>
                  <w14:solidFill>
                    <w14:schemeClr w14:val="tx1"/>
                  </w14:solidFill>
                </w14:textFill>
              </w:rPr>
            </w:pPr>
          </w:p>
        </w:tc>
        <w:tc>
          <w:tcPr>
            <w:tcW w:w="676" w:type="pct"/>
            <w:tcBorders>
              <w:top w:val="single" w:color="auto" w:sz="4" w:space="0"/>
              <w:left w:val="single" w:color="auto" w:sz="4" w:space="0"/>
              <w:bottom w:val="single" w:color="auto" w:sz="4" w:space="0"/>
              <w:right w:val="single" w:color="auto" w:sz="4" w:space="0"/>
            </w:tcBorders>
            <w:shd w:val="clear" w:color="auto" w:fill="auto"/>
            <w:vAlign w:val="center"/>
          </w:tcPr>
          <w:p w14:paraId="220F9774">
            <w:pPr>
              <w:spacing w:line="360" w:lineRule="auto"/>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宣教管理</w:t>
            </w:r>
          </w:p>
        </w:tc>
        <w:tc>
          <w:tcPr>
            <w:tcW w:w="3881" w:type="pct"/>
            <w:tcBorders>
              <w:top w:val="single" w:color="auto" w:sz="4" w:space="0"/>
              <w:left w:val="nil"/>
              <w:bottom w:val="single" w:color="auto" w:sz="4" w:space="0"/>
              <w:right w:val="single" w:color="auto" w:sz="4" w:space="0"/>
            </w:tcBorders>
            <w:shd w:val="clear" w:color="auto" w:fill="auto"/>
            <w:vAlign w:val="center"/>
          </w:tcPr>
          <w:p w14:paraId="4B31F7E2">
            <w:pPr>
              <w:pStyle w:val="92"/>
              <w:numPr>
                <w:ilvl w:val="0"/>
                <w:numId w:val="50"/>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具备宣教资料库业务应用，提供宣教资料的综合管理，宣教管理功能可根据不同受众为用户提供入院宣教、评估宣教、治疗宣教等多种宣教信息</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各类资料信息可通过模板定制。</w:t>
            </w:r>
          </w:p>
        </w:tc>
      </w:tr>
      <w:tr w14:paraId="0DE72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442" w:type="pct"/>
            <w:tcBorders>
              <w:top w:val="single" w:color="auto" w:sz="4" w:space="0"/>
              <w:bottom w:val="single" w:color="auto" w:sz="4" w:space="0"/>
            </w:tcBorders>
            <w:vAlign w:val="center"/>
          </w:tcPr>
          <w:p w14:paraId="233F3E53">
            <w:pPr>
              <w:pStyle w:val="92"/>
              <w:numPr>
                <w:ilvl w:val="0"/>
                <w:numId w:val="42"/>
              </w:numPr>
              <w:spacing w:line="360" w:lineRule="auto"/>
              <w:ind w:firstLineChars="0"/>
              <w:rPr>
                <w:rFonts w:ascii="宋体" w:hAnsi="宋体" w:cs="宋体"/>
                <w:color w:val="000000" w:themeColor="text1"/>
                <w:kern w:val="0"/>
                <w:szCs w:val="21"/>
                <w14:textFill>
                  <w14:solidFill>
                    <w14:schemeClr w14:val="tx1"/>
                  </w14:solidFill>
                </w14:textFill>
              </w:rPr>
            </w:pPr>
          </w:p>
        </w:tc>
        <w:tc>
          <w:tcPr>
            <w:tcW w:w="676" w:type="pct"/>
            <w:tcBorders>
              <w:top w:val="single" w:color="auto" w:sz="4" w:space="0"/>
              <w:left w:val="single" w:color="auto" w:sz="4" w:space="0"/>
              <w:bottom w:val="single" w:color="auto" w:sz="4" w:space="0"/>
              <w:right w:val="single" w:color="auto" w:sz="4" w:space="0"/>
            </w:tcBorders>
            <w:shd w:val="clear" w:color="auto" w:fill="auto"/>
            <w:vAlign w:val="center"/>
          </w:tcPr>
          <w:p w14:paraId="4C46C25B">
            <w:pPr>
              <w:spacing w:line="360" w:lineRule="auto"/>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康复文书</w:t>
            </w:r>
          </w:p>
        </w:tc>
        <w:tc>
          <w:tcPr>
            <w:tcW w:w="3881" w:type="pct"/>
            <w:tcBorders>
              <w:top w:val="single" w:color="auto" w:sz="4" w:space="0"/>
              <w:left w:val="nil"/>
              <w:bottom w:val="single" w:color="auto" w:sz="4" w:space="0"/>
              <w:right w:val="single" w:color="auto" w:sz="4" w:space="0"/>
            </w:tcBorders>
            <w:shd w:val="clear" w:color="auto" w:fill="auto"/>
            <w:vAlign w:val="center"/>
          </w:tcPr>
          <w:p w14:paraId="519AEC7B">
            <w:pPr>
              <w:pStyle w:val="92"/>
              <w:numPr>
                <w:ilvl w:val="0"/>
                <w:numId w:val="51"/>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支持电子病历书写功能，提供各类康复文书的编辑与存储功能。</w:t>
            </w:r>
          </w:p>
          <w:p w14:paraId="3F6F1934">
            <w:pPr>
              <w:pStyle w:val="92"/>
              <w:numPr>
                <w:ilvl w:val="0"/>
                <w:numId w:val="51"/>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具备康复数据电子病历结构化存储功能，支持文书内容结构化编辑与存储功能。</w:t>
            </w:r>
          </w:p>
          <w:p w14:paraId="2426B6A9">
            <w:pPr>
              <w:pStyle w:val="92"/>
              <w:numPr>
                <w:ilvl w:val="0"/>
                <w:numId w:val="51"/>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具备多种文书书写功能，支持轻量版与专业版两种电子文书撰写模式，并能实现数据无缝衔接。</w:t>
            </w:r>
          </w:p>
          <w:p w14:paraId="7C3A31E8">
            <w:pPr>
              <w:pStyle w:val="92"/>
              <w:numPr>
                <w:ilvl w:val="0"/>
                <w:numId w:val="51"/>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具备文书签名功能，提供多种文书签名方式：CA电脑端签名、CA扫码签名、移动APP手写签名，签名完成后支持验签。</w:t>
            </w:r>
          </w:p>
          <w:p w14:paraId="5F997A2E">
            <w:pPr>
              <w:pStyle w:val="92"/>
              <w:numPr>
                <w:ilvl w:val="0"/>
                <w:numId w:val="51"/>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支持治疗师的书写首次治疗记录、上级治疗师查房记录、评定报告等提供结构化编写功能，便于治疗师快速准确的完成文书编辑功能，并实现文书查重功能，避免造成多文档覆盖。</w:t>
            </w:r>
          </w:p>
          <w:p w14:paraId="1DF11BF1">
            <w:pPr>
              <w:pStyle w:val="92"/>
              <w:numPr>
                <w:ilvl w:val="0"/>
                <w:numId w:val="51"/>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支持文书内容以结构化存储的方式进行保存，采用独立控件达到结构化存储；并可实现文书查阅和纠错修改，提高治疗文书的完整度，为后续康复治疗研究提供检索及研究提供便利功能。</w:t>
            </w:r>
          </w:p>
          <w:p w14:paraId="45C9AF3D">
            <w:pPr>
              <w:pStyle w:val="92"/>
              <w:numPr>
                <w:ilvl w:val="0"/>
                <w:numId w:val="51"/>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支持对康复电子文书进行时间质控管理功能。可对文书的填写内容进行时间节点调整。</w:t>
            </w:r>
          </w:p>
          <w:p w14:paraId="655483F6">
            <w:pPr>
              <w:pStyle w:val="92"/>
              <w:numPr>
                <w:ilvl w:val="0"/>
                <w:numId w:val="51"/>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支持根据治疗执行备注书写人，支持多种签名模式，可在多种场景下对康复文书进行签名保存，优化治疗文书书写的简洁性。</w:t>
            </w:r>
          </w:p>
          <w:p w14:paraId="7657552C">
            <w:pPr>
              <w:pStyle w:val="92"/>
              <w:numPr>
                <w:ilvl w:val="0"/>
                <w:numId w:val="51"/>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支持提供不同治疗文书模板，康复文书可以文档、PDF和图片的方式存储，提高康复文书归档的可靠性并增强康复文书查阅的便捷性;提高文书书写效率。</w:t>
            </w:r>
          </w:p>
          <w:p w14:paraId="0F6B6CE7">
            <w:pPr>
              <w:pStyle w:val="92"/>
              <w:numPr>
                <w:ilvl w:val="0"/>
                <w:numId w:val="51"/>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支持电子文书审核流程功能。</w:t>
            </w:r>
          </w:p>
          <w:p w14:paraId="273D8D65">
            <w:pPr>
              <w:pStyle w:val="92"/>
              <w:numPr>
                <w:ilvl w:val="0"/>
                <w:numId w:val="51"/>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提供康复结构化书文的模板复用功能，减少模板的维护成本，同时提高了模板的复用率以及增加用户对自身常用文档的积累。</w:t>
            </w:r>
          </w:p>
          <w:p w14:paraId="7F662D5C">
            <w:pPr>
              <w:pStyle w:val="92"/>
              <w:numPr>
                <w:ilvl w:val="0"/>
                <w:numId w:val="51"/>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电子病历六级——书写文书及评估报告时可以对检验检查结果引用</w:t>
            </w:r>
            <w:r>
              <w:rPr>
                <w:rFonts w:hint="eastAsia" w:ascii="宋体" w:hAnsi="宋体" w:cs="宋体"/>
                <w:color w:val="000000" w:themeColor="text1"/>
                <w:szCs w:val="21"/>
                <w14:textFill>
                  <w14:solidFill>
                    <w14:schemeClr w14:val="tx1"/>
                  </w14:solidFill>
                </w14:textFill>
              </w:rPr>
              <w:t>。</w:t>
            </w:r>
          </w:p>
        </w:tc>
      </w:tr>
      <w:tr w14:paraId="6639BC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0" w:hRule="atLeast"/>
          <w:jc w:val="center"/>
        </w:trPr>
        <w:tc>
          <w:tcPr>
            <w:tcW w:w="442" w:type="pct"/>
            <w:tcBorders>
              <w:top w:val="single" w:color="auto" w:sz="4" w:space="0"/>
              <w:bottom w:val="single" w:color="auto" w:sz="4" w:space="0"/>
            </w:tcBorders>
            <w:vAlign w:val="center"/>
          </w:tcPr>
          <w:p w14:paraId="7716E6A5">
            <w:pPr>
              <w:pStyle w:val="92"/>
              <w:numPr>
                <w:ilvl w:val="0"/>
                <w:numId w:val="42"/>
              </w:numPr>
              <w:spacing w:line="360" w:lineRule="auto"/>
              <w:ind w:firstLineChars="0"/>
              <w:rPr>
                <w:rFonts w:ascii="宋体" w:hAnsi="宋体" w:cs="宋体"/>
                <w:color w:val="000000" w:themeColor="text1"/>
                <w:kern w:val="0"/>
                <w:szCs w:val="21"/>
                <w14:textFill>
                  <w14:solidFill>
                    <w14:schemeClr w14:val="tx1"/>
                  </w14:solidFill>
                </w14:textFill>
              </w:rPr>
            </w:pPr>
          </w:p>
        </w:tc>
        <w:tc>
          <w:tcPr>
            <w:tcW w:w="676" w:type="pct"/>
            <w:tcBorders>
              <w:top w:val="single" w:color="auto" w:sz="4" w:space="0"/>
              <w:left w:val="single" w:color="auto" w:sz="4" w:space="0"/>
              <w:bottom w:val="single" w:color="auto" w:sz="4" w:space="0"/>
              <w:right w:val="single" w:color="auto" w:sz="4" w:space="0"/>
            </w:tcBorders>
            <w:shd w:val="clear" w:color="auto" w:fill="auto"/>
            <w:vAlign w:val="center"/>
          </w:tcPr>
          <w:p w14:paraId="449B4107">
            <w:pPr>
              <w:spacing w:line="360" w:lineRule="auto"/>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患者病历夹</w:t>
            </w:r>
          </w:p>
        </w:tc>
        <w:tc>
          <w:tcPr>
            <w:tcW w:w="3881" w:type="pct"/>
            <w:tcBorders>
              <w:top w:val="single" w:color="auto" w:sz="4" w:space="0"/>
              <w:left w:val="nil"/>
              <w:bottom w:val="single" w:color="auto" w:sz="4" w:space="0"/>
              <w:right w:val="single" w:color="auto" w:sz="4" w:space="0"/>
            </w:tcBorders>
            <w:shd w:val="clear" w:color="auto" w:fill="auto"/>
            <w:vAlign w:val="center"/>
          </w:tcPr>
          <w:p w14:paraId="131A7167">
            <w:pPr>
              <w:pStyle w:val="92"/>
              <w:numPr>
                <w:ilvl w:val="0"/>
                <w:numId w:val="52"/>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支持病历管理所需的基础功能，归档患者治疗全过程康复医疗信息（评估、团队会议、文书）。</w:t>
            </w:r>
          </w:p>
          <w:p w14:paraId="787D374F">
            <w:pPr>
              <w:pStyle w:val="92"/>
              <w:numPr>
                <w:ilvl w:val="0"/>
                <w:numId w:val="52"/>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支持同一界面集成患者本次就诊与历史就诊信息快速查看功能。</w:t>
            </w:r>
          </w:p>
          <w:p w14:paraId="76BFC90F">
            <w:pPr>
              <w:pStyle w:val="92"/>
              <w:numPr>
                <w:ilvl w:val="0"/>
                <w:numId w:val="52"/>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支持以时间轴和病历类别两种模式的浏览方式。</w:t>
            </w:r>
          </w:p>
          <w:p w14:paraId="36912BED">
            <w:pPr>
              <w:pStyle w:val="92"/>
              <w:numPr>
                <w:ilvl w:val="0"/>
                <w:numId w:val="52"/>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具备文件上传功能，可上传管理附加的康复医疗文件资料。</w:t>
            </w:r>
          </w:p>
          <w:p w14:paraId="7A4EF717">
            <w:pPr>
              <w:pStyle w:val="92"/>
              <w:numPr>
                <w:ilvl w:val="0"/>
                <w:numId w:val="52"/>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具备数据结构化存储功能，支持与全院电子病历系统对接。</w:t>
            </w:r>
          </w:p>
          <w:p w14:paraId="426A1EF2">
            <w:pPr>
              <w:pStyle w:val="92"/>
              <w:numPr>
                <w:ilvl w:val="0"/>
                <w:numId w:val="52"/>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支持手工上传、管理外部文件功能，用于集中归档。</w:t>
            </w:r>
          </w:p>
          <w:p w14:paraId="7C3211D6">
            <w:pPr>
              <w:pStyle w:val="92"/>
              <w:numPr>
                <w:ilvl w:val="0"/>
                <w:numId w:val="52"/>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提供上传接口，用于其它系统对接，实现各系统文件自动上传、集中归档。</w:t>
            </w:r>
          </w:p>
          <w:p w14:paraId="27E33C79">
            <w:pPr>
              <w:pStyle w:val="92"/>
              <w:numPr>
                <w:ilvl w:val="0"/>
                <w:numId w:val="52"/>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支持与EMR或360视图对接（pdf和结构化数据），实现患者病历的集中归档、集中调阅功能。</w:t>
            </w:r>
          </w:p>
          <w:p w14:paraId="5393C001">
            <w:pPr>
              <w:pStyle w:val="92"/>
              <w:numPr>
                <w:ilvl w:val="0"/>
                <w:numId w:val="52"/>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电子病历五级——治疗记录纳入全院统一的医疗档案体系</w:t>
            </w:r>
            <w:r>
              <w:rPr>
                <w:rFonts w:hint="eastAsia" w:ascii="宋体" w:hAnsi="宋体" w:cs="宋体"/>
                <w:color w:val="000000" w:themeColor="text1"/>
                <w:szCs w:val="21"/>
                <w14:textFill>
                  <w14:solidFill>
                    <w14:schemeClr w14:val="tx1"/>
                  </w14:solidFill>
                </w14:textFill>
              </w:rPr>
              <w:t>。</w:t>
            </w:r>
          </w:p>
        </w:tc>
      </w:tr>
      <w:tr w14:paraId="02DF8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2" w:type="pct"/>
            <w:tcBorders>
              <w:top w:val="single" w:color="auto" w:sz="4" w:space="0"/>
              <w:bottom w:val="single" w:color="auto" w:sz="4" w:space="0"/>
            </w:tcBorders>
            <w:vAlign w:val="center"/>
          </w:tcPr>
          <w:p w14:paraId="4FF7036B">
            <w:pPr>
              <w:pStyle w:val="92"/>
              <w:numPr>
                <w:ilvl w:val="0"/>
                <w:numId w:val="42"/>
              </w:numPr>
              <w:spacing w:line="360" w:lineRule="auto"/>
              <w:ind w:firstLineChars="0"/>
              <w:jc w:val="center"/>
              <w:rPr>
                <w:rFonts w:ascii="宋体" w:hAnsi="宋体" w:cs="宋体"/>
                <w:color w:val="000000" w:themeColor="text1"/>
                <w:kern w:val="0"/>
                <w:szCs w:val="21"/>
                <w14:textFill>
                  <w14:solidFill>
                    <w14:schemeClr w14:val="tx1"/>
                  </w14:solidFill>
                </w14:textFill>
              </w:rPr>
            </w:pPr>
          </w:p>
        </w:tc>
        <w:tc>
          <w:tcPr>
            <w:tcW w:w="676" w:type="pct"/>
            <w:tcBorders>
              <w:top w:val="single" w:color="auto" w:sz="4" w:space="0"/>
              <w:left w:val="single" w:color="auto" w:sz="4" w:space="0"/>
              <w:bottom w:val="single" w:color="auto" w:sz="4" w:space="0"/>
              <w:right w:val="single" w:color="auto" w:sz="4" w:space="0"/>
            </w:tcBorders>
            <w:shd w:val="clear" w:color="auto" w:fill="auto"/>
            <w:vAlign w:val="center"/>
          </w:tcPr>
          <w:p w14:paraId="524AED7F">
            <w:pPr>
              <w:spacing w:line="360" w:lineRule="auto"/>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智能电子评估</w:t>
            </w:r>
          </w:p>
        </w:tc>
        <w:tc>
          <w:tcPr>
            <w:tcW w:w="3881" w:type="pct"/>
            <w:tcBorders>
              <w:top w:val="single" w:color="auto" w:sz="4" w:space="0"/>
              <w:left w:val="nil"/>
              <w:bottom w:val="single" w:color="auto" w:sz="4" w:space="0"/>
              <w:right w:val="single" w:color="auto" w:sz="4" w:space="0"/>
            </w:tcBorders>
            <w:shd w:val="clear" w:color="auto" w:fill="auto"/>
            <w:vAlign w:val="center"/>
          </w:tcPr>
          <w:p w14:paraId="1F8601DF">
            <w:pPr>
              <w:pStyle w:val="92"/>
              <w:spacing w:line="360" w:lineRule="auto"/>
              <w:ind w:firstLine="0" w:firstLineChars="0"/>
              <w:rPr>
                <w:rFonts w:ascii="宋体" w:hAnsi="宋体" w:cs="宋体"/>
                <w:b/>
                <w:bCs/>
                <w:color w:val="000000" w:themeColor="text1"/>
                <w:kern w:val="0"/>
                <w:szCs w:val="21"/>
                <w14:textFill>
                  <w14:solidFill>
                    <w14:schemeClr w14:val="tx1"/>
                  </w14:solidFill>
                </w14:textFill>
              </w:rPr>
            </w:pPr>
            <w:r>
              <w:rPr>
                <w:rFonts w:hint="eastAsia" w:ascii="宋体" w:hAnsi="宋体" w:cs="宋体"/>
                <w:b/>
                <w:bCs/>
                <w:color w:val="000000" w:themeColor="text1"/>
                <w:kern w:val="0"/>
                <w:szCs w:val="21"/>
                <w14:textFill>
                  <w14:solidFill>
                    <w14:schemeClr w14:val="tx1"/>
                  </w14:solidFill>
                </w14:textFill>
              </w:rPr>
              <w:t>电子病历编辑功能</w:t>
            </w:r>
          </w:p>
          <w:p w14:paraId="73028E97">
            <w:pPr>
              <w:pStyle w:val="92"/>
              <w:numPr>
                <w:ilvl w:val="0"/>
                <w:numId w:val="5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具备电子病历控件功能，以满足智能电子评估要求：</w:t>
            </w:r>
          </w:p>
          <w:p w14:paraId="44253B1B">
            <w:pPr>
              <w:pStyle w:val="92"/>
              <w:numPr>
                <w:ilvl w:val="1"/>
                <w:numId w:val="5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支持创建、编辑和管理各种可用的表单组件，例如文本框、下拉菜单、日期选择器等。</w:t>
            </w:r>
          </w:p>
          <w:p w14:paraId="63594536">
            <w:pPr>
              <w:pStyle w:val="92"/>
              <w:numPr>
                <w:ilvl w:val="1"/>
                <w:numId w:val="5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允许将组件按照类型、用途或其他标准进行分类，以便用户可以轻松查找所需的组件。</w:t>
            </w:r>
          </w:p>
          <w:p w14:paraId="72C1109D">
            <w:pPr>
              <w:pStyle w:val="92"/>
              <w:numPr>
                <w:ilvl w:val="1"/>
                <w:numId w:val="5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提供自定义组件的功能，允许用户根据具体需求创建独特的表单元素。</w:t>
            </w:r>
          </w:p>
          <w:p w14:paraId="73A75BBB">
            <w:pPr>
              <w:pStyle w:val="92"/>
              <w:numPr>
                <w:ilvl w:val="1"/>
                <w:numId w:val="5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用户可以自定义每个组件的属性，包括字段类型、验证规则、标签等，以满足具体评估需求。</w:t>
            </w:r>
          </w:p>
          <w:p w14:paraId="76770925">
            <w:pPr>
              <w:pStyle w:val="92"/>
              <w:numPr>
                <w:ilvl w:val="1"/>
                <w:numId w:val="5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允许用户使用组件库中的组件来构建自定义表单，并将这些表单存储在表单库中以供以后使用。</w:t>
            </w:r>
          </w:p>
          <w:p w14:paraId="4FA6C627">
            <w:pPr>
              <w:pStyle w:val="92"/>
              <w:numPr>
                <w:ilvl w:val="1"/>
                <w:numId w:val="5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允许用户创建、编辑和管理评估语句模板，以便在评估过程中快速引用标准化的评估语句。</w:t>
            </w:r>
          </w:p>
          <w:p w14:paraId="4C0CADCB">
            <w:pPr>
              <w:pStyle w:val="92"/>
              <w:numPr>
                <w:ilvl w:val="1"/>
                <w:numId w:val="5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支持创建和管理诊断语句模板，以方便医生在评估结果报告中添加准确的诊断信息。</w:t>
            </w:r>
          </w:p>
          <w:p w14:paraId="1D74269B">
            <w:pPr>
              <w:pStyle w:val="92"/>
              <w:numPr>
                <w:ilvl w:val="1"/>
                <w:numId w:val="5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支持用户创建新的表单，从组件库中选择合适的组件，并以拖放方式构建表单。</w:t>
            </w:r>
          </w:p>
          <w:p w14:paraId="0BF9C454">
            <w:pPr>
              <w:pStyle w:val="92"/>
              <w:numPr>
                <w:ilvl w:val="1"/>
                <w:numId w:val="5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允许用户查看、编辑和管理已创建的表单，包括表单名称、描述和权限设置。</w:t>
            </w:r>
          </w:p>
          <w:p w14:paraId="07ED90F4">
            <w:pPr>
              <w:pStyle w:val="92"/>
              <w:numPr>
                <w:ilvl w:val="0"/>
                <w:numId w:val="5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提供导入和导出表单的功能，以便用户可以轻松分享表单或在其他系统中使用。</w:t>
            </w:r>
          </w:p>
          <w:p w14:paraId="3FDE8A3A">
            <w:pPr>
              <w:pStyle w:val="92"/>
              <w:numPr>
                <w:ilvl w:val="0"/>
                <w:numId w:val="5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支持将创建的表单分享给其他团队成员，以促进协作和共享最佳实践。</w:t>
            </w:r>
          </w:p>
          <w:p w14:paraId="5769A5A4">
            <w:pPr>
              <w:pStyle w:val="92"/>
              <w:numPr>
                <w:ilvl w:val="0"/>
                <w:numId w:val="5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提供代码生成功能，允许用户生成与表单相关的代码，以便在其他系统中使用。</w:t>
            </w:r>
          </w:p>
          <w:p w14:paraId="0B0464DD">
            <w:pPr>
              <w:pStyle w:val="92"/>
              <w:numPr>
                <w:ilvl w:val="0"/>
                <w:numId w:val="5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支持生成SFC（Single File Component），以便将表单嵌入到其他应用程序或网站中，以扩展系统的使用范围</w:t>
            </w:r>
            <w:r>
              <w:rPr>
                <w:rFonts w:hint="eastAsia" w:ascii="宋体" w:hAnsi="宋体" w:cs="宋体"/>
                <w:color w:val="000000" w:themeColor="text1"/>
                <w:szCs w:val="21"/>
                <w14:textFill>
                  <w14:solidFill>
                    <w14:schemeClr w14:val="tx1"/>
                  </w14:solidFill>
                </w14:textFill>
              </w:rPr>
              <w:t>。</w:t>
            </w:r>
          </w:p>
          <w:p w14:paraId="429E356C">
            <w:pPr>
              <w:pStyle w:val="92"/>
              <w:numPr>
                <w:ilvl w:val="0"/>
                <w:numId w:val="5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评估结果支持自动暂存，确保数据不会因意外情况丢失。</w:t>
            </w:r>
          </w:p>
          <w:p w14:paraId="4A74407B">
            <w:pPr>
              <w:pStyle w:val="92"/>
              <w:numPr>
                <w:ilvl w:val="0"/>
                <w:numId w:val="5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支持根据角色和团队成员分配不同的表单使用权限，确保只有授权人员能够访问和修改相关表单。</w:t>
            </w:r>
          </w:p>
          <w:p w14:paraId="68DA9D20">
            <w:pPr>
              <w:pStyle w:val="92"/>
              <w:numPr>
                <w:ilvl w:val="0"/>
                <w:numId w:val="5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提供数据隐私保护措施，以确保敏感患者信息的安全性。</w:t>
            </w:r>
          </w:p>
          <w:p w14:paraId="25CACACA">
            <w:pPr>
              <w:pStyle w:val="92"/>
              <w:numPr>
                <w:ilvl w:val="0"/>
                <w:numId w:val="5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医生可以自行配置组套模式，方便按照疾病分类进行评估，提高评估效率和准确性。</w:t>
            </w:r>
          </w:p>
          <w:p w14:paraId="6FD26C04">
            <w:pPr>
              <w:pStyle w:val="92"/>
              <w:numPr>
                <w:ilvl w:val="0"/>
                <w:numId w:val="5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▲支持评估结果的结构化对比，方便医生查看患者评估历史，进行综合分析。</w:t>
            </w:r>
          </w:p>
          <w:p w14:paraId="7686BDFA">
            <w:pPr>
              <w:pStyle w:val="92"/>
              <w:numPr>
                <w:ilvl w:val="0"/>
                <w:numId w:val="5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支持通过接口查阅患者HIS数据和EMR数据，确保录入准确性和完整性。</w:t>
            </w:r>
          </w:p>
          <w:p w14:paraId="2A3308A6">
            <w:pPr>
              <w:pStyle w:val="92"/>
              <w:numPr>
                <w:ilvl w:val="0"/>
                <w:numId w:val="53"/>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支持语音输入患者基础信息、病情摘要、历史疾病、主诉等，提高信息录入效率和便捷性。</w:t>
            </w:r>
          </w:p>
          <w:p w14:paraId="3872F9D8">
            <w:pPr>
              <w:pStyle w:val="92"/>
              <w:numPr>
                <w:ilvl w:val="0"/>
                <w:numId w:val="0"/>
              </w:numPr>
              <w:spacing w:line="360" w:lineRule="auto"/>
              <w:ind w:left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szCs w:val="21"/>
                <w:lang w:eastAsia="zh-CN"/>
                <w14:textFill>
                  <w14:solidFill>
                    <w14:schemeClr w14:val="tx1"/>
                  </w14:solidFill>
                </w14:textFill>
              </w:rPr>
              <w:t>注：</w:t>
            </w:r>
            <w:r>
              <w:rPr>
                <w:rFonts w:hint="eastAsia" w:ascii="宋体" w:hAnsi="宋体" w:cs="宋体"/>
                <w:color w:val="000000" w:themeColor="text1"/>
                <w:szCs w:val="21"/>
                <w14:textFill>
                  <w14:solidFill>
                    <w14:schemeClr w14:val="tx1"/>
                  </w14:solidFill>
                </w14:textFill>
              </w:rPr>
              <w:t>建设软件功能需提供具有CNAS</w:t>
            </w:r>
            <w:r>
              <w:rPr>
                <w:rFonts w:hint="eastAsia" w:ascii="宋体" w:hAnsi="宋体" w:cs="宋体"/>
                <w:color w:val="000000" w:themeColor="text1"/>
                <w:kern w:val="0"/>
                <w:szCs w:val="21"/>
                <w14:textFill>
                  <w14:solidFill>
                    <w14:schemeClr w14:val="tx1"/>
                  </w14:solidFill>
                </w14:textFill>
              </w:rPr>
              <w:t>或CMA认证资质的检测机构出具的相关测试报告证明具备系统功能要求。</w:t>
            </w:r>
          </w:p>
        </w:tc>
      </w:tr>
      <w:tr w14:paraId="0406D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2" w:type="pct"/>
            <w:tcBorders>
              <w:top w:val="single" w:color="auto" w:sz="4" w:space="0"/>
              <w:bottom w:val="single" w:color="auto" w:sz="4" w:space="0"/>
            </w:tcBorders>
            <w:vAlign w:val="center"/>
          </w:tcPr>
          <w:p w14:paraId="5348F191">
            <w:pPr>
              <w:pStyle w:val="92"/>
              <w:numPr>
                <w:ilvl w:val="0"/>
                <w:numId w:val="42"/>
              </w:numPr>
              <w:spacing w:line="360" w:lineRule="auto"/>
              <w:ind w:firstLineChars="0"/>
              <w:jc w:val="center"/>
              <w:rPr>
                <w:rFonts w:ascii="宋体" w:hAnsi="宋体" w:cs="宋体"/>
                <w:color w:val="000000" w:themeColor="text1"/>
                <w:kern w:val="0"/>
                <w:szCs w:val="21"/>
                <w14:textFill>
                  <w14:solidFill>
                    <w14:schemeClr w14:val="tx1"/>
                  </w14:solidFill>
                </w14:textFill>
              </w:rPr>
            </w:pPr>
          </w:p>
        </w:tc>
        <w:tc>
          <w:tcPr>
            <w:tcW w:w="676" w:type="pct"/>
            <w:tcBorders>
              <w:top w:val="single" w:color="auto" w:sz="4" w:space="0"/>
              <w:left w:val="single" w:color="auto" w:sz="4" w:space="0"/>
              <w:bottom w:val="single" w:color="auto" w:sz="4" w:space="0"/>
              <w:right w:val="single" w:color="auto" w:sz="4" w:space="0"/>
            </w:tcBorders>
            <w:shd w:val="clear" w:color="auto" w:fill="auto"/>
            <w:vAlign w:val="center"/>
          </w:tcPr>
          <w:p w14:paraId="30683659">
            <w:pPr>
              <w:spacing w:line="360" w:lineRule="auto"/>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统计管理</w:t>
            </w:r>
          </w:p>
        </w:tc>
        <w:tc>
          <w:tcPr>
            <w:tcW w:w="3881" w:type="pct"/>
            <w:tcBorders>
              <w:top w:val="single" w:color="auto" w:sz="4" w:space="0"/>
              <w:left w:val="nil"/>
              <w:bottom w:val="single" w:color="auto" w:sz="4" w:space="0"/>
              <w:right w:val="single" w:color="auto" w:sz="4" w:space="0"/>
            </w:tcBorders>
            <w:shd w:val="clear" w:color="auto" w:fill="auto"/>
            <w:vAlign w:val="center"/>
          </w:tcPr>
          <w:p w14:paraId="28F9C9AD">
            <w:pPr>
              <w:pStyle w:val="92"/>
              <w:numPr>
                <w:ilvl w:val="0"/>
                <w:numId w:val="54"/>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支持对治疗总收入、治疗项目、治疗师收入明细等多维度数据自动统计。</w:t>
            </w:r>
          </w:p>
          <w:p w14:paraId="11BAC76B">
            <w:pPr>
              <w:pStyle w:val="92"/>
              <w:numPr>
                <w:ilvl w:val="0"/>
                <w:numId w:val="54"/>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支持以不同图表方式展示统计结果。</w:t>
            </w:r>
          </w:p>
          <w:p w14:paraId="458117FB">
            <w:pPr>
              <w:pStyle w:val="92"/>
              <w:numPr>
                <w:ilvl w:val="0"/>
                <w:numId w:val="54"/>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支持根据医院、科室要求进行统计报表定制化。</w:t>
            </w:r>
          </w:p>
          <w:p w14:paraId="0481D64C">
            <w:pPr>
              <w:pStyle w:val="92"/>
              <w:numPr>
                <w:ilvl w:val="0"/>
                <w:numId w:val="54"/>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支持根据日期实时动态获取患者总数和治疗情况(包括医嘱执行率和治疗师工作量以及收入等);提供可视化的饼状图和7日内折线图,便于用户实时查看功能。</w:t>
            </w:r>
          </w:p>
        </w:tc>
      </w:tr>
      <w:tr w14:paraId="45ACE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9" w:hRule="atLeast"/>
          <w:jc w:val="center"/>
        </w:trPr>
        <w:tc>
          <w:tcPr>
            <w:tcW w:w="442" w:type="pct"/>
            <w:tcBorders>
              <w:top w:val="single" w:color="auto" w:sz="4" w:space="0"/>
              <w:bottom w:val="single" w:color="auto" w:sz="4" w:space="0"/>
            </w:tcBorders>
            <w:vAlign w:val="center"/>
          </w:tcPr>
          <w:p w14:paraId="15F8755B">
            <w:pPr>
              <w:pStyle w:val="92"/>
              <w:numPr>
                <w:ilvl w:val="0"/>
                <w:numId w:val="42"/>
              </w:numPr>
              <w:spacing w:line="360" w:lineRule="auto"/>
              <w:ind w:firstLineChars="0"/>
              <w:jc w:val="center"/>
              <w:rPr>
                <w:rFonts w:ascii="宋体" w:hAnsi="宋体" w:cs="宋体"/>
                <w:color w:val="000000" w:themeColor="text1"/>
                <w:kern w:val="0"/>
                <w:szCs w:val="21"/>
                <w14:textFill>
                  <w14:solidFill>
                    <w14:schemeClr w14:val="tx1"/>
                  </w14:solidFill>
                </w14:textFill>
              </w:rPr>
            </w:pPr>
          </w:p>
        </w:tc>
        <w:tc>
          <w:tcPr>
            <w:tcW w:w="676" w:type="pct"/>
            <w:tcBorders>
              <w:top w:val="single" w:color="auto" w:sz="4" w:space="0"/>
              <w:left w:val="single" w:color="auto" w:sz="4" w:space="0"/>
              <w:bottom w:val="single" w:color="auto" w:sz="4" w:space="0"/>
              <w:right w:val="single" w:color="auto" w:sz="4" w:space="0"/>
            </w:tcBorders>
            <w:shd w:val="clear" w:color="auto" w:fill="auto"/>
            <w:vAlign w:val="center"/>
          </w:tcPr>
          <w:p w14:paraId="77BAE146">
            <w:pPr>
              <w:spacing w:line="360" w:lineRule="auto"/>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移动治疗</w:t>
            </w:r>
          </w:p>
        </w:tc>
        <w:tc>
          <w:tcPr>
            <w:tcW w:w="3881" w:type="pct"/>
            <w:tcBorders>
              <w:top w:val="single" w:color="auto" w:sz="4" w:space="0"/>
              <w:left w:val="nil"/>
              <w:bottom w:val="single" w:color="auto" w:sz="4" w:space="0"/>
              <w:right w:val="single" w:color="auto" w:sz="4" w:space="0"/>
            </w:tcBorders>
            <w:shd w:val="clear" w:color="auto" w:fill="auto"/>
            <w:vAlign w:val="center"/>
          </w:tcPr>
          <w:p w14:paraId="576123A1">
            <w:pPr>
              <w:pStyle w:val="92"/>
              <w:numPr>
                <w:ilvl w:val="0"/>
                <w:numId w:val="55"/>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登录授权：支持通过微信扫码或搜索小程序名称打开小程序系统，获取微信用户资料信息授权、手机号授权，查阅授权说明、用户须知和用户协议。</w:t>
            </w:r>
          </w:p>
          <w:p w14:paraId="44A0B23A">
            <w:pPr>
              <w:pStyle w:val="92"/>
              <w:numPr>
                <w:ilvl w:val="0"/>
                <w:numId w:val="55"/>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账号关联：支持与院内系统医生账号关联同步。</w:t>
            </w:r>
          </w:p>
          <w:p w14:paraId="63E233A2">
            <w:pPr>
              <w:pStyle w:val="92"/>
              <w:numPr>
                <w:ilvl w:val="0"/>
                <w:numId w:val="55"/>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患者管理：支持对本人的门诊、住院患者进行管理，支持查看患者档案基本信息、就诊信息、评估信息、治疗信息、归档信息。</w:t>
            </w:r>
          </w:p>
          <w:p w14:paraId="77E3C283">
            <w:pPr>
              <w:pStyle w:val="92"/>
              <w:numPr>
                <w:ilvl w:val="0"/>
                <w:numId w:val="55"/>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评估管理：支持查看本人评估任务列表（可见患者姓名和评估表单）本人今日已完成评估任务及评估报告，未完成评估任务，历史已完成评估任务及报告，未完成任务展示。</w:t>
            </w:r>
          </w:p>
          <w:p w14:paraId="77AA14AC">
            <w:pPr>
              <w:pStyle w:val="92"/>
              <w:numPr>
                <w:ilvl w:val="0"/>
                <w:numId w:val="55"/>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治疗管理：支持显示本人治疗任务列表（可见患者姓名，治疗项目名称、时间及医嘱）本人今日已完成治疗任务，未完成治疗任务，历史已完成治疗任务，未完成任务展示。</w:t>
            </w:r>
          </w:p>
          <w:p w14:paraId="52E7F8B4">
            <w:pPr>
              <w:pStyle w:val="92"/>
              <w:numPr>
                <w:ilvl w:val="0"/>
                <w:numId w:val="55"/>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支持查看患者就诊信息、患者日程安排、排班查询功能。</w:t>
            </w:r>
          </w:p>
          <w:p w14:paraId="283CF2B9">
            <w:pPr>
              <w:pStyle w:val="92"/>
              <w:numPr>
                <w:ilvl w:val="0"/>
                <w:numId w:val="55"/>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支持确认、在线参加康复团队会议及查看会议报告功能。</w:t>
            </w:r>
          </w:p>
          <w:p w14:paraId="45387B2C">
            <w:pPr>
              <w:pStyle w:val="92"/>
              <w:numPr>
                <w:ilvl w:val="0"/>
                <w:numId w:val="55"/>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支持在移动端给治疗团队留言功能。</w:t>
            </w:r>
          </w:p>
          <w:p w14:paraId="22DA2A44">
            <w:pPr>
              <w:pStyle w:val="92"/>
              <w:numPr>
                <w:ilvl w:val="0"/>
                <w:numId w:val="55"/>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支持现拍照照片和视频上传。</w:t>
            </w:r>
          </w:p>
          <w:p w14:paraId="26944008">
            <w:pPr>
              <w:pStyle w:val="92"/>
              <w:numPr>
                <w:ilvl w:val="0"/>
                <w:numId w:val="55"/>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支持时间段内治疗人数、治疗项目、治疗费用查询功能。</w:t>
            </w:r>
          </w:p>
          <w:p w14:paraId="206937C5">
            <w:pPr>
              <w:pStyle w:val="92"/>
              <w:numPr>
                <w:ilvl w:val="0"/>
                <w:numId w:val="55"/>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支持与HIS计费接口集成，支持执行计费功能。</w:t>
            </w:r>
          </w:p>
          <w:p w14:paraId="7F8D3144">
            <w:pPr>
              <w:pStyle w:val="92"/>
              <w:numPr>
                <w:ilvl w:val="0"/>
                <w:numId w:val="55"/>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支持治疗项目根据待执行、已执行、执行中状态查询功能。</w:t>
            </w:r>
          </w:p>
          <w:p w14:paraId="66A80073">
            <w:pPr>
              <w:pStyle w:val="92"/>
              <w:numPr>
                <w:ilvl w:val="0"/>
                <w:numId w:val="55"/>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支持治疗执行查询，执行补费操作及补往期治疗记录、撤销治疗记录、修改治疗记录功能。</w:t>
            </w:r>
          </w:p>
          <w:p w14:paraId="56263AA1">
            <w:pPr>
              <w:pStyle w:val="92"/>
              <w:numPr>
                <w:ilvl w:val="0"/>
                <w:numId w:val="55"/>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支持患者康复文书查看功能。</w:t>
            </w:r>
          </w:p>
          <w:p w14:paraId="13A42030">
            <w:pPr>
              <w:pStyle w:val="92"/>
              <w:numPr>
                <w:ilvl w:val="0"/>
                <w:numId w:val="55"/>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支持按照医嘱、频次、单项目治疗执行和批量项目执行功能。</w:t>
            </w:r>
          </w:p>
          <w:p w14:paraId="1A7381EB">
            <w:pPr>
              <w:pStyle w:val="92"/>
              <w:numPr>
                <w:ilvl w:val="0"/>
                <w:numId w:val="55"/>
              </w:numPr>
              <w:spacing w:line="360" w:lineRule="auto"/>
              <w:ind w:firstLineChars="0"/>
              <w:rPr>
                <w:rFonts w:ascii="宋体" w:hAnsi="宋体" w:cs="宋体"/>
                <w:b/>
                <w:color w:val="000000" w:themeColor="text1"/>
                <w:kern w:val="0"/>
                <w:szCs w:val="21"/>
                <w14:textFill>
                  <w14:solidFill>
                    <w14:schemeClr w14:val="tx1"/>
                  </w14:solidFill>
                </w14:textFill>
              </w:rPr>
            </w:pPr>
            <w:r>
              <w:rPr>
                <w:rFonts w:hint="eastAsia" w:ascii="宋体" w:hAnsi="宋体" w:cs="宋体"/>
                <w:b/>
                <w:color w:val="000000" w:themeColor="text1"/>
                <w:kern w:val="0"/>
                <w:szCs w:val="21"/>
                <w14:textFill>
                  <w14:solidFill>
                    <w14:schemeClr w14:val="tx1"/>
                  </w14:solidFill>
                </w14:textFill>
              </w:rPr>
              <w:t>患者移动端</w:t>
            </w:r>
          </w:p>
          <w:p w14:paraId="5C4BDBDA">
            <w:pPr>
              <w:pStyle w:val="92"/>
              <w:numPr>
                <w:ilvl w:val="0"/>
                <w:numId w:val="56"/>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账号管理：支持扫码、搜索小程序登录，支持手机号授权登录，支持查看本账号个人信息;支持添加就诊人信息;支持生成个人信息二维码；</w:t>
            </w:r>
          </w:p>
          <w:p w14:paraId="653E1EF9">
            <w:pPr>
              <w:pStyle w:val="92"/>
              <w:numPr>
                <w:ilvl w:val="0"/>
                <w:numId w:val="56"/>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评估报告：支持患者查看评估报告及历史评估报告（根据医院管理规则开放授权）；</w:t>
            </w:r>
          </w:p>
          <w:p w14:paraId="1B371C10">
            <w:pPr>
              <w:pStyle w:val="92"/>
              <w:numPr>
                <w:ilvl w:val="0"/>
                <w:numId w:val="56"/>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治疗任务：支持显示患者当天治疗任务信息，支持患者唯一二维码信息核对；</w:t>
            </w:r>
          </w:p>
          <w:p w14:paraId="2C3C50FB">
            <w:pPr>
              <w:pStyle w:val="92"/>
              <w:numPr>
                <w:ilvl w:val="0"/>
                <w:numId w:val="56"/>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历史治疗：支持显示患者历史治疗任务信息；</w:t>
            </w:r>
          </w:p>
          <w:p w14:paraId="20FB6562">
            <w:pPr>
              <w:pStyle w:val="92"/>
              <w:numPr>
                <w:ilvl w:val="0"/>
                <w:numId w:val="56"/>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康复宣教：支持分类查看宣教资料；</w:t>
            </w:r>
          </w:p>
          <w:p w14:paraId="676D1CEB">
            <w:pPr>
              <w:pStyle w:val="92"/>
              <w:numPr>
                <w:ilvl w:val="0"/>
                <w:numId w:val="56"/>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随访管理：支持患者查看随访任务及随访问卷完成；支持患者查看历史完成及未完成的随访任务；支持异常随访反馈提醒，智能推送处理方案；</w:t>
            </w:r>
          </w:p>
          <w:p w14:paraId="5FFB45AD">
            <w:pPr>
              <w:pStyle w:val="92"/>
              <w:numPr>
                <w:ilvl w:val="0"/>
                <w:numId w:val="56"/>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消息提醒：支持小程序消息微信服务通知；</w:t>
            </w:r>
          </w:p>
        </w:tc>
      </w:tr>
      <w:tr w14:paraId="1A899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2" w:type="pct"/>
            <w:tcBorders>
              <w:top w:val="single" w:color="auto" w:sz="4" w:space="0"/>
              <w:bottom w:val="single" w:color="auto" w:sz="4" w:space="0"/>
            </w:tcBorders>
            <w:vAlign w:val="center"/>
          </w:tcPr>
          <w:p w14:paraId="14A737EC">
            <w:pPr>
              <w:pStyle w:val="92"/>
              <w:numPr>
                <w:ilvl w:val="0"/>
                <w:numId w:val="42"/>
              </w:numPr>
              <w:spacing w:line="360" w:lineRule="auto"/>
              <w:ind w:firstLineChars="0"/>
              <w:jc w:val="center"/>
              <w:rPr>
                <w:rFonts w:ascii="宋体" w:hAnsi="宋体" w:cs="宋体"/>
                <w:color w:val="000000" w:themeColor="text1"/>
                <w:kern w:val="0"/>
                <w:szCs w:val="21"/>
                <w14:textFill>
                  <w14:solidFill>
                    <w14:schemeClr w14:val="tx1"/>
                  </w14:solidFill>
                </w14:textFill>
              </w:rPr>
            </w:pPr>
          </w:p>
        </w:tc>
        <w:tc>
          <w:tcPr>
            <w:tcW w:w="676" w:type="pct"/>
            <w:tcBorders>
              <w:top w:val="single" w:color="auto" w:sz="4" w:space="0"/>
              <w:left w:val="single" w:color="auto" w:sz="4" w:space="0"/>
              <w:bottom w:val="single" w:color="auto" w:sz="4" w:space="0"/>
              <w:right w:val="single" w:color="auto" w:sz="4" w:space="0"/>
            </w:tcBorders>
            <w:shd w:val="clear" w:color="auto" w:fill="auto"/>
            <w:vAlign w:val="center"/>
          </w:tcPr>
          <w:p w14:paraId="6E190491">
            <w:pPr>
              <w:spacing w:line="360" w:lineRule="auto"/>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移动评估</w:t>
            </w:r>
          </w:p>
        </w:tc>
        <w:tc>
          <w:tcPr>
            <w:tcW w:w="3881" w:type="pct"/>
            <w:tcBorders>
              <w:top w:val="single" w:color="auto" w:sz="4" w:space="0"/>
              <w:left w:val="nil"/>
              <w:bottom w:val="single" w:color="auto" w:sz="4" w:space="0"/>
              <w:right w:val="single" w:color="auto" w:sz="4" w:space="0"/>
            </w:tcBorders>
            <w:shd w:val="clear" w:color="auto" w:fill="auto"/>
            <w:vAlign w:val="center"/>
          </w:tcPr>
          <w:p w14:paraId="50D1127B">
            <w:pPr>
              <w:pStyle w:val="92"/>
              <w:numPr>
                <w:ilvl w:val="0"/>
                <w:numId w:val="57"/>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支持接收派发的评估任务，根据评估内容对患者开展评估操作。</w:t>
            </w:r>
          </w:p>
          <w:p w14:paraId="7FBED06C">
            <w:pPr>
              <w:pStyle w:val="92"/>
              <w:numPr>
                <w:ilvl w:val="0"/>
                <w:numId w:val="57"/>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支持查看患者信息、评估医嘱、治疗记录等信息，记录患者评估数据，生成患者评估报告。</w:t>
            </w:r>
          </w:p>
          <w:p w14:paraId="564EB3F9">
            <w:pPr>
              <w:pStyle w:val="92"/>
              <w:numPr>
                <w:ilvl w:val="0"/>
                <w:numId w:val="57"/>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支持移动评估数据同步上传PC端。</w:t>
            </w:r>
          </w:p>
          <w:p w14:paraId="245B314C">
            <w:pPr>
              <w:pStyle w:val="92"/>
              <w:numPr>
                <w:ilvl w:val="0"/>
                <w:numId w:val="57"/>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支持移动端任务中心功能，使用者可通过任务中心查看当前需要处理的评估任务与延期评估任务</w:t>
            </w:r>
          </w:p>
          <w:p w14:paraId="597F0248">
            <w:pPr>
              <w:pStyle w:val="92"/>
              <w:numPr>
                <w:ilvl w:val="0"/>
                <w:numId w:val="57"/>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支持任务分类统计及进入相关任务功能。并通过报表管理功能，查看日常所需要的报表</w:t>
            </w:r>
          </w:p>
          <w:p w14:paraId="78875D8B">
            <w:pPr>
              <w:pStyle w:val="92"/>
              <w:numPr>
                <w:ilvl w:val="0"/>
                <w:numId w:val="57"/>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支持扫描、输入ID号等方式进行患者查询功能。</w:t>
            </w:r>
          </w:p>
          <w:p w14:paraId="7C1C9215">
            <w:pPr>
              <w:pStyle w:val="92"/>
              <w:numPr>
                <w:ilvl w:val="0"/>
                <w:numId w:val="57"/>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支持在移动端使用复杂多样的量表，执行评估方案，填写量表、录制音视频文件、量表可以内嵌手绘图形。</w:t>
            </w:r>
          </w:p>
          <w:p w14:paraId="6F1D21BE">
            <w:pPr>
              <w:pStyle w:val="92"/>
              <w:numPr>
                <w:ilvl w:val="0"/>
                <w:numId w:val="57"/>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支持在移动端提供治疗团队留言及会话功能，增进康复团队对患者的治疗节点整体把控性。</w:t>
            </w:r>
          </w:p>
          <w:p w14:paraId="4BA46870">
            <w:pPr>
              <w:pStyle w:val="92"/>
              <w:numPr>
                <w:ilvl w:val="0"/>
                <w:numId w:val="57"/>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支持在线开展参加康复团队会议及查看会议报告功能，便于康复团队人员进行院内交互。</w:t>
            </w:r>
          </w:p>
          <w:p w14:paraId="7D47789C">
            <w:pPr>
              <w:pStyle w:val="92"/>
              <w:numPr>
                <w:ilvl w:val="0"/>
                <w:numId w:val="57"/>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支持患者康复文书查看功能。</w:t>
            </w:r>
          </w:p>
          <w:p w14:paraId="39EAF667">
            <w:pPr>
              <w:pStyle w:val="92"/>
              <w:numPr>
                <w:ilvl w:val="0"/>
                <w:numId w:val="57"/>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支持在移动端新建评估方案时，支持引用历史方案、预设方案和建议方案，便于快速新建方案功能。</w:t>
            </w:r>
          </w:p>
          <w:p w14:paraId="05FB9F78">
            <w:pPr>
              <w:pStyle w:val="92"/>
              <w:numPr>
                <w:ilvl w:val="0"/>
                <w:numId w:val="57"/>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支持在移动端编辑评估方案指定治疗区、指定评估师功能。</w:t>
            </w:r>
          </w:p>
          <w:p w14:paraId="21216E1A">
            <w:pPr>
              <w:pStyle w:val="92"/>
              <w:numPr>
                <w:ilvl w:val="0"/>
                <w:numId w:val="57"/>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支持新建建议方案功能，便于医生在PC端引用功能。</w:t>
            </w:r>
          </w:p>
        </w:tc>
      </w:tr>
      <w:tr w14:paraId="3D06C9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2" w:type="pct"/>
            <w:tcBorders>
              <w:top w:val="single" w:color="auto" w:sz="4" w:space="0"/>
              <w:bottom w:val="single" w:color="auto" w:sz="4" w:space="0"/>
            </w:tcBorders>
            <w:vAlign w:val="center"/>
          </w:tcPr>
          <w:p w14:paraId="2B287ACE">
            <w:pPr>
              <w:pStyle w:val="92"/>
              <w:numPr>
                <w:ilvl w:val="0"/>
                <w:numId w:val="42"/>
              </w:numPr>
              <w:spacing w:line="360" w:lineRule="auto"/>
              <w:ind w:firstLineChars="0"/>
              <w:jc w:val="center"/>
              <w:rPr>
                <w:rFonts w:ascii="宋体" w:hAnsi="宋体" w:cs="宋体"/>
                <w:color w:val="000000" w:themeColor="text1"/>
                <w:kern w:val="0"/>
                <w:szCs w:val="21"/>
                <w14:textFill>
                  <w14:solidFill>
                    <w14:schemeClr w14:val="tx1"/>
                  </w14:solidFill>
                </w14:textFill>
              </w:rPr>
            </w:pPr>
          </w:p>
        </w:tc>
        <w:tc>
          <w:tcPr>
            <w:tcW w:w="676" w:type="pct"/>
            <w:tcBorders>
              <w:top w:val="single" w:color="auto" w:sz="4" w:space="0"/>
              <w:left w:val="single" w:color="auto" w:sz="4" w:space="0"/>
              <w:bottom w:val="single" w:color="auto" w:sz="4" w:space="0"/>
              <w:right w:val="single" w:color="auto" w:sz="4" w:space="0"/>
            </w:tcBorders>
            <w:shd w:val="clear" w:color="auto" w:fill="auto"/>
            <w:vAlign w:val="center"/>
          </w:tcPr>
          <w:p w14:paraId="4AFBEB34">
            <w:pPr>
              <w:spacing w:line="360" w:lineRule="auto"/>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系统配置</w:t>
            </w:r>
          </w:p>
        </w:tc>
        <w:tc>
          <w:tcPr>
            <w:tcW w:w="3881" w:type="pct"/>
            <w:tcBorders>
              <w:top w:val="single" w:color="auto" w:sz="4" w:space="0"/>
              <w:left w:val="nil"/>
              <w:bottom w:val="single" w:color="auto" w:sz="4" w:space="0"/>
              <w:right w:val="single" w:color="auto" w:sz="4" w:space="0"/>
            </w:tcBorders>
            <w:shd w:val="clear" w:color="auto" w:fill="auto"/>
            <w:vAlign w:val="center"/>
          </w:tcPr>
          <w:p w14:paraId="3D7B16D6">
            <w:pPr>
              <w:spacing w:line="360" w:lineRule="auto"/>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安全管理、权限管理、字典维护、系统配置、参数配置</w:t>
            </w:r>
          </w:p>
          <w:p w14:paraId="3627EDA1">
            <w:pPr>
              <w:pStyle w:val="92"/>
              <w:numPr>
                <w:ilvl w:val="0"/>
                <w:numId w:val="58"/>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支持团队管理，支持门诊住院团队管理，支持治疗师专业团队管理</w:t>
            </w:r>
          </w:p>
          <w:p w14:paraId="34D403D1">
            <w:pPr>
              <w:pStyle w:val="92"/>
              <w:numPr>
                <w:ilvl w:val="0"/>
                <w:numId w:val="58"/>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对平台用户、角色、部门、设备数据进行维护管理</w:t>
            </w:r>
          </w:p>
          <w:p w14:paraId="44A349F5">
            <w:pPr>
              <w:pStyle w:val="92"/>
              <w:numPr>
                <w:ilvl w:val="0"/>
                <w:numId w:val="58"/>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支持根据角色为用户赋予不同功能和数据权限，角色数据可配置，可为不同用户设置评估、治疗、设备等业务权限</w:t>
            </w:r>
          </w:p>
          <w:p w14:paraId="47591E76">
            <w:pPr>
              <w:pStyle w:val="92"/>
              <w:numPr>
                <w:ilvl w:val="0"/>
                <w:numId w:val="58"/>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支持精细化权限管理控制。</w:t>
            </w:r>
          </w:p>
          <w:p w14:paraId="40F26245">
            <w:pPr>
              <w:pStyle w:val="92"/>
              <w:numPr>
                <w:ilvl w:val="0"/>
                <w:numId w:val="58"/>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支持评估、治疗医嘱维护，设定评估量表，建立医嘱关联关系，支持评估语句模版维护，支持诊断语句模版维护，支持治疗项目维护。</w:t>
            </w:r>
          </w:p>
          <w:p w14:paraId="2DB0BCE5">
            <w:pPr>
              <w:pStyle w:val="92"/>
              <w:numPr>
                <w:ilvl w:val="0"/>
                <w:numId w:val="58"/>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系统配置功能为用户提供灵活机动的配置操作，广泛适用康复科室不同的管理需求和业务应用场景。</w:t>
            </w:r>
          </w:p>
          <w:p w14:paraId="704B7022">
            <w:pPr>
              <w:pStyle w:val="92"/>
              <w:numPr>
                <w:ilvl w:val="0"/>
                <w:numId w:val="58"/>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可支持多种评估收费模式、评估报告展示分组模式、评估完成自动推送消息模式等业务配置。</w:t>
            </w:r>
          </w:p>
          <w:p w14:paraId="1919CB7B">
            <w:pPr>
              <w:pStyle w:val="92"/>
              <w:numPr>
                <w:ilvl w:val="0"/>
                <w:numId w:val="58"/>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支持治疗文书业务的参数控制，包含是否允许同治疗区用户编辑文书设置、文书前后编辑设置、文书书写提醒等功能。</w:t>
            </w:r>
          </w:p>
          <w:p w14:paraId="0D9FDC5E">
            <w:pPr>
              <w:pStyle w:val="92"/>
              <w:numPr>
                <w:ilvl w:val="0"/>
                <w:numId w:val="58"/>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支持创建、编辑、和删除团队成员的信息，包括医生、护士、技师等</w:t>
            </w:r>
          </w:p>
          <w:p w14:paraId="48D5BBD8">
            <w:pPr>
              <w:pStyle w:val="92"/>
              <w:numPr>
                <w:ilvl w:val="0"/>
                <w:numId w:val="58"/>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提供协作工具，以便团队成员可以共享信息、协同工作，以提高患者评估和治疗的效率</w:t>
            </w:r>
          </w:p>
          <w:p w14:paraId="4A942210">
            <w:pPr>
              <w:pStyle w:val="92"/>
              <w:numPr>
                <w:ilvl w:val="0"/>
                <w:numId w:val="58"/>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允许团队领导或管理员分配不同团队成员的权限，以确保合适的数据访问和操作权限</w:t>
            </w:r>
          </w:p>
          <w:p w14:paraId="2FEB9C6D">
            <w:pPr>
              <w:pStyle w:val="92"/>
              <w:numPr>
                <w:ilvl w:val="0"/>
                <w:numId w:val="58"/>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支持管理医院内的各类人员信息，包括姓名、联系信息、工作时间表等</w:t>
            </w:r>
          </w:p>
          <w:p w14:paraId="7CDCC88D">
            <w:pPr>
              <w:pStyle w:val="92"/>
              <w:numPr>
                <w:ilvl w:val="0"/>
                <w:numId w:val="58"/>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允许指定不同的角色，例如医生、护士、技师，以区分各人员在系统中的职责和权限</w:t>
            </w:r>
          </w:p>
        </w:tc>
      </w:tr>
      <w:tr w14:paraId="7B745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2" w:type="pct"/>
            <w:tcBorders>
              <w:top w:val="single" w:color="auto" w:sz="4" w:space="0"/>
              <w:bottom w:val="single" w:color="auto" w:sz="4" w:space="0"/>
            </w:tcBorders>
            <w:vAlign w:val="center"/>
          </w:tcPr>
          <w:p w14:paraId="487E4B84">
            <w:pPr>
              <w:pStyle w:val="92"/>
              <w:numPr>
                <w:ilvl w:val="0"/>
                <w:numId w:val="42"/>
              </w:numPr>
              <w:spacing w:line="360" w:lineRule="auto"/>
              <w:ind w:firstLineChars="0"/>
              <w:jc w:val="center"/>
              <w:rPr>
                <w:rFonts w:ascii="宋体" w:hAnsi="宋体" w:cs="宋体"/>
                <w:color w:val="000000" w:themeColor="text1"/>
                <w:kern w:val="0"/>
                <w:szCs w:val="21"/>
                <w14:textFill>
                  <w14:solidFill>
                    <w14:schemeClr w14:val="tx1"/>
                  </w14:solidFill>
                </w14:textFill>
              </w:rPr>
            </w:pPr>
          </w:p>
        </w:tc>
        <w:tc>
          <w:tcPr>
            <w:tcW w:w="676" w:type="pct"/>
            <w:tcBorders>
              <w:top w:val="single" w:color="auto" w:sz="4" w:space="0"/>
              <w:left w:val="single" w:color="auto" w:sz="4" w:space="0"/>
              <w:bottom w:val="single" w:color="auto" w:sz="4" w:space="0"/>
              <w:right w:val="single" w:color="auto" w:sz="4" w:space="0"/>
            </w:tcBorders>
            <w:shd w:val="clear" w:color="auto" w:fill="auto"/>
            <w:vAlign w:val="center"/>
          </w:tcPr>
          <w:p w14:paraId="3023D16F">
            <w:pPr>
              <w:spacing w:line="360" w:lineRule="auto"/>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患者微服务</w:t>
            </w:r>
          </w:p>
        </w:tc>
        <w:tc>
          <w:tcPr>
            <w:tcW w:w="3881" w:type="pct"/>
            <w:tcBorders>
              <w:top w:val="single" w:color="auto" w:sz="4" w:space="0"/>
              <w:left w:val="nil"/>
              <w:bottom w:val="single" w:color="auto" w:sz="4" w:space="0"/>
              <w:right w:val="single" w:color="auto" w:sz="4" w:space="0"/>
            </w:tcBorders>
            <w:shd w:val="clear" w:color="auto" w:fill="auto"/>
            <w:vAlign w:val="center"/>
          </w:tcPr>
          <w:p w14:paraId="692657ED">
            <w:pPr>
              <w:pStyle w:val="92"/>
              <w:numPr>
                <w:ilvl w:val="255"/>
                <w:numId w:val="0"/>
              </w:numPr>
              <w:spacing w:line="360" w:lineRule="auto"/>
              <w:ind w:firstLine="420" w:firstLineChars="20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将患者微服务集成到我院现有的微信公众号中，并实现如下功能：</w:t>
            </w:r>
          </w:p>
          <w:p w14:paraId="7F081FAC">
            <w:pPr>
              <w:pStyle w:val="92"/>
              <w:numPr>
                <w:ilvl w:val="0"/>
                <w:numId w:val="59"/>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实现患者个人认证信息：支持查看实名认证信息。</w:t>
            </w:r>
          </w:p>
          <w:p w14:paraId="75B3FDFF">
            <w:pPr>
              <w:pStyle w:val="92"/>
              <w:numPr>
                <w:ilvl w:val="0"/>
                <w:numId w:val="59"/>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实现院外患家人管理功能：支持切换就诊人，支持添加家人，选择家人关系、添加家人姓名、身份证、认证方式等基本信息。</w:t>
            </w:r>
          </w:p>
          <w:p w14:paraId="15240ADD">
            <w:pPr>
              <w:pStyle w:val="92"/>
              <w:numPr>
                <w:ilvl w:val="0"/>
                <w:numId w:val="59"/>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具备患者查询当日治疗项目信息功能；</w:t>
            </w:r>
          </w:p>
          <w:p w14:paraId="22C17111">
            <w:pPr>
              <w:pStyle w:val="92"/>
              <w:numPr>
                <w:ilvl w:val="0"/>
                <w:numId w:val="59"/>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具备治疗记录查询功能，实现患者按照日期切换查询每天的治疗记录功能；</w:t>
            </w:r>
          </w:p>
          <w:p w14:paraId="721B562A">
            <w:pPr>
              <w:pStyle w:val="92"/>
              <w:numPr>
                <w:ilvl w:val="0"/>
                <w:numId w:val="59"/>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具备治疗记录查询功能，实现治疗记录查询详情功能（包括治疗项目、每日频次、执行状态、治疗师、执行时间、使用设备及未做原因）。</w:t>
            </w:r>
          </w:p>
          <w:p w14:paraId="1DC583EB">
            <w:pPr>
              <w:pStyle w:val="92"/>
              <w:numPr>
                <w:ilvl w:val="0"/>
                <w:numId w:val="59"/>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具备治疗记录自主处理功能，具备患者主动确认康复治疗项目执行结果功能。</w:t>
            </w:r>
          </w:p>
          <w:p w14:paraId="3D628F2F">
            <w:pPr>
              <w:pStyle w:val="92"/>
              <w:numPr>
                <w:ilvl w:val="0"/>
                <w:numId w:val="59"/>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具备患者院外排程查询功能，实现患者院外自助查询医院内（门诊）项目的治疗排班排程情况。</w:t>
            </w:r>
          </w:p>
          <w:p w14:paraId="091BDC7D">
            <w:pPr>
              <w:pStyle w:val="92"/>
              <w:numPr>
                <w:ilvl w:val="0"/>
                <w:numId w:val="59"/>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具备患者查询排队队列位次信息。</w:t>
            </w:r>
          </w:p>
          <w:p w14:paraId="0CE655CB">
            <w:pPr>
              <w:pStyle w:val="92"/>
              <w:numPr>
                <w:ilvl w:val="0"/>
                <w:numId w:val="59"/>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具备患者查询评估报告、康复文书等报告信息；</w:t>
            </w:r>
          </w:p>
          <w:p w14:paraId="7B7610ED">
            <w:pPr>
              <w:pStyle w:val="92"/>
              <w:numPr>
                <w:ilvl w:val="0"/>
                <w:numId w:val="59"/>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具备患者自评功能。</w:t>
            </w:r>
          </w:p>
        </w:tc>
      </w:tr>
      <w:tr w14:paraId="20A04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jc w:val="center"/>
        </w:trPr>
        <w:tc>
          <w:tcPr>
            <w:tcW w:w="442" w:type="pct"/>
            <w:tcBorders>
              <w:top w:val="single" w:color="auto" w:sz="4" w:space="0"/>
            </w:tcBorders>
            <w:vAlign w:val="center"/>
          </w:tcPr>
          <w:p w14:paraId="3A820C52">
            <w:pPr>
              <w:pStyle w:val="92"/>
              <w:numPr>
                <w:ilvl w:val="0"/>
                <w:numId w:val="42"/>
              </w:numPr>
              <w:spacing w:line="360" w:lineRule="auto"/>
              <w:ind w:firstLineChars="0"/>
              <w:jc w:val="center"/>
              <w:rPr>
                <w:rFonts w:ascii="宋体" w:hAnsi="宋体" w:cs="宋体"/>
                <w:color w:val="000000" w:themeColor="text1"/>
                <w:kern w:val="0"/>
                <w:szCs w:val="21"/>
                <w14:textFill>
                  <w14:solidFill>
                    <w14:schemeClr w14:val="tx1"/>
                  </w14:solidFill>
                </w14:textFill>
              </w:rPr>
            </w:pPr>
          </w:p>
        </w:tc>
        <w:tc>
          <w:tcPr>
            <w:tcW w:w="676" w:type="pct"/>
            <w:tcBorders>
              <w:top w:val="single" w:color="auto" w:sz="4" w:space="0"/>
              <w:left w:val="single" w:color="auto" w:sz="4" w:space="0"/>
              <w:right w:val="single" w:color="auto" w:sz="4" w:space="0"/>
            </w:tcBorders>
            <w:shd w:val="clear" w:color="auto" w:fill="auto"/>
            <w:vAlign w:val="center"/>
          </w:tcPr>
          <w:p w14:paraId="2A1F81E1">
            <w:pPr>
              <w:spacing w:line="360" w:lineRule="auto"/>
              <w:rPr>
                <w:rFonts w:ascii="宋体" w:hAnsi="宋体" w:cs="宋体"/>
                <w:color w:val="000000" w:themeColor="text1"/>
                <w:kern w:val="0"/>
                <w:szCs w:val="21"/>
                <w14:textFill>
                  <w14:solidFill>
                    <w14:schemeClr w14:val="tx1"/>
                  </w14:solidFill>
                </w14:textFill>
              </w:rPr>
            </w:pPr>
            <w:r>
              <w:rPr>
                <w:rFonts w:hint="eastAsia" w:ascii="宋体" w:hAnsi="宋体" w:cs="宋体"/>
                <w:b/>
                <w:bCs/>
                <w:color w:val="000000" w:themeColor="text1"/>
                <w:kern w:val="0"/>
                <w:sz w:val="32"/>
                <w:szCs w:val="32"/>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康复医学专业医疗质量控制指标</w:t>
            </w:r>
          </w:p>
          <w:p w14:paraId="15C65149">
            <w:pPr>
              <w:spacing w:line="360" w:lineRule="auto"/>
              <w:rPr>
                <w:rFonts w:ascii="宋体" w:hAnsi="宋体" w:cs="宋体"/>
                <w:color w:val="000000" w:themeColor="text1"/>
                <w:kern w:val="0"/>
                <w:szCs w:val="21"/>
                <w14:textFill>
                  <w14:solidFill>
                    <w14:schemeClr w14:val="tx1"/>
                  </w14:solidFill>
                </w14:textFill>
              </w:rPr>
            </w:pPr>
          </w:p>
        </w:tc>
        <w:tc>
          <w:tcPr>
            <w:tcW w:w="3881" w:type="pct"/>
            <w:tcBorders>
              <w:top w:val="single" w:color="auto" w:sz="4" w:space="0"/>
              <w:left w:val="nil"/>
              <w:bottom w:val="single" w:color="auto" w:sz="4" w:space="0"/>
              <w:right w:val="single" w:color="auto" w:sz="4" w:space="0"/>
            </w:tcBorders>
            <w:shd w:val="clear" w:color="auto" w:fill="auto"/>
            <w:vAlign w:val="center"/>
          </w:tcPr>
          <w:p w14:paraId="33676527">
            <w:pPr>
              <w:pStyle w:val="92"/>
              <w:numPr>
                <w:ilvl w:val="0"/>
                <w:numId w:val="0"/>
              </w:numPr>
              <w:spacing w:line="360" w:lineRule="auto"/>
              <w:ind w:left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康复医学专业医疗质量控制指标：康复医学科床位占比；康复医学科医师床配比；康复医学科护士床配比；康复医学科治疗师床配比；脑卒中患者早期康复介入率；脊髓损伤患者早期康复介入率；髋、膝关节置换术后患者早期康复介入率；日常生活活动能力（ADL）改善率；脊髓损伤患者ADL改善率；脑卒中患者ADL改善率；脑卒中患者运动功能评定率；脑卒中患者言语功能评定率；脑卒中患者吞咽功能评定率；脊髓损伤患者神经 功能评定率；髋、膝关节置换术后患者功能评定率；住院患者静脉输液使用率；脑卒中后肩痛预防实施率；脊髓损伤神经源性膀胱患者间歇性导尿实施率；住院患者静脉血栓栓塞症规范预防率；康复医疗规范管理。（提供系统截图证明并加盖单位公章）</w:t>
            </w:r>
          </w:p>
        </w:tc>
      </w:tr>
      <w:tr w14:paraId="25B56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2" w:type="pct"/>
            <w:tcBorders>
              <w:top w:val="single" w:color="auto" w:sz="4" w:space="0"/>
              <w:bottom w:val="single" w:color="auto" w:sz="4" w:space="0"/>
            </w:tcBorders>
            <w:vAlign w:val="center"/>
          </w:tcPr>
          <w:p w14:paraId="3FE704BB">
            <w:pPr>
              <w:pStyle w:val="92"/>
              <w:numPr>
                <w:ilvl w:val="0"/>
                <w:numId w:val="42"/>
              </w:numPr>
              <w:spacing w:line="360" w:lineRule="auto"/>
              <w:ind w:firstLineChars="0"/>
              <w:jc w:val="center"/>
              <w:rPr>
                <w:rFonts w:ascii="宋体" w:hAnsi="宋体" w:cs="宋体"/>
                <w:color w:val="000000" w:themeColor="text1"/>
                <w:kern w:val="0"/>
                <w:szCs w:val="21"/>
                <w14:textFill>
                  <w14:solidFill>
                    <w14:schemeClr w14:val="tx1"/>
                  </w14:solidFill>
                </w14:textFill>
              </w:rPr>
            </w:pPr>
          </w:p>
        </w:tc>
        <w:tc>
          <w:tcPr>
            <w:tcW w:w="676" w:type="pct"/>
            <w:tcBorders>
              <w:top w:val="single" w:color="auto" w:sz="4" w:space="0"/>
              <w:left w:val="single" w:color="auto" w:sz="4" w:space="0"/>
              <w:bottom w:val="single" w:color="auto" w:sz="4" w:space="0"/>
              <w:right w:val="single" w:color="auto" w:sz="4" w:space="0"/>
            </w:tcBorders>
            <w:shd w:val="clear" w:color="auto" w:fill="auto"/>
            <w:vAlign w:val="center"/>
          </w:tcPr>
          <w:p w14:paraId="1CAD5F77">
            <w:pPr>
              <w:spacing w:line="360" w:lineRule="auto"/>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系统融合</w:t>
            </w:r>
          </w:p>
        </w:tc>
        <w:tc>
          <w:tcPr>
            <w:tcW w:w="3881" w:type="pct"/>
            <w:tcBorders>
              <w:top w:val="single" w:color="auto" w:sz="4" w:space="0"/>
              <w:left w:val="nil"/>
              <w:bottom w:val="single" w:color="auto" w:sz="4" w:space="0"/>
              <w:right w:val="single" w:color="auto" w:sz="4" w:space="0"/>
            </w:tcBorders>
            <w:shd w:val="clear" w:color="auto" w:fill="auto"/>
            <w:vAlign w:val="center"/>
          </w:tcPr>
          <w:p w14:paraId="4234106D">
            <w:pPr>
              <w:pStyle w:val="92"/>
              <w:numPr>
                <w:ilvl w:val="0"/>
                <w:numId w:val="60"/>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支持与院内</w:t>
            </w:r>
            <w:r>
              <w:rPr>
                <w:rFonts w:hint="eastAsia" w:ascii="宋体" w:hAnsi="宋体" w:cs="宋体"/>
                <w:color w:val="000000" w:themeColor="text1"/>
                <w:szCs w:val="21"/>
                <w14:textFill>
                  <w14:solidFill>
                    <w14:schemeClr w14:val="tx1"/>
                  </w14:solidFill>
                </w14:textFill>
              </w:rPr>
              <w:t>HIS、LIS、EMR、PACS、RIS、微信公众号、移动护理、集成平台、数据中心、CA数字签名、无纸化归档对接</w:t>
            </w:r>
            <w:r>
              <w:rPr>
                <w:rFonts w:hint="eastAsia" w:ascii="宋体" w:hAnsi="宋体" w:cs="宋体"/>
                <w:color w:val="000000" w:themeColor="text1"/>
                <w:kern w:val="0"/>
                <w:szCs w:val="21"/>
                <w14:textFill>
                  <w14:solidFill>
                    <w14:schemeClr w14:val="tx1"/>
                  </w14:solidFill>
                </w14:textFill>
              </w:rPr>
              <w:t>。</w:t>
            </w:r>
          </w:p>
          <w:p w14:paraId="62670847">
            <w:pPr>
              <w:pStyle w:val="92"/>
              <w:numPr>
                <w:ilvl w:val="0"/>
                <w:numId w:val="60"/>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满足满足电子病历5级、6级评审标准，互联互通四甲及以上标准与数据接口要求（提供互联互通四级甲和电子病历5级、6级相关案例配合通过评审证明材料3份）</w:t>
            </w:r>
            <w:r>
              <w:rPr>
                <w:rFonts w:hint="eastAsia" w:ascii="宋体" w:hAnsi="宋体" w:cs="宋体"/>
                <w:color w:val="000000" w:themeColor="text1"/>
                <w:szCs w:val="21"/>
                <w14:textFill>
                  <w14:solidFill>
                    <w14:schemeClr w14:val="tx1"/>
                  </w14:solidFill>
                </w14:textFill>
              </w:rPr>
              <w:t>。</w:t>
            </w:r>
          </w:p>
        </w:tc>
      </w:tr>
      <w:tr w14:paraId="6733C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2" w:type="pct"/>
            <w:tcBorders>
              <w:top w:val="single" w:color="auto" w:sz="4" w:space="0"/>
              <w:bottom w:val="single" w:color="auto" w:sz="4" w:space="0"/>
            </w:tcBorders>
            <w:vAlign w:val="center"/>
          </w:tcPr>
          <w:p w14:paraId="3C4D9AE9">
            <w:pPr>
              <w:pStyle w:val="92"/>
              <w:numPr>
                <w:ilvl w:val="0"/>
                <w:numId w:val="42"/>
              </w:numPr>
              <w:spacing w:line="360" w:lineRule="auto"/>
              <w:ind w:firstLineChars="0"/>
              <w:jc w:val="center"/>
              <w:rPr>
                <w:rFonts w:ascii="宋体" w:hAnsi="宋体" w:cs="宋体"/>
                <w:color w:val="000000" w:themeColor="text1"/>
                <w:kern w:val="0"/>
                <w:szCs w:val="21"/>
                <w14:textFill>
                  <w14:solidFill>
                    <w14:schemeClr w14:val="tx1"/>
                  </w14:solidFill>
                </w14:textFill>
              </w:rPr>
            </w:pPr>
          </w:p>
        </w:tc>
        <w:tc>
          <w:tcPr>
            <w:tcW w:w="676" w:type="pct"/>
            <w:tcBorders>
              <w:top w:val="single" w:color="auto" w:sz="4" w:space="0"/>
              <w:left w:val="single" w:color="auto" w:sz="4" w:space="0"/>
              <w:bottom w:val="single" w:color="auto" w:sz="4" w:space="0"/>
              <w:right w:val="single" w:color="auto" w:sz="4" w:space="0"/>
            </w:tcBorders>
            <w:shd w:val="clear" w:color="auto" w:fill="auto"/>
            <w:vAlign w:val="center"/>
          </w:tcPr>
          <w:p w14:paraId="083CB0B8">
            <w:pPr>
              <w:spacing w:line="360" w:lineRule="auto"/>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配套硬件设备</w:t>
            </w:r>
          </w:p>
        </w:tc>
        <w:tc>
          <w:tcPr>
            <w:tcW w:w="3881" w:type="pct"/>
            <w:tcBorders>
              <w:top w:val="single" w:color="auto" w:sz="4" w:space="0"/>
              <w:left w:val="nil"/>
              <w:bottom w:val="single" w:color="auto" w:sz="4" w:space="0"/>
              <w:right w:val="single" w:color="auto" w:sz="4" w:space="0"/>
            </w:tcBorders>
            <w:shd w:val="clear" w:color="auto" w:fill="auto"/>
            <w:vAlign w:val="center"/>
          </w:tcPr>
          <w:p w14:paraId="1B542EAE">
            <w:pPr>
              <w:pStyle w:val="92"/>
              <w:numPr>
                <w:ilvl w:val="0"/>
                <w:numId w:val="61"/>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治疗叫号大屏 1台</w:t>
            </w:r>
          </w:p>
          <w:p w14:paraId="078F86A8">
            <w:pPr>
              <w:pStyle w:val="92"/>
              <w:spacing w:line="360" w:lineRule="auto"/>
              <w:ind w:firstLine="0"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支持4K极清显示。显示尺寸：75英寸；显示比例16:9，可视角度≥178°，具备防眩光效果；贴合技术：0贴合。屏幕对比度1200：1，亮度≥350cd/m²，颜色深度10bit，显示灰度等级1024；整机内置或独立外扩展的摄像头，可拍摄不低于800万像素的照片；内置或独立外扩展的麦克风，可用于一键录屏对音频进行采集；内置Android系统，具备4K级别UI显示界面，内置白板软件支持分屏书写及手背擦除，具备大于3GB运行内存，16GB系统存储空间。</w:t>
            </w:r>
          </w:p>
          <w:p w14:paraId="282D8C69">
            <w:pPr>
              <w:pStyle w:val="92"/>
              <w:numPr>
                <w:ilvl w:val="0"/>
                <w:numId w:val="61"/>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移动评估PAD 3台</w:t>
            </w:r>
          </w:p>
          <w:p w14:paraId="76706684">
            <w:pPr>
              <w:pStyle w:val="92"/>
              <w:numPr>
                <w:ilvl w:val="0"/>
                <w:numId w:val="61"/>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内存≥6GB，存储≥128GB，屏幕尺寸≥8.4英寸，支持SIM卡，支持WIFI；</w:t>
            </w:r>
          </w:p>
          <w:p w14:paraId="5119D601">
            <w:pPr>
              <w:pStyle w:val="92"/>
              <w:numPr>
                <w:ilvl w:val="0"/>
                <w:numId w:val="61"/>
              </w:numPr>
              <w:spacing w:line="360" w:lineRule="auto"/>
              <w:ind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分辨率≥1920*1080</w:t>
            </w:r>
          </w:p>
        </w:tc>
      </w:tr>
      <w:tr w14:paraId="1890E9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2" w:type="pct"/>
            <w:tcBorders>
              <w:top w:val="single" w:color="auto" w:sz="4" w:space="0"/>
              <w:bottom w:val="single" w:color="auto" w:sz="4" w:space="0"/>
            </w:tcBorders>
            <w:vAlign w:val="center"/>
          </w:tcPr>
          <w:p w14:paraId="4987465F">
            <w:pPr>
              <w:pStyle w:val="92"/>
              <w:numPr>
                <w:ilvl w:val="0"/>
                <w:numId w:val="42"/>
              </w:numPr>
              <w:spacing w:line="360" w:lineRule="auto"/>
              <w:ind w:firstLineChars="0"/>
              <w:jc w:val="center"/>
              <w:rPr>
                <w:rFonts w:ascii="宋体" w:hAnsi="宋体" w:cs="宋体"/>
                <w:color w:val="000000" w:themeColor="text1"/>
                <w:kern w:val="0"/>
                <w:szCs w:val="21"/>
                <w14:textFill>
                  <w14:solidFill>
                    <w14:schemeClr w14:val="tx1"/>
                  </w14:solidFill>
                </w14:textFill>
              </w:rPr>
            </w:pPr>
          </w:p>
        </w:tc>
        <w:tc>
          <w:tcPr>
            <w:tcW w:w="676" w:type="pct"/>
            <w:tcBorders>
              <w:top w:val="single" w:color="auto" w:sz="4" w:space="0"/>
              <w:left w:val="single" w:color="auto" w:sz="4" w:space="0"/>
              <w:bottom w:val="single" w:color="auto" w:sz="4" w:space="0"/>
              <w:right w:val="single" w:color="auto" w:sz="4" w:space="0"/>
            </w:tcBorders>
            <w:shd w:val="clear" w:color="auto" w:fill="auto"/>
            <w:vAlign w:val="center"/>
          </w:tcPr>
          <w:p w14:paraId="65A373DD">
            <w:pPr>
              <w:spacing w:line="360" w:lineRule="auto"/>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其他</w:t>
            </w:r>
          </w:p>
        </w:tc>
        <w:tc>
          <w:tcPr>
            <w:tcW w:w="3881" w:type="pct"/>
            <w:tcBorders>
              <w:top w:val="single" w:color="auto" w:sz="4" w:space="0"/>
              <w:left w:val="nil"/>
              <w:bottom w:val="single" w:color="auto" w:sz="4" w:space="0"/>
              <w:right w:val="single" w:color="auto" w:sz="4" w:space="0"/>
            </w:tcBorders>
            <w:shd w:val="clear" w:color="auto" w:fill="auto"/>
            <w:vAlign w:val="center"/>
          </w:tcPr>
          <w:p w14:paraId="4AA0DED2">
            <w:pPr>
              <w:pStyle w:val="92"/>
              <w:spacing w:line="360" w:lineRule="auto"/>
              <w:ind w:firstLine="0" w:firstLineChars="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服务端应用支持主流操作系统（含国产化）；客户端支持主流操作系统（含国产）。</w:t>
            </w:r>
          </w:p>
        </w:tc>
      </w:tr>
    </w:tbl>
    <w:p w14:paraId="0A5E34C1">
      <w:pPr>
        <w:rPr>
          <w:rFonts w:ascii="宋体" w:hAnsi="宋体" w:cs="宋体"/>
          <w:color w:val="000000" w:themeColor="text1"/>
          <w:szCs w:val="21"/>
          <w14:textFill>
            <w14:solidFill>
              <w14:schemeClr w14:val="tx1"/>
            </w14:solidFill>
          </w14:textFill>
        </w:rPr>
      </w:pPr>
    </w:p>
    <w:p w14:paraId="5B1A7CFE">
      <w:pPr>
        <w:pStyle w:val="3"/>
        <w:numPr>
          <w:ilvl w:val="1"/>
          <w:numId w:val="0"/>
        </w:numPr>
        <w:tabs>
          <w:tab w:val="clear" w:pos="425"/>
        </w:tabs>
        <w:spacing w:line="360" w:lineRule="auto"/>
        <w:rPr>
          <w:rFonts w:hAnsi="宋体" w:cs="宋体"/>
          <w:color w:val="000000" w:themeColor="text1"/>
          <w:sz w:val="21"/>
          <w:szCs w:val="21"/>
          <w14:textFill>
            <w14:solidFill>
              <w14:schemeClr w14:val="tx1"/>
            </w14:solidFill>
          </w14:textFill>
        </w:rPr>
      </w:pPr>
      <w:bookmarkStart w:id="147" w:name="_Toc32050"/>
      <w:r>
        <w:rPr>
          <w:rFonts w:hint="eastAsia" w:hAnsi="宋体" w:cs="宋体"/>
          <w:color w:val="000000" w:themeColor="text1"/>
          <w:sz w:val="21"/>
          <w:szCs w:val="21"/>
          <w14:textFill>
            <w14:solidFill>
              <w14:schemeClr w14:val="tx1"/>
            </w14:solidFill>
          </w14:textFill>
        </w:rPr>
        <w:t>4.系统、设备的安装、调试及上线</w:t>
      </w:r>
      <w:bookmarkEnd w:id="147"/>
    </w:p>
    <w:p w14:paraId="223A14E9">
      <w:pPr>
        <w:spacing w:line="360" w:lineRule="auto"/>
        <w:ind w:firstLine="420" w:firstLineChars="200"/>
        <w:rPr>
          <w:rFonts w:ascii="宋体" w:hAnsi="宋体" w:cs="宋体"/>
          <w:color w:val="000000" w:themeColor="text1"/>
          <w:szCs w:val="21"/>
          <w:lang w:val="zh-CN"/>
          <w14:textFill>
            <w14:solidFill>
              <w14:schemeClr w14:val="tx1"/>
            </w14:solidFill>
          </w14:textFill>
        </w:rPr>
      </w:pPr>
      <w:r>
        <w:rPr>
          <w:rFonts w:hint="eastAsia" w:ascii="宋体" w:hAnsi="宋体" w:cs="宋体"/>
          <w:color w:val="000000" w:themeColor="text1"/>
          <w:szCs w:val="21"/>
          <w:lang w:val="zh-CN"/>
          <w14:textFill>
            <w14:solidFill>
              <w14:schemeClr w14:val="tx1"/>
            </w14:solidFill>
          </w14:textFill>
        </w:rPr>
        <w:t>1、中标人负责所供设备（若有）、软件的安装、调试及上线，招标单位予以配合。</w:t>
      </w:r>
    </w:p>
    <w:p w14:paraId="2940F30E">
      <w:pPr>
        <w:spacing w:line="360" w:lineRule="auto"/>
        <w:ind w:firstLine="420" w:firstLineChars="200"/>
        <w:rPr>
          <w:rFonts w:ascii="宋体" w:hAnsi="宋体" w:cs="宋体"/>
          <w:color w:val="000000" w:themeColor="text1"/>
          <w:szCs w:val="21"/>
          <w:lang w:val="zh-CN"/>
          <w14:textFill>
            <w14:solidFill>
              <w14:schemeClr w14:val="tx1"/>
            </w14:solidFill>
          </w14:textFill>
        </w:rPr>
      </w:pPr>
      <w:r>
        <w:rPr>
          <w:rFonts w:hint="eastAsia" w:ascii="宋体" w:hAnsi="宋体" w:cs="宋体"/>
          <w:color w:val="000000" w:themeColor="text1"/>
          <w:szCs w:val="21"/>
          <w:lang w:val="zh-CN"/>
          <w14:textFill>
            <w14:solidFill>
              <w14:schemeClr w14:val="tx1"/>
            </w14:solidFill>
          </w14:textFill>
        </w:rPr>
        <w:t>2、设备（若有）、软件的安装、调试所需的工具、仪表及安装材料等应由投标人自行解决。</w:t>
      </w:r>
    </w:p>
    <w:p w14:paraId="3BB933B5">
      <w:pPr>
        <w:spacing w:line="360" w:lineRule="auto"/>
        <w:ind w:firstLine="420" w:firstLineChars="200"/>
        <w:rPr>
          <w:rFonts w:ascii="宋体" w:hAnsi="宋体" w:cs="宋体"/>
          <w:color w:val="000000" w:themeColor="text1"/>
          <w:szCs w:val="21"/>
          <w:lang w:val="zh-CN"/>
          <w14:textFill>
            <w14:solidFill>
              <w14:schemeClr w14:val="tx1"/>
            </w14:solidFill>
          </w14:textFill>
        </w:rPr>
      </w:pPr>
      <w:r>
        <w:rPr>
          <w:rFonts w:hint="eastAsia" w:ascii="宋体" w:hAnsi="宋体" w:cs="宋体"/>
          <w:color w:val="000000" w:themeColor="text1"/>
          <w:szCs w:val="21"/>
          <w:lang w:val="zh-CN"/>
          <w14:textFill>
            <w14:solidFill>
              <w14:schemeClr w14:val="tx1"/>
            </w14:solidFill>
          </w14:textFill>
        </w:rPr>
        <w:t>3、中标人在实施前提供详细的实施方案，并提交招标人认可。中标人应根据招标人的需要，在规定的时间内，保证质量，完成系统建设。实施过程中应科学、合理地掌握与其他工作界面的协调、交叉。</w:t>
      </w:r>
    </w:p>
    <w:p w14:paraId="4B017581">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4、实施工期：自合同签订后60个日历日内完成安装并调试到位。</w:t>
      </w:r>
    </w:p>
    <w:p w14:paraId="1205AC09">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5、实施地点：青海红十字医院（西宁市南大街55号）。</w:t>
      </w:r>
    </w:p>
    <w:p w14:paraId="7EA58465">
      <w:pPr>
        <w:pStyle w:val="3"/>
        <w:numPr>
          <w:ilvl w:val="1"/>
          <w:numId w:val="0"/>
        </w:numPr>
        <w:tabs>
          <w:tab w:val="clear" w:pos="425"/>
        </w:tabs>
        <w:spacing w:line="360" w:lineRule="auto"/>
        <w:rPr>
          <w:rFonts w:hAnsi="宋体" w:cs="宋体"/>
          <w:color w:val="000000" w:themeColor="text1"/>
          <w:sz w:val="21"/>
          <w:szCs w:val="21"/>
          <w14:textFill>
            <w14:solidFill>
              <w14:schemeClr w14:val="tx1"/>
            </w14:solidFill>
          </w14:textFill>
        </w:rPr>
      </w:pPr>
      <w:bookmarkStart w:id="148" w:name="_Toc8532"/>
      <w:r>
        <w:rPr>
          <w:rFonts w:hint="eastAsia" w:hAnsi="宋体" w:cs="宋体"/>
          <w:color w:val="000000" w:themeColor="text1"/>
          <w:sz w:val="21"/>
          <w:szCs w:val="21"/>
          <w14:textFill>
            <w14:solidFill>
              <w14:schemeClr w14:val="tx1"/>
            </w14:solidFill>
          </w14:textFill>
        </w:rPr>
        <w:t>5.履约验收方案</w:t>
      </w:r>
      <w:bookmarkEnd w:id="148"/>
    </w:p>
    <w:p w14:paraId="2ED52090">
      <w:pPr>
        <w:spacing w:line="360" w:lineRule="auto"/>
        <w:ind w:firstLine="420" w:firstLineChars="200"/>
        <w:outlineLvl w:val="1"/>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1、时间：完成安装调试稳定运行30个自然日验收；</w:t>
      </w:r>
    </w:p>
    <w:p w14:paraId="414EF02E">
      <w:pPr>
        <w:spacing w:line="360" w:lineRule="auto"/>
        <w:ind w:firstLine="420" w:firstLineChars="200"/>
        <w:outlineLvl w:val="1"/>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2、地点：青海红十字医院（西宁市南大街55号）；</w:t>
      </w:r>
    </w:p>
    <w:p w14:paraId="0C60F393">
      <w:pPr>
        <w:spacing w:line="360" w:lineRule="auto"/>
        <w:ind w:firstLine="420" w:firstLineChars="200"/>
        <w:outlineLvl w:val="1"/>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3、验收方式：现场验收；</w:t>
      </w:r>
    </w:p>
    <w:p w14:paraId="7E6D003A">
      <w:pPr>
        <w:spacing w:line="360" w:lineRule="auto"/>
        <w:ind w:firstLine="420" w:firstLineChars="200"/>
        <w:outlineLvl w:val="1"/>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4、主体：统计信息科、软件使用科室；</w:t>
      </w:r>
    </w:p>
    <w:p w14:paraId="36AEA942">
      <w:pPr>
        <w:spacing w:line="360" w:lineRule="auto"/>
        <w:ind w:firstLine="420" w:firstLineChars="200"/>
        <w:outlineLvl w:val="1"/>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5、验收内容及标准</w:t>
      </w:r>
    </w:p>
    <w:p w14:paraId="65A009F0">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（1）验收内容：合同技术参数；</w:t>
      </w:r>
    </w:p>
    <w:p w14:paraId="47AA2889">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（2）验收标准：确保软件正常稳定运行，符合合同技术参数所有条款；</w:t>
      </w:r>
    </w:p>
    <w:p w14:paraId="65E1DC45">
      <w:pPr>
        <w:spacing w:line="360" w:lineRule="auto"/>
        <w:ind w:firstLine="420" w:firstLineChars="200"/>
        <w:outlineLvl w:val="1"/>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6、验收程序</w:t>
      </w:r>
    </w:p>
    <w:p w14:paraId="24CC2E5E">
      <w:pPr>
        <w:spacing w:line="360" w:lineRule="auto"/>
        <w:ind w:firstLine="420" w:firstLineChars="200"/>
        <w:outlineLvl w:val="2"/>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1）初验</w:t>
      </w:r>
    </w:p>
    <w:p w14:paraId="481B83D2">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（1）申请：全院系统上线正常使用一个月后，甲乙双方签署上线报告10个工作日后乙方提出书面验收申请；</w:t>
      </w:r>
    </w:p>
    <w:p w14:paraId="629CE78E">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（2）乙方提供材料：验收申请书、上线报告、实施记录、培训记录等；</w:t>
      </w:r>
    </w:p>
    <w:p w14:paraId="386C0B60">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（3）甲方组织相关使用科室和乙方进行项目初步验收；</w:t>
      </w:r>
    </w:p>
    <w:p w14:paraId="23FD4515">
      <w:pPr>
        <w:tabs>
          <w:tab w:val="left" w:pos="7644"/>
        </w:tabs>
        <w:spacing w:line="360" w:lineRule="auto"/>
        <w:ind w:firstLine="420" w:firstLineChars="200"/>
        <w:outlineLvl w:val="2"/>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2）终验</w:t>
      </w:r>
      <w:r>
        <w:rPr>
          <w:rFonts w:hint="eastAsia" w:ascii="宋体" w:hAnsi="宋体" w:cs="宋体"/>
          <w:color w:val="000000" w:themeColor="text1"/>
          <w:szCs w:val="21"/>
          <w:lang w:eastAsia="zh-CN"/>
          <w14:textFill>
            <w14:solidFill>
              <w14:schemeClr w14:val="tx1"/>
            </w14:solidFill>
          </w14:textFill>
        </w:rPr>
        <w:tab/>
      </w:r>
    </w:p>
    <w:p w14:paraId="464FFCFD">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（1）申请：初验合格后，系统稳定运行三个月，乙方根据项目招标合同、招标书、项目实施情况向甲方提出书面验收申请；</w:t>
      </w:r>
    </w:p>
    <w:p w14:paraId="05A93EE5">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（2）乙方提供材料：验收申请书、完工报告、用户使用手册、技术文档、运维手册等；</w:t>
      </w:r>
    </w:p>
    <w:p w14:paraId="48DE8785">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（3）经过审核材料齐全由甲方组织相关专家、使用部门、乙方进行最终验收。</w:t>
      </w:r>
    </w:p>
    <w:p w14:paraId="1C01D93A">
      <w:pPr>
        <w:pStyle w:val="3"/>
        <w:numPr>
          <w:ilvl w:val="1"/>
          <w:numId w:val="0"/>
        </w:numPr>
        <w:tabs>
          <w:tab w:val="clear" w:pos="425"/>
        </w:tabs>
        <w:spacing w:line="360" w:lineRule="auto"/>
        <w:rPr>
          <w:rFonts w:hAnsi="宋体" w:cs="宋体"/>
          <w:color w:val="000000" w:themeColor="text1"/>
          <w:sz w:val="21"/>
          <w:szCs w:val="21"/>
          <w14:textFill>
            <w14:solidFill>
              <w14:schemeClr w14:val="tx1"/>
            </w14:solidFill>
          </w14:textFill>
        </w:rPr>
      </w:pPr>
      <w:bookmarkStart w:id="149" w:name="_Toc6809"/>
      <w:r>
        <w:rPr>
          <w:rFonts w:hint="eastAsia" w:hAnsi="宋体" w:cs="宋体"/>
          <w:color w:val="000000" w:themeColor="text1"/>
          <w:sz w:val="21"/>
          <w:szCs w:val="21"/>
          <w14:textFill>
            <w14:solidFill>
              <w14:schemeClr w14:val="tx1"/>
            </w14:solidFill>
          </w14:textFill>
        </w:rPr>
        <w:t>6.付款条件和方式</w:t>
      </w:r>
      <w:bookmarkEnd w:id="149"/>
    </w:p>
    <w:p w14:paraId="0DF74CBB">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合同签订后 15个工作日内乙方按合同总金额的 10%向甲方缴纳履约保证金。免费质保期自最终验收合格之日起计算，乙方完全按照合同要求提供免费售后服务期(三年)满后，甲方收到乙方提出书面申请后10个工作日内无息返还约保证金。</w:t>
      </w:r>
    </w:p>
    <w:p w14:paraId="6347606C">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全院系统上线正常使用1个月且通过初步验收后10个工作日内，甲方向乙方支付合同总金额的20%；项目通过最终验收双方签署最终验收报告后10个工作日内，甲方向乙方支付合同总金额的80%。</w:t>
      </w:r>
    </w:p>
    <w:p w14:paraId="444AFBCE">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付款前，乙方需按甲方要求提供符合甲方要求的增值税普通发票。甲方确认发票内容及金额无误后,向乙方支付款项。乙方未提供发票，或者提供发票的内容或金额有误的，甲方有权拒绝支付相应款项。</w:t>
      </w:r>
    </w:p>
    <w:p w14:paraId="0BAAEF3F">
      <w:pPr>
        <w:pStyle w:val="3"/>
        <w:numPr>
          <w:ilvl w:val="1"/>
          <w:numId w:val="0"/>
        </w:numPr>
        <w:tabs>
          <w:tab w:val="clear" w:pos="425"/>
        </w:tabs>
        <w:spacing w:line="360" w:lineRule="auto"/>
        <w:rPr>
          <w:rFonts w:hAnsi="宋体" w:cs="宋体"/>
          <w:color w:val="000000" w:themeColor="text1"/>
          <w:sz w:val="21"/>
          <w:szCs w:val="21"/>
          <w14:textFill>
            <w14:solidFill>
              <w14:schemeClr w14:val="tx1"/>
            </w14:solidFill>
          </w14:textFill>
        </w:rPr>
      </w:pPr>
      <w:bookmarkStart w:id="150" w:name="_Toc32440"/>
      <w:r>
        <w:rPr>
          <w:rFonts w:hint="eastAsia" w:hAnsi="宋体" w:cs="宋体"/>
          <w:color w:val="000000" w:themeColor="text1"/>
          <w:sz w:val="21"/>
          <w:szCs w:val="21"/>
          <w14:textFill>
            <w14:solidFill>
              <w14:schemeClr w14:val="tx1"/>
            </w14:solidFill>
          </w14:textFill>
        </w:rPr>
        <w:t>7.售后服务及培训</w:t>
      </w:r>
      <w:bookmarkEnd w:id="150"/>
    </w:p>
    <w:p w14:paraId="37A8FC75">
      <w:pPr>
        <w:pStyle w:val="4"/>
        <w:numPr>
          <w:ilvl w:val="2"/>
          <w:numId w:val="0"/>
        </w:numPr>
        <w:spacing w:line="360" w:lineRule="auto"/>
        <w:rPr>
          <w:rFonts w:ascii="宋体" w:hAnsi="宋体" w:cs="宋体"/>
          <w:color w:val="000000" w:themeColor="text1"/>
          <w:szCs w:val="21"/>
          <w14:textFill>
            <w14:solidFill>
              <w14:schemeClr w14:val="tx1"/>
            </w14:solidFill>
          </w14:textFill>
        </w:rPr>
      </w:pPr>
      <w:bookmarkStart w:id="151" w:name="_Toc8133"/>
      <w:r>
        <w:rPr>
          <w:rFonts w:hint="eastAsia" w:ascii="宋体" w:hAnsi="宋体" w:cs="宋体"/>
          <w:color w:val="000000" w:themeColor="text1"/>
          <w:szCs w:val="21"/>
          <w14:textFill>
            <w14:solidFill>
              <w14:schemeClr w14:val="tx1"/>
            </w14:solidFill>
          </w14:textFill>
        </w:rPr>
        <w:t>7.1售后服务</w:t>
      </w:r>
      <w:bookmarkEnd w:id="151"/>
    </w:p>
    <w:p w14:paraId="68E9F3A9">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1、本次项目中涉及的系统软件及硬件设备须至少提供三年免费质保服务。</w:t>
      </w:r>
    </w:p>
    <w:p w14:paraId="72358E75">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2、投标方应在磋商响应文件中说明在保修期内提供的服务计划，维护范围包括（包括但不限于）软、硬件安装，调试、维修，接口、集成等内容。</w:t>
      </w:r>
    </w:p>
    <w:p w14:paraId="0BA70635">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3、在系统的服务期内，投标方应确保系统的正常使用。在接到用户服务要求后应立即做出回应，并在承诺的服务时间内实施服务。</w:t>
      </w:r>
    </w:p>
    <w:p w14:paraId="21A5E1B8">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投标人有良好的售后服务能力，并提供三年免费服务及软件升级，需提供全年7*24小时服务（电话、远程或现场），并在接到招标人通知后8小时内到达现场。项目验收合格后，每年不低于4次的例行维护及巡检，并提供巡检报告。例行维护内容包括：软件的功能增强性维护等应用软件系统扩充升级（其中包括系统维护、跟踪检测），保证投标方所开发的软件正常运行。</w:t>
      </w:r>
    </w:p>
    <w:p w14:paraId="73D107BD">
      <w:pPr>
        <w:pStyle w:val="4"/>
        <w:numPr>
          <w:ilvl w:val="2"/>
          <w:numId w:val="0"/>
        </w:numPr>
        <w:spacing w:line="360" w:lineRule="auto"/>
        <w:rPr>
          <w:rFonts w:ascii="宋体" w:hAnsi="宋体" w:cs="宋体"/>
          <w:color w:val="000000" w:themeColor="text1"/>
          <w:szCs w:val="21"/>
          <w14:textFill>
            <w14:solidFill>
              <w14:schemeClr w14:val="tx1"/>
            </w14:solidFill>
          </w14:textFill>
        </w:rPr>
      </w:pPr>
      <w:bookmarkStart w:id="152" w:name="_Toc23767"/>
      <w:r>
        <w:rPr>
          <w:rFonts w:hint="eastAsia" w:ascii="宋体" w:hAnsi="宋体" w:cs="宋体"/>
          <w:color w:val="000000" w:themeColor="text1"/>
          <w:szCs w:val="21"/>
          <w14:textFill>
            <w14:solidFill>
              <w14:schemeClr w14:val="tx1"/>
            </w14:solidFill>
          </w14:textFill>
        </w:rPr>
        <w:t>7.2 培训</w:t>
      </w:r>
      <w:bookmarkEnd w:id="152"/>
    </w:p>
    <w:p w14:paraId="3522CAD5">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培训：培训对象包括但不限于系统管理员、使用科室管理人员、操作员，系统管理人员培训内容为系统中涉及的相关技术内容；使用科室管理人员培训内容为系统流程和相关管理思想；操作员为系统的操作培训。</w:t>
      </w:r>
    </w:p>
    <w:p w14:paraId="12CC19E2">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2、根据医院的情况制定相关培训方案，课程设置等。包括培训资料、讲义等。</w:t>
      </w:r>
    </w:p>
    <w:p w14:paraId="3B09B809">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3、所有的培训费用必须计入投标总价。</w:t>
      </w:r>
    </w:p>
    <w:p w14:paraId="7EE60F4D">
      <w:pPr>
        <w:pStyle w:val="3"/>
        <w:numPr>
          <w:ilvl w:val="1"/>
          <w:numId w:val="0"/>
        </w:numPr>
        <w:tabs>
          <w:tab w:val="clear" w:pos="425"/>
        </w:tabs>
        <w:spacing w:line="360" w:lineRule="auto"/>
        <w:rPr>
          <w:rFonts w:hAnsi="宋体" w:cs="宋体"/>
          <w:color w:val="000000" w:themeColor="text1"/>
          <w:sz w:val="21"/>
          <w:szCs w:val="21"/>
          <w14:textFill>
            <w14:solidFill>
              <w14:schemeClr w14:val="tx1"/>
            </w14:solidFill>
          </w14:textFill>
        </w:rPr>
      </w:pPr>
      <w:bookmarkStart w:id="153" w:name="_Toc27553"/>
      <w:r>
        <w:rPr>
          <w:rFonts w:hint="eastAsia" w:hAnsi="宋体" w:cs="宋体"/>
          <w:color w:val="000000" w:themeColor="text1"/>
          <w:sz w:val="21"/>
          <w:szCs w:val="21"/>
          <w14:textFill>
            <w14:solidFill>
              <w14:schemeClr w14:val="tx1"/>
            </w14:solidFill>
          </w14:textFill>
        </w:rPr>
        <w:t>8.项目预算说明</w:t>
      </w:r>
      <w:bookmarkEnd w:id="153"/>
    </w:p>
    <w:p w14:paraId="7C23890D">
      <w:pPr>
        <w:spacing w:line="360" w:lineRule="auto"/>
        <w:ind w:firstLine="420" w:firstLineChars="200"/>
        <w:outlineLvl w:val="0"/>
        <w:rPr>
          <w:rFonts w:ascii="仿宋" w:hAnsi="仿宋" w:eastAsia="仿宋" w:cs="仿宋"/>
          <w:color w:val="000000" w:themeColor="text1"/>
          <w:sz w:val="24"/>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以人民币进行结算，项目预算总价包括：完成本项目可能发生的各项费用，包括安装调试、验收、售后维保、培训、实施人员工资、交通、利润、税收、我院现有软件信息系统接口费以及所有有关的管理成本和其他不可预见费等全部费用。</w:t>
      </w:r>
    </w:p>
    <w:sectPr>
      <w:headerReference r:id="rId3" w:type="default"/>
      <w:footerReference r:id="rId4" w:type="default"/>
      <w:pgSz w:w="11906" w:h="16838"/>
      <w:pgMar w:top="1440" w:right="1077" w:bottom="1440" w:left="1077" w:header="851" w:footer="992" w:gutter="0"/>
      <w:pgBorders w:display="notFirstPage" w:offsetFrom="page">
        <w:top w:val="single" w:color="4472C4" w:sz="12" w:space="24"/>
        <w:left w:val="single" w:color="4472C4" w:sz="12" w:space="24"/>
        <w:bottom w:val="single" w:color="4472C4" w:sz="12" w:space="24"/>
        <w:right w:val="single" w:color="4472C4" w:sz="12" w:space="24"/>
      </w:pgBorders>
      <w:pgNumType w:start="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Microsoft YaHei UI">
    <w:panose1 w:val="020B0503020204020204"/>
    <w:charset w:val="86"/>
    <w:family w:val="swiss"/>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Arial Unicode MS">
    <w:altName w:val="宋体"/>
    <w:panose1 w:val="020B0604020202020204"/>
    <w:charset w:val="86"/>
    <w:family w:val="swiss"/>
    <w:pitch w:val="default"/>
    <w:sig w:usb0="00000000" w:usb1="00000000" w:usb2="0000003F" w:usb3="00000000" w:csb0="003F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GE Inspira Pitch">
    <w:altName w:val="微软雅黑"/>
    <w:panose1 w:val="00000000000000000000"/>
    <w:charset w:val="00"/>
    <w:family w:val="auto"/>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10" w:usb3="00000000" w:csb0="00040000" w:csb1="00000000"/>
  </w:font>
  <w:font w:name="Helvetica">
    <w:altName w:val="Arial"/>
    <w:panose1 w:val="020B0504020202020204"/>
    <w:charset w:val="00"/>
    <w:family w:val="swiss"/>
    <w:pitch w:val="default"/>
    <w:sig w:usb0="00000000" w:usb1="00000000" w:usb2="00000000" w:usb3="00000000" w:csb0="00000001" w:csb1="00000000"/>
  </w:font>
  <w:font w:name="ヒラギノ角ゴ Pro W3">
    <w:altName w:val="MS Gothic"/>
    <w:panose1 w:val="00000000000000000000"/>
    <w:charset w:val="80"/>
    <w:family w:val="auto"/>
    <w:pitch w:val="default"/>
    <w:sig w:usb0="00000000" w:usb1="00000000" w:usb2="00000012" w:usb3="00000000" w:csb0="0002000D" w:csb1="00000000"/>
  </w:font>
  <w:font w:name="MS Gothic">
    <w:panose1 w:val="020B0609070205080204"/>
    <w:charset w:val="80"/>
    <w:family w:val="auto"/>
    <w:pitch w:val="default"/>
    <w:sig w:usb0="E00002FF" w:usb1="6AC7FDFB" w:usb2="08000012" w:usb3="00000000" w:csb0="4002009F" w:csb1="DFD70000"/>
  </w:font>
  <w:font w:name="Tahoma">
    <w:panose1 w:val="020B0604030504040204"/>
    <w:charset w:val="00"/>
    <w:family w:val="swiss"/>
    <w:pitch w:val="default"/>
    <w:sig w:usb0="E1002EFF" w:usb1="C000605B" w:usb2="00000029" w:usb3="00000000" w:csb0="200101FF" w:csb1="2028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9634E0">
    <w:pPr>
      <w:pStyle w:val="23"/>
      <w:jc w:val="center"/>
      <w:rPr>
        <w:rFonts w:ascii="宋体" w:hAnsi="宋体"/>
        <w:b/>
        <w:sz w:val="21"/>
      </w:rPr>
    </w:pPr>
    <w:r>
      <w:rPr>
        <w:rFonts w:ascii="宋体" w:hAnsi="宋体"/>
        <w:b/>
        <w:sz w:val="21"/>
      </w:rPr>
      <w:fldChar w:fldCharType="begin"/>
    </w:r>
    <w:r>
      <w:rPr>
        <w:rFonts w:ascii="宋体" w:hAnsi="宋体"/>
        <w:b/>
        <w:sz w:val="21"/>
      </w:rPr>
      <w:instrText xml:space="preserve">PAGE   \* MERGEFORMAT</w:instrText>
    </w:r>
    <w:r>
      <w:rPr>
        <w:rFonts w:ascii="宋体" w:hAnsi="宋体"/>
        <w:b/>
        <w:sz w:val="21"/>
      </w:rPr>
      <w:fldChar w:fldCharType="separate"/>
    </w:r>
    <w:r>
      <w:rPr>
        <w:rFonts w:ascii="宋体" w:hAnsi="宋体"/>
        <w:b/>
        <w:sz w:val="21"/>
        <w:lang w:val="zh-CN"/>
      </w:rPr>
      <w:t>63</w:t>
    </w:r>
    <w:r>
      <w:rPr>
        <w:rFonts w:ascii="宋体" w:hAnsi="宋体"/>
        <w:b/>
        <w:sz w:val="21"/>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8C0DE3">
    <w:pPr>
      <w:pStyle w:val="24"/>
      <w:ind w:firstLine="89" w:firstLineChars="49"/>
      <w:jc w:val="left"/>
      <w:rPr>
        <w:rFonts w:ascii="楷体" w:hAnsi="楷体" w:eastAsia="楷体"/>
        <w:sz w:val="15"/>
      </w:rPr>
    </w:pPr>
    <w:r>
      <w:rPr>
        <w:rFonts w:hint="eastAsia" w:ascii="楷体" w:hAnsi="楷体" w:eastAsia="楷体"/>
        <w:b/>
        <w:szCs w:val="21"/>
        <w:lang w:eastAsia="zh-CN"/>
      </w:rPr>
      <w:t>青海红十字医院康复数字化信息管理系统等三项（包一第二次）</w:t>
    </w:r>
    <w:r>
      <w:rPr>
        <w:rFonts w:hint="eastAsia" w:ascii="楷体" w:hAnsi="楷体" w:eastAsia="楷体"/>
        <w:b/>
        <w:szCs w:val="21"/>
      </w:rPr>
      <w:t xml:space="preserve">                                         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9E07DF4"/>
    <w:multiLevelType w:val="singleLevel"/>
    <w:tmpl w:val="B9E07DF4"/>
    <w:lvl w:ilvl="0" w:tentative="0">
      <w:start w:val="3"/>
      <w:numFmt w:val="decimal"/>
      <w:lvlText w:val="%1."/>
      <w:lvlJc w:val="left"/>
      <w:pPr>
        <w:tabs>
          <w:tab w:val="left" w:pos="312"/>
        </w:tabs>
      </w:pPr>
    </w:lvl>
  </w:abstractNum>
  <w:abstractNum w:abstractNumId="1">
    <w:nsid w:val="BCACC08A"/>
    <w:multiLevelType w:val="multilevel"/>
    <w:tmpl w:val="BCACC08A"/>
    <w:lvl w:ilvl="0" w:tentative="0">
      <w:start w:val="1"/>
      <w:numFmt w:val="decimal"/>
      <w:lvlText w:val="%1)"/>
      <w:lvlJc w:val="left"/>
      <w:pPr>
        <w:ind w:left="480" w:hanging="480"/>
      </w:pPr>
    </w:lvl>
    <w:lvl w:ilvl="1" w:tentative="0">
      <w:start w:val="1"/>
      <w:numFmt w:val="lowerLetter"/>
      <w:lvlText w:val="%2)"/>
      <w:lvlJc w:val="left"/>
      <w:pPr>
        <w:ind w:left="960" w:hanging="480"/>
      </w:pPr>
    </w:lvl>
    <w:lvl w:ilvl="2" w:tentative="0">
      <w:start w:val="1"/>
      <w:numFmt w:val="lowerRoman"/>
      <w:lvlText w:val="%3."/>
      <w:lvlJc w:val="right"/>
      <w:pPr>
        <w:ind w:left="1440" w:hanging="480"/>
      </w:pPr>
    </w:lvl>
    <w:lvl w:ilvl="3" w:tentative="0">
      <w:start w:val="1"/>
      <w:numFmt w:val="decimal"/>
      <w:lvlText w:val="%4."/>
      <w:lvlJc w:val="left"/>
      <w:pPr>
        <w:ind w:left="1920" w:hanging="480"/>
      </w:pPr>
    </w:lvl>
    <w:lvl w:ilvl="4" w:tentative="0">
      <w:start w:val="1"/>
      <w:numFmt w:val="lowerLetter"/>
      <w:lvlText w:val="%5)"/>
      <w:lvlJc w:val="left"/>
      <w:pPr>
        <w:ind w:left="2400" w:hanging="480"/>
      </w:pPr>
    </w:lvl>
    <w:lvl w:ilvl="5" w:tentative="0">
      <w:start w:val="1"/>
      <w:numFmt w:val="lowerRoman"/>
      <w:lvlText w:val="%6."/>
      <w:lvlJc w:val="right"/>
      <w:pPr>
        <w:ind w:left="2880" w:hanging="480"/>
      </w:pPr>
    </w:lvl>
    <w:lvl w:ilvl="6" w:tentative="0">
      <w:start w:val="1"/>
      <w:numFmt w:val="decimal"/>
      <w:lvlText w:val="%7."/>
      <w:lvlJc w:val="left"/>
      <w:pPr>
        <w:ind w:left="3360" w:hanging="480"/>
      </w:pPr>
    </w:lvl>
    <w:lvl w:ilvl="7" w:tentative="0">
      <w:start w:val="1"/>
      <w:numFmt w:val="lowerLetter"/>
      <w:lvlText w:val="%8)"/>
      <w:lvlJc w:val="left"/>
      <w:pPr>
        <w:ind w:left="3840" w:hanging="480"/>
      </w:pPr>
    </w:lvl>
    <w:lvl w:ilvl="8" w:tentative="0">
      <w:start w:val="1"/>
      <w:numFmt w:val="lowerRoman"/>
      <w:lvlText w:val="%9."/>
      <w:lvlJc w:val="right"/>
      <w:pPr>
        <w:ind w:left="4320" w:hanging="480"/>
      </w:pPr>
    </w:lvl>
  </w:abstractNum>
  <w:abstractNum w:abstractNumId="2">
    <w:nsid w:val="005C669B"/>
    <w:multiLevelType w:val="multilevel"/>
    <w:tmpl w:val="005C669B"/>
    <w:lvl w:ilvl="0" w:tentative="0">
      <w:start w:val="1"/>
      <w:numFmt w:val="decimal"/>
      <w:lvlText w:val="（%1）"/>
      <w:lvlJc w:val="left"/>
      <w:pPr>
        <w:ind w:left="1041" w:hanging="420"/>
      </w:pPr>
      <w:rPr>
        <w:rFonts w:hint="default"/>
      </w:rPr>
    </w:lvl>
    <w:lvl w:ilvl="1" w:tentative="0">
      <w:start w:val="1"/>
      <w:numFmt w:val="lowerLetter"/>
      <w:lvlText w:val="%2)"/>
      <w:lvlJc w:val="left"/>
      <w:pPr>
        <w:ind w:left="1461" w:hanging="420"/>
      </w:pPr>
    </w:lvl>
    <w:lvl w:ilvl="2" w:tentative="0">
      <w:start w:val="1"/>
      <w:numFmt w:val="lowerRoman"/>
      <w:lvlText w:val="%3."/>
      <w:lvlJc w:val="right"/>
      <w:pPr>
        <w:ind w:left="1881" w:hanging="420"/>
      </w:pPr>
    </w:lvl>
    <w:lvl w:ilvl="3" w:tentative="0">
      <w:start w:val="1"/>
      <w:numFmt w:val="decimal"/>
      <w:lvlText w:val="%4."/>
      <w:lvlJc w:val="left"/>
      <w:pPr>
        <w:ind w:left="2301" w:hanging="420"/>
      </w:pPr>
    </w:lvl>
    <w:lvl w:ilvl="4" w:tentative="0">
      <w:start w:val="1"/>
      <w:numFmt w:val="lowerLetter"/>
      <w:lvlText w:val="%5)"/>
      <w:lvlJc w:val="left"/>
      <w:pPr>
        <w:ind w:left="2721" w:hanging="420"/>
      </w:pPr>
    </w:lvl>
    <w:lvl w:ilvl="5" w:tentative="0">
      <w:start w:val="1"/>
      <w:numFmt w:val="lowerRoman"/>
      <w:lvlText w:val="%6."/>
      <w:lvlJc w:val="right"/>
      <w:pPr>
        <w:ind w:left="3141" w:hanging="420"/>
      </w:pPr>
    </w:lvl>
    <w:lvl w:ilvl="6" w:tentative="0">
      <w:start w:val="1"/>
      <w:numFmt w:val="decimal"/>
      <w:lvlText w:val="%7."/>
      <w:lvlJc w:val="left"/>
      <w:pPr>
        <w:ind w:left="3561" w:hanging="420"/>
      </w:pPr>
    </w:lvl>
    <w:lvl w:ilvl="7" w:tentative="0">
      <w:start w:val="1"/>
      <w:numFmt w:val="lowerLetter"/>
      <w:lvlText w:val="%8)"/>
      <w:lvlJc w:val="left"/>
      <w:pPr>
        <w:ind w:left="3981" w:hanging="420"/>
      </w:pPr>
    </w:lvl>
    <w:lvl w:ilvl="8" w:tentative="0">
      <w:start w:val="1"/>
      <w:numFmt w:val="lowerRoman"/>
      <w:lvlText w:val="%9."/>
      <w:lvlJc w:val="right"/>
      <w:pPr>
        <w:ind w:left="4401" w:hanging="420"/>
      </w:pPr>
    </w:lvl>
  </w:abstractNum>
  <w:abstractNum w:abstractNumId="3">
    <w:nsid w:val="02400DDE"/>
    <w:multiLevelType w:val="multilevel"/>
    <w:tmpl w:val="02400DDE"/>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02511288"/>
    <w:multiLevelType w:val="multilevel"/>
    <w:tmpl w:val="02511288"/>
    <w:lvl w:ilvl="0" w:tentative="0">
      <w:start w:val="1"/>
      <w:numFmt w:val="decimal"/>
      <w:lvlText w:val="%1)"/>
      <w:lvlJc w:val="left"/>
      <w:pPr>
        <w:ind w:left="480" w:hanging="480"/>
      </w:pPr>
    </w:lvl>
    <w:lvl w:ilvl="1" w:tentative="0">
      <w:start w:val="1"/>
      <w:numFmt w:val="lowerLetter"/>
      <w:lvlText w:val="%2)"/>
      <w:lvlJc w:val="left"/>
      <w:pPr>
        <w:ind w:left="960" w:hanging="480"/>
      </w:pPr>
    </w:lvl>
    <w:lvl w:ilvl="2" w:tentative="0">
      <w:start w:val="1"/>
      <w:numFmt w:val="lowerRoman"/>
      <w:lvlText w:val="%3."/>
      <w:lvlJc w:val="right"/>
      <w:pPr>
        <w:ind w:left="1440" w:hanging="480"/>
      </w:pPr>
    </w:lvl>
    <w:lvl w:ilvl="3" w:tentative="0">
      <w:start w:val="1"/>
      <w:numFmt w:val="decimal"/>
      <w:lvlText w:val="%4."/>
      <w:lvlJc w:val="left"/>
      <w:pPr>
        <w:ind w:left="1920" w:hanging="480"/>
      </w:pPr>
    </w:lvl>
    <w:lvl w:ilvl="4" w:tentative="0">
      <w:start w:val="1"/>
      <w:numFmt w:val="lowerLetter"/>
      <w:lvlText w:val="%5)"/>
      <w:lvlJc w:val="left"/>
      <w:pPr>
        <w:ind w:left="2400" w:hanging="480"/>
      </w:pPr>
    </w:lvl>
    <w:lvl w:ilvl="5" w:tentative="0">
      <w:start w:val="1"/>
      <w:numFmt w:val="lowerRoman"/>
      <w:lvlText w:val="%6."/>
      <w:lvlJc w:val="right"/>
      <w:pPr>
        <w:ind w:left="2880" w:hanging="480"/>
      </w:pPr>
    </w:lvl>
    <w:lvl w:ilvl="6" w:tentative="0">
      <w:start w:val="1"/>
      <w:numFmt w:val="decimal"/>
      <w:lvlText w:val="%7."/>
      <w:lvlJc w:val="left"/>
      <w:pPr>
        <w:ind w:left="3360" w:hanging="480"/>
      </w:pPr>
    </w:lvl>
    <w:lvl w:ilvl="7" w:tentative="0">
      <w:start w:val="1"/>
      <w:numFmt w:val="lowerLetter"/>
      <w:lvlText w:val="%8)"/>
      <w:lvlJc w:val="left"/>
      <w:pPr>
        <w:ind w:left="3840" w:hanging="480"/>
      </w:pPr>
    </w:lvl>
    <w:lvl w:ilvl="8" w:tentative="0">
      <w:start w:val="1"/>
      <w:numFmt w:val="lowerRoman"/>
      <w:lvlText w:val="%9."/>
      <w:lvlJc w:val="right"/>
      <w:pPr>
        <w:ind w:left="4320" w:hanging="480"/>
      </w:pPr>
    </w:lvl>
  </w:abstractNum>
  <w:abstractNum w:abstractNumId="5">
    <w:nsid w:val="02A97116"/>
    <w:multiLevelType w:val="multilevel"/>
    <w:tmpl w:val="02A97116"/>
    <w:lvl w:ilvl="0" w:tentative="0">
      <w:start w:val="1"/>
      <w:numFmt w:val="decimal"/>
      <w:lvlText w:val="%1)"/>
      <w:lvlJc w:val="left"/>
      <w:pPr>
        <w:ind w:left="480" w:hanging="480"/>
      </w:pPr>
    </w:lvl>
    <w:lvl w:ilvl="1" w:tentative="0">
      <w:start w:val="0"/>
      <w:numFmt w:val="bullet"/>
      <w:lvlText w:val="★"/>
      <w:lvlJc w:val="left"/>
      <w:pPr>
        <w:ind w:left="840" w:hanging="360"/>
      </w:pPr>
      <w:rPr>
        <w:rFonts w:hint="eastAsia" w:ascii="宋体" w:hAnsi="宋体" w:eastAsia="宋体" w:cstheme="minorBidi"/>
      </w:rPr>
    </w:lvl>
    <w:lvl w:ilvl="2" w:tentative="0">
      <w:start w:val="1"/>
      <w:numFmt w:val="lowerRoman"/>
      <w:lvlText w:val="%3."/>
      <w:lvlJc w:val="right"/>
      <w:pPr>
        <w:ind w:left="1440" w:hanging="480"/>
      </w:pPr>
    </w:lvl>
    <w:lvl w:ilvl="3" w:tentative="0">
      <w:start w:val="1"/>
      <w:numFmt w:val="decimal"/>
      <w:lvlText w:val="%4."/>
      <w:lvlJc w:val="left"/>
      <w:pPr>
        <w:ind w:left="1920" w:hanging="480"/>
      </w:pPr>
    </w:lvl>
    <w:lvl w:ilvl="4" w:tentative="0">
      <w:start w:val="1"/>
      <w:numFmt w:val="lowerLetter"/>
      <w:lvlText w:val="%5)"/>
      <w:lvlJc w:val="left"/>
      <w:pPr>
        <w:ind w:left="2400" w:hanging="480"/>
      </w:pPr>
    </w:lvl>
    <w:lvl w:ilvl="5" w:tentative="0">
      <w:start w:val="1"/>
      <w:numFmt w:val="lowerRoman"/>
      <w:lvlText w:val="%6."/>
      <w:lvlJc w:val="right"/>
      <w:pPr>
        <w:ind w:left="2880" w:hanging="480"/>
      </w:pPr>
    </w:lvl>
    <w:lvl w:ilvl="6" w:tentative="0">
      <w:start w:val="1"/>
      <w:numFmt w:val="decimal"/>
      <w:lvlText w:val="%7."/>
      <w:lvlJc w:val="left"/>
      <w:pPr>
        <w:ind w:left="3360" w:hanging="480"/>
      </w:pPr>
    </w:lvl>
    <w:lvl w:ilvl="7" w:tentative="0">
      <w:start w:val="1"/>
      <w:numFmt w:val="lowerLetter"/>
      <w:lvlText w:val="%8)"/>
      <w:lvlJc w:val="left"/>
      <w:pPr>
        <w:ind w:left="3840" w:hanging="480"/>
      </w:pPr>
    </w:lvl>
    <w:lvl w:ilvl="8" w:tentative="0">
      <w:start w:val="1"/>
      <w:numFmt w:val="lowerRoman"/>
      <w:lvlText w:val="%9."/>
      <w:lvlJc w:val="right"/>
      <w:pPr>
        <w:ind w:left="4320" w:hanging="480"/>
      </w:pPr>
    </w:lvl>
  </w:abstractNum>
  <w:abstractNum w:abstractNumId="6">
    <w:nsid w:val="084C0B88"/>
    <w:multiLevelType w:val="multilevel"/>
    <w:tmpl w:val="084C0B88"/>
    <w:lvl w:ilvl="0" w:tentative="0">
      <w:start w:val="1"/>
      <w:numFmt w:val="decimal"/>
      <w:lvlText w:val="%1."/>
      <w:lvlJc w:val="left"/>
      <w:pPr>
        <w:ind w:left="360" w:hanging="360"/>
      </w:pPr>
      <w:rPr>
        <w:rFonts w:hint="default"/>
        <w:b/>
      </w:rPr>
    </w:lvl>
    <w:lvl w:ilvl="1" w:tentative="0">
      <w:start w:val="1"/>
      <w:numFmt w:val="decimal"/>
      <w:isLgl/>
      <w:lvlText w:val="%1.%2"/>
      <w:lvlJc w:val="left"/>
      <w:pPr>
        <w:ind w:left="480" w:hanging="480"/>
      </w:pPr>
      <w:rPr>
        <w:rFonts w:hint="default"/>
        <w:b w:val="0"/>
      </w:rPr>
    </w:lvl>
    <w:lvl w:ilvl="2" w:tentative="0">
      <w:start w:val="1"/>
      <w:numFmt w:val="decimal"/>
      <w:isLgl/>
      <w:lvlText w:val="%1.%2.%3"/>
      <w:lvlJc w:val="left"/>
      <w:pPr>
        <w:ind w:left="720" w:hanging="720"/>
      </w:pPr>
      <w:rPr>
        <w:rFonts w:hint="default"/>
      </w:rPr>
    </w:lvl>
    <w:lvl w:ilvl="3" w:tentative="0">
      <w:start w:val="1"/>
      <w:numFmt w:val="decimal"/>
      <w:isLgl/>
      <w:lvlText w:val="%1.%2.%3.%4"/>
      <w:lvlJc w:val="left"/>
      <w:pPr>
        <w:ind w:left="1080" w:hanging="1080"/>
      </w:pPr>
      <w:rPr>
        <w:rFonts w:hint="default"/>
      </w:rPr>
    </w:lvl>
    <w:lvl w:ilvl="4" w:tentative="0">
      <w:start w:val="1"/>
      <w:numFmt w:val="decimal"/>
      <w:isLgl/>
      <w:lvlText w:val="%1.%2.%3.%4.%5"/>
      <w:lvlJc w:val="left"/>
      <w:pPr>
        <w:ind w:left="1080" w:hanging="1080"/>
      </w:pPr>
      <w:rPr>
        <w:rFonts w:hint="default"/>
      </w:rPr>
    </w:lvl>
    <w:lvl w:ilvl="5" w:tentative="0">
      <w:start w:val="1"/>
      <w:numFmt w:val="decimal"/>
      <w:isLgl/>
      <w:lvlText w:val="%1.%2.%3.%4.%5.%6"/>
      <w:lvlJc w:val="left"/>
      <w:pPr>
        <w:ind w:left="1440" w:hanging="1440"/>
      </w:pPr>
      <w:rPr>
        <w:rFonts w:hint="default"/>
      </w:rPr>
    </w:lvl>
    <w:lvl w:ilvl="6" w:tentative="0">
      <w:start w:val="1"/>
      <w:numFmt w:val="decimal"/>
      <w:isLgl/>
      <w:lvlText w:val="%1.%2.%3.%4.%5.%6.%7"/>
      <w:lvlJc w:val="left"/>
      <w:pPr>
        <w:ind w:left="1800" w:hanging="1800"/>
      </w:pPr>
      <w:rPr>
        <w:rFonts w:hint="default"/>
      </w:rPr>
    </w:lvl>
    <w:lvl w:ilvl="7" w:tentative="0">
      <w:start w:val="1"/>
      <w:numFmt w:val="decimal"/>
      <w:isLgl/>
      <w:lvlText w:val="%1.%2.%3.%4.%5.%6.%7.%8"/>
      <w:lvlJc w:val="left"/>
      <w:pPr>
        <w:ind w:left="1800" w:hanging="1800"/>
      </w:pPr>
      <w:rPr>
        <w:rFonts w:hint="default"/>
      </w:rPr>
    </w:lvl>
    <w:lvl w:ilvl="8" w:tentative="0">
      <w:start w:val="1"/>
      <w:numFmt w:val="decimal"/>
      <w:isLgl/>
      <w:lvlText w:val="%1.%2.%3.%4.%5.%6.%7.%8.%9"/>
      <w:lvlJc w:val="left"/>
      <w:pPr>
        <w:ind w:left="2160" w:hanging="2160"/>
      </w:pPr>
      <w:rPr>
        <w:rFonts w:hint="default"/>
      </w:rPr>
    </w:lvl>
  </w:abstractNum>
  <w:abstractNum w:abstractNumId="7">
    <w:nsid w:val="09372158"/>
    <w:multiLevelType w:val="multilevel"/>
    <w:tmpl w:val="09372158"/>
    <w:lvl w:ilvl="0" w:tentative="0">
      <w:start w:val="1"/>
      <w:numFmt w:val="decimal"/>
      <w:lvlText w:val="%1."/>
      <w:lvlJc w:val="left"/>
      <w:pPr>
        <w:ind w:left="1041" w:hanging="420"/>
      </w:pPr>
    </w:lvl>
    <w:lvl w:ilvl="1" w:tentative="0">
      <w:start w:val="1"/>
      <w:numFmt w:val="lowerLetter"/>
      <w:lvlText w:val="%2)"/>
      <w:lvlJc w:val="left"/>
      <w:pPr>
        <w:ind w:left="1461" w:hanging="420"/>
      </w:pPr>
    </w:lvl>
    <w:lvl w:ilvl="2" w:tentative="0">
      <w:start w:val="1"/>
      <w:numFmt w:val="lowerRoman"/>
      <w:lvlText w:val="%3."/>
      <w:lvlJc w:val="right"/>
      <w:pPr>
        <w:ind w:left="1881" w:hanging="420"/>
      </w:pPr>
    </w:lvl>
    <w:lvl w:ilvl="3" w:tentative="0">
      <w:start w:val="1"/>
      <w:numFmt w:val="decimal"/>
      <w:lvlText w:val="%4."/>
      <w:lvlJc w:val="left"/>
      <w:pPr>
        <w:ind w:left="2301" w:hanging="420"/>
      </w:pPr>
    </w:lvl>
    <w:lvl w:ilvl="4" w:tentative="0">
      <w:start w:val="1"/>
      <w:numFmt w:val="lowerLetter"/>
      <w:lvlText w:val="%5)"/>
      <w:lvlJc w:val="left"/>
      <w:pPr>
        <w:ind w:left="2721" w:hanging="420"/>
      </w:pPr>
    </w:lvl>
    <w:lvl w:ilvl="5" w:tentative="0">
      <w:start w:val="1"/>
      <w:numFmt w:val="lowerRoman"/>
      <w:lvlText w:val="%6."/>
      <w:lvlJc w:val="right"/>
      <w:pPr>
        <w:ind w:left="3141" w:hanging="420"/>
      </w:pPr>
    </w:lvl>
    <w:lvl w:ilvl="6" w:tentative="0">
      <w:start w:val="1"/>
      <w:numFmt w:val="decimal"/>
      <w:lvlText w:val="%7."/>
      <w:lvlJc w:val="left"/>
      <w:pPr>
        <w:ind w:left="3561" w:hanging="420"/>
      </w:pPr>
    </w:lvl>
    <w:lvl w:ilvl="7" w:tentative="0">
      <w:start w:val="1"/>
      <w:numFmt w:val="lowerLetter"/>
      <w:lvlText w:val="%8)"/>
      <w:lvlJc w:val="left"/>
      <w:pPr>
        <w:ind w:left="3981" w:hanging="420"/>
      </w:pPr>
    </w:lvl>
    <w:lvl w:ilvl="8" w:tentative="0">
      <w:start w:val="1"/>
      <w:numFmt w:val="lowerRoman"/>
      <w:lvlText w:val="%9."/>
      <w:lvlJc w:val="right"/>
      <w:pPr>
        <w:ind w:left="4401" w:hanging="420"/>
      </w:pPr>
    </w:lvl>
  </w:abstractNum>
  <w:abstractNum w:abstractNumId="8">
    <w:nsid w:val="09BF1F9A"/>
    <w:multiLevelType w:val="multilevel"/>
    <w:tmpl w:val="09BF1F9A"/>
    <w:lvl w:ilvl="0" w:tentative="0">
      <w:start w:val="1"/>
      <w:numFmt w:val="decimal"/>
      <w:lvlText w:val="%1)"/>
      <w:lvlJc w:val="left"/>
      <w:pPr>
        <w:ind w:left="480" w:hanging="480"/>
      </w:pPr>
    </w:lvl>
    <w:lvl w:ilvl="1" w:tentative="0">
      <w:start w:val="1"/>
      <w:numFmt w:val="lowerLetter"/>
      <w:lvlText w:val="%2)"/>
      <w:lvlJc w:val="left"/>
      <w:pPr>
        <w:ind w:left="960" w:hanging="480"/>
      </w:pPr>
    </w:lvl>
    <w:lvl w:ilvl="2" w:tentative="0">
      <w:start w:val="1"/>
      <w:numFmt w:val="lowerRoman"/>
      <w:lvlText w:val="%3."/>
      <w:lvlJc w:val="right"/>
      <w:pPr>
        <w:ind w:left="1440" w:hanging="480"/>
      </w:pPr>
    </w:lvl>
    <w:lvl w:ilvl="3" w:tentative="0">
      <w:start w:val="1"/>
      <w:numFmt w:val="decimal"/>
      <w:lvlText w:val="%4."/>
      <w:lvlJc w:val="left"/>
      <w:pPr>
        <w:ind w:left="1920" w:hanging="480"/>
      </w:pPr>
    </w:lvl>
    <w:lvl w:ilvl="4" w:tentative="0">
      <w:start w:val="1"/>
      <w:numFmt w:val="lowerLetter"/>
      <w:lvlText w:val="%5)"/>
      <w:lvlJc w:val="left"/>
      <w:pPr>
        <w:ind w:left="2400" w:hanging="480"/>
      </w:pPr>
    </w:lvl>
    <w:lvl w:ilvl="5" w:tentative="0">
      <w:start w:val="1"/>
      <w:numFmt w:val="lowerRoman"/>
      <w:lvlText w:val="%6."/>
      <w:lvlJc w:val="right"/>
      <w:pPr>
        <w:ind w:left="2880" w:hanging="480"/>
      </w:pPr>
    </w:lvl>
    <w:lvl w:ilvl="6" w:tentative="0">
      <w:start w:val="1"/>
      <w:numFmt w:val="decimal"/>
      <w:lvlText w:val="%7."/>
      <w:lvlJc w:val="left"/>
      <w:pPr>
        <w:ind w:left="3360" w:hanging="480"/>
      </w:pPr>
    </w:lvl>
    <w:lvl w:ilvl="7" w:tentative="0">
      <w:start w:val="1"/>
      <w:numFmt w:val="lowerLetter"/>
      <w:lvlText w:val="%8)"/>
      <w:lvlJc w:val="left"/>
      <w:pPr>
        <w:ind w:left="3840" w:hanging="480"/>
      </w:pPr>
    </w:lvl>
    <w:lvl w:ilvl="8" w:tentative="0">
      <w:start w:val="1"/>
      <w:numFmt w:val="lowerRoman"/>
      <w:lvlText w:val="%9."/>
      <w:lvlJc w:val="right"/>
      <w:pPr>
        <w:ind w:left="4320" w:hanging="480"/>
      </w:pPr>
    </w:lvl>
  </w:abstractNum>
  <w:abstractNum w:abstractNumId="9">
    <w:nsid w:val="0B143627"/>
    <w:multiLevelType w:val="multilevel"/>
    <w:tmpl w:val="0B143627"/>
    <w:lvl w:ilvl="0" w:tentative="0">
      <w:start w:val="1"/>
      <w:numFmt w:val="decimal"/>
      <w:lvlText w:val="%1)"/>
      <w:lvlJc w:val="left"/>
      <w:pPr>
        <w:ind w:left="1129" w:hanging="420"/>
      </w:pPr>
    </w:lvl>
    <w:lvl w:ilvl="1" w:tentative="0">
      <w:start w:val="1"/>
      <w:numFmt w:val="lowerLetter"/>
      <w:lvlText w:val="%2)"/>
      <w:lvlJc w:val="left"/>
      <w:pPr>
        <w:ind w:left="1549" w:hanging="420"/>
      </w:pPr>
    </w:lvl>
    <w:lvl w:ilvl="2" w:tentative="0">
      <w:start w:val="1"/>
      <w:numFmt w:val="lowerRoman"/>
      <w:lvlText w:val="%3."/>
      <w:lvlJc w:val="right"/>
      <w:pPr>
        <w:ind w:left="1969" w:hanging="420"/>
      </w:pPr>
    </w:lvl>
    <w:lvl w:ilvl="3" w:tentative="0">
      <w:start w:val="1"/>
      <w:numFmt w:val="decimal"/>
      <w:lvlText w:val="%4."/>
      <w:lvlJc w:val="left"/>
      <w:pPr>
        <w:ind w:left="2389" w:hanging="420"/>
      </w:pPr>
    </w:lvl>
    <w:lvl w:ilvl="4" w:tentative="0">
      <w:start w:val="1"/>
      <w:numFmt w:val="lowerLetter"/>
      <w:lvlText w:val="%5)"/>
      <w:lvlJc w:val="left"/>
      <w:pPr>
        <w:ind w:left="2809" w:hanging="420"/>
      </w:pPr>
    </w:lvl>
    <w:lvl w:ilvl="5" w:tentative="0">
      <w:start w:val="1"/>
      <w:numFmt w:val="lowerRoman"/>
      <w:lvlText w:val="%6."/>
      <w:lvlJc w:val="right"/>
      <w:pPr>
        <w:ind w:left="3229" w:hanging="420"/>
      </w:pPr>
    </w:lvl>
    <w:lvl w:ilvl="6" w:tentative="0">
      <w:start w:val="1"/>
      <w:numFmt w:val="decimal"/>
      <w:lvlText w:val="%7."/>
      <w:lvlJc w:val="left"/>
      <w:pPr>
        <w:ind w:left="3649" w:hanging="420"/>
      </w:pPr>
    </w:lvl>
    <w:lvl w:ilvl="7" w:tentative="0">
      <w:start w:val="1"/>
      <w:numFmt w:val="lowerLetter"/>
      <w:lvlText w:val="%8)"/>
      <w:lvlJc w:val="left"/>
      <w:pPr>
        <w:ind w:left="4069" w:hanging="420"/>
      </w:pPr>
    </w:lvl>
    <w:lvl w:ilvl="8" w:tentative="0">
      <w:start w:val="1"/>
      <w:numFmt w:val="lowerRoman"/>
      <w:lvlText w:val="%9."/>
      <w:lvlJc w:val="right"/>
      <w:pPr>
        <w:ind w:left="4489" w:hanging="420"/>
      </w:pPr>
    </w:lvl>
  </w:abstractNum>
  <w:abstractNum w:abstractNumId="10">
    <w:nsid w:val="0B21349E"/>
    <w:multiLevelType w:val="multilevel"/>
    <w:tmpl w:val="0B21349E"/>
    <w:lvl w:ilvl="0" w:tentative="0">
      <w:start w:val="1"/>
      <w:numFmt w:val="decimal"/>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11">
    <w:nsid w:val="0FD92A73"/>
    <w:multiLevelType w:val="multilevel"/>
    <w:tmpl w:val="0FD92A73"/>
    <w:lvl w:ilvl="0" w:tentative="0">
      <w:start w:val="2"/>
      <w:numFmt w:val="decimal"/>
      <w:lvlText w:val="%1"/>
      <w:lvlJc w:val="left"/>
      <w:pPr>
        <w:ind w:left="360" w:hanging="360"/>
      </w:pPr>
      <w:rPr>
        <w:rFonts w:hint="default"/>
      </w:rPr>
    </w:lvl>
    <w:lvl w:ilvl="1" w:tentative="0">
      <w:start w:val="1"/>
      <w:numFmt w:val="decimal"/>
      <w:lvlText w:val="%1.%2"/>
      <w:lvlJc w:val="left"/>
      <w:pPr>
        <w:ind w:left="501" w:hanging="360"/>
      </w:pPr>
      <w:rPr>
        <w:rFonts w:hint="default"/>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12">
    <w:nsid w:val="137236D0"/>
    <w:multiLevelType w:val="multilevel"/>
    <w:tmpl w:val="137236D0"/>
    <w:lvl w:ilvl="0" w:tentative="0">
      <w:start w:val="1"/>
      <w:numFmt w:val="decimal"/>
      <w:lvlText w:val="%1)"/>
      <w:lvlJc w:val="left"/>
      <w:pPr>
        <w:ind w:left="480" w:hanging="480"/>
      </w:pPr>
    </w:lvl>
    <w:lvl w:ilvl="1" w:tentative="0">
      <w:start w:val="1"/>
      <w:numFmt w:val="lowerLetter"/>
      <w:lvlText w:val="%2)"/>
      <w:lvlJc w:val="left"/>
      <w:pPr>
        <w:ind w:left="960" w:hanging="480"/>
      </w:pPr>
    </w:lvl>
    <w:lvl w:ilvl="2" w:tentative="0">
      <w:start w:val="1"/>
      <w:numFmt w:val="lowerRoman"/>
      <w:lvlText w:val="%3."/>
      <w:lvlJc w:val="right"/>
      <w:pPr>
        <w:ind w:left="1440" w:hanging="480"/>
      </w:pPr>
    </w:lvl>
    <w:lvl w:ilvl="3" w:tentative="0">
      <w:start w:val="1"/>
      <w:numFmt w:val="decimal"/>
      <w:lvlText w:val="%4."/>
      <w:lvlJc w:val="left"/>
      <w:pPr>
        <w:ind w:left="1920" w:hanging="480"/>
      </w:pPr>
    </w:lvl>
    <w:lvl w:ilvl="4" w:tentative="0">
      <w:start w:val="1"/>
      <w:numFmt w:val="lowerLetter"/>
      <w:lvlText w:val="%5)"/>
      <w:lvlJc w:val="left"/>
      <w:pPr>
        <w:ind w:left="2400" w:hanging="480"/>
      </w:pPr>
    </w:lvl>
    <w:lvl w:ilvl="5" w:tentative="0">
      <w:start w:val="1"/>
      <w:numFmt w:val="lowerRoman"/>
      <w:lvlText w:val="%6."/>
      <w:lvlJc w:val="right"/>
      <w:pPr>
        <w:ind w:left="2880" w:hanging="480"/>
      </w:pPr>
    </w:lvl>
    <w:lvl w:ilvl="6" w:tentative="0">
      <w:start w:val="1"/>
      <w:numFmt w:val="decimal"/>
      <w:lvlText w:val="%7."/>
      <w:lvlJc w:val="left"/>
      <w:pPr>
        <w:ind w:left="3360" w:hanging="480"/>
      </w:pPr>
    </w:lvl>
    <w:lvl w:ilvl="7" w:tentative="0">
      <w:start w:val="1"/>
      <w:numFmt w:val="lowerLetter"/>
      <w:lvlText w:val="%8)"/>
      <w:lvlJc w:val="left"/>
      <w:pPr>
        <w:ind w:left="3840" w:hanging="480"/>
      </w:pPr>
    </w:lvl>
    <w:lvl w:ilvl="8" w:tentative="0">
      <w:start w:val="1"/>
      <w:numFmt w:val="lowerRoman"/>
      <w:lvlText w:val="%9."/>
      <w:lvlJc w:val="right"/>
      <w:pPr>
        <w:ind w:left="4320" w:hanging="480"/>
      </w:pPr>
    </w:lvl>
  </w:abstractNum>
  <w:abstractNum w:abstractNumId="13">
    <w:nsid w:val="16C251DB"/>
    <w:multiLevelType w:val="multilevel"/>
    <w:tmpl w:val="16C251DB"/>
    <w:lvl w:ilvl="0" w:tentative="0">
      <w:start w:val="1"/>
      <w:numFmt w:val="decimal"/>
      <w:lvlText w:val="%1)"/>
      <w:lvlJc w:val="left"/>
      <w:pPr>
        <w:ind w:left="480" w:hanging="480"/>
      </w:pPr>
    </w:lvl>
    <w:lvl w:ilvl="1" w:tentative="0">
      <w:start w:val="1"/>
      <w:numFmt w:val="lowerLetter"/>
      <w:lvlText w:val="%2)"/>
      <w:lvlJc w:val="left"/>
      <w:pPr>
        <w:ind w:left="960" w:hanging="480"/>
      </w:pPr>
    </w:lvl>
    <w:lvl w:ilvl="2" w:tentative="0">
      <w:start w:val="1"/>
      <w:numFmt w:val="lowerRoman"/>
      <w:lvlText w:val="%3."/>
      <w:lvlJc w:val="right"/>
      <w:pPr>
        <w:ind w:left="1440" w:hanging="480"/>
      </w:pPr>
    </w:lvl>
    <w:lvl w:ilvl="3" w:tentative="0">
      <w:start w:val="1"/>
      <w:numFmt w:val="decimal"/>
      <w:lvlText w:val="%4."/>
      <w:lvlJc w:val="left"/>
      <w:pPr>
        <w:ind w:left="1920" w:hanging="480"/>
      </w:pPr>
    </w:lvl>
    <w:lvl w:ilvl="4" w:tentative="0">
      <w:start w:val="1"/>
      <w:numFmt w:val="lowerLetter"/>
      <w:lvlText w:val="%5)"/>
      <w:lvlJc w:val="left"/>
      <w:pPr>
        <w:ind w:left="2400" w:hanging="480"/>
      </w:pPr>
    </w:lvl>
    <w:lvl w:ilvl="5" w:tentative="0">
      <w:start w:val="1"/>
      <w:numFmt w:val="lowerRoman"/>
      <w:lvlText w:val="%6."/>
      <w:lvlJc w:val="right"/>
      <w:pPr>
        <w:ind w:left="2880" w:hanging="480"/>
      </w:pPr>
    </w:lvl>
    <w:lvl w:ilvl="6" w:tentative="0">
      <w:start w:val="1"/>
      <w:numFmt w:val="decimal"/>
      <w:lvlText w:val="%7."/>
      <w:lvlJc w:val="left"/>
      <w:pPr>
        <w:ind w:left="3360" w:hanging="480"/>
      </w:pPr>
    </w:lvl>
    <w:lvl w:ilvl="7" w:tentative="0">
      <w:start w:val="1"/>
      <w:numFmt w:val="lowerLetter"/>
      <w:lvlText w:val="%8)"/>
      <w:lvlJc w:val="left"/>
      <w:pPr>
        <w:ind w:left="3840" w:hanging="480"/>
      </w:pPr>
    </w:lvl>
    <w:lvl w:ilvl="8" w:tentative="0">
      <w:start w:val="1"/>
      <w:numFmt w:val="lowerRoman"/>
      <w:lvlText w:val="%9."/>
      <w:lvlJc w:val="right"/>
      <w:pPr>
        <w:ind w:left="4320" w:hanging="480"/>
      </w:pPr>
    </w:lvl>
  </w:abstractNum>
  <w:abstractNum w:abstractNumId="14">
    <w:nsid w:val="18814C8C"/>
    <w:multiLevelType w:val="multilevel"/>
    <w:tmpl w:val="18814C8C"/>
    <w:lvl w:ilvl="0" w:tentative="0">
      <w:start w:val="1"/>
      <w:numFmt w:val="decimal"/>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15">
    <w:nsid w:val="1E920307"/>
    <w:multiLevelType w:val="multilevel"/>
    <w:tmpl w:val="1E920307"/>
    <w:lvl w:ilvl="0" w:tentative="0">
      <w:start w:val="21"/>
      <w:numFmt w:val="decimal"/>
      <w:lvlText w:val="%1"/>
      <w:lvlJc w:val="left"/>
      <w:pPr>
        <w:ind w:left="480" w:hanging="480"/>
      </w:pPr>
      <w:rPr>
        <w:rFonts w:hint="default"/>
        <w:b w:val="0"/>
        <w:sz w:val="24"/>
      </w:rPr>
    </w:lvl>
    <w:lvl w:ilvl="1" w:tentative="0">
      <w:start w:val="1"/>
      <w:numFmt w:val="decimal"/>
      <w:lvlText w:val="17.%2."/>
      <w:lvlJc w:val="left"/>
      <w:pPr>
        <w:ind w:left="861" w:hanging="720"/>
      </w:pPr>
      <w:rPr>
        <w:rFonts w:hint="eastAsia"/>
        <w:b w:val="0"/>
        <w:sz w:val="24"/>
      </w:rPr>
    </w:lvl>
    <w:lvl w:ilvl="2" w:tentative="0">
      <w:start w:val="1"/>
      <w:numFmt w:val="decimal"/>
      <w:lvlText w:val="%1.%2.%3"/>
      <w:lvlJc w:val="left"/>
      <w:pPr>
        <w:ind w:left="2040" w:hanging="1080"/>
      </w:pPr>
      <w:rPr>
        <w:rFonts w:hint="default"/>
        <w:b w:val="0"/>
        <w:sz w:val="24"/>
      </w:rPr>
    </w:lvl>
    <w:lvl w:ilvl="3" w:tentative="0">
      <w:start w:val="1"/>
      <w:numFmt w:val="decimal"/>
      <w:lvlText w:val="%1.%2.%3.%4"/>
      <w:lvlJc w:val="left"/>
      <w:pPr>
        <w:ind w:left="2880" w:hanging="1440"/>
      </w:pPr>
      <w:rPr>
        <w:rFonts w:hint="default"/>
        <w:b w:val="0"/>
        <w:sz w:val="24"/>
      </w:rPr>
    </w:lvl>
    <w:lvl w:ilvl="4" w:tentative="0">
      <w:start w:val="1"/>
      <w:numFmt w:val="decimal"/>
      <w:lvlText w:val="%1.%2.%3.%4.%5"/>
      <w:lvlJc w:val="left"/>
      <w:pPr>
        <w:ind w:left="3720" w:hanging="1800"/>
      </w:pPr>
      <w:rPr>
        <w:rFonts w:hint="default"/>
        <w:b w:val="0"/>
        <w:sz w:val="24"/>
      </w:rPr>
    </w:lvl>
    <w:lvl w:ilvl="5" w:tentative="0">
      <w:start w:val="1"/>
      <w:numFmt w:val="decimal"/>
      <w:lvlText w:val="%1.%2.%3.%4.%5.%6"/>
      <w:lvlJc w:val="left"/>
      <w:pPr>
        <w:ind w:left="4200" w:hanging="1800"/>
      </w:pPr>
      <w:rPr>
        <w:rFonts w:hint="default"/>
        <w:b w:val="0"/>
        <w:sz w:val="24"/>
      </w:rPr>
    </w:lvl>
    <w:lvl w:ilvl="6" w:tentative="0">
      <w:start w:val="1"/>
      <w:numFmt w:val="decimal"/>
      <w:lvlText w:val="%1.%2.%3.%4.%5.%6.%7"/>
      <w:lvlJc w:val="left"/>
      <w:pPr>
        <w:ind w:left="5040" w:hanging="2160"/>
      </w:pPr>
      <w:rPr>
        <w:rFonts w:hint="default"/>
        <w:b w:val="0"/>
        <w:sz w:val="24"/>
      </w:rPr>
    </w:lvl>
    <w:lvl w:ilvl="7" w:tentative="0">
      <w:start w:val="1"/>
      <w:numFmt w:val="decimal"/>
      <w:lvlText w:val="%1.%2.%3.%4.%5.%6.%7.%8"/>
      <w:lvlJc w:val="left"/>
      <w:pPr>
        <w:ind w:left="5880" w:hanging="2520"/>
      </w:pPr>
      <w:rPr>
        <w:rFonts w:hint="default"/>
        <w:b w:val="0"/>
        <w:sz w:val="24"/>
      </w:rPr>
    </w:lvl>
    <w:lvl w:ilvl="8" w:tentative="0">
      <w:start w:val="1"/>
      <w:numFmt w:val="decimal"/>
      <w:lvlText w:val="%1.%2.%3.%4.%5.%6.%7.%8.%9"/>
      <w:lvlJc w:val="left"/>
      <w:pPr>
        <w:ind w:left="6720" w:hanging="2880"/>
      </w:pPr>
      <w:rPr>
        <w:rFonts w:hint="default"/>
        <w:b w:val="0"/>
        <w:sz w:val="24"/>
      </w:rPr>
    </w:lvl>
  </w:abstractNum>
  <w:abstractNum w:abstractNumId="16">
    <w:nsid w:val="22FD7C9F"/>
    <w:multiLevelType w:val="multilevel"/>
    <w:tmpl w:val="22FD7C9F"/>
    <w:lvl w:ilvl="0" w:tentative="0">
      <w:start w:val="1"/>
      <w:numFmt w:val="decimal"/>
      <w:lvlText w:val="%1)"/>
      <w:lvlJc w:val="left"/>
      <w:pPr>
        <w:ind w:left="480" w:hanging="480"/>
      </w:pPr>
    </w:lvl>
    <w:lvl w:ilvl="1" w:tentative="0">
      <w:start w:val="1"/>
      <w:numFmt w:val="lowerLetter"/>
      <w:lvlText w:val="%2)"/>
      <w:lvlJc w:val="left"/>
      <w:pPr>
        <w:ind w:left="960" w:hanging="480"/>
      </w:pPr>
    </w:lvl>
    <w:lvl w:ilvl="2" w:tentative="0">
      <w:start w:val="1"/>
      <w:numFmt w:val="lowerRoman"/>
      <w:lvlText w:val="%3."/>
      <w:lvlJc w:val="right"/>
      <w:pPr>
        <w:ind w:left="1440" w:hanging="480"/>
      </w:pPr>
    </w:lvl>
    <w:lvl w:ilvl="3" w:tentative="0">
      <w:start w:val="1"/>
      <w:numFmt w:val="decimal"/>
      <w:lvlText w:val="%4."/>
      <w:lvlJc w:val="left"/>
      <w:pPr>
        <w:ind w:left="1920" w:hanging="480"/>
      </w:pPr>
    </w:lvl>
    <w:lvl w:ilvl="4" w:tentative="0">
      <w:start w:val="1"/>
      <w:numFmt w:val="lowerLetter"/>
      <w:lvlText w:val="%5)"/>
      <w:lvlJc w:val="left"/>
      <w:pPr>
        <w:ind w:left="2400" w:hanging="480"/>
      </w:pPr>
    </w:lvl>
    <w:lvl w:ilvl="5" w:tentative="0">
      <w:start w:val="1"/>
      <w:numFmt w:val="lowerRoman"/>
      <w:lvlText w:val="%6."/>
      <w:lvlJc w:val="right"/>
      <w:pPr>
        <w:ind w:left="2880" w:hanging="480"/>
      </w:pPr>
    </w:lvl>
    <w:lvl w:ilvl="6" w:tentative="0">
      <w:start w:val="1"/>
      <w:numFmt w:val="decimal"/>
      <w:lvlText w:val="%7."/>
      <w:lvlJc w:val="left"/>
      <w:pPr>
        <w:ind w:left="3360" w:hanging="480"/>
      </w:pPr>
    </w:lvl>
    <w:lvl w:ilvl="7" w:tentative="0">
      <w:start w:val="1"/>
      <w:numFmt w:val="lowerLetter"/>
      <w:lvlText w:val="%8)"/>
      <w:lvlJc w:val="left"/>
      <w:pPr>
        <w:ind w:left="3840" w:hanging="480"/>
      </w:pPr>
    </w:lvl>
    <w:lvl w:ilvl="8" w:tentative="0">
      <w:start w:val="1"/>
      <w:numFmt w:val="lowerRoman"/>
      <w:lvlText w:val="%9."/>
      <w:lvlJc w:val="right"/>
      <w:pPr>
        <w:ind w:left="4320" w:hanging="480"/>
      </w:pPr>
    </w:lvl>
  </w:abstractNum>
  <w:abstractNum w:abstractNumId="17">
    <w:nsid w:val="23250329"/>
    <w:multiLevelType w:val="multilevel"/>
    <w:tmpl w:val="23250329"/>
    <w:lvl w:ilvl="0" w:tentative="0">
      <w:start w:val="1"/>
      <w:numFmt w:val="decimal"/>
      <w:lvlText w:val="%1)"/>
      <w:lvlJc w:val="left"/>
      <w:pPr>
        <w:ind w:left="480" w:hanging="480"/>
      </w:pPr>
    </w:lvl>
    <w:lvl w:ilvl="1" w:tentative="0">
      <w:start w:val="1"/>
      <w:numFmt w:val="lowerLetter"/>
      <w:lvlText w:val="%2)"/>
      <w:lvlJc w:val="left"/>
      <w:pPr>
        <w:ind w:left="960" w:hanging="480"/>
      </w:pPr>
    </w:lvl>
    <w:lvl w:ilvl="2" w:tentative="0">
      <w:start w:val="1"/>
      <w:numFmt w:val="lowerRoman"/>
      <w:lvlText w:val="%3."/>
      <w:lvlJc w:val="right"/>
      <w:pPr>
        <w:ind w:left="1440" w:hanging="480"/>
      </w:pPr>
    </w:lvl>
    <w:lvl w:ilvl="3" w:tentative="0">
      <w:start w:val="1"/>
      <w:numFmt w:val="decimal"/>
      <w:lvlText w:val="%4."/>
      <w:lvlJc w:val="left"/>
      <w:pPr>
        <w:ind w:left="1920" w:hanging="480"/>
      </w:pPr>
    </w:lvl>
    <w:lvl w:ilvl="4" w:tentative="0">
      <w:start w:val="1"/>
      <w:numFmt w:val="lowerLetter"/>
      <w:lvlText w:val="%5)"/>
      <w:lvlJc w:val="left"/>
      <w:pPr>
        <w:ind w:left="2400" w:hanging="480"/>
      </w:pPr>
    </w:lvl>
    <w:lvl w:ilvl="5" w:tentative="0">
      <w:start w:val="1"/>
      <w:numFmt w:val="lowerRoman"/>
      <w:lvlText w:val="%6."/>
      <w:lvlJc w:val="right"/>
      <w:pPr>
        <w:ind w:left="2880" w:hanging="480"/>
      </w:pPr>
    </w:lvl>
    <w:lvl w:ilvl="6" w:tentative="0">
      <w:start w:val="1"/>
      <w:numFmt w:val="decimal"/>
      <w:lvlText w:val="%7."/>
      <w:lvlJc w:val="left"/>
      <w:pPr>
        <w:ind w:left="3360" w:hanging="480"/>
      </w:pPr>
    </w:lvl>
    <w:lvl w:ilvl="7" w:tentative="0">
      <w:start w:val="1"/>
      <w:numFmt w:val="lowerLetter"/>
      <w:lvlText w:val="%8)"/>
      <w:lvlJc w:val="left"/>
      <w:pPr>
        <w:ind w:left="3840" w:hanging="480"/>
      </w:pPr>
    </w:lvl>
    <w:lvl w:ilvl="8" w:tentative="0">
      <w:start w:val="1"/>
      <w:numFmt w:val="lowerRoman"/>
      <w:lvlText w:val="%9."/>
      <w:lvlJc w:val="right"/>
      <w:pPr>
        <w:ind w:left="4320" w:hanging="480"/>
      </w:pPr>
    </w:lvl>
  </w:abstractNum>
  <w:abstractNum w:abstractNumId="18">
    <w:nsid w:val="25933C0A"/>
    <w:multiLevelType w:val="multilevel"/>
    <w:tmpl w:val="25933C0A"/>
    <w:lvl w:ilvl="0" w:tentative="0">
      <w:start w:val="1"/>
      <w:numFmt w:val="decimal"/>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19">
    <w:nsid w:val="26623BFA"/>
    <w:multiLevelType w:val="multilevel"/>
    <w:tmpl w:val="26623BFA"/>
    <w:lvl w:ilvl="0" w:tentative="0">
      <w:start w:val="1"/>
      <w:numFmt w:val="decimal"/>
      <w:lvlText w:val="%1)"/>
      <w:lvlJc w:val="left"/>
      <w:pPr>
        <w:ind w:left="480" w:hanging="480"/>
      </w:pPr>
    </w:lvl>
    <w:lvl w:ilvl="1" w:tentative="0">
      <w:start w:val="1"/>
      <w:numFmt w:val="lowerLetter"/>
      <w:lvlText w:val="%2)"/>
      <w:lvlJc w:val="left"/>
      <w:pPr>
        <w:ind w:left="960" w:hanging="480"/>
      </w:pPr>
    </w:lvl>
    <w:lvl w:ilvl="2" w:tentative="0">
      <w:start w:val="1"/>
      <w:numFmt w:val="lowerRoman"/>
      <w:lvlText w:val="%3."/>
      <w:lvlJc w:val="right"/>
      <w:pPr>
        <w:ind w:left="1440" w:hanging="480"/>
      </w:pPr>
    </w:lvl>
    <w:lvl w:ilvl="3" w:tentative="0">
      <w:start w:val="1"/>
      <w:numFmt w:val="decimal"/>
      <w:lvlText w:val="%4."/>
      <w:lvlJc w:val="left"/>
      <w:pPr>
        <w:ind w:left="1920" w:hanging="480"/>
      </w:pPr>
    </w:lvl>
    <w:lvl w:ilvl="4" w:tentative="0">
      <w:start w:val="1"/>
      <w:numFmt w:val="lowerLetter"/>
      <w:lvlText w:val="%5)"/>
      <w:lvlJc w:val="left"/>
      <w:pPr>
        <w:ind w:left="2400" w:hanging="480"/>
      </w:pPr>
    </w:lvl>
    <w:lvl w:ilvl="5" w:tentative="0">
      <w:start w:val="1"/>
      <w:numFmt w:val="lowerRoman"/>
      <w:lvlText w:val="%6."/>
      <w:lvlJc w:val="right"/>
      <w:pPr>
        <w:ind w:left="2880" w:hanging="480"/>
      </w:pPr>
    </w:lvl>
    <w:lvl w:ilvl="6" w:tentative="0">
      <w:start w:val="1"/>
      <w:numFmt w:val="decimal"/>
      <w:lvlText w:val="%7."/>
      <w:lvlJc w:val="left"/>
      <w:pPr>
        <w:ind w:left="3360" w:hanging="480"/>
      </w:pPr>
    </w:lvl>
    <w:lvl w:ilvl="7" w:tentative="0">
      <w:start w:val="1"/>
      <w:numFmt w:val="lowerLetter"/>
      <w:lvlText w:val="%8)"/>
      <w:lvlJc w:val="left"/>
      <w:pPr>
        <w:ind w:left="3840" w:hanging="480"/>
      </w:pPr>
    </w:lvl>
    <w:lvl w:ilvl="8" w:tentative="0">
      <w:start w:val="1"/>
      <w:numFmt w:val="lowerRoman"/>
      <w:lvlText w:val="%9."/>
      <w:lvlJc w:val="right"/>
      <w:pPr>
        <w:ind w:left="4320" w:hanging="480"/>
      </w:pPr>
    </w:lvl>
  </w:abstractNum>
  <w:abstractNum w:abstractNumId="20">
    <w:nsid w:val="26EE443D"/>
    <w:multiLevelType w:val="multilevel"/>
    <w:tmpl w:val="26EE443D"/>
    <w:lvl w:ilvl="0" w:tentative="0">
      <w:start w:val="1"/>
      <w:numFmt w:val="decimal"/>
      <w:lvlText w:val="%1)"/>
      <w:lvlJc w:val="left"/>
      <w:pPr>
        <w:ind w:left="480" w:hanging="480"/>
      </w:pPr>
    </w:lvl>
    <w:lvl w:ilvl="1" w:tentative="0">
      <w:start w:val="0"/>
      <w:numFmt w:val="bullet"/>
      <w:lvlText w:val="★"/>
      <w:lvlJc w:val="left"/>
      <w:pPr>
        <w:ind w:left="840" w:hanging="360"/>
      </w:pPr>
      <w:rPr>
        <w:rFonts w:hint="eastAsia" w:ascii="宋体" w:hAnsi="宋体" w:eastAsia="宋体" w:cstheme="minorBidi"/>
      </w:rPr>
    </w:lvl>
    <w:lvl w:ilvl="2" w:tentative="0">
      <w:start w:val="1"/>
      <w:numFmt w:val="lowerRoman"/>
      <w:lvlText w:val="%3."/>
      <w:lvlJc w:val="right"/>
      <w:pPr>
        <w:ind w:left="1440" w:hanging="480"/>
      </w:pPr>
    </w:lvl>
    <w:lvl w:ilvl="3" w:tentative="0">
      <w:start w:val="1"/>
      <w:numFmt w:val="decimal"/>
      <w:lvlText w:val="%4."/>
      <w:lvlJc w:val="left"/>
      <w:pPr>
        <w:ind w:left="1920" w:hanging="480"/>
      </w:pPr>
    </w:lvl>
    <w:lvl w:ilvl="4" w:tentative="0">
      <w:start w:val="1"/>
      <w:numFmt w:val="lowerLetter"/>
      <w:lvlText w:val="%5)"/>
      <w:lvlJc w:val="left"/>
      <w:pPr>
        <w:ind w:left="2400" w:hanging="480"/>
      </w:pPr>
    </w:lvl>
    <w:lvl w:ilvl="5" w:tentative="0">
      <w:start w:val="1"/>
      <w:numFmt w:val="lowerRoman"/>
      <w:lvlText w:val="%6."/>
      <w:lvlJc w:val="right"/>
      <w:pPr>
        <w:ind w:left="2880" w:hanging="480"/>
      </w:pPr>
    </w:lvl>
    <w:lvl w:ilvl="6" w:tentative="0">
      <w:start w:val="1"/>
      <w:numFmt w:val="decimal"/>
      <w:lvlText w:val="%7."/>
      <w:lvlJc w:val="left"/>
      <w:pPr>
        <w:ind w:left="3360" w:hanging="480"/>
      </w:pPr>
    </w:lvl>
    <w:lvl w:ilvl="7" w:tentative="0">
      <w:start w:val="1"/>
      <w:numFmt w:val="lowerLetter"/>
      <w:lvlText w:val="%8)"/>
      <w:lvlJc w:val="left"/>
      <w:pPr>
        <w:ind w:left="3840" w:hanging="480"/>
      </w:pPr>
    </w:lvl>
    <w:lvl w:ilvl="8" w:tentative="0">
      <w:start w:val="1"/>
      <w:numFmt w:val="lowerRoman"/>
      <w:lvlText w:val="%9."/>
      <w:lvlJc w:val="right"/>
      <w:pPr>
        <w:ind w:left="4320" w:hanging="480"/>
      </w:pPr>
    </w:lvl>
  </w:abstractNum>
  <w:abstractNum w:abstractNumId="21">
    <w:nsid w:val="2774495C"/>
    <w:multiLevelType w:val="multilevel"/>
    <w:tmpl w:val="2774495C"/>
    <w:lvl w:ilvl="0" w:tentative="0">
      <w:start w:val="1"/>
      <w:numFmt w:val="decimal"/>
      <w:lvlText w:val="%1."/>
      <w:lvlJc w:val="left"/>
      <w:pPr>
        <w:ind w:left="480" w:hanging="480"/>
      </w:pPr>
    </w:lvl>
    <w:lvl w:ilvl="1" w:tentative="0">
      <w:start w:val="1"/>
      <w:numFmt w:val="lowerLetter"/>
      <w:lvlText w:val="%2)"/>
      <w:lvlJc w:val="left"/>
      <w:pPr>
        <w:ind w:left="960" w:hanging="480"/>
      </w:pPr>
    </w:lvl>
    <w:lvl w:ilvl="2" w:tentative="0">
      <w:start w:val="1"/>
      <w:numFmt w:val="lowerRoman"/>
      <w:lvlText w:val="%3."/>
      <w:lvlJc w:val="right"/>
      <w:pPr>
        <w:ind w:left="1440" w:hanging="480"/>
      </w:pPr>
    </w:lvl>
    <w:lvl w:ilvl="3" w:tentative="0">
      <w:start w:val="1"/>
      <w:numFmt w:val="decimal"/>
      <w:lvlText w:val="%4."/>
      <w:lvlJc w:val="left"/>
      <w:pPr>
        <w:ind w:left="1920" w:hanging="480"/>
      </w:pPr>
    </w:lvl>
    <w:lvl w:ilvl="4" w:tentative="0">
      <w:start w:val="1"/>
      <w:numFmt w:val="lowerLetter"/>
      <w:lvlText w:val="%5)"/>
      <w:lvlJc w:val="left"/>
      <w:pPr>
        <w:ind w:left="2400" w:hanging="480"/>
      </w:pPr>
    </w:lvl>
    <w:lvl w:ilvl="5" w:tentative="0">
      <w:start w:val="1"/>
      <w:numFmt w:val="lowerRoman"/>
      <w:lvlText w:val="%6."/>
      <w:lvlJc w:val="right"/>
      <w:pPr>
        <w:ind w:left="2880" w:hanging="480"/>
      </w:pPr>
    </w:lvl>
    <w:lvl w:ilvl="6" w:tentative="0">
      <w:start w:val="1"/>
      <w:numFmt w:val="decimal"/>
      <w:lvlText w:val="%7."/>
      <w:lvlJc w:val="left"/>
      <w:pPr>
        <w:ind w:left="3360" w:hanging="480"/>
      </w:pPr>
    </w:lvl>
    <w:lvl w:ilvl="7" w:tentative="0">
      <w:start w:val="1"/>
      <w:numFmt w:val="lowerLetter"/>
      <w:lvlText w:val="%8)"/>
      <w:lvlJc w:val="left"/>
      <w:pPr>
        <w:ind w:left="3840" w:hanging="480"/>
      </w:pPr>
    </w:lvl>
    <w:lvl w:ilvl="8" w:tentative="0">
      <w:start w:val="1"/>
      <w:numFmt w:val="lowerRoman"/>
      <w:lvlText w:val="%9."/>
      <w:lvlJc w:val="right"/>
      <w:pPr>
        <w:ind w:left="4320" w:hanging="480"/>
      </w:pPr>
    </w:lvl>
  </w:abstractNum>
  <w:abstractNum w:abstractNumId="22">
    <w:nsid w:val="2A583DFB"/>
    <w:multiLevelType w:val="multilevel"/>
    <w:tmpl w:val="2A583DFB"/>
    <w:lvl w:ilvl="0" w:tentative="0">
      <w:start w:val="1"/>
      <w:numFmt w:val="decimal"/>
      <w:lvlText w:val="%1)"/>
      <w:lvlJc w:val="left"/>
      <w:pPr>
        <w:ind w:left="1380" w:hanging="420"/>
      </w:pPr>
    </w:lvl>
    <w:lvl w:ilvl="1" w:tentative="0">
      <w:start w:val="1"/>
      <w:numFmt w:val="lowerLetter"/>
      <w:lvlText w:val="%2)"/>
      <w:lvlJc w:val="left"/>
      <w:pPr>
        <w:ind w:left="1800" w:hanging="420"/>
      </w:pPr>
    </w:lvl>
    <w:lvl w:ilvl="2" w:tentative="0">
      <w:start w:val="1"/>
      <w:numFmt w:val="lowerRoman"/>
      <w:lvlText w:val="%3."/>
      <w:lvlJc w:val="right"/>
      <w:pPr>
        <w:ind w:left="2220" w:hanging="420"/>
      </w:pPr>
    </w:lvl>
    <w:lvl w:ilvl="3" w:tentative="0">
      <w:start w:val="1"/>
      <w:numFmt w:val="decimal"/>
      <w:lvlText w:val="%4."/>
      <w:lvlJc w:val="left"/>
      <w:pPr>
        <w:ind w:left="2640" w:hanging="420"/>
      </w:pPr>
    </w:lvl>
    <w:lvl w:ilvl="4" w:tentative="0">
      <w:start w:val="1"/>
      <w:numFmt w:val="lowerLetter"/>
      <w:lvlText w:val="%5)"/>
      <w:lvlJc w:val="left"/>
      <w:pPr>
        <w:ind w:left="3060" w:hanging="420"/>
      </w:pPr>
    </w:lvl>
    <w:lvl w:ilvl="5" w:tentative="0">
      <w:start w:val="1"/>
      <w:numFmt w:val="lowerRoman"/>
      <w:lvlText w:val="%6."/>
      <w:lvlJc w:val="right"/>
      <w:pPr>
        <w:ind w:left="3480" w:hanging="420"/>
      </w:pPr>
    </w:lvl>
    <w:lvl w:ilvl="6" w:tentative="0">
      <w:start w:val="1"/>
      <w:numFmt w:val="decimal"/>
      <w:lvlText w:val="%7."/>
      <w:lvlJc w:val="left"/>
      <w:pPr>
        <w:ind w:left="3900" w:hanging="420"/>
      </w:pPr>
    </w:lvl>
    <w:lvl w:ilvl="7" w:tentative="0">
      <w:start w:val="1"/>
      <w:numFmt w:val="lowerLetter"/>
      <w:lvlText w:val="%8)"/>
      <w:lvlJc w:val="left"/>
      <w:pPr>
        <w:ind w:left="4320" w:hanging="420"/>
      </w:pPr>
    </w:lvl>
    <w:lvl w:ilvl="8" w:tentative="0">
      <w:start w:val="1"/>
      <w:numFmt w:val="lowerRoman"/>
      <w:lvlText w:val="%9."/>
      <w:lvlJc w:val="right"/>
      <w:pPr>
        <w:ind w:left="4740" w:hanging="420"/>
      </w:pPr>
    </w:lvl>
  </w:abstractNum>
  <w:abstractNum w:abstractNumId="23">
    <w:nsid w:val="2A6B8F59"/>
    <w:multiLevelType w:val="multilevel"/>
    <w:tmpl w:val="2A6B8F59"/>
    <w:lvl w:ilvl="0" w:tentative="0">
      <w:start w:val="1"/>
      <w:numFmt w:val="decimal"/>
      <w:lvlText w:val="%1)"/>
      <w:lvlJc w:val="left"/>
      <w:pPr>
        <w:ind w:left="480" w:hanging="480"/>
      </w:pPr>
    </w:lvl>
    <w:lvl w:ilvl="1" w:tentative="0">
      <w:start w:val="1"/>
      <w:numFmt w:val="lowerLetter"/>
      <w:lvlText w:val="%2)"/>
      <w:lvlJc w:val="left"/>
      <w:pPr>
        <w:ind w:left="960" w:hanging="480"/>
      </w:pPr>
    </w:lvl>
    <w:lvl w:ilvl="2" w:tentative="0">
      <w:start w:val="1"/>
      <w:numFmt w:val="lowerRoman"/>
      <w:lvlText w:val="%3."/>
      <w:lvlJc w:val="right"/>
      <w:pPr>
        <w:ind w:left="1440" w:hanging="480"/>
      </w:pPr>
    </w:lvl>
    <w:lvl w:ilvl="3" w:tentative="0">
      <w:start w:val="1"/>
      <w:numFmt w:val="decimal"/>
      <w:lvlText w:val="%4."/>
      <w:lvlJc w:val="left"/>
      <w:pPr>
        <w:ind w:left="1920" w:hanging="480"/>
      </w:pPr>
    </w:lvl>
    <w:lvl w:ilvl="4" w:tentative="0">
      <w:start w:val="1"/>
      <w:numFmt w:val="lowerLetter"/>
      <w:lvlText w:val="%5)"/>
      <w:lvlJc w:val="left"/>
      <w:pPr>
        <w:ind w:left="2400" w:hanging="480"/>
      </w:pPr>
    </w:lvl>
    <w:lvl w:ilvl="5" w:tentative="0">
      <w:start w:val="1"/>
      <w:numFmt w:val="lowerRoman"/>
      <w:lvlText w:val="%6."/>
      <w:lvlJc w:val="right"/>
      <w:pPr>
        <w:ind w:left="2880" w:hanging="480"/>
      </w:pPr>
    </w:lvl>
    <w:lvl w:ilvl="6" w:tentative="0">
      <w:start w:val="1"/>
      <w:numFmt w:val="decimal"/>
      <w:lvlText w:val="%7."/>
      <w:lvlJc w:val="left"/>
      <w:pPr>
        <w:ind w:left="3360" w:hanging="480"/>
      </w:pPr>
    </w:lvl>
    <w:lvl w:ilvl="7" w:tentative="0">
      <w:start w:val="1"/>
      <w:numFmt w:val="lowerLetter"/>
      <w:lvlText w:val="%8)"/>
      <w:lvlJc w:val="left"/>
      <w:pPr>
        <w:ind w:left="3840" w:hanging="480"/>
      </w:pPr>
    </w:lvl>
    <w:lvl w:ilvl="8" w:tentative="0">
      <w:start w:val="1"/>
      <w:numFmt w:val="lowerRoman"/>
      <w:lvlText w:val="%9."/>
      <w:lvlJc w:val="right"/>
      <w:pPr>
        <w:ind w:left="4320" w:hanging="480"/>
      </w:pPr>
    </w:lvl>
  </w:abstractNum>
  <w:abstractNum w:abstractNumId="24">
    <w:nsid w:val="2A803929"/>
    <w:multiLevelType w:val="multilevel"/>
    <w:tmpl w:val="2A803929"/>
    <w:lvl w:ilvl="0" w:tentative="0">
      <w:start w:val="1"/>
      <w:numFmt w:val="decimal"/>
      <w:lvlText w:val="%1)"/>
      <w:lvlJc w:val="left"/>
      <w:pPr>
        <w:ind w:left="480" w:hanging="480"/>
      </w:pPr>
    </w:lvl>
    <w:lvl w:ilvl="1" w:tentative="0">
      <w:start w:val="1"/>
      <w:numFmt w:val="lowerLetter"/>
      <w:lvlText w:val="%2)"/>
      <w:lvlJc w:val="left"/>
      <w:pPr>
        <w:ind w:left="960" w:hanging="480"/>
      </w:pPr>
    </w:lvl>
    <w:lvl w:ilvl="2" w:tentative="0">
      <w:start w:val="1"/>
      <w:numFmt w:val="lowerRoman"/>
      <w:lvlText w:val="%3."/>
      <w:lvlJc w:val="right"/>
      <w:pPr>
        <w:ind w:left="1440" w:hanging="480"/>
      </w:pPr>
    </w:lvl>
    <w:lvl w:ilvl="3" w:tentative="0">
      <w:start w:val="1"/>
      <w:numFmt w:val="decimal"/>
      <w:lvlText w:val="%4."/>
      <w:lvlJc w:val="left"/>
      <w:pPr>
        <w:ind w:left="1920" w:hanging="480"/>
      </w:pPr>
    </w:lvl>
    <w:lvl w:ilvl="4" w:tentative="0">
      <w:start w:val="1"/>
      <w:numFmt w:val="lowerLetter"/>
      <w:lvlText w:val="%5)"/>
      <w:lvlJc w:val="left"/>
      <w:pPr>
        <w:ind w:left="2400" w:hanging="480"/>
      </w:pPr>
    </w:lvl>
    <w:lvl w:ilvl="5" w:tentative="0">
      <w:start w:val="1"/>
      <w:numFmt w:val="lowerRoman"/>
      <w:lvlText w:val="%6."/>
      <w:lvlJc w:val="right"/>
      <w:pPr>
        <w:ind w:left="2880" w:hanging="480"/>
      </w:pPr>
    </w:lvl>
    <w:lvl w:ilvl="6" w:tentative="0">
      <w:start w:val="1"/>
      <w:numFmt w:val="decimal"/>
      <w:lvlText w:val="%7."/>
      <w:lvlJc w:val="left"/>
      <w:pPr>
        <w:ind w:left="3360" w:hanging="480"/>
      </w:pPr>
    </w:lvl>
    <w:lvl w:ilvl="7" w:tentative="0">
      <w:start w:val="1"/>
      <w:numFmt w:val="lowerLetter"/>
      <w:lvlText w:val="%8)"/>
      <w:lvlJc w:val="left"/>
      <w:pPr>
        <w:ind w:left="3840" w:hanging="480"/>
      </w:pPr>
    </w:lvl>
    <w:lvl w:ilvl="8" w:tentative="0">
      <w:start w:val="1"/>
      <w:numFmt w:val="lowerRoman"/>
      <w:lvlText w:val="%9."/>
      <w:lvlJc w:val="right"/>
      <w:pPr>
        <w:ind w:left="4320" w:hanging="480"/>
      </w:pPr>
    </w:lvl>
  </w:abstractNum>
  <w:abstractNum w:abstractNumId="25">
    <w:nsid w:val="2C9F0F53"/>
    <w:multiLevelType w:val="multilevel"/>
    <w:tmpl w:val="2C9F0F53"/>
    <w:lvl w:ilvl="0" w:tentative="0">
      <w:start w:val="1"/>
      <w:numFmt w:val="decimal"/>
      <w:lvlText w:val="%1)"/>
      <w:lvlJc w:val="left"/>
      <w:pPr>
        <w:ind w:left="480" w:hanging="480"/>
      </w:pPr>
    </w:lvl>
    <w:lvl w:ilvl="1" w:tentative="0">
      <w:start w:val="1"/>
      <w:numFmt w:val="lowerLetter"/>
      <w:lvlText w:val="%2)"/>
      <w:lvlJc w:val="left"/>
      <w:pPr>
        <w:ind w:left="960" w:hanging="480"/>
      </w:pPr>
    </w:lvl>
    <w:lvl w:ilvl="2" w:tentative="0">
      <w:start w:val="1"/>
      <w:numFmt w:val="lowerRoman"/>
      <w:lvlText w:val="%3."/>
      <w:lvlJc w:val="right"/>
      <w:pPr>
        <w:ind w:left="1440" w:hanging="480"/>
      </w:pPr>
    </w:lvl>
    <w:lvl w:ilvl="3" w:tentative="0">
      <w:start w:val="1"/>
      <w:numFmt w:val="decimal"/>
      <w:lvlText w:val="%4."/>
      <w:lvlJc w:val="left"/>
      <w:pPr>
        <w:ind w:left="1920" w:hanging="480"/>
      </w:pPr>
    </w:lvl>
    <w:lvl w:ilvl="4" w:tentative="0">
      <w:start w:val="1"/>
      <w:numFmt w:val="lowerLetter"/>
      <w:lvlText w:val="%5)"/>
      <w:lvlJc w:val="left"/>
      <w:pPr>
        <w:ind w:left="2400" w:hanging="480"/>
      </w:pPr>
    </w:lvl>
    <w:lvl w:ilvl="5" w:tentative="0">
      <w:start w:val="1"/>
      <w:numFmt w:val="lowerRoman"/>
      <w:lvlText w:val="%6."/>
      <w:lvlJc w:val="right"/>
      <w:pPr>
        <w:ind w:left="2880" w:hanging="480"/>
      </w:pPr>
    </w:lvl>
    <w:lvl w:ilvl="6" w:tentative="0">
      <w:start w:val="1"/>
      <w:numFmt w:val="decimal"/>
      <w:lvlText w:val="%7."/>
      <w:lvlJc w:val="left"/>
      <w:pPr>
        <w:ind w:left="3360" w:hanging="480"/>
      </w:pPr>
    </w:lvl>
    <w:lvl w:ilvl="7" w:tentative="0">
      <w:start w:val="1"/>
      <w:numFmt w:val="lowerLetter"/>
      <w:lvlText w:val="%8)"/>
      <w:lvlJc w:val="left"/>
      <w:pPr>
        <w:ind w:left="3840" w:hanging="480"/>
      </w:pPr>
    </w:lvl>
    <w:lvl w:ilvl="8" w:tentative="0">
      <w:start w:val="1"/>
      <w:numFmt w:val="lowerRoman"/>
      <w:lvlText w:val="%9."/>
      <w:lvlJc w:val="right"/>
      <w:pPr>
        <w:ind w:left="4320" w:hanging="480"/>
      </w:pPr>
    </w:lvl>
  </w:abstractNum>
  <w:abstractNum w:abstractNumId="26">
    <w:nsid w:val="3298278A"/>
    <w:multiLevelType w:val="multilevel"/>
    <w:tmpl w:val="3298278A"/>
    <w:lvl w:ilvl="0" w:tentative="0">
      <w:start w:val="1"/>
      <w:numFmt w:val="decimal"/>
      <w:lvlText w:val="%1"/>
      <w:lvlJc w:val="left"/>
      <w:pPr>
        <w:ind w:left="420" w:hanging="420"/>
      </w:pPr>
      <w:rPr>
        <w:rFonts w:hint="eastAsia"/>
      </w:rPr>
    </w:lvl>
    <w:lvl w:ilvl="1" w:tentative="0">
      <w:start w:val="4"/>
      <w:numFmt w:val="decimal"/>
      <w:isLgl/>
      <w:lvlText w:val="%1.%2."/>
      <w:lvlJc w:val="left"/>
      <w:pPr>
        <w:ind w:left="1200" w:hanging="720"/>
      </w:pPr>
      <w:rPr>
        <w:rFonts w:hint="default" w:hAnsi="Calibri" w:cs="宋体"/>
      </w:rPr>
    </w:lvl>
    <w:lvl w:ilvl="2" w:tentative="0">
      <w:start w:val="1"/>
      <w:numFmt w:val="decimal"/>
      <w:isLgl/>
      <w:lvlText w:val="%1.%2.%3."/>
      <w:lvlJc w:val="left"/>
      <w:pPr>
        <w:ind w:left="1680" w:hanging="720"/>
      </w:pPr>
      <w:rPr>
        <w:rFonts w:hint="default" w:hAnsi="Calibri" w:cs="宋体"/>
      </w:rPr>
    </w:lvl>
    <w:lvl w:ilvl="3" w:tentative="0">
      <w:start w:val="1"/>
      <w:numFmt w:val="decimal"/>
      <w:isLgl/>
      <w:lvlText w:val="%1.%2.%3.%4."/>
      <w:lvlJc w:val="left"/>
      <w:pPr>
        <w:ind w:left="2520" w:hanging="1080"/>
      </w:pPr>
      <w:rPr>
        <w:rFonts w:hint="default" w:hAnsi="Calibri" w:cs="宋体"/>
      </w:rPr>
    </w:lvl>
    <w:lvl w:ilvl="4" w:tentative="0">
      <w:start w:val="1"/>
      <w:numFmt w:val="decimal"/>
      <w:isLgl/>
      <w:lvlText w:val="%1.%2.%3.%4.%5."/>
      <w:lvlJc w:val="left"/>
      <w:pPr>
        <w:ind w:left="3360" w:hanging="1440"/>
      </w:pPr>
      <w:rPr>
        <w:rFonts w:hint="default" w:hAnsi="Calibri" w:cs="宋体"/>
      </w:rPr>
    </w:lvl>
    <w:lvl w:ilvl="5" w:tentative="0">
      <w:start w:val="1"/>
      <w:numFmt w:val="decimal"/>
      <w:isLgl/>
      <w:lvlText w:val="%1.%2.%3.%4.%5.%6."/>
      <w:lvlJc w:val="left"/>
      <w:pPr>
        <w:ind w:left="3840" w:hanging="1440"/>
      </w:pPr>
      <w:rPr>
        <w:rFonts w:hint="default" w:hAnsi="Calibri" w:cs="宋体"/>
      </w:rPr>
    </w:lvl>
    <w:lvl w:ilvl="6" w:tentative="0">
      <w:start w:val="1"/>
      <w:numFmt w:val="decimal"/>
      <w:isLgl/>
      <w:lvlText w:val="%1.%2.%3.%4.%5.%6.%7."/>
      <w:lvlJc w:val="left"/>
      <w:pPr>
        <w:ind w:left="4680" w:hanging="1800"/>
      </w:pPr>
      <w:rPr>
        <w:rFonts w:hint="default" w:hAnsi="Calibri" w:cs="宋体"/>
      </w:rPr>
    </w:lvl>
    <w:lvl w:ilvl="7" w:tentative="0">
      <w:start w:val="1"/>
      <w:numFmt w:val="decimal"/>
      <w:isLgl/>
      <w:lvlText w:val="%1.%2.%3.%4.%5.%6.%7.%8."/>
      <w:lvlJc w:val="left"/>
      <w:pPr>
        <w:ind w:left="5520" w:hanging="2160"/>
      </w:pPr>
      <w:rPr>
        <w:rFonts w:hint="default" w:hAnsi="Calibri" w:cs="宋体"/>
      </w:rPr>
    </w:lvl>
    <w:lvl w:ilvl="8" w:tentative="0">
      <w:start w:val="1"/>
      <w:numFmt w:val="decimal"/>
      <w:isLgl/>
      <w:lvlText w:val="%1.%2.%3.%4.%5.%6.%7.%8.%9."/>
      <w:lvlJc w:val="left"/>
      <w:pPr>
        <w:ind w:left="6000" w:hanging="2160"/>
      </w:pPr>
      <w:rPr>
        <w:rFonts w:hint="default" w:hAnsi="Calibri" w:cs="宋体"/>
      </w:rPr>
    </w:lvl>
  </w:abstractNum>
  <w:abstractNum w:abstractNumId="27">
    <w:nsid w:val="33AA3743"/>
    <w:multiLevelType w:val="multilevel"/>
    <w:tmpl w:val="33AA3743"/>
    <w:lvl w:ilvl="0" w:tentative="0">
      <w:start w:val="1"/>
      <w:numFmt w:val="decimal"/>
      <w:lvlText w:val="%1)"/>
      <w:lvlJc w:val="left"/>
      <w:pPr>
        <w:ind w:left="480" w:hanging="480"/>
      </w:pPr>
    </w:lvl>
    <w:lvl w:ilvl="1" w:tentative="0">
      <w:start w:val="1"/>
      <w:numFmt w:val="lowerLetter"/>
      <w:lvlText w:val="%2)"/>
      <w:lvlJc w:val="left"/>
      <w:pPr>
        <w:ind w:left="960" w:hanging="480"/>
      </w:pPr>
    </w:lvl>
    <w:lvl w:ilvl="2" w:tentative="0">
      <w:start w:val="1"/>
      <w:numFmt w:val="lowerRoman"/>
      <w:lvlText w:val="%3."/>
      <w:lvlJc w:val="right"/>
      <w:pPr>
        <w:ind w:left="1440" w:hanging="480"/>
      </w:pPr>
    </w:lvl>
    <w:lvl w:ilvl="3" w:tentative="0">
      <w:start w:val="1"/>
      <w:numFmt w:val="decimal"/>
      <w:lvlText w:val="%4."/>
      <w:lvlJc w:val="left"/>
      <w:pPr>
        <w:ind w:left="1920" w:hanging="480"/>
      </w:pPr>
    </w:lvl>
    <w:lvl w:ilvl="4" w:tentative="0">
      <w:start w:val="1"/>
      <w:numFmt w:val="lowerLetter"/>
      <w:lvlText w:val="%5)"/>
      <w:lvlJc w:val="left"/>
      <w:pPr>
        <w:ind w:left="2400" w:hanging="480"/>
      </w:pPr>
    </w:lvl>
    <w:lvl w:ilvl="5" w:tentative="0">
      <w:start w:val="1"/>
      <w:numFmt w:val="lowerRoman"/>
      <w:lvlText w:val="%6."/>
      <w:lvlJc w:val="right"/>
      <w:pPr>
        <w:ind w:left="2880" w:hanging="480"/>
      </w:pPr>
    </w:lvl>
    <w:lvl w:ilvl="6" w:tentative="0">
      <w:start w:val="1"/>
      <w:numFmt w:val="decimal"/>
      <w:lvlText w:val="%7."/>
      <w:lvlJc w:val="left"/>
      <w:pPr>
        <w:ind w:left="3360" w:hanging="480"/>
      </w:pPr>
    </w:lvl>
    <w:lvl w:ilvl="7" w:tentative="0">
      <w:start w:val="1"/>
      <w:numFmt w:val="lowerLetter"/>
      <w:lvlText w:val="%8)"/>
      <w:lvlJc w:val="left"/>
      <w:pPr>
        <w:ind w:left="3840" w:hanging="480"/>
      </w:pPr>
    </w:lvl>
    <w:lvl w:ilvl="8" w:tentative="0">
      <w:start w:val="1"/>
      <w:numFmt w:val="lowerRoman"/>
      <w:lvlText w:val="%9."/>
      <w:lvlJc w:val="right"/>
      <w:pPr>
        <w:ind w:left="4320" w:hanging="480"/>
      </w:pPr>
    </w:lvl>
  </w:abstractNum>
  <w:abstractNum w:abstractNumId="28">
    <w:nsid w:val="40512C37"/>
    <w:multiLevelType w:val="multilevel"/>
    <w:tmpl w:val="40512C37"/>
    <w:lvl w:ilvl="0" w:tentative="0">
      <w:start w:val="1"/>
      <w:numFmt w:val="decimal"/>
      <w:lvlText w:val="（%1）"/>
      <w:lvlJc w:val="left"/>
      <w:pPr>
        <w:ind w:left="900" w:hanging="4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29">
    <w:nsid w:val="40CF13D4"/>
    <w:multiLevelType w:val="multilevel"/>
    <w:tmpl w:val="40CF13D4"/>
    <w:lvl w:ilvl="0" w:tentative="0">
      <w:start w:val="1"/>
      <w:numFmt w:val="decimal"/>
      <w:pStyle w:val="2"/>
      <w:lvlText w:val="%1."/>
      <w:lvlJc w:val="left"/>
      <w:pPr>
        <w:tabs>
          <w:tab w:val="left" w:pos="425"/>
        </w:tabs>
        <w:ind w:left="425" w:hanging="425"/>
      </w:pPr>
      <w:rPr>
        <w:rFonts w:hint="eastAsia"/>
      </w:rPr>
    </w:lvl>
    <w:lvl w:ilvl="1" w:tentative="0">
      <w:start w:val="1"/>
      <w:numFmt w:val="decimal"/>
      <w:pStyle w:val="3"/>
      <w:lvlText w:val="%1.%2."/>
      <w:lvlJc w:val="left"/>
      <w:pPr>
        <w:tabs>
          <w:tab w:val="left" w:pos="720"/>
        </w:tabs>
        <w:ind w:left="567" w:hanging="567"/>
      </w:pPr>
      <w:rPr>
        <w:rFonts w:hint="eastAsia"/>
      </w:rPr>
    </w:lvl>
    <w:lvl w:ilvl="2" w:tentative="0">
      <w:start w:val="1"/>
      <w:numFmt w:val="chineseCountingThousand"/>
      <w:lvlText w:val="%3、"/>
      <w:lvlJc w:val="left"/>
      <w:pPr>
        <w:tabs>
          <w:tab w:val="left" w:pos="2836"/>
        </w:tabs>
        <w:ind w:left="2836" w:hanging="709"/>
      </w:pPr>
      <w:rPr>
        <w:rFonts w:hint="eastAsia"/>
        <w:b/>
        <w:spacing w:val="-20"/>
        <w:lang w:val="en-US"/>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0">
    <w:nsid w:val="433044D6"/>
    <w:multiLevelType w:val="multilevel"/>
    <w:tmpl w:val="433044D6"/>
    <w:lvl w:ilvl="0" w:tentative="0">
      <w:start w:val="1"/>
      <w:numFmt w:val="decimal"/>
      <w:lvlText w:val="%1)"/>
      <w:lvlJc w:val="left"/>
      <w:pPr>
        <w:ind w:left="1129" w:hanging="420"/>
      </w:pPr>
    </w:lvl>
    <w:lvl w:ilvl="1" w:tentative="0">
      <w:start w:val="1"/>
      <w:numFmt w:val="lowerLetter"/>
      <w:lvlText w:val="%2)"/>
      <w:lvlJc w:val="left"/>
      <w:pPr>
        <w:ind w:left="1549" w:hanging="420"/>
      </w:pPr>
    </w:lvl>
    <w:lvl w:ilvl="2" w:tentative="0">
      <w:start w:val="1"/>
      <w:numFmt w:val="lowerRoman"/>
      <w:lvlText w:val="%3."/>
      <w:lvlJc w:val="right"/>
      <w:pPr>
        <w:ind w:left="1969" w:hanging="420"/>
      </w:pPr>
    </w:lvl>
    <w:lvl w:ilvl="3" w:tentative="0">
      <w:start w:val="1"/>
      <w:numFmt w:val="decimal"/>
      <w:lvlText w:val="%4."/>
      <w:lvlJc w:val="left"/>
      <w:pPr>
        <w:ind w:left="2389" w:hanging="420"/>
      </w:pPr>
    </w:lvl>
    <w:lvl w:ilvl="4" w:tentative="0">
      <w:start w:val="1"/>
      <w:numFmt w:val="lowerLetter"/>
      <w:lvlText w:val="%5)"/>
      <w:lvlJc w:val="left"/>
      <w:pPr>
        <w:ind w:left="2809" w:hanging="420"/>
      </w:pPr>
    </w:lvl>
    <w:lvl w:ilvl="5" w:tentative="0">
      <w:start w:val="1"/>
      <w:numFmt w:val="lowerRoman"/>
      <w:lvlText w:val="%6."/>
      <w:lvlJc w:val="right"/>
      <w:pPr>
        <w:ind w:left="3229" w:hanging="420"/>
      </w:pPr>
    </w:lvl>
    <w:lvl w:ilvl="6" w:tentative="0">
      <w:start w:val="1"/>
      <w:numFmt w:val="decimal"/>
      <w:lvlText w:val="%7."/>
      <w:lvlJc w:val="left"/>
      <w:pPr>
        <w:ind w:left="3649" w:hanging="420"/>
      </w:pPr>
    </w:lvl>
    <w:lvl w:ilvl="7" w:tentative="0">
      <w:start w:val="1"/>
      <w:numFmt w:val="lowerLetter"/>
      <w:lvlText w:val="%8)"/>
      <w:lvlJc w:val="left"/>
      <w:pPr>
        <w:ind w:left="4069" w:hanging="420"/>
      </w:pPr>
    </w:lvl>
    <w:lvl w:ilvl="8" w:tentative="0">
      <w:start w:val="1"/>
      <w:numFmt w:val="lowerRoman"/>
      <w:lvlText w:val="%9."/>
      <w:lvlJc w:val="right"/>
      <w:pPr>
        <w:ind w:left="4489" w:hanging="420"/>
      </w:pPr>
    </w:lvl>
  </w:abstractNum>
  <w:abstractNum w:abstractNumId="31">
    <w:nsid w:val="46C71494"/>
    <w:multiLevelType w:val="multilevel"/>
    <w:tmpl w:val="46C71494"/>
    <w:lvl w:ilvl="0" w:tentative="0">
      <w:start w:val="1"/>
      <w:numFmt w:val="decimal"/>
      <w:lvlText w:val="%1)"/>
      <w:lvlJc w:val="left"/>
      <w:pPr>
        <w:ind w:left="1461" w:hanging="420"/>
      </w:pPr>
    </w:lvl>
    <w:lvl w:ilvl="1" w:tentative="0">
      <w:start w:val="1"/>
      <w:numFmt w:val="lowerLetter"/>
      <w:lvlText w:val="%2)"/>
      <w:lvlJc w:val="left"/>
      <w:pPr>
        <w:ind w:left="1881" w:hanging="420"/>
      </w:pPr>
    </w:lvl>
    <w:lvl w:ilvl="2" w:tentative="0">
      <w:start w:val="1"/>
      <w:numFmt w:val="lowerRoman"/>
      <w:lvlText w:val="%3."/>
      <w:lvlJc w:val="right"/>
      <w:pPr>
        <w:ind w:left="2301" w:hanging="420"/>
      </w:pPr>
    </w:lvl>
    <w:lvl w:ilvl="3" w:tentative="0">
      <w:start w:val="1"/>
      <w:numFmt w:val="decimal"/>
      <w:lvlText w:val="%4."/>
      <w:lvlJc w:val="left"/>
      <w:pPr>
        <w:ind w:left="2721" w:hanging="420"/>
      </w:pPr>
    </w:lvl>
    <w:lvl w:ilvl="4" w:tentative="0">
      <w:start w:val="1"/>
      <w:numFmt w:val="lowerLetter"/>
      <w:lvlText w:val="%5)"/>
      <w:lvlJc w:val="left"/>
      <w:pPr>
        <w:ind w:left="3141" w:hanging="420"/>
      </w:pPr>
    </w:lvl>
    <w:lvl w:ilvl="5" w:tentative="0">
      <w:start w:val="1"/>
      <w:numFmt w:val="lowerRoman"/>
      <w:lvlText w:val="%6."/>
      <w:lvlJc w:val="right"/>
      <w:pPr>
        <w:ind w:left="3561" w:hanging="420"/>
      </w:pPr>
    </w:lvl>
    <w:lvl w:ilvl="6" w:tentative="0">
      <w:start w:val="1"/>
      <w:numFmt w:val="decimal"/>
      <w:lvlText w:val="%7."/>
      <w:lvlJc w:val="left"/>
      <w:pPr>
        <w:ind w:left="3981" w:hanging="420"/>
      </w:pPr>
    </w:lvl>
    <w:lvl w:ilvl="7" w:tentative="0">
      <w:start w:val="1"/>
      <w:numFmt w:val="lowerLetter"/>
      <w:lvlText w:val="%8)"/>
      <w:lvlJc w:val="left"/>
      <w:pPr>
        <w:ind w:left="4401" w:hanging="420"/>
      </w:pPr>
    </w:lvl>
    <w:lvl w:ilvl="8" w:tentative="0">
      <w:start w:val="1"/>
      <w:numFmt w:val="lowerRoman"/>
      <w:lvlText w:val="%9."/>
      <w:lvlJc w:val="right"/>
      <w:pPr>
        <w:ind w:left="4821" w:hanging="420"/>
      </w:pPr>
    </w:lvl>
  </w:abstractNum>
  <w:abstractNum w:abstractNumId="32">
    <w:nsid w:val="4E1B30F7"/>
    <w:multiLevelType w:val="multilevel"/>
    <w:tmpl w:val="4E1B30F7"/>
    <w:lvl w:ilvl="0" w:tentative="0">
      <w:start w:val="1"/>
      <w:numFmt w:val="decimal"/>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33">
    <w:nsid w:val="4EFA17D5"/>
    <w:multiLevelType w:val="multilevel"/>
    <w:tmpl w:val="4EFA17D5"/>
    <w:lvl w:ilvl="0" w:tentative="0">
      <w:start w:val="19"/>
      <w:numFmt w:val="decimal"/>
      <w:lvlText w:val="%1"/>
      <w:lvlJc w:val="left"/>
      <w:pPr>
        <w:ind w:left="480" w:hanging="480"/>
      </w:pPr>
      <w:rPr>
        <w:rFonts w:hint="default"/>
      </w:rPr>
    </w:lvl>
    <w:lvl w:ilvl="1" w:tentative="0">
      <w:start w:val="1"/>
      <w:numFmt w:val="decimal"/>
      <w:lvlText w:val="15.%2."/>
      <w:lvlJc w:val="left"/>
      <w:pPr>
        <w:ind w:left="621" w:hanging="480"/>
      </w:pPr>
      <w:rPr>
        <w:rFonts w:hint="eastAsia"/>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34">
    <w:nsid w:val="4FE725AC"/>
    <w:multiLevelType w:val="multilevel"/>
    <w:tmpl w:val="4FE725AC"/>
    <w:lvl w:ilvl="0" w:tentative="0">
      <w:start w:val="1"/>
      <w:numFmt w:val="decimal"/>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35">
    <w:nsid w:val="50E35EEF"/>
    <w:multiLevelType w:val="multilevel"/>
    <w:tmpl w:val="50E35EEF"/>
    <w:lvl w:ilvl="0" w:tentative="0">
      <w:start w:val="1"/>
      <w:numFmt w:val="decimal"/>
      <w:lvlText w:val="%1)"/>
      <w:lvlJc w:val="left"/>
      <w:pPr>
        <w:ind w:left="480" w:hanging="480"/>
      </w:pPr>
    </w:lvl>
    <w:lvl w:ilvl="1" w:tentative="0">
      <w:start w:val="1"/>
      <w:numFmt w:val="lowerLetter"/>
      <w:lvlText w:val="%2)"/>
      <w:lvlJc w:val="left"/>
      <w:pPr>
        <w:ind w:left="960" w:hanging="480"/>
      </w:pPr>
    </w:lvl>
    <w:lvl w:ilvl="2" w:tentative="0">
      <w:start w:val="1"/>
      <w:numFmt w:val="lowerRoman"/>
      <w:lvlText w:val="%3."/>
      <w:lvlJc w:val="right"/>
      <w:pPr>
        <w:ind w:left="1440" w:hanging="480"/>
      </w:pPr>
    </w:lvl>
    <w:lvl w:ilvl="3" w:tentative="0">
      <w:start w:val="1"/>
      <w:numFmt w:val="decimal"/>
      <w:lvlText w:val="%4."/>
      <w:lvlJc w:val="left"/>
      <w:pPr>
        <w:ind w:left="1920" w:hanging="480"/>
      </w:pPr>
    </w:lvl>
    <w:lvl w:ilvl="4" w:tentative="0">
      <w:start w:val="1"/>
      <w:numFmt w:val="lowerLetter"/>
      <w:lvlText w:val="%5)"/>
      <w:lvlJc w:val="left"/>
      <w:pPr>
        <w:ind w:left="2400" w:hanging="480"/>
      </w:pPr>
    </w:lvl>
    <w:lvl w:ilvl="5" w:tentative="0">
      <w:start w:val="1"/>
      <w:numFmt w:val="lowerRoman"/>
      <w:lvlText w:val="%6."/>
      <w:lvlJc w:val="right"/>
      <w:pPr>
        <w:ind w:left="2880" w:hanging="480"/>
      </w:pPr>
    </w:lvl>
    <w:lvl w:ilvl="6" w:tentative="0">
      <w:start w:val="1"/>
      <w:numFmt w:val="decimal"/>
      <w:lvlText w:val="%7."/>
      <w:lvlJc w:val="left"/>
      <w:pPr>
        <w:ind w:left="3360" w:hanging="480"/>
      </w:pPr>
    </w:lvl>
    <w:lvl w:ilvl="7" w:tentative="0">
      <w:start w:val="1"/>
      <w:numFmt w:val="lowerLetter"/>
      <w:lvlText w:val="%8)"/>
      <w:lvlJc w:val="left"/>
      <w:pPr>
        <w:ind w:left="3840" w:hanging="480"/>
      </w:pPr>
    </w:lvl>
    <w:lvl w:ilvl="8" w:tentative="0">
      <w:start w:val="1"/>
      <w:numFmt w:val="lowerRoman"/>
      <w:lvlText w:val="%9."/>
      <w:lvlJc w:val="right"/>
      <w:pPr>
        <w:ind w:left="4320" w:hanging="480"/>
      </w:pPr>
    </w:lvl>
  </w:abstractNum>
  <w:abstractNum w:abstractNumId="36">
    <w:nsid w:val="561F52B1"/>
    <w:multiLevelType w:val="singleLevel"/>
    <w:tmpl w:val="561F52B1"/>
    <w:lvl w:ilvl="0" w:tentative="0">
      <w:start w:val="1"/>
      <w:numFmt w:val="decimal"/>
      <w:suff w:val="nothing"/>
      <w:lvlText w:val="%1"/>
      <w:lvlJc w:val="left"/>
      <w:pPr>
        <w:tabs>
          <w:tab w:val="left" w:pos="0"/>
        </w:tabs>
        <w:ind w:left="0" w:firstLine="0"/>
      </w:pPr>
      <w:rPr>
        <w:rFonts w:hint="default"/>
      </w:rPr>
    </w:lvl>
  </w:abstractNum>
  <w:abstractNum w:abstractNumId="37">
    <w:nsid w:val="5670449B"/>
    <w:multiLevelType w:val="multilevel"/>
    <w:tmpl w:val="5670449B"/>
    <w:lvl w:ilvl="0" w:tentative="0">
      <w:start w:val="1"/>
      <w:numFmt w:val="lowerLetter"/>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8">
    <w:nsid w:val="56997346"/>
    <w:multiLevelType w:val="multilevel"/>
    <w:tmpl w:val="56997346"/>
    <w:lvl w:ilvl="0" w:tentative="0">
      <w:start w:val="1"/>
      <w:numFmt w:val="decimal"/>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39">
    <w:nsid w:val="57693060"/>
    <w:multiLevelType w:val="multilevel"/>
    <w:tmpl w:val="57693060"/>
    <w:lvl w:ilvl="0" w:tentative="0">
      <w:start w:val="1"/>
      <w:numFmt w:val="decimal"/>
      <w:lvlText w:val="（%1）"/>
      <w:lvlJc w:val="left"/>
      <w:pPr>
        <w:ind w:left="900" w:hanging="4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40">
    <w:nsid w:val="57912FC9"/>
    <w:multiLevelType w:val="multilevel"/>
    <w:tmpl w:val="57912FC9"/>
    <w:lvl w:ilvl="0" w:tentative="0">
      <w:start w:val="23"/>
      <w:numFmt w:val="decimal"/>
      <w:lvlText w:val="%1"/>
      <w:lvlJc w:val="left"/>
      <w:pPr>
        <w:ind w:left="465" w:hanging="465"/>
      </w:pPr>
      <w:rPr>
        <w:rFonts w:hint="default" w:ascii="Arial" w:hAnsi="Arial" w:cs="Arial"/>
      </w:rPr>
    </w:lvl>
    <w:lvl w:ilvl="1" w:tentative="0">
      <w:start w:val="1"/>
      <w:numFmt w:val="decimal"/>
      <w:lvlText w:val="19.%2."/>
      <w:lvlJc w:val="left"/>
      <w:pPr>
        <w:ind w:left="606" w:hanging="465"/>
      </w:pPr>
      <w:rPr>
        <w:rFonts w:hint="eastAsia"/>
      </w:rPr>
    </w:lvl>
    <w:lvl w:ilvl="2" w:tentative="0">
      <w:start w:val="1"/>
      <w:numFmt w:val="decimal"/>
      <w:lvlText w:val="%1.%2.%3"/>
      <w:lvlJc w:val="left"/>
      <w:pPr>
        <w:ind w:left="1680" w:hanging="720"/>
      </w:pPr>
      <w:rPr>
        <w:rFonts w:hint="default" w:ascii="Arial" w:hAnsi="Arial" w:cs="Arial"/>
      </w:rPr>
    </w:lvl>
    <w:lvl w:ilvl="3" w:tentative="0">
      <w:start w:val="1"/>
      <w:numFmt w:val="decimal"/>
      <w:lvlText w:val="%1.%2.%3.%4"/>
      <w:lvlJc w:val="left"/>
      <w:pPr>
        <w:ind w:left="2520" w:hanging="1080"/>
      </w:pPr>
      <w:rPr>
        <w:rFonts w:hint="default" w:ascii="Arial" w:hAnsi="Arial" w:cs="Arial"/>
      </w:rPr>
    </w:lvl>
    <w:lvl w:ilvl="4" w:tentative="0">
      <w:start w:val="1"/>
      <w:numFmt w:val="decimal"/>
      <w:lvlText w:val="%1.%2.%3.%4.%5"/>
      <w:lvlJc w:val="left"/>
      <w:pPr>
        <w:ind w:left="3000" w:hanging="1080"/>
      </w:pPr>
      <w:rPr>
        <w:rFonts w:hint="default" w:ascii="Arial" w:hAnsi="Arial" w:cs="Arial"/>
      </w:rPr>
    </w:lvl>
    <w:lvl w:ilvl="5" w:tentative="0">
      <w:start w:val="1"/>
      <w:numFmt w:val="decimal"/>
      <w:lvlText w:val="%1.%2.%3.%4.%5.%6"/>
      <w:lvlJc w:val="left"/>
      <w:pPr>
        <w:ind w:left="3840" w:hanging="1440"/>
      </w:pPr>
      <w:rPr>
        <w:rFonts w:hint="default" w:ascii="Arial" w:hAnsi="Arial" w:cs="Arial"/>
      </w:rPr>
    </w:lvl>
    <w:lvl w:ilvl="6" w:tentative="0">
      <w:start w:val="1"/>
      <w:numFmt w:val="decimal"/>
      <w:lvlText w:val="%1.%2.%3.%4.%5.%6.%7"/>
      <w:lvlJc w:val="left"/>
      <w:pPr>
        <w:ind w:left="4680" w:hanging="1800"/>
      </w:pPr>
      <w:rPr>
        <w:rFonts w:hint="default" w:ascii="Arial" w:hAnsi="Arial" w:cs="Arial"/>
      </w:rPr>
    </w:lvl>
    <w:lvl w:ilvl="7" w:tentative="0">
      <w:start w:val="1"/>
      <w:numFmt w:val="decimal"/>
      <w:lvlText w:val="%1.%2.%3.%4.%5.%6.%7.%8"/>
      <w:lvlJc w:val="left"/>
      <w:pPr>
        <w:ind w:left="5160" w:hanging="1800"/>
      </w:pPr>
      <w:rPr>
        <w:rFonts w:hint="default" w:ascii="Arial" w:hAnsi="Arial" w:cs="Arial"/>
      </w:rPr>
    </w:lvl>
    <w:lvl w:ilvl="8" w:tentative="0">
      <w:start w:val="1"/>
      <w:numFmt w:val="decimal"/>
      <w:lvlText w:val="%1.%2.%3.%4.%5.%6.%7.%8.%9"/>
      <w:lvlJc w:val="left"/>
      <w:pPr>
        <w:ind w:left="6000" w:hanging="2160"/>
      </w:pPr>
      <w:rPr>
        <w:rFonts w:hint="default" w:ascii="Arial" w:hAnsi="Arial" w:cs="Arial"/>
      </w:rPr>
    </w:lvl>
  </w:abstractNum>
  <w:abstractNum w:abstractNumId="41">
    <w:nsid w:val="59E5026D"/>
    <w:multiLevelType w:val="multilevel"/>
    <w:tmpl w:val="59E5026D"/>
    <w:lvl w:ilvl="0" w:tentative="0">
      <w:start w:val="1"/>
      <w:numFmt w:val="decimal"/>
      <w:lvlText w:val="%1)"/>
      <w:lvlJc w:val="left"/>
      <w:pPr>
        <w:ind w:left="480" w:hanging="480"/>
      </w:pPr>
    </w:lvl>
    <w:lvl w:ilvl="1" w:tentative="0">
      <w:start w:val="1"/>
      <w:numFmt w:val="lowerLetter"/>
      <w:lvlText w:val="%2)"/>
      <w:lvlJc w:val="left"/>
      <w:pPr>
        <w:ind w:left="960" w:hanging="480"/>
      </w:pPr>
    </w:lvl>
    <w:lvl w:ilvl="2" w:tentative="0">
      <w:start w:val="1"/>
      <w:numFmt w:val="lowerRoman"/>
      <w:lvlText w:val="%3."/>
      <w:lvlJc w:val="right"/>
      <w:pPr>
        <w:ind w:left="1440" w:hanging="480"/>
      </w:pPr>
    </w:lvl>
    <w:lvl w:ilvl="3" w:tentative="0">
      <w:start w:val="1"/>
      <w:numFmt w:val="decimal"/>
      <w:lvlText w:val="%4."/>
      <w:lvlJc w:val="left"/>
      <w:pPr>
        <w:ind w:left="1920" w:hanging="480"/>
      </w:pPr>
    </w:lvl>
    <w:lvl w:ilvl="4" w:tentative="0">
      <w:start w:val="1"/>
      <w:numFmt w:val="lowerLetter"/>
      <w:lvlText w:val="%5)"/>
      <w:lvlJc w:val="left"/>
      <w:pPr>
        <w:ind w:left="2400" w:hanging="480"/>
      </w:pPr>
    </w:lvl>
    <w:lvl w:ilvl="5" w:tentative="0">
      <w:start w:val="1"/>
      <w:numFmt w:val="lowerRoman"/>
      <w:lvlText w:val="%6."/>
      <w:lvlJc w:val="right"/>
      <w:pPr>
        <w:ind w:left="2880" w:hanging="480"/>
      </w:pPr>
    </w:lvl>
    <w:lvl w:ilvl="6" w:tentative="0">
      <w:start w:val="1"/>
      <w:numFmt w:val="decimal"/>
      <w:lvlText w:val="%7."/>
      <w:lvlJc w:val="left"/>
      <w:pPr>
        <w:ind w:left="3360" w:hanging="480"/>
      </w:pPr>
    </w:lvl>
    <w:lvl w:ilvl="7" w:tentative="0">
      <w:start w:val="1"/>
      <w:numFmt w:val="lowerLetter"/>
      <w:lvlText w:val="%8)"/>
      <w:lvlJc w:val="left"/>
      <w:pPr>
        <w:ind w:left="3840" w:hanging="480"/>
      </w:pPr>
    </w:lvl>
    <w:lvl w:ilvl="8" w:tentative="0">
      <w:start w:val="1"/>
      <w:numFmt w:val="lowerRoman"/>
      <w:lvlText w:val="%9."/>
      <w:lvlJc w:val="right"/>
      <w:pPr>
        <w:ind w:left="4320" w:hanging="480"/>
      </w:pPr>
    </w:lvl>
  </w:abstractNum>
  <w:abstractNum w:abstractNumId="42">
    <w:nsid w:val="59FC3E95"/>
    <w:multiLevelType w:val="singleLevel"/>
    <w:tmpl w:val="59FC3E95"/>
    <w:lvl w:ilvl="0" w:tentative="0">
      <w:start w:val="1"/>
      <w:numFmt w:val="decimal"/>
      <w:lvlText w:val="(%1)"/>
      <w:lvlJc w:val="left"/>
      <w:pPr>
        <w:tabs>
          <w:tab w:val="left" w:pos="312"/>
        </w:tabs>
      </w:pPr>
    </w:lvl>
  </w:abstractNum>
  <w:abstractNum w:abstractNumId="43">
    <w:nsid w:val="5D4B4CB4"/>
    <w:multiLevelType w:val="multilevel"/>
    <w:tmpl w:val="5D4B4CB4"/>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4">
    <w:nsid w:val="63AA4A1E"/>
    <w:multiLevelType w:val="multilevel"/>
    <w:tmpl w:val="63AA4A1E"/>
    <w:lvl w:ilvl="0" w:tentative="0">
      <w:start w:val="1"/>
      <w:numFmt w:val="decimal"/>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45">
    <w:nsid w:val="647E01AF"/>
    <w:multiLevelType w:val="multilevel"/>
    <w:tmpl w:val="647E01AF"/>
    <w:lvl w:ilvl="0" w:tentative="0">
      <w:start w:val="6"/>
      <w:numFmt w:val="decimal"/>
      <w:lvlText w:val="%1"/>
      <w:lvlJc w:val="left"/>
      <w:pPr>
        <w:ind w:left="360" w:hanging="360"/>
      </w:pPr>
      <w:rPr>
        <w:rFonts w:hint="default"/>
      </w:rPr>
    </w:lvl>
    <w:lvl w:ilvl="1" w:tentative="0">
      <w:start w:val="1"/>
      <w:numFmt w:val="decimal"/>
      <w:lvlText w:val="%1.%2"/>
      <w:lvlJc w:val="left"/>
      <w:pPr>
        <w:ind w:left="501" w:hanging="360"/>
      </w:pPr>
      <w:rPr>
        <w:rFonts w:hint="default"/>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46">
    <w:nsid w:val="6B626D06"/>
    <w:multiLevelType w:val="multilevel"/>
    <w:tmpl w:val="6B626D06"/>
    <w:lvl w:ilvl="0" w:tentative="0">
      <w:start w:val="17"/>
      <w:numFmt w:val="decimal"/>
      <w:lvlText w:val="%1"/>
      <w:lvlJc w:val="left"/>
      <w:pPr>
        <w:ind w:left="480" w:hanging="480"/>
      </w:pPr>
      <w:rPr>
        <w:rFonts w:hint="default"/>
      </w:rPr>
    </w:lvl>
    <w:lvl w:ilvl="1" w:tentative="0">
      <w:start w:val="1"/>
      <w:numFmt w:val="decimal"/>
      <w:lvlText w:val="13.%2."/>
      <w:lvlJc w:val="left"/>
      <w:pPr>
        <w:ind w:left="621" w:hanging="480"/>
      </w:pPr>
      <w:rPr>
        <w:rFonts w:hint="eastAsia"/>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47">
    <w:nsid w:val="6B684ABC"/>
    <w:multiLevelType w:val="multilevel"/>
    <w:tmpl w:val="6B684ABC"/>
    <w:lvl w:ilvl="0" w:tentative="0">
      <w:start w:val="1"/>
      <w:numFmt w:val="decimal"/>
      <w:lvlText w:val="%1)"/>
      <w:lvlJc w:val="left"/>
      <w:pPr>
        <w:ind w:left="480" w:hanging="480"/>
      </w:pPr>
    </w:lvl>
    <w:lvl w:ilvl="1" w:tentative="0">
      <w:start w:val="1"/>
      <w:numFmt w:val="lowerLetter"/>
      <w:lvlText w:val="%2)"/>
      <w:lvlJc w:val="left"/>
      <w:pPr>
        <w:ind w:left="960" w:hanging="480"/>
      </w:pPr>
    </w:lvl>
    <w:lvl w:ilvl="2" w:tentative="0">
      <w:start w:val="1"/>
      <w:numFmt w:val="lowerRoman"/>
      <w:lvlText w:val="%3."/>
      <w:lvlJc w:val="right"/>
      <w:pPr>
        <w:ind w:left="1440" w:hanging="480"/>
      </w:pPr>
    </w:lvl>
    <w:lvl w:ilvl="3" w:tentative="0">
      <w:start w:val="1"/>
      <w:numFmt w:val="decimal"/>
      <w:lvlText w:val="%4."/>
      <w:lvlJc w:val="left"/>
      <w:pPr>
        <w:ind w:left="1920" w:hanging="480"/>
      </w:pPr>
    </w:lvl>
    <w:lvl w:ilvl="4" w:tentative="0">
      <w:start w:val="1"/>
      <w:numFmt w:val="lowerLetter"/>
      <w:lvlText w:val="%5)"/>
      <w:lvlJc w:val="left"/>
      <w:pPr>
        <w:ind w:left="2400" w:hanging="480"/>
      </w:pPr>
    </w:lvl>
    <w:lvl w:ilvl="5" w:tentative="0">
      <w:start w:val="1"/>
      <w:numFmt w:val="lowerRoman"/>
      <w:lvlText w:val="%6."/>
      <w:lvlJc w:val="right"/>
      <w:pPr>
        <w:ind w:left="2880" w:hanging="480"/>
      </w:pPr>
    </w:lvl>
    <w:lvl w:ilvl="6" w:tentative="0">
      <w:start w:val="1"/>
      <w:numFmt w:val="decimal"/>
      <w:lvlText w:val="%7."/>
      <w:lvlJc w:val="left"/>
      <w:pPr>
        <w:ind w:left="3360" w:hanging="480"/>
      </w:pPr>
    </w:lvl>
    <w:lvl w:ilvl="7" w:tentative="0">
      <w:start w:val="1"/>
      <w:numFmt w:val="lowerLetter"/>
      <w:lvlText w:val="%8)"/>
      <w:lvlJc w:val="left"/>
      <w:pPr>
        <w:ind w:left="3840" w:hanging="480"/>
      </w:pPr>
    </w:lvl>
    <w:lvl w:ilvl="8" w:tentative="0">
      <w:start w:val="1"/>
      <w:numFmt w:val="lowerRoman"/>
      <w:lvlText w:val="%9."/>
      <w:lvlJc w:val="right"/>
      <w:pPr>
        <w:ind w:left="4320" w:hanging="480"/>
      </w:pPr>
    </w:lvl>
  </w:abstractNum>
  <w:abstractNum w:abstractNumId="48">
    <w:nsid w:val="6BC93FB5"/>
    <w:multiLevelType w:val="multilevel"/>
    <w:tmpl w:val="6BC93FB5"/>
    <w:lvl w:ilvl="0" w:tentative="0">
      <w:start w:val="8"/>
      <w:numFmt w:val="decimal"/>
      <w:lvlText w:val="%1"/>
      <w:lvlJc w:val="left"/>
      <w:pPr>
        <w:ind w:left="360" w:hanging="360"/>
      </w:pPr>
      <w:rPr>
        <w:rFonts w:hint="default"/>
      </w:rPr>
    </w:lvl>
    <w:lvl w:ilvl="1" w:tentative="0">
      <w:start w:val="1"/>
      <w:numFmt w:val="decimal"/>
      <w:lvlText w:val="%1.%2"/>
      <w:lvlJc w:val="left"/>
      <w:pPr>
        <w:ind w:left="501" w:hanging="360"/>
      </w:pPr>
      <w:rPr>
        <w:rFonts w:hint="default"/>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49">
    <w:nsid w:val="6C525B9F"/>
    <w:multiLevelType w:val="multilevel"/>
    <w:tmpl w:val="6C525B9F"/>
    <w:lvl w:ilvl="0" w:tentative="0">
      <w:start w:val="5"/>
      <w:numFmt w:val="decimal"/>
      <w:lvlText w:val="%1"/>
      <w:lvlJc w:val="left"/>
      <w:pPr>
        <w:ind w:left="360" w:hanging="360"/>
      </w:pPr>
      <w:rPr>
        <w:rFonts w:hint="default"/>
      </w:rPr>
    </w:lvl>
    <w:lvl w:ilvl="1" w:tentative="0">
      <w:start w:val="1"/>
      <w:numFmt w:val="decimal"/>
      <w:lvlText w:val="%1.%2"/>
      <w:lvlJc w:val="left"/>
      <w:pPr>
        <w:ind w:left="501" w:hanging="360"/>
      </w:pPr>
      <w:rPr>
        <w:rFonts w:hint="default"/>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50">
    <w:nsid w:val="6FBA724A"/>
    <w:multiLevelType w:val="multilevel"/>
    <w:tmpl w:val="6FBA724A"/>
    <w:lvl w:ilvl="0" w:tentative="0">
      <w:start w:val="22"/>
      <w:numFmt w:val="decimal"/>
      <w:lvlText w:val="%1"/>
      <w:lvlJc w:val="left"/>
      <w:pPr>
        <w:ind w:left="480" w:hanging="480"/>
      </w:pPr>
      <w:rPr>
        <w:rFonts w:hint="default"/>
      </w:rPr>
    </w:lvl>
    <w:lvl w:ilvl="1" w:tentative="0">
      <w:start w:val="1"/>
      <w:numFmt w:val="decimal"/>
      <w:lvlText w:val="18.%2."/>
      <w:lvlJc w:val="left"/>
      <w:pPr>
        <w:ind w:left="621" w:hanging="480"/>
      </w:pPr>
      <w:rPr>
        <w:rFonts w:hint="eastAsia"/>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51">
    <w:nsid w:val="719C3F02"/>
    <w:multiLevelType w:val="multilevel"/>
    <w:tmpl w:val="719C3F02"/>
    <w:lvl w:ilvl="0" w:tentative="0">
      <w:start w:val="7"/>
      <w:numFmt w:val="decimal"/>
      <w:lvlText w:val="%1"/>
      <w:lvlJc w:val="left"/>
      <w:pPr>
        <w:ind w:left="360" w:hanging="360"/>
      </w:pPr>
      <w:rPr>
        <w:rFonts w:hint="default"/>
      </w:rPr>
    </w:lvl>
    <w:lvl w:ilvl="1" w:tentative="0">
      <w:start w:val="1"/>
      <w:numFmt w:val="decimal"/>
      <w:lvlText w:val="%1.%2"/>
      <w:lvlJc w:val="left"/>
      <w:pPr>
        <w:ind w:left="501" w:hanging="360"/>
      </w:pPr>
      <w:rPr>
        <w:rFonts w:hint="default"/>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52">
    <w:nsid w:val="72C135E4"/>
    <w:multiLevelType w:val="multilevel"/>
    <w:tmpl w:val="72C135E4"/>
    <w:lvl w:ilvl="0" w:tentative="0">
      <w:start w:val="9"/>
      <w:numFmt w:val="decimal"/>
      <w:lvlText w:val="%1"/>
      <w:lvlJc w:val="left"/>
      <w:pPr>
        <w:ind w:left="360" w:hanging="360"/>
      </w:pPr>
      <w:rPr>
        <w:rFonts w:hint="default"/>
      </w:rPr>
    </w:lvl>
    <w:lvl w:ilvl="1" w:tentative="0">
      <w:start w:val="1"/>
      <w:numFmt w:val="decimal"/>
      <w:lvlText w:val="%1.%2"/>
      <w:lvlJc w:val="left"/>
      <w:pPr>
        <w:ind w:left="501" w:hanging="360"/>
      </w:pPr>
      <w:rPr>
        <w:rFonts w:hint="default"/>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53">
    <w:nsid w:val="72DB873A"/>
    <w:multiLevelType w:val="multilevel"/>
    <w:tmpl w:val="72DB873A"/>
    <w:lvl w:ilvl="0" w:tentative="0">
      <w:start w:val="1"/>
      <w:numFmt w:val="decimal"/>
      <w:lvlText w:val="%1)"/>
      <w:lvlJc w:val="left"/>
      <w:pPr>
        <w:ind w:left="480" w:hanging="480"/>
      </w:pPr>
    </w:lvl>
    <w:lvl w:ilvl="1" w:tentative="0">
      <w:start w:val="1"/>
      <w:numFmt w:val="lowerLetter"/>
      <w:lvlText w:val="%2)"/>
      <w:lvlJc w:val="left"/>
      <w:pPr>
        <w:ind w:left="960" w:hanging="480"/>
      </w:pPr>
    </w:lvl>
    <w:lvl w:ilvl="2" w:tentative="0">
      <w:start w:val="1"/>
      <w:numFmt w:val="lowerRoman"/>
      <w:lvlText w:val="%3."/>
      <w:lvlJc w:val="right"/>
      <w:pPr>
        <w:ind w:left="1440" w:hanging="480"/>
      </w:pPr>
    </w:lvl>
    <w:lvl w:ilvl="3" w:tentative="0">
      <w:start w:val="1"/>
      <w:numFmt w:val="decimal"/>
      <w:lvlText w:val="%4."/>
      <w:lvlJc w:val="left"/>
      <w:pPr>
        <w:ind w:left="1920" w:hanging="480"/>
      </w:pPr>
    </w:lvl>
    <w:lvl w:ilvl="4" w:tentative="0">
      <w:start w:val="1"/>
      <w:numFmt w:val="lowerLetter"/>
      <w:lvlText w:val="%5)"/>
      <w:lvlJc w:val="left"/>
      <w:pPr>
        <w:ind w:left="2400" w:hanging="480"/>
      </w:pPr>
    </w:lvl>
    <w:lvl w:ilvl="5" w:tentative="0">
      <w:start w:val="1"/>
      <w:numFmt w:val="lowerRoman"/>
      <w:lvlText w:val="%6."/>
      <w:lvlJc w:val="right"/>
      <w:pPr>
        <w:ind w:left="2880" w:hanging="480"/>
      </w:pPr>
    </w:lvl>
    <w:lvl w:ilvl="6" w:tentative="0">
      <w:start w:val="1"/>
      <w:numFmt w:val="decimal"/>
      <w:lvlText w:val="%7."/>
      <w:lvlJc w:val="left"/>
      <w:pPr>
        <w:ind w:left="3360" w:hanging="480"/>
      </w:pPr>
    </w:lvl>
    <w:lvl w:ilvl="7" w:tentative="0">
      <w:start w:val="1"/>
      <w:numFmt w:val="lowerLetter"/>
      <w:lvlText w:val="%8)"/>
      <w:lvlJc w:val="left"/>
      <w:pPr>
        <w:ind w:left="3840" w:hanging="480"/>
      </w:pPr>
    </w:lvl>
    <w:lvl w:ilvl="8" w:tentative="0">
      <w:start w:val="1"/>
      <w:numFmt w:val="lowerRoman"/>
      <w:lvlText w:val="%9."/>
      <w:lvlJc w:val="right"/>
      <w:pPr>
        <w:ind w:left="4320" w:hanging="480"/>
      </w:pPr>
    </w:lvl>
  </w:abstractNum>
  <w:abstractNum w:abstractNumId="54">
    <w:nsid w:val="75300036"/>
    <w:multiLevelType w:val="multilevel"/>
    <w:tmpl w:val="75300036"/>
    <w:lvl w:ilvl="0" w:tentative="0">
      <w:start w:val="4"/>
      <w:numFmt w:val="decimal"/>
      <w:lvlText w:val="%1"/>
      <w:lvlJc w:val="left"/>
      <w:pPr>
        <w:ind w:left="360" w:hanging="360"/>
      </w:pPr>
      <w:rPr>
        <w:rFonts w:hint="default"/>
      </w:rPr>
    </w:lvl>
    <w:lvl w:ilvl="1" w:tentative="0">
      <w:start w:val="1"/>
      <w:numFmt w:val="decimal"/>
      <w:lvlText w:val="%1.%2"/>
      <w:lvlJc w:val="left"/>
      <w:pPr>
        <w:ind w:left="501" w:hanging="360"/>
      </w:pPr>
      <w:rPr>
        <w:rFonts w:hint="default"/>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55">
    <w:nsid w:val="76DB7DEA"/>
    <w:multiLevelType w:val="multilevel"/>
    <w:tmpl w:val="76DB7DEA"/>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6">
    <w:nsid w:val="7A113608"/>
    <w:multiLevelType w:val="multilevel"/>
    <w:tmpl w:val="7A113608"/>
    <w:lvl w:ilvl="0" w:tentative="0">
      <w:start w:val="1"/>
      <w:numFmt w:val="decimal"/>
      <w:lvlText w:val="（%1）"/>
      <w:lvlJc w:val="left"/>
      <w:pPr>
        <w:ind w:left="900" w:hanging="4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57">
    <w:nsid w:val="7B216D2B"/>
    <w:multiLevelType w:val="multilevel"/>
    <w:tmpl w:val="7B216D2B"/>
    <w:lvl w:ilvl="0" w:tentative="0">
      <w:start w:val="20"/>
      <w:numFmt w:val="decimal"/>
      <w:lvlText w:val="%1"/>
      <w:lvlJc w:val="left"/>
      <w:pPr>
        <w:ind w:left="480" w:hanging="480"/>
      </w:pPr>
      <w:rPr>
        <w:rFonts w:hint="default"/>
      </w:rPr>
    </w:lvl>
    <w:lvl w:ilvl="1" w:tentative="0">
      <w:start w:val="1"/>
      <w:numFmt w:val="decimal"/>
      <w:lvlText w:val="16.%2."/>
      <w:lvlJc w:val="left"/>
      <w:pPr>
        <w:ind w:left="621" w:hanging="480"/>
      </w:pPr>
      <w:rPr>
        <w:rFonts w:hint="eastAsia"/>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58">
    <w:nsid w:val="7B9E3C32"/>
    <w:multiLevelType w:val="multilevel"/>
    <w:tmpl w:val="7B9E3C32"/>
    <w:lvl w:ilvl="0" w:tentative="0">
      <w:start w:val="18"/>
      <w:numFmt w:val="decimal"/>
      <w:lvlText w:val="%1"/>
      <w:lvlJc w:val="left"/>
      <w:pPr>
        <w:ind w:left="480" w:hanging="480"/>
      </w:pPr>
      <w:rPr>
        <w:rFonts w:hint="default"/>
      </w:rPr>
    </w:lvl>
    <w:lvl w:ilvl="1" w:tentative="0">
      <w:start w:val="1"/>
      <w:numFmt w:val="decimal"/>
      <w:lvlText w:val="14.%2."/>
      <w:lvlJc w:val="left"/>
      <w:pPr>
        <w:ind w:left="621" w:hanging="480"/>
      </w:pPr>
      <w:rPr>
        <w:rFonts w:hint="eastAsia"/>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59">
    <w:nsid w:val="7C076449"/>
    <w:multiLevelType w:val="multilevel"/>
    <w:tmpl w:val="7C076449"/>
    <w:lvl w:ilvl="0" w:tentative="0">
      <w:start w:val="1"/>
      <w:numFmt w:val="decimal"/>
      <w:lvlText w:val="%1)"/>
      <w:lvlJc w:val="left"/>
      <w:pPr>
        <w:ind w:left="480" w:hanging="480"/>
      </w:pPr>
    </w:lvl>
    <w:lvl w:ilvl="1" w:tentative="0">
      <w:start w:val="1"/>
      <w:numFmt w:val="lowerLetter"/>
      <w:lvlText w:val="%2)"/>
      <w:lvlJc w:val="left"/>
      <w:pPr>
        <w:ind w:left="960" w:hanging="480"/>
      </w:pPr>
    </w:lvl>
    <w:lvl w:ilvl="2" w:tentative="0">
      <w:start w:val="1"/>
      <w:numFmt w:val="lowerRoman"/>
      <w:lvlText w:val="%3."/>
      <w:lvlJc w:val="right"/>
      <w:pPr>
        <w:ind w:left="1440" w:hanging="480"/>
      </w:pPr>
    </w:lvl>
    <w:lvl w:ilvl="3" w:tentative="0">
      <w:start w:val="1"/>
      <w:numFmt w:val="decimal"/>
      <w:lvlText w:val="%4."/>
      <w:lvlJc w:val="left"/>
      <w:pPr>
        <w:ind w:left="1920" w:hanging="480"/>
      </w:pPr>
    </w:lvl>
    <w:lvl w:ilvl="4" w:tentative="0">
      <w:start w:val="1"/>
      <w:numFmt w:val="lowerLetter"/>
      <w:lvlText w:val="%5)"/>
      <w:lvlJc w:val="left"/>
      <w:pPr>
        <w:ind w:left="2400" w:hanging="480"/>
      </w:pPr>
    </w:lvl>
    <w:lvl w:ilvl="5" w:tentative="0">
      <w:start w:val="1"/>
      <w:numFmt w:val="lowerRoman"/>
      <w:lvlText w:val="%6."/>
      <w:lvlJc w:val="right"/>
      <w:pPr>
        <w:ind w:left="2880" w:hanging="480"/>
      </w:pPr>
    </w:lvl>
    <w:lvl w:ilvl="6" w:tentative="0">
      <w:start w:val="1"/>
      <w:numFmt w:val="decimal"/>
      <w:lvlText w:val="%7."/>
      <w:lvlJc w:val="left"/>
      <w:pPr>
        <w:ind w:left="3360" w:hanging="480"/>
      </w:pPr>
    </w:lvl>
    <w:lvl w:ilvl="7" w:tentative="0">
      <w:start w:val="1"/>
      <w:numFmt w:val="lowerLetter"/>
      <w:lvlText w:val="%8)"/>
      <w:lvlJc w:val="left"/>
      <w:pPr>
        <w:ind w:left="3840" w:hanging="480"/>
      </w:pPr>
    </w:lvl>
    <w:lvl w:ilvl="8" w:tentative="0">
      <w:start w:val="1"/>
      <w:numFmt w:val="lowerRoman"/>
      <w:lvlText w:val="%9."/>
      <w:lvlJc w:val="right"/>
      <w:pPr>
        <w:ind w:left="4320" w:hanging="480"/>
      </w:pPr>
    </w:lvl>
  </w:abstractNum>
  <w:abstractNum w:abstractNumId="60">
    <w:nsid w:val="7CA10DD4"/>
    <w:multiLevelType w:val="multilevel"/>
    <w:tmpl w:val="7CA10DD4"/>
    <w:lvl w:ilvl="0" w:tentative="0">
      <w:start w:val="1"/>
      <w:numFmt w:val="decimal"/>
      <w:lvlText w:val="（%1）"/>
      <w:lvlJc w:val="left"/>
      <w:pPr>
        <w:ind w:left="845" w:hanging="420"/>
      </w:pPr>
    </w:lvl>
    <w:lvl w:ilvl="1" w:tentative="0">
      <w:start w:val="1"/>
      <w:numFmt w:val="decimal"/>
      <w:lvlText w:val="%2."/>
      <w:lvlJc w:val="left"/>
      <w:pPr>
        <w:ind w:left="988" w:hanging="420"/>
      </w:pPr>
      <w:rPr>
        <w:rFonts w:hint="eastAsia"/>
      </w:r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num w:numId="1">
    <w:abstractNumId w:val="29"/>
  </w:num>
  <w:num w:numId="2">
    <w:abstractNumId w:val="43"/>
  </w:num>
  <w:num w:numId="3">
    <w:abstractNumId w:val="36"/>
  </w:num>
  <w:num w:numId="4">
    <w:abstractNumId w:val="55"/>
  </w:num>
  <w:num w:numId="5">
    <w:abstractNumId w:val="3"/>
  </w:num>
  <w:num w:numId="6">
    <w:abstractNumId w:val="11"/>
  </w:num>
  <w:num w:numId="7">
    <w:abstractNumId w:val="28"/>
  </w:num>
  <w:num w:numId="8">
    <w:abstractNumId w:val="22"/>
  </w:num>
  <w:num w:numId="9">
    <w:abstractNumId w:val="54"/>
  </w:num>
  <w:num w:numId="10">
    <w:abstractNumId w:val="10"/>
  </w:num>
  <w:num w:numId="11">
    <w:abstractNumId w:val="49"/>
  </w:num>
  <w:num w:numId="12">
    <w:abstractNumId w:val="14"/>
  </w:num>
  <w:num w:numId="13">
    <w:abstractNumId w:val="45"/>
  </w:num>
  <w:num w:numId="14">
    <w:abstractNumId w:val="51"/>
  </w:num>
  <w:num w:numId="15">
    <w:abstractNumId w:val="48"/>
  </w:num>
  <w:num w:numId="16">
    <w:abstractNumId w:val="52"/>
  </w:num>
  <w:num w:numId="17">
    <w:abstractNumId w:val="34"/>
  </w:num>
  <w:num w:numId="18">
    <w:abstractNumId w:val="18"/>
  </w:num>
  <w:num w:numId="19">
    <w:abstractNumId w:val="26"/>
  </w:num>
  <w:num w:numId="20">
    <w:abstractNumId w:val="42"/>
  </w:num>
  <w:num w:numId="21">
    <w:abstractNumId w:val="46"/>
  </w:num>
  <w:num w:numId="22">
    <w:abstractNumId w:val="56"/>
  </w:num>
  <w:num w:numId="23">
    <w:abstractNumId w:val="39"/>
  </w:num>
  <w:num w:numId="24">
    <w:abstractNumId w:val="58"/>
  </w:num>
  <w:num w:numId="25">
    <w:abstractNumId w:val="32"/>
  </w:num>
  <w:num w:numId="26">
    <w:abstractNumId w:val="44"/>
  </w:num>
  <w:num w:numId="27">
    <w:abstractNumId w:val="9"/>
  </w:num>
  <w:num w:numId="28">
    <w:abstractNumId w:val="30"/>
  </w:num>
  <w:num w:numId="29">
    <w:abstractNumId w:val="33"/>
  </w:num>
  <w:num w:numId="30">
    <w:abstractNumId w:val="57"/>
  </w:num>
  <w:num w:numId="31">
    <w:abstractNumId w:val="2"/>
  </w:num>
  <w:num w:numId="32">
    <w:abstractNumId w:val="15"/>
  </w:num>
  <w:num w:numId="33">
    <w:abstractNumId w:val="50"/>
  </w:num>
  <w:num w:numId="34">
    <w:abstractNumId w:val="40"/>
  </w:num>
  <w:num w:numId="35">
    <w:abstractNumId w:val="38"/>
  </w:num>
  <w:num w:numId="36">
    <w:abstractNumId w:val="7"/>
  </w:num>
  <w:num w:numId="37">
    <w:abstractNumId w:val="31"/>
  </w:num>
  <w:num w:numId="38">
    <w:abstractNumId w:val="6"/>
  </w:num>
  <w:num w:numId="39">
    <w:abstractNumId w:val="37"/>
  </w:num>
  <w:num w:numId="40">
    <w:abstractNumId w:val="60"/>
  </w:num>
  <w:num w:numId="41">
    <w:abstractNumId w:val="0"/>
  </w:num>
  <w:num w:numId="42">
    <w:abstractNumId w:val="21"/>
  </w:num>
  <w:num w:numId="43">
    <w:abstractNumId w:val="20"/>
  </w:num>
  <w:num w:numId="44">
    <w:abstractNumId w:val="12"/>
  </w:num>
  <w:num w:numId="45">
    <w:abstractNumId w:val="5"/>
  </w:num>
  <w:num w:numId="46">
    <w:abstractNumId w:val="47"/>
  </w:num>
  <w:num w:numId="47">
    <w:abstractNumId w:val="59"/>
  </w:num>
  <w:num w:numId="48">
    <w:abstractNumId w:val="27"/>
  </w:num>
  <w:num w:numId="49">
    <w:abstractNumId w:val="4"/>
  </w:num>
  <w:num w:numId="50">
    <w:abstractNumId w:val="17"/>
  </w:num>
  <w:num w:numId="51">
    <w:abstractNumId w:val="24"/>
  </w:num>
  <w:num w:numId="52">
    <w:abstractNumId w:val="53"/>
  </w:num>
  <w:num w:numId="53">
    <w:abstractNumId w:val="41"/>
  </w:num>
  <w:num w:numId="54">
    <w:abstractNumId w:val="35"/>
  </w:num>
  <w:num w:numId="55">
    <w:abstractNumId w:val="19"/>
  </w:num>
  <w:num w:numId="56">
    <w:abstractNumId w:val="1"/>
  </w:num>
  <w:num w:numId="57">
    <w:abstractNumId w:val="8"/>
  </w:num>
  <w:num w:numId="58">
    <w:abstractNumId w:val="13"/>
  </w:num>
  <w:num w:numId="59">
    <w:abstractNumId w:val="23"/>
  </w:num>
  <w:num w:numId="60">
    <w:abstractNumId w:val="16"/>
  </w:num>
  <w:num w:numId="61">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U1NjJiMDM4NjM5YmZkMmZiZDRlMDhiZWU1MjFlNjcifQ=="/>
  </w:docVars>
  <w:rsids>
    <w:rsidRoot w:val="00B64A69"/>
    <w:rsid w:val="00002BF7"/>
    <w:rsid w:val="000038F3"/>
    <w:rsid w:val="0000523C"/>
    <w:rsid w:val="00005A48"/>
    <w:rsid w:val="000067C2"/>
    <w:rsid w:val="00006833"/>
    <w:rsid w:val="00007EA5"/>
    <w:rsid w:val="00010612"/>
    <w:rsid w:val="0001239E"/>
    <w:rsid w:val="000138A2"/>
    <w:rsid w:val="00014941"/>
    <w:rsid w:val="000150EB"/>
    <w:rsid w:val="00015785"/>
    <w:rsid w:val="0001710E"/>
    <w:rsid w:val="0001758F"/>
    <w:rsid w:val="00020295"/>
    <w:rsid w:val="0002211A"/>
    <w:rsid w:val="000224C6"/>
    <w:rsid w:val="00023E42"/>
    <w:rsid w:val="0002411A"/>
    <w:rsid w:val="00024EED"/>
    <w:rsid w:val="00025E8C"/>
    <w:rsid w:val="000270B5"/>
    <w:rsid w:val="00030AFF"/>
    <w:rsid w:val="0003102F"/>
    <w:rsid w:val="0003112F"/>
    <w:rsid w:val="000337CD"/>
    <w:rsid w:val="00033C36"/>
    <w:rsid w:val="00033CB3"/>
    <w:rsid w:val="00034AC1"/>
    <w:rsid w:val="00037BC9"/>
    <w:rsid w:val="000404B0"/>
    <w:rsid w:val="000436A5"/>
    <w:rsid w:val="00043AA4"/>
    <w:rsid w:val="00044157"/>
    <w:rsid w:val="000446E2"/>
    <w:rsid w:val="000457A3"/>
    <w:rsid w:val="00045810"/>
    <w:rsid w:val="00046F57"/>
    <w:rsid w:val="00047649"/>
    <w:rsid w:val="00047F62"/>
    <w:rsid w:val="00051006"/>
    <w:rsid w:val="00051784"/>
    <w:rsid w:val="00053076"/>
    <w:rsid w:val="000532B7"/>
    <w:rsid w:val="00053663"/>
    <w:rsid w:val="00053BD8"/>
    <w:rsid w:val="00053D3B"/>
    <w:rsid w:val="0005473E"/>
    <w:rsid w:val="00054D79"/>
    <w:rsid w:val="00054EB9"/>
    <w:rsid w:val="000558CC"/>
    <w:rsid w:val="000562AC"/>
    <w:rsid w:val="00057DDD"/>
    <w:rsid w:val="00060656"/>
    <w:rsid w:val="0006091D"/>
    <w:rsid w:val="00060A80"/>
    <w:rsid w:val="00060CCE"/>
    <w:rsid w:val="00061A61"/>
    <w:rsid w:val="00064380"/>
    <w:rsid w:val="00064C22"/>
    <w:rsid w:val="00067AEA"/>
    <w:rsid w:val="00070389"/>
    <w:rsid w:val="00071AFA"/>
    <w:rsid w:val="00071E6B"/>
    <w:rsid w:val="0007370E"/>
    <w:rsid w:val="0007472D"/>
    <w:rsid w:val="00075EB8"/>
    <w:rsid w:val="0007617E"/>
    <w:rsid w:val="00076F9D"/>
    <w:rsid w:val="000806B7"/>
    <w:rsid w:val="00081442"/>
    <w:rsid w:val="00081E42"/>
    <w:rsid w:val="00082C27"/>
    <w:rsid w:val="00083F67"/>
    <w:rsid w:val="000846AA"/>
    <w:rsid w:val="0008494D"/>
    <w:rsid w:val="00084D54"/>
    <w:rsid w:val="00085560"/>
    <w:rsid w:val="000872D0"/>
    <w:rsid w:val="00090332"/>
    <w:rsid w:val="00091565"/>
    <w:rsid w:val="00091938"/>
    <w:rsid w:val="0009193B"/>
    <w:rsid w:val="00092BBF"/>
    <w:rsid w:val="00094715"/>
    <w:rsid w:val="00095A45"/>
    <w:rsid w:val="00095B69"/>
    <w:rsid w:val="00095B6F"/>
    <w:rsid w:val="00095F54"/>
    <w:rsid w:val="000A18C8"/>
    <w:rsid w:val="000A199E"/>
    <w:rsid w:val="000A2FE2"/>
    <w:rsid w:val="000A34B2"/>
    <w:rsid w:val="000A3E69"/>
    <w:rsid w:val="000A4266"/>
    <w:rsid w:val="000A4A29"/>
    <w:rsid w:val="000A5B2E"/>
    <w:rsid w:val="000A5D96"/>
    <w:rsid w:val="000A5E33"/>
    <w:rsid w:val="000A63AE"/>
    <w:rsid w:val="000A6482"/>
    <w:rsid w:val="000A670C"/>
    <w:rsid w:val="000A6B77"/>
    <w:rsid w:val="000A79BC"/>
    <w:rsid w:val="000A7AA9"/>
    <w:rsid w:val="000A7E78"/>
    <w:rsid w:val="000B04C5"/>
    <w:rsid w:val="000B0C19"/>
    <w:rsid w:val="000B1F19"/>
    <w:rsid w:val="000B46FC"/>
    <w:rsid w:val="000B4836"/>
    <w:rsid w:val="000B6728"/>
    <w:rsid w:val="000B6C24"/>
    <w:rsid w:val="000C18FF"/>
    <w:rsid w:val="000C2843"/>
    <w:rsid w:val="000C3092"/>
    <w:rsid w:val="000C336D"/>
    <w:rsid w:val="000C3CC9"/>
    <w:rsid w:val="000C4278"/>
    <w:rsid w:val="000C43F0"/>
    <w:rsid w:val="000C57AF"/>
    <w:rsid w:val="000C60A4"/>
    <w:rsid w:val="000C6505"/>
    <w:rsid w:val="000C6579"/>
    <w:rsid w:val="000C6B3B"/>
    <w:rsid w:val="000D019E"/>
    <w:rsid w:val="000D0A99"/>
    <w:rsid w:val="000D0CF3"/>
    <w:rsid w:val="000D19A1"/>
    <w:rsid w:val="000D1FC0"/>
    <w:rsid w:val="000D3929"/>
    <w:rsid w:val="000D64A4"/>
    <w:rsid w:val="000D6DF6"/>
    <w:rsid w:val="000D7068"/>
    <w:rsid w:val="000D7CD3"/>
    <w:rsid w:val="000E0567"/>
    <w:rsid w:val="000E09CB"/>
    <w:rsid w:val="000E0E00"/>
    <w:rsid w:val="000E1298"/>
    <w:rsid w:val="000E346D"/>
    <w:rsid w:val="000E4967"/>
    <w:rsid w:val="000E4C8C"/>
    <w:rsid w:val="000E791D"/>
    <w:rsid w:val="000F00E5"/>
    <w:rsid w:val="000F03C2"/>
    <w:rsid w:val="000F095F"/>
    <w:rsid w:val="000F3469"/>
    <w:rsid w:val="000F5C6D"/>
    <w:rsid w:val="00100215"/>
    <w:rsid w:val="001003FB"/>
    <w:rsid w:val="00100A96"/>
    <w:rsid w:val="00101C28"/>
    <w:rsid w:val="001033A1"/>
    <w:rsid w:val="0010348C"/>
    <w:rsid w:val="001039CF"/>
    <w:rsid w:val="00103A39"/>
    <w:rsid w:val="001042F0"/>
    <w:rsid w:val="00104CCA"/>
    <w:rsid w:val="0010631C"/>
    <w:rsid w:val="001068A3"/>
    <w:rsid w:val="00107D30"/>
    <w:rsid w:val="001100C2"/>
    <w:rsid w:val="0011027C"/>
    <w:rsid w:val="00110842"/>
    <w:rsid w:val="00110AF9"/>
    <w:rsid w:val="00110EB7"/>
    <w:rsid w:val="00110EE4"/>
    <w:rsid w:val="0011125A"/>
    <w:rsid w:val="0011163B"/>
    <w:rsid w:val="00112129"/>
    <w:rsid w:val="00112CB9"/>
    <w:rsid w:val="001135A0"/>
    <w:rsid w:val="00114C0A"/>
    <w:rsid w:val="00114D98"/>
    <w:rsid w:val="001164D8"/>
    <w:rsid w:val="00117E99"/>
    <w:rsid w:val="001209A9"/>
    <w:rsid w:val="00120EB7"/>
    <w:rsid w:val="00120F9A"/>
    <w:rsid w:val="00121135"/>
    <w:rsid w:val="00121727"/>
    <w:rsid w:val="0012381B"/>
    <w:rsid w:val="00123F0F"/>
    <w:rsid w:val="00124055"/>
    <w:rsid w:val="001254F6"/>
    <w:rsid w:val="00125A2E"/>
    <w:rsid w:val="0012666C"/>
    <w:rsid w:val="001309C1"/>
    <w:rsid w:val="00130B08"/>
    <w:rsid w:val="00130E28"/>
    <w:rsid w:val="00132691"/>
    <w:rsid w:val="00133612"/>
    <w:rsid w:val="001337D1"/>
    <w:rsid w:val="00134A4A"/>
    <w:rsid w:val="00135CE1"/>
    <w:rsid w:val="0013606C"/>
    <w:rsid w:val="00137081"/>
    <w:rsid w:val="00141D84"/>
    <w:rsid w:val="0014227A"/>
    <w:rsid w:val="0014346E"/>
    <w:rsid w:val="00143668"/>
    <w:rsid w:val="00143DEB"/>
    <w:rsid w:val="00144745"/>
    <w:rsid w:val="00144849"/>
    <w:rsid w:val="00144F80"/>
    <w:rsid w:val="00146FA2"/>
    <w:rsid w:val="001509BD"/>
    <w:rsid w:val="00150B55"/>
    <w:rsid w:val="00151434"/>
    <w:rsid w:val="00153051"/>
    <w:rsid w:val="001538F6"/>
    <w:rsid w:val="00153B72"/>
    <w:rsid w:val="00157CBF"/>
    <w:rsid w:val="001605B9"/>
    <w:rsid w:val="00161442"/>
    <w:rsid w:val="001624DE"/>
    <w:rsid w:val="00163370"/>
    <w:rsid w:val="001647F8"/>
    <w:rsid w:val="00164B21"/>
    <w:rsid w:val="00165018"/>
    <w:rsid w:val="001655A7"/>
    <w:rsid w:val="001659BA"/>
    <w:rsid w:val="001673A5"/>
    <w:rsid w:val="001702B3"/>
    <w:rsid w:val="00170482"/>
    <w:rsid w:val="001714CB"/>
    <w:rsid w:val="00171BAC"/>
    <w:rsid w:val="00172D02"/>
    <w:rsid w:val="00173A17"/>
    <w:rsid w:val="00174D3A"/>
    <w:rsid w:val="00174F7A"/>
    <w:rsid w:val="00175689"/>
    <w:rsid w:val="00176770"/>
    <w:rsid w:val="001773F2"/>
    <w:rsid w:val="00177C16"/>
    <w:rsid w:val="001801DD"/>
    <w:rsid w:val="00180A83"/>
    <w:rsid w:val="001810DF"/>
    <w:rsid w:val="00181301"/>
    <w:rsid w:val="001829C0"/>
    <w:rsid w:val="0018443D"/>
    <w:rsid w:val="00184ADA"/>
    <w:rsid w:val="00185FA7"/>
    <w:rsid w:val="00187489"/>
    <w:rsid w:val="0018749E"/>
    <w:rsid w:val="00187629"/>
    <w:rsid w:val="0018786E"/>
    <w:rsid w:val="00191300"/>
    <w:rsid w:val="00191B3C"/>
    <w:rsid w:val="00194DC7"/>
    <w:rsid w:val="00197375"/>
    <w:rsid w:val="001A1F4C"/>
    <w:rsid w:val="001A27B9"/>
    <w:rsid w:val="001A589B"/>
    <w:rsid w:val="001A5D19"/>
    <w:rsid w:val="001A6164"/>
    <w:rsid w:val="001A6395"/>
    <w:rsid w:val="001A7AF7"/>
    <w:rsid w:val="001B1AB2"/>
    <w:rsid w:val="001B258F"/>
    <w:rsid w:val="001B290C"/>
    <w:rsid w:val="001B3668"/>
    <w:rsid w:val="001B3A0B"/>
    <w:rsid w:val="001B5289"/>
    <w:rsid w:val="001B5A29"/>
    <w:rsid w:val="001B6849"/>
    <w:rsid w:val="001B6AEF"/>
    <w:rsid w:val="001C100B"/>
    <w:rsid w:val="001C12BF"/>
    <w:rsid w:val="001C1E19"/>
    <w:rsid w:val="001C3362"/>
    <w:rsid w:val="001C3EEB"/>
    <w:rsid w:val="001C4112"/>
    <w:rsid w:val="001C4B2F"/>
    <w:rsid w:val="001C5860"/>
    <w:rsid w:val="001C7E11"/>
    <w:rsid w:val="001D0224"/>
    <w:rsid w:val="001D0BB0"/>
    <w:rsid w:val="001D20DD"/>
    <w:rsid w:val="001D2B64"/>
    <w:rsid w:val="001D5003"/>
    <w:rsid w:val="001D5386"/>
    <w:rsid w:val="001D6048"/>
    <w:rsid w:val="001D67A1"/>
    <w:rsid w:val="001D704B"/>
    <w:rsid w:val="001D7500"/>
    <w:rsid w:val="001D7FF7"/>
    <w:rsid w:val="001E08C0"/>
    <w:rsid w:val="001E1452"/>
    <w:rsid w:val="001E1C73"/>
    <w:rsid w:val="001E3597"/>
    <w:rsid w:val="001E3D4B"/>
    <w:rsid w:val="001E4FBC"/>
    <w:rsid w:val="001E62CF"/>
    <w:rsid w:val="001E7448"/>
    <w:rsid w:val="001E78D7"/>
    <w:rsid w:val="001F06E7"/>
    <w:rsid w:val="001F15AA"/>
    <w:rsid w:val="001F165B"/>
    <w:rsid w:val="001F197B"/>
    <w:rsid w:val="001F263D"/>
    <w:rsid w:val="001F37EE"/>
    <w:rsid w:val="001F4C47"/>
    <w:rsid w:val="001F5EF3"/>
    <w:rsid w:val="001F6128"/>
    <w:rsid w:val="001F63F1"/>
    <w:rsid w:val="001F6CA1"/>
    <w:rsid w:val="001F7EBE"/>
    <w:rsid w:val="002002AB"/>
    <w:rsid w:val="00200B28"/>
    <w:rsid w:val="00202142"/>
    <w:rsid w:val="00202149"/>
    <w:rsid w:val="002027BC"/>
    <w:rsid w:val="002032A7"/>
    <w:rsid w:val="002062BB"/>
    <w:rsid w:val="00206488"/>
    <w:rsid w:val="002069D8"/>
    <w:rsid w:val="00206D2B"/>
    <w:rsid w:val="00210596"/>
    <w:rsid w:val="00210EAD"/>
    <w:rsid w:val="00210EEA"/>
    <w:rsid w:val="00211082"/>
    <w:rsid w:val="00211346"/>
    <w:rsid w:val="0021138A"/>
    <w:rsid w:val="002118EC"/>
    <w:rsid w:val="00212D1B"/>
    <w:rsid w:val="00212E60"/>
    <w:rsid w:val="002136BF"/>
    <w:rsid w:val="00213F9D"/>
    <w:rsid w:val="00215C84"/>
    <w:rsid w:val="00221B90"/>
    <w:rsid w:val="002229E0"/>
    <w:rsid w:val="00224136"/>
    <w:rsid w:val="0022430C"/>
    <w:rsid w:val="002249FE"/>
    <w:rsid w:val="00224B53"/>
    <w:rsid w:val="002250D0"/>
    <w:rsid w:val="002307FD"/>
    <w:rsid w:val="0023168C"/>
    <w:rsid w:val="0023487E"/>
    <w:rsid w:val="00234B46"/>
    <w:rsid w:val="00234FAA"/>
    <w:rsid w:val="0023585A"/>
    <w:rsid w:val="00235CAF"/>
    <w:rsid w:val="00235ED3"/>
    <w:rsid w:val="00237D6B"/>
    <w:rsid w:val="00240485"/>
    <w:rsid w:val="002411CA"/>
    <w:rsid w:val="00242D84"/>
    <w:rsid w:val="002461F4"/>
    <w:rsid w:val="002471F8"/>
    <w:rsid w:val="002475F8"/>
    <w:rsid w:val="00247938"/>
    <w:rsid w:val="00250300"/>
    <w:rsid w:val="00250602"/>
    <w:rsid w:val="00250E1D"/>
    <w:rsid w:val="00250E41"/>
    <w:rsid w:val="00250E43"/>
    <w:rsid w:val="0025211E"/>
    <w:rsid w:val="00253C8B"/>
    <w:rsid w:val="00253CA5"/>
    <w:rsid w:val="002550B8"/>
    <w:rsid w:val="002554DC"/>
    <w:rsid w:val="002565A6"/>
    <w:rsid w:val="00256BE3"/>
    <w:rsid w:val="00260023"/>
    <w:rsid w:val="0026098D"/>
    <w:rsid w:val="002612E7"/>
    <w:rsid w:val="00262A92"/>
    <w:rsid w:val="002634E7"/>
    <w:rsid w:val="00263995"/>
    <w:rsid w:val="00263C2D"/>
    <w:rsid w:val="00263CBE"/>
    <w:rsid w:val="00263CC7"/>
    <w:rsid w:val="00264625"/>
    <w:rsid w:val="00264E70"/>
    <w:rsid w:val="00265C78"/>
    <w:rsid w:val="00266104"/>
    <w:rsid w:val="00266513"/>
    <w:rsid w:val="00267C26"/>
    <w:rsid w:val="00270623"/>
    <w:rsid w:val="00271723"/>
    <w:rsid w:val="0027217E"/>
    <w:rsid w:val="002735D5"/>
    <w:rsid w:val="00273870"/>
    <w:rsid w:val="00273EF6"/>
    <w:rsid w:val="0027411F"/>
    <w:rsid w:val="002759C5"/>
    <w:rsid w:val="00275ED0"/>
    <w:rsid w:val="0027632C"/>
    <w:rsid w:val="00280EEC"/>
    <w:rsid w:val="002812BE"/>
    <w:rsid w:val="00281F11"/>
    <w:rsid w:val="0028262A"/>
    <w:rsid w:val="002839E2"/>
    <w:rsid w:val="00284776"/>
    <w:rsid w:val="00285653"/>
    <w:rsid w:val="00286271"/>
    <w:rsid w:val="002863DA"/>
    <w:rsid w:val="002867B9"/>
    <w:rsid w:val="00287023"/>
    <w:rsid w:val="00287946"/>
    <w:rsid w:val="00292A1E"/>
    <w:rsid w:val="0029314E"/>
    <w:rsid w:val="0029318E"/>
    <w:rsid w:val="00293A57"/>
    <w:rsid w:val="00293AFC"/>
    <w:rsid w:val="002948C0"/>
    <w:rsid w:val="00294A2B"/>
    <w:rsid w:val="00295B9A"/>
    <w:rsid w:val="002965BE"/>
    <w:rsid w:val="002A0F8E"/>
    <w:rsid w:val="002A23E3"/>
    <w:rsid w:val="002A252B"/>
    <w:rsid w:val="002A4AFC"/>
    <w:rsid w:val="002A5FC8"/>
    <w:rsid w:val="002B0774"/>
    <w:rsid w:val="002B0B5B"/>
    <w:rsid w:val="002B3906"/>
    <w:rsid w:val="002B3C13"/>
    <w:rsid w:val="002B3D73"/>
    <w:rsid w:val="002B3D9A"/>
    <w:rsid w:val="002B3E7B"/>
    <w:rsid w:val="002B40F9"/>
    <w:rsid w:val="002B4366"/>
    <w:rsid w:val="002B67F7"/>
    <w:rsid w:val="002B6CF5"/>
    <w:rsid w:val="002B7080"/>
    <w:rsid w:val="002C03FE"/>
    <w:rsid w:val="002C0A84"/>
    <w:rsid w:val="002C1B1B"/>
    <w:rsid w:val="002C225A"/>
    <w:rsid w:val="002C59C7"/>
    <w:rsid w:val="002C5A13"/>
    <w:rsid w:val="002C68CB"/>
    <w:rsid w:val="002C6A48"/>
    <w:rsid w:val="002C6AFF"/>
    <w:rsid w:val="002C709C"/>
    <w:rsid w:val="002C7491"/>
    <w:rsid w:val="002C7F49"/>
    <w:rsid w:val="002D26C0"/>
    <w:rsid w:val="002D471D"/>
    <w:rsid w:val="002D49D1"/>
    <w:rsid w:val="002D5143"/>
    <w:rsid w:val="002D56ED"/>
    <w:rsid w:val="002D7C5E"/>
    <w:rsid w:val="002E0050"/>
    <w:rsid w:val="002E00A6"/>
    <w:rsid w:val="002E120E"/>
    <w:rsid w:val="002E18F2"/>
    <w:rsid w:val="002E27F1"/>
    <w:rsid w:val="002E2E37"/>
    <w:rsid w:val="002E3341"/>
    <w:rsid w:val="002E5582"/>
    <w:rsid w:val="002E5C15"/>
    <w:rsid w:val="002E6972"/>
    <w:rsid w:val="002F1F0A"/>
    <w:rsid w:val="002F29A0"/>
    <w:rsid w:val="002F2BA1"/>
    <w:rsid w:val="002F3442"/>
    <w:rsid w:val="002F3CE2"/>
    <w:rsid w:val="002F3D64"/>
    <w:rsid w:val="002F45B9"/>
    <w:rsid w:val="002F4602"/>
    <w:rsid w:val="002F4AE4"/>
    <w:rsid w:val="002F5A06"/>
    <w:rsid w:val="002F611D"/>
    <w:rsid w:val="002F750C"/>
    <w:rsid w:val="002F7D44"/>
    <w:rsid w:val="002F7F12"/>
    <w:rsid w:val="00301408"/>
    <w:rsid w:val="00301577"/>
    <w:rsid w:val="003015BD"/>
    <w:rsid w:val="00301D59"/>
    <w:rsid w:val="00301D7F"/>
    <w:rsid w:val="003028D3"/>
    <w:rsid w:val="00302F31"/>
    <w:rsid w:val="003035D3"/>
    <w:rsid w:val="003035EC"/>
    <w:rsid w:val="00305706"/>
    <w:rsid w:val="00305E0E"/>
    <w:rsid w:val="003072F8"/>
    <w:rsid w:val="003103AB"/>
    <w:rsid w:val="003106A7"/>
    <w:rsid w:val="00310A22"/>
    <w:rsid w:val="00310E13"/>
    <w:rsid w:val="00311075"/>
    <w:rsid w:val="003110B2"/>
    <w:rsid w:val="0031377B"/>
    <w:rsid w:val="00314AA7"/>
    <w:rsid w:val="00315066"/>
    <w:rsid w:val="00315764"/>
    <w:rsid w:val="003158A9"/>
    <w:rsid w:val="00315EC4"/>
    <w:rsid w:val="003163D0"/>
    <w:rsid w:val="0031651E"/>
    <w:rsid w:val="00317608"/>
    <w:rsid w:val="0031780A"/>
    <w:rsid w:val="00317891"/>
    <w:rsid w:val="00320182"/>
    <w:rsid w:val="00321269"/>
    <w:rsid w:val="00321E99"/>
    <w:rsid w:val="003233E5"/>
    <w:rsid w:val="00324D72"/>
    <w:rsid w:val="00326CD6"/>
    <w:rsid w:val="0032741F"/>
    <w:rsid w:val="003304B9"/>
    <w:rsid w:val="0033150D"/>
    <w:rsid w:val="00331ABE"/>
    <w:rsid w:val="0033290B"/>
    <w:rsid w:val="00333D06"/>
    <w:rsid w:val="0034157D"/>
    <w:rsid w:val="00341D0D"/>
    <w:rsid w:val="00342F14"/>
    <w:rsid w:val="003440F7"/>
    <w:rsid w:val="00344401"/>
    <w:rsid w:val="00345385"/>
    <w:rsid w:val="00345721"/>
    <w:rsid w:val="0034606E"/>
    <w:rsid w:val="00346740"/>
    <w:rsid w:val="00347405"/>
    <w:rsid w:val="0034743D"/>
    <w:rsid w:val="00347C5C"/>
    <w:rsid w:val="0035056F"/>
    <w:rsid w:val="003529E5"/>
    <w:rsid w:val="00353663"/>
    <w:rsid w:val="00354055"/>
    <w:rsid w:val="00355C6E"/>
    <w:rsid w:val="003560BD"/>
    <w:rsid w:val="00356255"/>
    <w:rsid w:val="0035748A"/>
    <w:rsid w:val="00357C79"/>
    <w:rsid w:val="003612B2"/>
    <w:rsid w:val="0036137E"/>
    <w:rsid w:val="00361505"/>
    <w:rsid w:val="003628E3"/>
    <w:rsid w:val="00362A2D"/>
    <w:rsid w:val="00362BCC"/>
    <w:rsid w:val="00363694"/>
    <w:rsid w:val="0036417B"/>
    <w:rsid w:val="0036418A"/>
    <w:rsid w:val="00370C11"/>
    <w:rsid w:val="00370F9B"/>
    <w:rsid w:val="00372C89"/>
    <w:rsid w:val="00373EBB"/>
    <w:rsid w:val="00374189"/>
    <w:rsid w:val="00374879"/>
    <w:rsid w:val="00375A67"/>
    <w:rsid w:val="00376663"/>
    <w:rsid w:val="00377A32"/>
    <w:rsid w:val="00380B68"/>
    <w:rsid w:val="00381CA9"/>
    <w:rsid w:val="00382732"/>
    <w:rsid w:val="00386E74"/>
    <w:rsid w:val="003871E6"/>
    <w:rsid w:val="003873A3"/>
    <w:rsid w:val="00390084"/>
    <w:rsid w:val="00390AF1"/>
    <w:rsid w:val="00393A63"/>
    <w:rsid w:val="00393E2C"/>
    <w:rsid w:val="00394D96"/>
    <w:rsid w:val="00395FBC"/>
    <w:rsid w:val="00396783"/>
    <w:rsid w:val="00396A62"/>
    <w:rsid w:val="0039788F"/>
    <w:rsid w:val="003A0AF6"/>
    <w:rsid w:val="003A0C81"/>
    <w:rsid w:val="003A0E91"/>
    <w:rsid w:val="003A11A4"/>
    <w:rsid w:val="003A1C5A"/>
    <w:rsid w:val="003A2B4C"/>
    <w:rsid w:val="003A2CEB"/>
    <w:rsid w:val="003A39C0"/>
    <w:rsid w:val="003A3CBB"/>
    <w:rsid w:val="003A4B5B"/>
    <w:rsid w:val="003A54E9"/>
    <w:rsid w:val="003A70E5"/>
    <w:rsid w:val="003A7E68"/>
    <w:rsid w:val="003B0ABE"/>
    <w:rsid w:val="003B45D2"/>
    <w:rsid w:val="003B4D0F"/>
    <w:rsid w:val="003B6101"/>
    <w:rsid w:val="003C0201"/>
    <w:rsid w:val="003C4D8F"/>
    <w:rsid w:val="003C644F"/>
    <w:rsid w:val="003C7A96"/>
    <w:rsid w:val="003D0248"/>
    <w:rsid w:val="003D041C"/>
    <w:rsid w:val="003D0529"/>
    <w:rsid w:val="003D1776"/>
    <w:rsid w:val="003D1CBD"/>
    <w:rsid w:val="003D322B"/>
    <w:rsid w:val="003D4271"/>
    <w:rsid w:val="003D4506"/>
    <w:rsid w:val="003D46EA"/>
    <w:rsid w:val="003D4CB9"/>
    <w:rsid w:val="003D5661"/>
    <w:rsid w:val="003D5817"/>
    <w:rsid w:val="003D6B4E"/>
    <w:rsid w:val="003D7DDD"/>
    <w:rsid w:val="003E0174"/>
    <w:rsid w:val="003E02F7"/>
    <w:rsid w:val="003E0378"/>
    <w:rsid w:val="003E0459"/>
    <w:rsid w:val="003E0670"/>
    <w:rsid w:val="003E0BFB"/>
    <w:rsid w:val="003E1052"/>
    <w:rsid w:val="003E416E"/>
    <w:rsid w:val="003E4F99"/>
    <w:rsid w:val="003E536F"/>
    <w:rsid w:val="003E625F"/>
    <w:rsid w:val="003E68AA"/>
    <w:rsid w:val="003E7FCD"/>
    <w:rsid w:val="003F1EDC"/>
    <w:rsid w:val="003F6B9A"/>
    <w:rsid w:val="003F70BB"/>
    <w:rsid w:val="003F7545"/>
    <w:rsid w:val="003F7710"/>
    <w:rsid w:val="003F78B4"/>
    <w:rsid w:val="003F794B"/>
    <w:rsid w:val="00400FFB"/>
    <w:rsid w:val="00402BE9"/>
    <w:rsid w:val="004049D9"/>
    <w:rsid w:val="004060D8"/>
    <w:rsid w:val="004066EF"/>
    <w:rsid w:val="00411025"/>
    <w:rsid w:val="004116F3"/>
    <w:rsid w:val="004152C0"/>
    <w:rsid w:val="00415784"/>
    <w:rsid w:val="00415A34"/>
    <w:rsid w:val="004165A2"/>
    <w:rsid w:val="00416962"/>
    <w:rsid w:val="004172E0"/>
    <w:rsid w:val="00417367"/>
    <w:rsid w:val="0041793E"/>
    <w:rsid w:val="00417C36"/>
    <w:rsid w:val="004204FB"/>
    <w:rsid w:val="00420E67"/>
    <w:rsid w:val="004216E2"/>
    <w:rsid w:val="004239FA"/>
    <w:rsid w:val="004245B7"/>
    <w:rsid w:val="00425183"/>
    <w:rsid w:val="00426720"/>
    <w:rsid w:val="00426906"/>
    <w:rsid w:val="004273F5"/>
    <w:rsid w:val="004318C5"/>
    <w:rsid w:val="00432419"/>
    <w:rsid w:val="004325F1"/>
    <w:rsid w:val="00433A07"/>
    <w:rsid w:val="00436011"/>
    <w:rsid w:val="00437DE0"/>
    <w:rsid w:val="004429E4"/>
    <w:rsid w:val="004435F8"/>
    <w:rsid w:val="00443800"/>
    <w:rsid w:val="00443869"/>
    <w:rsid w:val="004443A4"/>
    <w:rsid w:val="00446641"/>
    <w:rsid w:val="0044682A"/>
    <w:rsid w:val="00447F80"/>
    <w:rsid w:val="00450E42"/>
    <w:rsid w:val="00451525"/>
    <w:rsid w:val="00451913"/>
    <w:rsid w:val="00451ED2"/>
    <w:rsid w:val="0045206A"/>
    <w:rsid w:val="00452B6F"/>
    <w:rsid w:val="00452FAD"/>
    <w:rsid w:val="00454BA4"/>
    <w:rsid w:val="004569F1"/>
    <w:rsid w:val="0045707F"/>
    <w:rsid w:val="00457735"/>
    <w:rsid w:val="00457D5F"/>
    <w:rsid w:val="00461142"/>
    <w:rsid w:val="00461184"/>
    <w:rsid w:val="00461E9F"/>
    <w:rsid w:val="0046364C"/>
    <w:rsid w:val="00463BB6"/>
    <w:rsid w:val="00464556"/>
    <w:rsid w:val="00464C20"/>
    <w:rsid w:val="0046591C"/>
    <w:rsid w:val="00466044"/>
    <w:rsid w:val="004704BB"/>
    <w:rsid w:val="004714C6"/>
    <w:rsid w:val="004719A0"/>
    <w:rsid w:val="00471ACC"/>
    <w:rsid w:val="00472193"/>
    <w:rsid w:val="004737FD"/>
    <w:rsid w:val="00473A04"/>
    <w:rsid w:val="00473DDA"/>
    <w:rsid w:val="00475DE5"/>
    <w:rsid w:val="00475E8E"/>
    <w:rsid w:val="00475FE2"/>
    <w:rsid w:val="00476424"/>
    <w:rsid w:val="004766AB"/>
    <w:rsid w:val="004773FB"/>
    <w:rsid w:val="004777F0"/>
    <w:rsid w:val="004802FC"/>
    <w:rsid w:val="00480C84"/>
    <w:rsid w:val="00481C49"/>
    <w:rsid w:val="00482614"/>
    <w:rsid w:val="00482CF8"/>
    <w:rsid w:val="00482F1A"/>
    <w:rsid w:val="004844D1"/>
    <w:rsid w:val="00487974"/>
    <w:rsid w:val="00490F61"/>
    <w:rsid w:val="004938FF"/>
    <w:rsid w:val="00494755"/>
    <w:rsid w:val="004955F0"/>
    <w:rsid w:val="0049591A"/>
    <w:rsid w:val="004969B3"/>
    <w:rsid w:val="00496CD5"/>
    <w:rsid w:val="0049768E"/>
    <w:rsid w:val="004A070E"/>
    <w:rsid w:val="004A1B0D"/>
    <w:rsid w:val="004A2070"/>
    <w:rsid w:val="004A2FAE"/>
    <w:rsid w:val="004A3ED2"/>
    <w:rsid w:val="004A4982"/>
    <w:rsid w:val="004A732D"/>
    <w:rsid w:val="004A7887"/>
    <w:rsid w:val="004A7B50"/>
    <w:rsid w:val="004A7C28"/>
    <w:rsid w:val="004B08FC"/>
    <w:rsid w:val="004B244C"/>
    <w:rsid w:val="004B2591"/>
    <w:rsid w:val="004B2D23"/>
    <w:rsid w:val="004B489F"/>
    <w:rsid w:val="004B52B3"/>
    <w:rsid w:val="004B5A65"/>
    <w:rsid w:val="004B5C58"/>
    <w:rsid w:val="004B6399"/>
    <w:rsid w:val="004C0CD5"/>
    <w:rsid w:val="004C1069"/>
    <w:rsid w:val="004C366C"/>
    <w:rsid w:val="004C37FF"/>
    <w:rsid w:val="004C6759"/>
    <w:rsid w:val="004D162B"/>
    <w:rsid w:val="004D1921"/>
    <w:rsid w:val="004D249E"/>
    <w:rsid w:val="004D282F"/>
    <w:rsid w:val="004D2858"/>
    <w:rsid w:val="004D3CFB"/>
    <w:rsid w:val="004E0FA5"/>
    <w:rsid w:val="004E131E"/>
    <w:rsid w:val="004E1822"/>
    <w:rsid w:val="004E229C"/>
    <w:rsid w:val="004E26CF"/>
    <w:rsid w:val="004E3E7D"/>
    <w:rsid w:val="004E4BA3"/>
    <w:rsid w:val="004E6363"/>
    <w:rsid w:val="004E6710"/>
    <w:rsid w:val="004E6FBE"/>
    <w:rsid w:val="004F0575"/>
    <w:rsid w:val="004F1001"/>
    <w:rsid w:val="004F193D"/>
    <w:rsid w:val="004F24AD"/>
    <w:rsid w:val="004F2EB9"/>
    <w:rsid w:val="004F305B"/>
    <w:rsid w:val="004F3214"/>
    <w:rsid w:val="004F3B9C"/>
    <w:rsid w:val="004F4D1B"/>
    <w:rsid w:val="004F5D79"/>
    <w:rsid w:val="004F6F8B"/>
    <w:rsid w:val="004F7309"/>
    <w:rsid w:val="004F7C4F"/>
    <w:rsid w:val="004F7C5A"/>
    <w:rsid w:val="004F7E68"/>
    <w:rsid w:val="00500775"/>
    <w:rsid w:val="00500AC0"/>
    <w:rsid w:val="00504944"/>
    <w:rsid w:val="005053C9"/>
    <w:rsid w:val="00505B0A"/>
    <w:rsid w:val="00505F31"/>
    <w:rsid w:val="00506FCA"/>
    <w:rsid w:val="005108F7"/>
    <w:rsid w:val="00510EB0"/>
    <w:rsid w:val="00511E57"/>
    <w:rsid w:val="00511FD7"/>
    <w:rsid w:val="0051425A"/>
    <w:rsid w:val="005146F9"/>
    <w:rsid w:val="005151EB"/>
    <w:rsid w:val="0051535D"/>
    <w:rsid w:val="00515EE5"/>
    <w:rsid w:val="00515EF3"/>
    <w:rsid w:val="005166FC"/>
    <w:rsid w:val="005167CD"/>
    <w:rsid w:val="00521E96"/>
    <w:rsid w:val="00522BAA"/>
    <w:rsid w:val="005234AC"/>
    <w:rsid w:val="00525A2F"/>
    <w:rsid w:val="005278AC"/>
    <w:rsid w:val="00527F7E"/>
    <w:rsid w:val="005315A3"/>
    <w:rsid w:val="0053187E"/>
    <w:rsid w:val="00531A76"/>
    <w:rsid w:val="0053263F"/>
    <w:rsid w:val="00532D7A"/>
    <w:rsid w:val="005345CD"/>
    <w:rsid w:val="005354DE"/>
    <w:rsid w:val="00535DA6"/>
    <w:rsid w:val="00536BD8"/>
    <w:rsid w:val="00541737"/>
    <w:rsid w:val="00541B49"/>
    <w:rsid w:val="00541D7E"/>
    <w:rsid w:val="00542A0D"/>
    <w:rsid w:val="00542DED"/>
    <w:rsid w:val="00545FD8"/>
    <w:rsid w:val="00546516"/>
    <w:rsid w:val="005468E9"/>
    <w:rsid w:val="00546EDF"/>
    <w:rsid w:val="005476BB"/>
    <w:rsid w:val="0055015E"/>
    <w:rsid w:val="00552132"/>
    <w:rsid w:val="005527D5"/>
    <w:rsid w:val="00552880"/>
    <w:rsid w:val="0055309F"/>
    <w:rsid w:val="005530FE"/>
    <w:rsid w:val="00553AC2"/>
    <w:rsid w:val="00553E6B"/>
    <w:rsid w:val="00554665"/>
    <w:rsid w:val="00554E99"/>
    <w:rsid w:val="005553DD"/>
    <w:rsid w:val="00556754"/>
    <w:rsid w:val="00557648"/>
    <w:rsid w:val="005616EF"/>
    <w:rsid w:val="00561DC2"/>
    <w:rsid w:val="00562FD5"/>
    <w:rsid w:val="00563186"/>
    <w:rsid w:val="0056552C"/>
    <w:rsid w:val="005657BF"/>
    <w:rsid w:val="00570371"/>
    <w:rsid w:val="005707E0"/>
    <w:rsid w:val="00574582"/>
    <w:rsid w:val="00574777"/>
    <w:rsid w:val="00574CC1"/>
    <w:rsid w:val="00576FFD"/>
    <w:rsid w:val="005825C6"/>
    <w:rsid w:val="00582885"/>
    <w:rsid w:val="00583185"/>
    <w:rsid w:val="005831E3"/>
    <w:rsid w:val="00584921"/>
    <w:rsid w:val="00585198"/>
    <w:rsid w:val="00585D4A"/>
    <w:rsid w:val="00585F1B"/>
    <w:rsid w:val="0058630A"/>
    <w:rsid w:val="005864CE"/>
    <w:rsid w:val="00586E2B"/>
    <w:rsid w:val="00586FC3"/>
    <w:rsid w:val="00591B28"/>
    <w:rsid w:val="00592C00"/>
    <w:rsid w:val="00592F25"/>
    <w:rsid w:val="0059310B"/>
    <w:rsid w:val="005936E2"/>
    <w:rsid w:val="005A075B"/>
    <w:rsid w:val="005A0DD0"/>
    <w:rsid w:val="005A0E7D"/>
    <w:rsid w:val="005A196F"/>
    <w:rsid w:val="005A2653"/>
    <w:rsid w:val="005A36AE"/>
    <w:rsid w:val="005A3726"/>
    <w:rsid w:val="005A3934"/>
    <w:rsid w:val="005A4403"/>
    <w:rsid w:val="005A47D2"/>
    <w:rsid w:val="005A4B0F"/>
    <w:rsid w:val="005A61A6"/>
    <w:rsid w:val="005A7358"/>
    <w:rsid w:val="005A79D9"/>
    <w:rsid w:val="005B11B1"/>
    <w:rsid w:val="005B19E3"/>
    <w:rsid w:val="005B1A5F"/>
    <w:rsid w:val="005B22A0"/>
    <w:rsid w:val="005B2A68"/>
    <w:rsid w:val="005B2E24"/>
    <w:rsid w:val="005B2E8A"/>
    <w:rsid w:val="005B3715"/>
    <w:rsid w:val="005B4000"/>
    <w:rsid w:val="005B4707"/>
    <w:rsid w:val="005B583F"/>
    <w:rsid w:val="005B6F0F"/>
    <w:rsid w:val="005B71FE"/>
    <w:rsid w:val="005B7FD5"/>
    <w:rsid w:val="005C0030"/>
    <w:rsid w:val="005C1590"/>
    <w:rsid w:val="005C16B4"/>
    <w:rsid w:val="005C23CC"/>
    <w:rsid w:val="005C3128"/>
    <w:rsid w:val="005C3AFA"/>
    <w:rsid w:val="005C519E"/>
    <w:rsid w:val="005C5AFA"/>
    <w:rsid w:val="005C77E3"/>
    <w:rsid w:val="005C7CEC"/>
    <w:rsid w:val="005C7E66"/>
    <w:rsid w:val="005D0243"/>
    <w:rsid w:val="005D07AC"/>
    <w:rsid w:val="005D1809"/>
    <w:rsid w:val="005D2508"/>
    <w:rsid w:val="005D43E8"/>
    <w:rsid w:val="005D62D3"/>
    <w:rsid w:val="005D6984"/>
    <w:rsid w:val="005D7465"/>
    <w:rsid w:val="005D79B3"/>
    <w:rsid w:val="005D7FE4"/>
    <w:rsid w:val="005E0617"/>
    <w:rsid w:val="005E10F4"/>
    <w:rsid w:val="005E2B6C"/>
    <w:rsid w:val="005E4535"/>
    <w:rsid w:val="005E70AC"/>
    <w:rsid w:val="005E713D"/>
    <w:rsid w:val="005E76A8"/>
    <w:rsid w:val="005F1FE4"/>
    <w:rsid w:val="005F20E0"/>
    <w:rsid w:val="005F449B"/>
    <w:rsid w:val="005F47F0"/>
    <w:rsid w:val="005F489F"/>
    <w:rsid w:val="005F4AC9"/>
    <w:rsid w:val="005F50B1"/>
    <w:rsid w:val="005F51C8"/>
    <w:rsid w:val="005F54A6"/>
    <w:rsid w:val="005F5C48"/>
    <w:rsid w:val="005F6F5E"/>
    <w:rsid w:val="005F7412"/>
    <w:rsid w:val="005F76F1"/>
    <w:rsid w:val="00600293"/>
    <w:rsid w:val="0060118C"/>
    <w:rsid w:val="00601782"/>
    <w:rsid w:val="00601B0F"/>
    <w:rsid w:val="00604F61"/>
    <w:rsid w:val="00605754"/>
    <w:rsid w:val="00607D57"/>
    <w:rsid w:val="00610616"/>
    <w:rsid w:val="00610BBD"/>
    <w:rsid w:val="00610E99"/>
    <w:rsid w:val="00612183"/>
    <w:rsid w:val="00615373"/>
    <w:rsid w:val="0061611B"/>
    <w:rsid w:val="00617319"/>
    <w:rsid w:val="0061747E"/>
    <w:rsid w:val="00617B01"/>
    <w:rsid w:val="00617C82"/>
    <w:rsid w:val="00617E12"/>
    <w:rsid w:val="00620D6A"/>
    <w:rsid w:val="006212DE"/>
    <w:rsid w:val="006222CF"/>
    <w:rsid w:val="00623CEE"/>
    <w:rsid w:val="00623FB7"/>
    <w:rsid w:val="0062417C"/>
    <w:rsid w:val="0062460E"/>
    <w:rsid w:val="006259AB"/>
    <w:rsid w:val="00625C34"/>
    <w:rsid w:val="00627D6F"/>
    <w:rsid w:val="00627E81"/>
    <w:rsid w:val="00630182"/>
    <w:rsid w:val="00630504"/>
    <w:rsid w:val="00631565"/>
    <w:rsid w:val="00633C11"/>
    <w:rsid w:val="006341AF"/>
    <w:rsid w:val="006348D7"/>
    <w:rsid w:val="00637049"/>
    <w:rsid w:val="00640890"/>
    <w:rsid w:val="00640AEB"/>
    <w:rsid w:val="00640CB5"/>
    <w:rsid w:val="00641042"/>
    <w:rsid w:val="006412F8"/>
    <w:rsid w:val="00643FA8"/>
    <w:rsid w:val="00645286"/>
    <w:rsid w:val="00645415"/>
    <w:rsid w:val="006461C6"/>
    <w:rsid w:val="0065005F"/>
    <w:rsid w:val="006503EB"/>
    <w:rsid w:val="006509E1"/>
    <w:rsid w:val="0065102C"/>
    <w:rsid w:val="0065116F"/>
    <w:rsid w:val="0065148E"/>
    <w:rsid w:val="00651C89"/>
    <w:rsid w:val="00652325"/>
    <w:rsid w:val="0065351A"/>
    <w:rsid w:val="00654177"/>
    <w:rsid w:val="00654E30"/>
    <w:rsid w:val="006552D2"/>
    <w:rsid w:val="006553E6"/>
    <w:rsid w:val="00656667"/>
    <w:rsid w:val="006613FE"/>
    <w:rsid w:val="006629DD"/>
    <w:rsid w:val="00662A00"/>
    <w:rsid w:val="00663BC1"/>
    <w:rsid w:val="00664BB0"/>
    <w:rsid w:val="00664EBE"/>
    <w:rsid w:val="00665CD3"/>
    <w:rsid w:val="0066628F"/>
    <w:rsid w:val="00667584"/>
    <w:rsid w:val="00670377"/>
    <w:rsid w:val="0067134C"/>
    <w:rsid w:val="00671515"/>
    <w:rsid w:val="0067228E"/>
    <w:rsid w:val="00672F27"/>
    <w:rsid w:val="006730A4"/>
    <w:rsid w:val="006730CA"/>
    <w:rsid w:val="006734DC"/>
    <w:rsid w:val="0067788D"/>
    <w:rsid w:val="00677B8E"/>
    <w:rsid w:val="00680F53"/>
    <w:rsid w:val="006823C9"/>
    <w:rsid w:val="00682AAA"/>
    <w:rsid w:val="00683DB1"/>
    <w:rsid w:val="00684781"/>
    <w:rsid w:val="0068487D"/>
    <w:rsid w:val="006856F1"/>
    <w:rsid w:val="00685850"/>
    <w:rsid w:val="00685DC3"/>
    <w:rsid w:val="00690057"/>
    <w:rsid w:val="006911C8"/>
    <w:rsid w:val="006915A7"/>
    <w:rsid w:val="00691E36"/>
    <w:rsid w:val="006923A3"/>
    <w:rsid w:val="00692C09"/>
    <w:rsid w:val="0069396F"/>
    <w:rsid w:val="006939DB"/>
    <w:rsid w:val="00693AFF"/>
    <w:rsid w:val="0069447F"/>
    <w:rsid w:val="00694FA6"/>
    <w:rsid w:val="00695987"/>
    <w:rsid w:val="0069635D"/>
    <w:rsid w:val="006968BC"/>
    <w:rsid w:val="006977B3"/>
    <w:rsid w:val="006A13F2"/>
    <w:rsid w:val="006A2514"/>
    <w:rsid w:val="006A4AEA"/>
    <w:rsid w:val="006A5AF6"/>
    <w:rsid w:val="006A5C90"/>
    <w:rsid w:val="006A757E"/>
    <w:rsid w:val="006A7D4C"/>
    <w:rsid w:val="006B011C"/>
    <w:rsid w:val="006B1E3B"/>
    <w:rsid w:val="006B2D82"/>
    <w:rsid w:val="006B489C"/>
    <w:rsid w:val="006B7A72"/>
    <w:rsid w:val="006C00C2"/>
    <w:rsid w:val="006C0BFD"/>
    <w:rsid w:val="006C17EB"/>
    <w:rsid w:val="006C3BB6"/>
    <w:rsid w:val="006C498A"/>
    <w:rsid w:val="006C58B9"/>
    <w:rsid w:val="006C722E"/>
    <w:rsid w:val="006C76D2"/>
    <w:rsid w:val="006C7D4B"/>
    <w:rsid w:val="006D0531"/>
    <w:rsid w:val="006D08B1"/>
    <w:rsid w:val="006D23BD"/>
    <w:rsid w:val="006D2F46"/>
    <w:rsid w:val="006D5378"/>
    <w:rsid w:val="006D6A3A"/>
    <w:rsid w:val="006D6A9B"/>
    <w:rsid w:val="006D7AB0"/>
    <w:rsid w:val="006D7AF3"/>
    <w:rsid w:val="006E07CE"/>
    <w:rsid w:val="006E17F0"/>
    <w:rsid w:val="006E2449"/>
    <w:rsid w:val="006E2581"/>
    <w:rsid w:val="006E2C48"/>
    <w:rsid w:val="006E2CE6"/>
    <w:rsid w:val="006E3235"/>
    <w:rsid w:val="006E3F95"/>
    <w:rsid w:val="006E46B1"/>
    <w:rsid w:val="006E4CE0"/>
    <w:rsid w:val="006E4D3F"/>
    <w:rsid w:val="006E62FC"/>
    <w:rsid w:val="006E747E"/>
    <w:rsid w:val="006E74BE"/>
    <w:rsid w:val="006E78EB"/>
    <w:rsid w:val="006E7AD5"/>
    <w:rsid w:val="006F0558"/>
    <w:rsid w:val="006F1138"/>
    <w:rsid w:val="006F1885"/>
    <w:rsid w:val="006F2461"/>
    <w:rsid w:val="006F285E"/>
    <w:rsid w:val="006F2CDB"/>
    <w:rsid w:val="006F488A"/>
    <w:rsid w:val="006F51CD"/>
    <w:rsid w:val="006F53C1"/>
    <w:rsid w:val="006F6C19"/>
    <w:rsid w:val="006F6EE3"/>
    <w:rsid w:val="006F73D2"/>
    <w:rsid w:val="00702BE3"/>
    <w:rsid w:val="00704D43"/>
    <w:rsid w:val="00704F3F"/>
    <w:rsid w:val="00706038"/>
    <w:rsid w:val="007060D2"/>
    <w:rsid w:val="00706D7A"/>
    <w:rsid w:val="007073CA"/>
    <w:rsid w:val="0071067E"/>
    <w:rsid w:val="007147AC"/>
    <w:rsid w:val="00716145"/>
    <w:rsid w:val="007161D7"/>
    <w:rsid w:val="007173C3"/>
    <w:rsid w:val="00721E68"/>
    <w:rsid w:val="00721ED0"/>
    <w:rsid w:val="00722462"/>
    <w:rsid w:val="0072511C"/>
    <w:rsid w:val="00725686"/>
    <w:rsid w:val="00725CB3"/>
    <w:rsid w:val="00727D04"/>
    <w:rsid w:val="00731069"/>
    <w:rsid w:val="00731F3C"/>
    <w:rsid w:val="00732CB0"/>
    <w:rsid w:val="00733BE5"/>
    <w:rsid w:val="007344C1"/>
    <w:rsid w:val="007355A5"/>
    <w:rsid w:val="00736326"/>
    <w:rsid w:val="00736341"/>
    <w:rsid w:val="007364E9"/>
    <w:rsid w:val="00737626"/>
    <w:rsid w:val="007376A4"/>
    <w:rsid w:val="0074048C"/>
    <w:rsid w:val="0074198E"/>
    <w:rsid w:val="00741F64"/>
    <w:rsid w:val="00743A70"/>
    <w:rsid w:val="00743AF5"/>
    <w:rsid w:val="007444D7"/>
    <w:rsid w:val="007449A3"/>
    <w:rsid w:val="007457F3"/>
    <w:rsid w:val="00747B55"/>
    <w:rsid w:val="00747D95"/>
    <w:rsid w:val="007503A1"/>
    <w:rsid w:val="007511E0"/>
    <w:rsid w:val="0075218F"/>
    <w:rsid w:val="007521B4"/>
    <w:rsid w:val="0075230D"/>
    <w:rsid w:val="0075345E"/>
    <w:rsid w:val="00754CA7"/>
    <w:rsid w:val="0075612C"/>
    <w:rsid w:val="0075640C"/>
    <w:rsid w:val="00756511"/>
    <w:rsid w:val="00757391"/>
    <w:rsid w:val="00757473"/>
    <w:rsid w:val="007574F7"/>
    <w:rsid w:val="00757975"/>
    <w:rsid w:val="00761D4E"/>
    <w:rsid w:val="007625B4"/>
    <w:rsid w:val="00763072"/>
    <w:rsid w:val="007636B2"/>
    <w:rsid w:val="00765424"/>
    <w:rsid w:val="00766562"/>
    <w:rsid w:val="00770111"/>
    <w:rsid w:val="007704D1"/>
    <w:rsid w:val="007716E5"/>
    <w:rsid w:val="00775E29"/>
    <w:rsid w:val="0077662D"/>
    <w:rsid w:val="00777E33"/>
    <w:rsid w:val="00781110"/>
    <w:rsid w:val="00782263"/>
    <w:rsid w:val="007828D0"/>
    <w:rsid w:val="00784E87"/>
    <w:rsid w:val="007857CA"/>
    <w:rsid w:val="00786C50"/>
    <w:rsid w:val="00786E76"/>
    <w:rsid w:val="00790229"/>
    <w:rsid w:val="00790933"/>
    <w:rsid w:val="007915B0"/>
    <w:rsid w:val="00793135"/>
    <w:rsid w:val="007946C1"/>
    <w:rsid w:val="007965CC"/>
    <w:rsid w:val="00796C6D"/>
    <w:rsid w:val="0079732D"/>
    <w:rsid w:val="00797DEF"/>
    <w:rsid w:val="007A04A0"/>
    <w:rsid w:val="007A1690"/>
    <w:rsid w:val="007A1AE0"/>
    <w:rsid w:val="007A2AF6"/>
    <w:rsid w:val="007A3EC8"/>
    <w:rsid w:val="007A4F27"/>
    <w:rsid w:val="007A6867"/>
    <w:rsid w:val="007A6A33"/>
    <w:rsid w:val="007B0205"/>
    <w:rsid w:val="007B0EBE"/>
    <w:rsid w:val="007B1510"/>
    <w:rsid w:val="007B17C3"/>
    <w:rsid w:val="007B1E2E"/>
    <w:rsid w:val="007B33D6"/>
    <w:rsid w:val="007B4264"/>
    <w:rsid w:val="007B43E9"/>
    <w:rsid w:val="007B6126"/>
    <w:rsid w:val="007B663F"/>
    <w:rsid w:val="007B6896"/>
    <w:rsid w:val="007B6E26"/>
    <w:rsid w:val="007B71CF"/>
    <w:rsid w:val="007B7DFC"/>
    <w:rsid w:val="007C012C"/>
    <w:rsid w:val="007C04BF"/>
    <w:rsid w:val="007C08A8"/>
    <w:rsid w:val="007C13B5"/>
    <w:rsid w:val="007C1D0A"/>
    <w:rsid w:val="007C2716"/>
    <w:rsid w:val="007C2854"/>
    <w:rsid w:val="007C299B"/>
    <w:rsid w:val="007C3F17"/>
    <w:rsid w:val="007C541F"/>
    <w:rsid w:val="007C5D11"/>
    <w:rsid w:val="007C5EEB"/>
    <w:rsid w:val="007C6874"/>
    <w:rsid w:val="007C6F59"/>
    <w:rsid w:val="007D2A5A"/>
    <w:rsid w:val="007D440C"/>
    <w:rsid w:val="007D452A"/>
    <w:rsid w:val="007D4AC6"/>
    <w:rsid w:val="007D510B"/>
    <w:rsid w:val="007D6EA0"/>
    <w:rsid w:val="007E14CA"/>
    <w:rsid w:val="007E1910"/>
    <w:rsid w:val="007E1990"/>
    <w:rsid w:val="007E378F"/>
    <w:rsid w:val="007E3A0B"/>
    <w:rsid w:val="007E3CEB"/>
    <w:rsid w:val="007E4B54"/>
    <w:rsid w:val="007E4D18"/>
    <w:rsid w:val="007E6A9F"/>
    <w:rsid w:val="007E6FBA"/>
    <w:rsid w:val="007E75C5"/>
    <w:rsid w:val="007F040A"/>
    <w:rsid w:val="007F1082"/>
    <w:rsid w:val="007F2DE5"/>
    <w:rsid w:val="007F39A1"/>
    <w:rsid w:val="007F5058"/>
    <w:rsid w:val="007F71F0"/>
    <w:rsid w:val="007F77E1"/>
    <w:rsid w:val="007F79F5"/>
    <w:rsid w:val="007F7A13"/>
    <w:rsid w:val="00802677"/>
    <w:rsid w:val="00802AB0"/>
    <w:rsid w:val="00802F71"/>
    <w:rsid w:val="00803213"/>
    <w:rsid w:val="00803E4F"/>
    <w:rsid w:val="0080415B"/>
    <w:rsid w:val="008043DC"/>
    <w:rsid w:val="00806850"/>
    <w:rsid w:val="00807336"/>
    <w:rsid w:val="00813AD2"/>
    <w:rsid w:val="008146D3"/>
    <w:rsid w:val="00814F4D"/>
    <w:rsid w:val="008152A0"/>
    <w:rsid w:val="0081697B"/>
    <w:rsid w:val="00817241"/>
    <w:rsid w:val="00817A13"/>
    <w:rsid w:val="008251D4"/>
    <w:rsid w:val="00825455"/>
    <w:rsid w:val="008255A3"/>
    <w:rsid w:val="00826813"/>
    <w:rsid w:val="00827040"/>
    <w:rsid w:val="00831B33"/>
    <w:rsid w:val="00833978"/>
    <w:rsid w:val="00834EEF"/>
    <w:rsid w:val="00836013"/>
    <w:rsid w:val="00836A7A"/>
    <w:rsid w:val="00842137"/>
    <w:rsid w:val="0084233F"/>
    <w:rsid w:val="008423D9"/>
    <w:rsid w:val="0084267A"/>
    <w:rsid w:val="008441EC"/>
    <w:rsid w:val="0084557F"/>
    <w:rsid w:val="0084590C"/>
    <w:rsid w:val="008470AC"/>
    <w:rsid w:val="0084772E"/>
    <w:rsid w:val="00855577"/>
    <w:rsid w:val="00855832"/>
    <w:rsid w:val="00856A9B"/>
    <w:rsid w:val="00861847"/>
    <w:rsid w:val="00861D6D"/>
    <w:rsid w:val="0086215A"/>
    <w:rsid w:val="008625C7"/>
    <w:rsid w:val="00863419"/>
    <w:rsid w:val="00863D0C"/>
    <w:rsid w:val="00866226"/>
    <w:rsid w:val="0087022A"/>
    <w:rsid w:val="0087096E"/>
    <w:rsid w:val="0087111C"/>
    <w:rsid w:val="0087147A"/>
    <w:rsid w:val="00871CDC"/>
    <w:rsid w:val="00872472"/>
    <w:rsid w:val="00873425"/>
    <w:rsid w:val="00877BF5"/>
    <w:rsid w:val="0088147A"/>
    <w:rsid w:val="00882BF7"/>
    <w:rsid w:val="00882C8F"/>
    <w:rsid w:val="00882D04"/>
    <w:rsid w:val="00884917"/>
    <w:rsid w:val="0088681B"/>
    <w:rsid w:val="00886D76"/>
    <w:rsid w:val="00887206"/>
    <w:rsid w:val="00887706"/>
    <w:rsid w:val="0089181E"/>
    <w:rsid w:val="0089572A"/>
    <w:rsid w:val="008958F5"/>
    <w:rsid w:val="00897386"/>
    <w:rsid w:val="0089797F"/>
    <w:rsid w:val="008A02DB"/>
    <w:rsid w:val="008A2660"/>
    <w:rsid w:val="008A35BE"/>
    <w:rsid w:val="008A3E2F"/>
    <w:rsid w:val="008A46F7"/>
    <w:rsid w:val="008A560A"/>
    <w:rsid w:val="008A6B8E"/>
    <w:rsid w:val="008A7E5E"/>
    <w:rsid w:val="008B3C23"/>
    <w:rsid w:val="008B3D37"/>
    <w:rsid w:val="008B54D7"/>
    <w:rsid w:val="008B57CD"/>
    <w:rsid w:val="008B5E77"/>
    <w:rsid w:val="008B5E94"/>
    <w:rsid w:val="008B6A4E"/>
    <w:rsid w:val="008C0630"/>
    <w:rsid w:val="008C3631"/>
    <w:rsid w:val="008C4B00"/>
    <w:rsid w:val="008C5683"/>
    <w:rsid w:val="008C748A"/>
    <w:rsid w:val="008C74AF"/>
    <w:rsid w:val="008D02C8"/>
    <w:rsid w:val="008D0DE3"/>
    <w:rsid w:val="008D1E9D"/>
    <w:rsid w:val="008D267D"/>
    <w:rsid w:val="008D2A93"/>
    <w:rsid w:val="008D3380"/>
    <w:rsid w:val="008D5F9D"/>
    <w:rsid w:val="008D72FE"/>
    <w:rsid w:val="008D7A9C"/>
    <w:rsid w:val="008E004E"/>
    <w:rsid w:val="008E2AD5"/>
    <w:rsid w:val="008E389D"/>
    <w:rsid w:val="008E4609"/>
    <w:rsid w:val="008E5310"/>
    <w:rsid w:val="008E5FAD"/>
    <w:rsid w:val="008E61A9"/>
    <w:rsid w:val="008E673D"/>
    <w:rsid w:val="008F1533"/>
    <w:rsid w:val="008F1D46"/>
    <w:rsid w:val="008F3DCD"/>
    <w:rsid w:val="008F51A5"/>
    <w:rsid w:val="008F6925"/>
    <w:rsid w:val="008F6F19"/>
    <w:rsid w:val="008F72EF"/>
    <w:rsid w:val="008F730B"/>
    <w:rsid w:val="008F7A5D"/>
    <w:rsid w:val="00900D9A"/>
    <w:rsid w:val="00901DE2"/>
    <w:rsid w:val="0090236C"/>
    <w:rsid w:val="009026AD"/>
    <w:rsid w:val="00903D22"/>
    <w:rsid w:val="0090541D"/>
    <w:rsid w:val="009054B8"/>
    <w:rsid w:val="009101C1"/>
    <w:rsid w:val="00910519"/>
    <w:rsid w:val="00910B88"/>
    <w:rsid w:val="00911107"/>
    <w:rsid w:val="0091331B"/>
    <w:rsid w:val="00913443"/>
    <w:rsid w:val="00913919"/>
    <w:rsid w:val="00913D12"/>
    <w:rsid w:val="00914219"/>
    <w:rsid w:val="0091458B"/>
    <w:rsid w:val="009149DA"/>
    <w:rsid w:val="00914C82"/>
    <w:rsid w:val="00915FF3"/>
    <w:rsid w:val="00917D96"/>
    <w:rsid w:val="00920A97"/>
    <w:rsid w:val="00921BBA"/>
    <w:rsid w:val="00923521"/>
    <w:rsid w:val="00923BFF"/>
    <w:rsid w:val="00924654"/>
    <w:rsid w:val="0092580E"/>
    <w:rsid w:val="009261BF"/>
    <w:rsid w:val="009268CF"/>
    <w:rsid w:val="00926B75"/>
    <w:rsid w:val="009276A8"/>
    <w:rsid w:val="009301E4"/>
    <w:rsid w:val="00930A61"/>
    <w:rsid w:val="00930D70"/>
    <w:rsid w:val="00932FB4"/>
    <w:rsid w:val="009335A7"/>
    <w:rsid w:val="00934652"/>
    <w:rsid w:val="00934E60"/>
    <w:rsid w:val="0093621F"/>
    <w:rsid w:val="009375C4"/>
    <w:rsid w:val="00937A25"/>
    <w:rsid w:val="00937DD0"/>
    <w:rsid w:val="00940C26"/>
    <w:rsid w:val="00940ED1"/>
    <w:rsid w:val="0094161D"/>
    <w:rsid w:val="00942C2C"/>
    <w:rsid w:val="00943987"/>
    <w:rsid w:val="00944FFC"/>
    <w:rsid w:val="00950149"/>
    <w:rsid w:val="00951B84"/>
    <w:rsid w:val="00952A67"/>
    <w:rsid w:val="00956908"/>
    <w:rsid w:val="0095717A"/>
    <w:rsid w:val="00957DE8"/>
    <w:rsid w:val="00960790"/>
    <w:rsid w:val="00960E06"/>
    <w:rsid w:val="00961428"/>
    <w:rsid w:val="00963271"/>
    <w:rsid w:val="009639A1"/>
    <w:rsid w:val="00966D4C"/>
    <w:rsid w:val="009674BE"/>
    <w:rsid w:val="00970037"/>
    <w:rsid w:val="009719EB"/>
    <w:rsid w:val="00973A76"/>
    <w:rsid w:val="00975B67"/>
    <w:rsid w:val="00976557"/>
    <w:rsid w:val="0097741C"/>
    <w:rsid w:val="00977562"/>
    <w:rsid w:val="0097795F"/>
    <w:rsid w:val="009828B4"/>
    <w:rsid w:val="00982F4D"/>
    <w:rsid w:val="00985A6C"/>
    <w:rsid w:val="00985FB9"/>
    <w:rsid w:val="009869B9"/>
    <w:rsid w:val="009873DE"/>
    <w:rsid w:val="009915BB"/>
    <w:rsid w:val="00993AF9"/>
    <w:rsid w:val="0099454B"/>
    <w:rsid w:val="0099627A"/>
    <w:rsid w:val="009975EF"/>
    <w:rsid w:val="00997DE3"/>
    <w:rsid w:val="009A5600"/>
    <w:rsid w:val="009A718F"/>
    <w:rsid w:val="009B0593"/>
    <w:rsid w:val="009B2F53"/>
    <w:rsid w:val="009B5C2D"/>
    <w:rsid w:val="009B6178"/>
    <w:rsid w:val="009B6658"/>
    <w:rsid w:val="009B6D0A"/>
    <w:rsid w:val="009B756E"/>
    <w:rsid w:val="009C03D7"/>
    <w:rsid w:val="009C25BA"/>
    <w:rsid w:val="009C3E03"/>
    <w:rsid w:val="009C40F6"/>
    <w:rsid w:val="009C42D4"/>
    <w:rsid w:val="009C48AA"/>
    <w:rsid w:val="009C4AFD"/>
    <w:rsid w:val="009C7CA6"/>
    <w:rsid w:val="009C7DED"/>
    <w:rsid w:val="009D297C"/>
    <w:rsid w:val="009D2CDA"/>
    <w:rsid w:val="009D6249"/>
    <w:rsid w:val="009D6CAB"/>
    <w:rsid w:val="009D71F5"/>
    <w:rsid w:val="009D7643"/>
    <w:rsid w:val="009E10FB"/>
    <w:rsid w:val="009E28FD"/>
    <w:rsid w:val="009E296C"/>
    <w:rsid w:val="009E3F8B"/>
    <w:rsid w:val="009E3FE4"/>
    <w:rsid w:val="009E4D06"/>
    <w:rsid w:val="009E6666"/>
    <w:rsid w:val="009E6B13"/>
    <w:rsid w:val="009E6C38"/>
    <w:rsid w:val="009E74F3"/>
    <w:rsid w:val="009E7ABE"/>
    <w:rsid w:val="009F0213"/>
    <w:rsid w:val="009F0DD2"/>
    <w:rsid w:val="009F0F68"/>
    <w:rsid w:val="009F14AA"/>
    <w:rsid w:val="009F29D6"/>
    <w:rsid w:val="009F2B3A"/>
    <w:rsid w:val="009F4D27"/>
    <w:rsid w:val="009F5CA3"/>
    <w:rsid w:val="009F61B2"/>
    <w:rsid w:val="009F683A"/>
    <w:rsid w:val="00A00AE9"/>
    <w:rsid w:val="00A01C46"/>
    <w:rsid w:val="00A01FB1"/>
    <w:rsid w:val="00A02BE6"/>
    <w:rsid w:val="00A047DC"/>
    <w:rsid w:val="00A04A8C"/>
    <w:rsid w:val="00A11B77"/>
    <w:rsid w:val="00A124DF"/>
    <w:rsid w:val="00A128E0"/>
    <w:rsid w:val="00A12AD7"/>
    <w:rsid w:val="00A12F67"/>
    <w:rsid w:val="00A1312D"/>
    <w:rsid w:val="00A137F4"/>
    <w:rsid w:val="00A13BC5"/>
    <w:rsid w:val="00A14D97"/>
    <w:rsid w:val="00A16C28"/>
    <w:rsid w:val="00A171B4"/>
    <w:rsid w:val="00A1777E"/>
    <w:rsid w:val="00A17C8F"/>
    <w:rsid w:val="00A20362"/>
    <w:rsid w:val="00A20614"/>
    <w:rsid w:val="00A21327"/>
    <w:rsid w:val="00A21E8B"/>
    <w:rsid w:val="00A223C2"/>
    <w:rsid w:val="00A26A7D"/>
    <w:rsid w:val="00A27724"/>
    <w:rsid w:val="00A27E65"/>
    <w:rsid w:val="00A27EEB"/>
    <w:rsid w:val="00A33BB5"/>
    <w:rsid w:val="00A34447"/>
    <w:rsid w:val="00A348F7"/>
    <w:rsid w:val="00A3544C"/>
    <w:rsid w:val="00A37371"/>
    <w:rsid w:val="00A40343"/>
    <w:rsid w:val="00A40760"/>
    <w:rsid w:val="00A415F3"/>
    <w:rsid w:val="00A416E7"/>
    <w:rsid w:val="00A4197A"/>
    <w:rsid w:val="00A423F8"/>
    <w:rsid w:val="00A435B7"/>
    <w:rsid w:val="00A43CEB"/>
    <w:rsid w:val="00A440F7"/>
    <w:rsid w:val="00A44FCA"/>
    <w:rsid w:val="00A45044"/>
    <w:rsid w:val="00A4547C"/>
    <w:rsid w:val="00A459EE"/>
    <w:rsid w:val="00A50462"/>
    <w:rsid w:val="00A50BA2"/>
    <w:rsid w:val="00A51AFC"/>
    <w:rsid w:val="00A54024"/>
    <w:rsid w:val="00A5428B"/>
    <w:rsid w:val="00A54DFA"/>
    <w:rsid w:val="00A552A0"/>
    <w:rsid w:val="00A5540B"/>
    <w:rsid w:val="00A556BC"/>
    <w:rsid w:val="00A60436"/>
    <w:rsid w:val="00A60C9B"/>
    <w:rsid w:val="00A619FF"/>
    <w:rsid w:val="00A621C5"/>
    <w:rsid w:val="00A63CB1"/>
    <w:rsid w:val="00A646A6"/>
    <w:rsid w:val="00A64B39"/>
    <w:rsid w:val="00A65348"/>
    <w:rsid w:val="00A6568B"/>
    <w:rsid w:val="00A662CA"/>
    <w:rsid w:val="00A700C1"/>
    <w:rsid w:val="00A71155"/>
    <w:rsid w:val="00A71750"/>
    <w:rsid w:val="00A72050"/>
    <w:rsid w:val="00A73684"/>
    <w:rsid w:val="00A736AD"/>
    <w:rsid w:val="00A73900"/>
    <w:rsid w:val="00A74CA3"/>
    <w:rsid w:val="00A773C2"/>
    <w:rsid w:val="00A77C28"/>
    <w:rsid w:val="00A81823"/>
    <w:rsid w:val="00A81829"/>
    <w:rsid w:val="00A8257C"/>
    <w:rsid w:val="00A83458"/>
    <w:rsid w:val="00A8349D"/>
    <w:rsid w:val="00A84448"/>
    <w:rsid w:val="00A848CA"/>
    <w:rsid w:val="00A8710E"/>
    <w:rsid w:val="00A87FBA"/>
    <w:rsid w:val="00A901F7"/>
    <w:rsid w:val="00A91005"/>
    <w:rsid w:val="00A912AD"/>
    <w:rsid w:val="00A945DD"/>
    <w:rsid w:val="00A94898"/>
    <w:rsid w:val="00A94B27"/>
    <w:rsid w:val="00A94B69"/>
    <w:rsid w:val="00A94C40"/>
    <w:rsid w:val="00A94FB1"/>
    <w:rsid w:val="00A95687"/>
    <w:rsid w:val="00A9680C"/>
    <w:rsid w:val="00A97031"/>
    <w:rsid w:val="00A97775"/>
    <w:rsid w:val="00A97E05"/>
    <w:rsid w:val="00AA0200"/>
    <w:rsid w:val="00AA02BE"/>
    <w:rsid w:val="00AA02EF"/>
    <w:rsid w:val="00AA1ABB"/>
    <w:rsid w:val="00AA1C23"/>
    <w:rsid w:val="00AA4361"/>
    <w:rsid w:val="00AA4700"/>
    <w:rsid w:val="00AA4C43"/>
    <w:rsid w:val="00AA672B"/>
    <w:rsid w:val="00AB1F48"/>
    <w:rsid w:val="00AB2871"/>
    <w:rsid w:val="00AB2A08"/>
    <w:rsid w:val="00AB2A35"/>
    <w:rsid w:val="00AB2BD5"/>
    <w:rsid w:val="00AB3145"/>
    <w:rsid w:val="00AB317D"/>
    <w:rsid w:val="00AB3751"/>
    <w:rsid w:val="00AB4A16"/>
    <w:rsid w:val="00AB51B3"/>
    <w:rsid w:val="00AB5DBA"/>
    <w:rsid w:val="00AB5EF9"/>
    <w:rsid w:val="00AB6A3E"/>
    <w:rsid w:val="00AB6D16"/>
    <w:rsid w:val="00AB720B"/>
    <w:rsid w:val="00AC1C92"/>
    <w:rsid w:val="00AC3302"/>
    <w:rsid w:val="00AC6E70"/>
    <w:rsid w:val="00AC74BF"/>
    <w:rsid w:val="00AD01D4"/>
    <w:rsid w:val="00AD20C4"/>
    <w:rsid w:val="00AD385A"/>
    <w:rsid w:val="00AD3FC7"/>
    <w:rsid w:val="00AD47C8"/>
    <w:rsid w:val="00AD5D1E"/>
    <w:rsid w:val="00AD6081"/>
    <w:rsid w:val="00AD72EB"/>
    <w:rsid w:val="00AE02A9"/>
    <w:rsid w:val="00AE0954"/>
    <w:rsid w:val="00AE130E"/>
    <w:rsid w:val="00AE161C"/>
    <w:rsid w:val="00AE23B3"/>
    <w:rsid w:val="00AE4A3B"/>
    <w:rsid w:val="00AE51B0"/>
    <w:rsid w:val="00AE5F1F"/>
    <w:rsid w:val="00AE67E5"/>
    <w:rsid w:val="00AF1295"/>
    <w:rsid w:val="00AF1588"/>
    <w:rsid w:val="00AF22E0"/>
    <w:rsid w:val="00AF2438"/>
    <w:rsid w:val="00AF3224"/>
    <w:rsid w:val="00AF3266"/>
    <w:rsid w:val="00AF4B5B"/>
    <w:rsid w:val="00B02254"/>
    <w:rsid w:val="00B04E1D"/>
    <w:rsid w:val="00B05826"/>
    <w:rsid w:val="00B059F4"/>
    <w:rsid w:val="00B0621B"/>
    <w:rsid w:val="00B0638F"/>
    <w:rsid w:val="00B07F2F"/>
    <w:rsid w:val="00B10ABF"/>
    <w:rsid w:val="00B12831"/>
    <w:rsid w:val="00B13683"/>
    <w:rsid w:val="00B13CBF"/>
    <w:rsid w:val="00B13E9E"/>
    <w:rsid w:val="00B14E75"/>
    <w:rsid w:val="00B15173"/>
    <w:rsid w:val="00B15E51"/>
    <w:rsid w:val="00B16183"/>
    <w:rsid w:val="00B167C9"/>
    <w:rsid w:val="00B20452"/>
    <w:rsid w:val="00B20740"/>
    <w:rsid w:val="00B2088A"/>
    <w:rsid w:val="00B2323D"/>
    <w:rsid w:val="00B2366B"/>
    <w:rsid w:val="00B23916"/>
    <w:rsid w:val="00B2428A"/>
    <w:rsid w:val="00B24645"/>
    <w:rsid w:val="00B2652E"/>
    <w:rsid w:val="00B26A9F"/>
    <w:rsid w:val="00B273F1"/>
    <w:rsid w:val="00B274E3"/>
    <w:rsid w:val="00B300A5"/>
    <w:rsid w:val="00B34B22"/>
    <w:rsid w:val="00B34D80"/>
    <w:rsid w:val="00B3682F"/>
    <w:rsid w:val="00B369DB"/>
    <w:rsid w:val="00B408B8"/>
    <w:rsid w:val="00B40F0D"/>
    <w:rsid w:val="00B438A2"/>
    <w:rsid w:val="00B469A4"/>
    <w:rsid w:val="00B4732C"/>
    <w:rsid w:val="00B51B59"/>
    <w:rsid w:val="00B51C9E"/>
    <w:rsid w:val="00B51D27"/>
    <w:rsid w:val="00B53B19"/>
    <w:rsid w:val="00B53FB6"/>
    <w:rsid w:val="00B54AA4"/>
    <w:rsid w:val="00B56EAB"/>
    <w:rsid w:val="00B57099"/>
    <w:rsid w:val="00B573B8"/>
    <w:rsid w:val="00B575A6"/>
    <w:rsid w:val="00B615F5"/>
    <w:rsid w:val="00B61E76"/>
    <w:rsid w:val="00B62512"/>
    <w:rsid w:val="00B637DC"/>
    <w:rsid w:val="00B63876"/>
    <w:rsid w:val="00B64A69"/>
    <w:rsid w:val="00B67CFB"/>
    <w:rsid w:val="00B703C9"/>
    <w:rsid w:val="00B708D8"/>
    <w:rsid w:val="00B7155D"/>
    <w:rsid w:val="00B71C5F"/>
    <w:rsid w:val="00B728BB"/>
    <w:rsid w:val="00B73B3C"/>
    <w:rsid w:val="00B740AE"/>
    <w:rsid w:val="00B74A90"/>
    <w:rsid w:val="00B76BB1"/>
    <w:rsid w:val="00B80BB1"/>
    <w:rsid w:val="00B80E7E"/>
    <w:rsid w:val="00B81EC6"/>
    <w:rsid w:val="00B82083"/>
    <w:rsid w:val="00B83CEA"/>
    <w:rsid w:val="00B84AA6"/>
    <w:rsid w:val="00B855A5"/>
    <w:rsid w:val="00B8715D"/>
    <w:rsid w:val="00B92AAF"/>
    <w:rsid w:val="00B92CE2"/>
    <w:rsid w:val="00B94628"/>
    <w:rsid w:val="00B953CD"/>
    <w:rsid w:val="00B95544"/>
    <w:rsid w:val="00B96459"/>
    <w:rsid w:val="00B96E1A"/>
    <w:rsid w:val="00B97CDB"/>
    <w:rsid w:val="00B97D84"/>
    <w:rsid w:val="00BA02C4"/>
    <w:rsid w:val="00BA06DE"/>
    <w:rsid w:val="00BA13FA"/>
    <w:rsid w:val="00BA2610"/>
    <w:rsid w:val="00BA2C35"/>
    <w:rsid w:val="00BA3189"/>
    <w:rsid w:val="00BA4E56"/>
    <w:rsid w:val="00BA5209"/>
    <w:rsid w:val="00BA7388"/>
    <w:rsid w:val="00BB29A0"/>
    <w:rsid w:val="00BB3A70"/>
    <w:rsid w:val="00BB48F2"/>
    <w:rsid w:val="00BB4F06"/>
    <w:rsid w:val="00BB564A"/>
    <w:rsid w:val="00BB6646"/>
    <w:rsid w:val="00BB7194"/>
    <w:rsid w:val="00BB7E4E"/>
    <w:rsid w:val="00BB7F5E"/>
    <w:rsid w:val="00BC21FF"/>
    <w:rsid w:val="00BC38C0"/>
    <w:rsid w:val="00BC4190"/>
    <w:rsid w:val="00BC429B"/>
    <w:rsid w:val="00BC5685"/>
    <w:rsid w:val="00BC7C40"/>
    <w:rsid w:val="00BD107F"/>
    <w:rsid w:val="00BD2868"/>
    <w:rsid w:val="00BD3873"/>
    <w:rsid w:val="00BD3C3F"/>
    <w:rsid w:val="00BD4955"/>
    <w:rsid w:val="00BD56EE"/>
    <w:rsid w:val="00BD6AB1"/>
    <w:rsid w:val="00BE00AE"/>
    <w:rsid w:val="00BE0C25"/>
    <w:rsid w:val="00BE0E79"/>
    <w:rsid w:val="00BE1010"/>
    <w:rsid w:val="00BF0F1D"/>
    <w:rsid w:val="00BF2453"/>
    <w:rsid w:val="00BF252F"/>
    <w:rsid w:val="00BF29BD"/>
    <w:rsid w:val="00BF303B"/>
    <w:rsid w:val="00BF3A9B"/>
    <w:rsid w:val="00BF41B3"/>
    <w:rsid w:val="00BF52B7"/>
    <w:rsid w:val="00BF6684"/>
    <w:rsid w:val="00BF739E"/>
    <w:rsid w:val="00BF7442"/>
    <w:rsid w:val="00BF76F9"/>
    <w:rsid w:val="00BF7DC4"/>
    <w:rsid w:val="00BF7E77"/>
    <w:rsid w:val="00C00EB6"/>
    <w:rsid w:val="00C02CDD"/>
    <w:rsid w:val="00C035D4"/>
    <w:rsid w:val="00C04555"/>
    <w:rsid w:val="00C048D5"/>
    <w:rsid w:val="00C05D98"/>
    <w:rsid w:val="00C0668E"/>
    <w:rsid w:val="00C076D8"/>
    <w:rsid w:val="00C1140D"/>
    <w:rsid w:val="00C11C36"/>
    <w:rsid w:val="00C1234B"/>
    <w:rsid w:val="00C13FD0"/>
    <w:rsid w:val="00C1647E"/>
    <w:rsid w:val="00C16FED"/>
    <w:rsid w:val="00C173FB"/>
    <w:rsid w:val="00C17C0C"/>
    <w:rsid w:val="00C17C46"/>
    <w:rsid w:val="00C203B8"/>
    <w:rsid w:val="00C20400"/>
    <w:rsid w:val="00C2056C"/>
    <w:rsid w:val="00C209BD"/>
    <w:rsid w:val="00C22117"/>
    <w:rsid w:val="00C244C2"/>
    <w:rsid w:val="00C24756"/>
    <w:rsid w:val="00C24764"/>
    <w:rsid w:val="00C26D03"/>
    <w:rsid w:val="00C26EC5"/>
    <w:rsid w:val="00C30ADD"/>
    <w:rsid w:val="00C319FD"/>
    <w:rsid w:val="00C32130"/>
    <w:rsid w:val="00C3338E"/>
    <w:rsid w:val="00C33EE1"/>
    <w:rsid w:val="00C34BD8"/>
    <w:rsid w:val="00C364B0"/>
    <w:rsid w:val="00C3714A"/>
    <w:rsid w:val="00C41A7D"/>
    <w:rsid w:val="00C422C2"/>
    <w:rsid w:val="00C426E1"/>
    <w:rsid w:val="00C42A87"/>
    <w:rsid w:val="00C44494"/>
    <w:rsid w:val="00C44B37"/>
    <w:rsid w:val="00C4514F"/>
    <w:rsid w:val="00C45893"/>
    <w:rsid w:val="00C46213"/>
    <w:rsid w:val="00C46BF5"/>
    <w:rsid w:val="00C50234"/>
    <w:rsid w:val="00C507E6"/>
    <w:rsid w:val="00C5177F"/>
    <w:rsid w:val="00C52967"/>
    <w:rsid w:val="00C52C62"/>
    <w:rsid w:val="00C53499"/>
    <w:rsid w:val="00C56065"/>
    <w:rsid w:val="00C57973"/>
    <w:rsid w:val="00C57BB8"/>
    <w:rsid w:val="00C57C50"/>
    <w:rsid w:val="00C60B36"/>
    <w:rsid w:val="00C61328"/>
    <w:rsid w:val="00C626DC"/>
    <w:rsid w:val="00C63BB4"/>
    <w:rsid w:val="00C6442A"/>
    <w:rsid w:val="00C64D9E"/>
    <w:rsid w:val="00C659CE"/>
    <w:rsid w:val="00C66EFD"/>
    <w:rsid w:val="00C675A6"/>
    <w:rsid w:val="00C703BD"/>
    <w:rsid w:val="00C71456"/>
    <w:rsid w:val="00C71599"/>
    <w:rsid w:val="00C71DCD"/>
    <w:rsid w:val="00C720A9"/>
    <w:rsid w:val="00C73244"/>
    <w:rsid w:val="00C75470"/>
    <w:rsid w:val="00C75C88"/>
    <w:rsid w:val="00C75DC6"/>
    <w:rsid w:val="00C76992"/>
    <w:rsid w:val="00C774D6"/>
    <w:rsid w:val="00C7769A"/>
    <w:rsid w:val="00C77A03"/>
    <w:rsid w:val="00C77D83"/>
    <w:rsid w:val="00C8015D"/>
    <w:rsid w:val="00C80213"/>
    <w:rsid w:val="00C80A7A"/>
    <w:rsid w:val="00C80B98"/>
    <w:rsid w:val="00C810B6"/>
    <w:rsid w:val="00C81676"/>
    <w:rsid w:val="00C817EB"/>
    <w:rsid w:val="00C840B7"/>
    <w:rsid w:val="00C84C9A"/>
    <w:rsid w:val="00C854C8"/>
    <w:rsid w:val="00C8556B"/>
    <w:rsid w:val="00C864FA"/>
    <w:rsid w:val="00C8720D"/>
    <w:rsid w:val="00C87AA4"/>
    <w:rsid w:val="00C91AF0"/>
    <w:rsid w:val="00C922CC"/>
    <w:rsid w:val="00C9234F"/>
    <w:rsid w:val="00C92394"/>
    <w:rsid w:val="00C92C12"/>
    <w:rsid w:val="00C93443"/>
    <w:rsid w:val="00C93F2B"/>
    <w:rsid w:val="00C94B4B"/>
    <w:rsid w:val="00CA4273"/>
    <w:rsid w:val="00CA5E08"/>
    <w:rsid w:val="00CA79B5"/>
    <w:rsid w:val="00CB082D"/>
    <w:rsid w:val="00CB11F5"/>
    <w:rsid w:val="00CB2357"/>
    <w:rsid w:val="00CB2E01"/>
    <w:rsid w:val="00CB3DF0"/>
    <w:rsid w:val="00CB434F"/>
    <w:rsid w:val="00CB49BC"/>
    <w:rsid w:val="00CB4A65"/>
    <w:rsid w:val="00CB5B01"/>
    <w:rsid w:val="00CB6A73"/>
    <w:rsid w:val="00CB747B"/>
    <w:rsid w:val="00CB754D"/>
    <w:rsid w:val="00CC00A9"/>
    <w:rsid w:val="00CC1EAF"/>
    <w:rsid w:val="00CC23F6"/>
    <w:rsid w:val="00CC24CC"/>
    <w:rsid w:val="00CC2CE4"/>
    <w:rsid w:val="00CC307B"/>
    <w:rsid w:val="00CC3F73"/>
    <w:rsid w:val="00CC5B22"/>
    <w:rsid w:val="00CC5B72"/>
    <w:rsid w:val="00CC5E24"/>
    <w:rsid w:val="00CC5F73"/>
    <w:rsid w:val="00CC6C0B"/>
    <w:rsid w:val="00CD0766"/>
    <w:rsid w:val="00CD0F39"/>
    <w:rsid w:val="00CD10D2"/>
    <w:rsid w:val="00CD2294"/>
    <w:rsid w:val="00CD24E8"/>
    <w:rsid w:val="00CD3105"/>
    <w:rsid w:val="00CD428D"/>
    <w:rsid w:val="00CD4F1F"/>
    <w:rsid w:val="00CD4F9B"/>
    <w:rsid w:val="00CD5D8A"/>
    <w:rsid w:val="00CD67EF"/>
    <w:rsid w:val="00CE0062"/>
    <w:rsid w:val="00CE1CC8"/>
    <w:rsid w:val="00CE274E"/>
    <w:rsid w:val="00CE410A"/>
    <w:rsid w:val="00CE5BC0"/>
    <w:rsid w:val="00CE67C0"/>
    <w:rsid w:val="00CE78DF"/>
    <w:rsid w:val="00CE7E82"/>
    <w:rsid w:val="00CF181E"/>
    <w:rsid w:val="00CF2690"/>
    <w:rsid w:val="00D00C1C"/>
    <w:rsid w:val="00D019FE"/>
    <w:rsid w:val="00D01A2B"/>
    <w:rsid w:val="00D03459"/>
    <w:rsid w:val="00D038BD"/>
    <w:rsid w:val="00D04FAA"/>
    <w:rsid w:val="00D052C7"/>
    <w:rsid w:val="00D05DDF"/>
    <w:rsid w:val="00D077DF"/>
    <w:rsid w:val="00D11D09"/>
    <w:rsid w:val="00D120C5"/>
    <w:rsid w:val="00D12AD0"/>
    <w:rsid w:val="00D1720C"/>
    <w:rsid w:val="00D2087D"/>
    <w:rsid w:val="00D21155"/>
    <w:rsid w:val="00D2152B"/>
    <w:rsid w:val="00D22568"/>
    <w:rsid w:val="00D22C37"/>
    <w:rsid w:val="00D24E43"/>
    <w:rsid w:val="00D24EFD"/>
    <w:rsid w:val="00D25417"/>
    <w:rsid w:val="00D25E80"/>
    <w:rsid w:val="00D264DF"/>
    <w:rsid w:val="00D30074"/>
    <w:rsid w:val="00D333FD"/>
    <w:rsid w:val="00D34B01"/>
    <w:rsid w:val="00D34E96"/>
    <w:rsid w:val="00D352F6"/>
    <w:rsid w:val="00D35BB3"/>
    <w:rsid w:val="00D4019B"/>
    <w:rsid w:val="00D41775"/>
    <w:rsid w:val="00D46659"/>
    <w:rsid w:val="00D469F5"/>
    <w:rsid w:val="00D47322"/>
    <w:rsid w:val="00D4761C"/>
    <w:rsid w:val="00D47F14"/>
    <w:rsid w:val="00D50684"/>
    <w:rsid w:val="00D50B93"/>
    <w:rsid w:val="00D50E50"/>
    <w:rsid w:val="00D56943"/>
    <w:rsid w:val="00D5791C"/>
    <w:rsid w:val="00D57BBF"/>
    <w:rsid w:val="00D623F0"/>
    <w:rsid w:val="00D636E4"/>
    <w:rsid w:val="00D640C3"/>
    <w:rsid w:val="00D6426D"/>
    <w:rsid w:val="00D648D1"/>
    <w:rsid w:val="00D65475"/>
    <w:rsid w:val="00D66787"/>
    <w:rsid w:val="00D67014"/>
    <w:rsid w:val="00D716AA"/>
    <w:rsid w:val="00D71830"/>
    <w:rsid w:val="00D729C2"/>
    <w:rsid w:val="00D72D4B"/>
    <w:rsid w:val="00D72DCC"/>
    <w:rsid w:val="00D74BFD"/>
    <w:rsid w:val="00D76370"/>
    <w:rsid w:val="00D766E2"/>
    <w:rsid w:val="00D779CB"/>
    <w:rsid w:val="00D80175"/>
    <w:rsid w:val="00D80FB0"/>
    <w:rsid w:val="00D82045"/>
    <w:rsid w:val="00D8324F"/>
    <w:rsid w:val="00D8437A"/>
    <w:rsid w:val="00D854AA"/>
    <w:rsid w:val="00D87241"/>
    <w:rsid w:val="00D87345"/>
    <w:rsid w:val="00D9131E"/>
    <w:rsid w:val="00D918F7"/>
    <w:rsid w:val="00D91CF5"/>
    <w:rsid w:val="00D952AA"/>
    <w:rsid w:val="00D976CD"/>
    <w:rsid w:val="00D97BAF"/>
    <w:rsid w:val="00D97C77"/>
    <w:rsid w:val="00DA0F99"/>
    <w:rsid w:val="00DA17E9"/>
    <w:rsid w:val="00DA1FF7"/>
    <w:rsid w:val="00DA476B"/>
    <w:rsid w:val="00DA4D53"/>
    <w:rsid w:val="00DA58FB"/>
    <w:rsid w:val="00DA65FD"/>
    <w:rsid w:val="00DA726B"/>
    <w:rsid w:val="00DB1B9F"/>
    <w:rsid w:val="00DB2057"/>
    <w:rsid w:val="00DB3397"/>
    <w:rsid w:val="00DB3ADD"/>
    <w:rsid w:val="00DB640C"/>
    <w:rsid w:val="00DB6C1F"/>
    <w:rsid w:val="00DC1256"/>
    <w:rsid w:val="00DC13ED"/>
    <w:rsid w:val="00DC2156"/>
    <w:rsid w:val="00DC2A7A"/>
    <w:rsid w:val="00DC3828"/>
    <w:rsid w:val="00DC472A"/>
    <w:rsid w:val="00DC490C"/>
    <w:rsid w:val="00DC50A3"/>
    <w:rsid w:val="00DC7A94"/>
    <w:rsid w:val="00DD0A67"/>
    <w:rsid w:val="00DD17A9"/>
    <w:rsid w:val="00DD2D34"/>
    <w:rsid w:val="00DD2ED1"/>
    <w:rsid w:val="00DD37B9"/>
    <w:rsid w:val="00DD3F6D"/>
    <w:rsid w:val="00DD40DE"/>
    <w:rsid w:val="00DD5399"/>
    <w:rsid w:val="00DD5B38"/>
    <w:rsid w:val="00DD5BF5"/>
    <w:rsid w:val="00DD7DCF"/>
    <w:rsid w:val="00DE026E"/>
    <w:rsid w:val="00DE0DC0"/>
    <w:rsid w:val="00DE1C04"/>
    <w:rsid w:val="00DE2173"/>
    <w:rsid w:val="00DE2316"/>
    <w:rsid w:val="00DE3FB4"/>
    <w:rsid w:val="00DE4CAE"/>
    <w:rsid w:val="00DE5B86"/>
    <w:rsid w:val="00DE5DD3"/>
    <w:rsid w:val="00DE7ED3"/>
    <w:rsid w:val="00DF1E5B"/>
    <w:rsid w:val="00DF28E7"/>
    <w:rsid w:val="00DF3580"/>
    <w:rsid w:val="00DF3B1E"/>
    <w:rsid w:val="00DF46B3"/>
    <w:rsid w:val="00DF56B6"/>
    <w:rsid w:val="00DF57FE"/>
    <w:rsid w:val="00DF62BB"/>
    <w:rsid w:val="00DF6345"/>
    <w:rsid w:val="00DF6742"/>
    <w:rsid w:val="00DF7194"/>
    <w:rsid w:val="00E001EA"/>
    <w:rsid w:val="00E01198"/>
    <w:rsid w:val="00E02E1D"/>
    <w:rsid w:val="00E03C78"/>
    <w:rsid w:val="00E04515"/>
    <w:rsid w:val="00E0603E"/>
    <w:rsid w:val="00E063A0"/>
    <w:rsid w:val="00E066B7"/>
    <w:rsid w:val="00E06791"/>
    <w:rsid w:val="00E10C55"/>
    <w:rsid w:val="00E11399"/>
    <w:rsid w:val="00E137C3"/>
    <w:rsid w:val="00E13C8E"/>
    <w:rsid w:val="00E1503F"/>
    <w:rsid w:val="00E15F4A"/>
    <w:rsid w:val="00E160FD"/>
    <w:rsid w:val="00E1650E"/>
    <w:rsid w:val="00E16611"/>
    <w:rsid w:val="00E175D1"/>
    <w:rsid w:val="00E205D8"/>
    <w:rsid w:val="00E22299"/>
    <w:rsid w:val="00E22AB6"/>
    <w:rsid w:val="00E22C3A"/>
    <w:rsid w:val="00E2417D"/>
    <w:rsid w:val="00E25ABF"/>
    <w:rsid w:val="00E26D9D"/>
    <w:rsid w:val="00E32DDB"/>
    <w:rsid w:val="00E32F66"/>
    <w:rsid w:val="00E34872"/>
    <w:rsid w:val="00E3515E"/>
    <w:rsid w:val="00E4041F"/>
    <w:rsid w:val="00E4106A"/>
    <w:rsid w:val="00E41B77"/>
    <w:rsid w:val="00E428A4"/>
    <w:rsid w:val="00E42E05"/>
    <w:rsid w:val="00E42E3F"/>
    <w:rsid w:val="00E43626"/>
    <w:rsid w:val="00E43BDB"/>
    <w:rsid w:val="00E46AD2"/>
    <w:rsid w:val="00E471C9"/>
    <w:rsid w:val="00E47254"/>
    <w:rsid w:val="00E50214"/>
    <w:rsid w:val="00E50999"/>
    <w:rsid w:val="00E51289"/>
    <w:rsid w:val="00E51566"/>
    <w:rsid w:val="00E51E31"/>
    <w:rsid w:val="00E523AA"/>
    <w:rsid w:val="00E523D3"/>
    <w:rsid w:val="00E5353D"/>
    <w:rsid w:val="00E53721"/>
    <w:rsid w:val="00E53E51"/>
    <w:rsid w:val="00E54143"/>
    <w:rsid w:val="00E54494"/>
    <w:rsid w:val="00E56C6B"/>
    <w:rsid w:val="00E56DBD"/>
    <w:rsid w:val="00E6152A"/>
    <w:rsid w:val="00E629B0"/>
    <w:rsid w:val="00E629C2"/>
    <w:rsid w:val="00E6339F"/>
    <w:rsid w:val="00E63B15"/>
    <w:rsid w:val="00E6407B"/>
    <w:rsid w:val="00E64F05"/>
    <w:rsid w:val="00E66CEF"/>
    <w:rsid w:val="00E6724A"/>
    <w:rsid w:val="00E676AC"/>
    <w:rsid w:val="00E70005"/>
    <w:rsid w:val="00E71966"/>
    <w:rsid w:val="00E739D3"/>
    <w:rsid w:val="00E73A44"/>
    <w:rsid w:val="00E7503E"/>
    <w:rsid w:val="00E75194"/>
    <w:rsid w:val="00E76345"/>
    <w:rsid w:val="00E7754C"/>
    <w:rsid w:val="00E807B0"/>
    <w:rsid w:val="00E80A49"/>
    <w:rsid w:val="00E81042"/>
    <w:rsid w:val="00E850EA"/>
    <w:rsid w:val="00E85497"/>
    <w:rsid w:val="00E85F02"/>
    <w:rsid w:val="00E863E4"/>
    <w:rsid w:val="00E903F3"/>
    <w:rsid w:val="00E91FDC"/>
    <w:rsid w:val="00E94002"/>
    <w:rsid w:val="00E94594"/>
    <w:rsid w:val="00E9488F"/>
    <w:rsid w:val="00E94CFB"/>
    <w:rsid w:val="00E94E2B"/>
    <w:rsid w:val="00E9526F"/>
    <w:rsid w:val="00E96018"/>
    <w:rsid w:val="00E975C9"/>
    <w:rsid w:val="00E97934"/>
    <w:rsid w:val="00EA07FD"/>
    <w:rsid w:val="00EA08BE"/>
    <w:rsid w:val="00EA2E63"/>
    <w:rsid w:val="00EA4BE2"/>
    <w:rsid w:val="00EA4FD4"/>
    <w:rsid w:val="00EB05A8"/>
    <w:rsid w:val="00EB155B"/>
    <w:rsid w:val="00EB32DF"/>
    <w:rsid w:val="00EB3B69"/>
    <w:rsid w:val="00EB453C"/>
    <w:rsid w:val="00EC33AB"/>
    <w:rsid w:val="00EC3658"/>
    <w:rsid w:val="00EC3783"/>
    <w:rsid w:val="00EC3F72"/>
    <w:rsid w:val="00EC4AE2"/>
    <w:rsid w:val="00EC5FA5"/>
    <w:rsid w:val="00ED00C2"/>
    <w:rsid w:val="00ED11C5"/>
    <w:rsid w:val="00ED13D2"/>
    <w:rsid w:val="00ED2034"/>
    <w:rsid w:val="00ED2B6B"/>
    <w:rsid w:val="00ED69EA"/>
    <w:rsid w:val="00ED6D93"/>
    <w:rsid w:val="00ED76EB"/>
    <w:rsid w:val="00EE0FA3"/>
    <w:rsid w:val="00EE12FB"/>
    <w:rsid w:val="00EE1CC1"/>
    <w:rsid w:val="00EE2BDA"/>
    <w:rsid w:val="00EE3D8E"/>
    <w:rsid w:val="00EE4DAC"/>
    <w:rsid w:val="00EE5AE5"/>
    <w:rsid w:val="00EE65FC"/>
    <w:rsid w:val="00EE69CB"/>
    <w:rsid w:val="00EF0785"/>
    <w:rsid w:val="00EF24B6"/>
    <w:rsid w:val="00EF2894"/>
    <w:rsid w:val="00EF352F"/>
    <w:rsid w:val="00EF7276"/>
    <w:rsid w:val="00F01A98"/>
    <w:rsid w:val="00F0360C"/>
    <w:rsid w:val="00F03990"/>
    <w:rsid w:val="00F0406C"/>
    <w:rsid w:val="00F040F9"/>
    <w:rsid w:val="00F05964"/>
    <w:rsid w:val="00F06065"/>
    <w:rsid w:val="00F06FDA"/>
    <w:rsid w:val="00F102C0"/>
    <w:rsid w:val="00F10E2E"/>
    <w:rsid w:val="00F14DDC"/>
    <w:rsid w:val="00F1551E"/>
    <w:rsid w:val="00F1566D"/>
    <w:rsid w:val="00F16A51"/>
    <w:rsid w:val="00F17B79"/>
    <w:rsid w:val="00F20904"/>
    <w:rsid w:val="00F20CAA"/>
    <w:rsid w:val="00F23E16"/>
    <w:rsid w:val="00F24004"/>
    <w:rsid w:val="00F24250"/>
    <w:rsid w:val="00F2591F"/>
    <w:rsid w:val="00F2646C"/>
    <w:rsid w:val="00F26FA3"/>
    <w:rsid w:val="00F307EE"/>
    <w:rsid w:val="00F32226"/>
    <w:rsid w:val="00F331F2"/>
    <w:rsid w:val="00F33B79"/>
    <w:rsid w:val="00F35D0E"/>
    <w:rsid w:val="00F40076"/>
    <w:rsid w:val="00F40354"/>
    <w:rsid w:val="00F40436"/>
    <w:rsid w:val="00F40AE3"/>
    <w:rsid w:val="00F414AB"/>
    <w:rsid w:val="00F41A6C"/>
    <w:rsid w:val="00F435A4"/>
    <w:rsid w:val="00F43D6A"/>
    <w:rsid w:val="00F44A0B"/>
    <w:rsid w:val="00F45240"/>
    <w:rsid w:val="00F50184"/>
    <w:rsid w:val="00F513DB"/>
    <w:rsid w:val="00F52472"/>
    <w:rsid w:val="00F52B42"/>
    <w:rsid w:val="00F5320D"/>
    <w:rsid w:val="00F545E6"/>
    <w:rsid w:val="00F54911"/>
    <w:rsid w:val="00F5607B"/>
    <w:rsid w:val="00F56300"/>
    <w:rsid w:val="00F5647B"/>
    <w:rsid w:val="00F565AD"/>
    <w:rsid w:val="00F63C45"/>
    <w:rsid w:val="00F63F44"/>
    <w:rsid w:val="00F64497"/>
    <w:rsid w:val="00F64E03"/>
    <w:rsid w:val="00F6717C"/>
    <w:rsid w:val="00F67930"/>
    <w:rsid w:val="00F67FB6"/>
    <w:rsid w:val="00F70B79"/>
    <w:rsid w:val="00F71700"/>
    <w:rsid w:val="00F71AC7"/>
    <w:rsid w:val="00F7303F"/>
    <w:rsid w:val="00F73226"/>
    <w:rsid w:val="00F736B7"/>
    <w:rsid w:val="00F738C7"/>
    <w:rsid w:val="00F7660C"/>
    <w:rsid w:val="00F83881"/>
    <w:rsid w:val="00F84B06"/>
    <w:rsid w:val="00F86599"/>
    <w:rsid w:val="00F8784A"/>
    <w:rsid w:val="00F87FC7"/>
    <w:rsid w:val="00F904DE"/>
    <w:rsid w:val="00F909FE"/>
    <w:rsid w:val="00F90CA3"/>
    <w:rsid w:val="00F92111"/>
    <w:rsid w:val="00F93087"/>
    <w:rsid w:val="00F93535"/>
    <w:rsid w:val="00F96460"/>
    <w:rsid w:val="00F96834"/>
    <w:rsid w:val="00F969AA"/>
    <w:rsid w:val="00FA3153"/>
    <w:rsid w:val="00FA4299"/>
    <w:rsid w:val="00FA4582"/>
    <w:rsid w:val="00FA5A06"/>
    <w:rsid w:val="00FA6451"/>
    <w:rsid w:val="00FB0738"/>
    <w:rsid w:val="00FB1454"/>
    <w:rsid w:val="00FB1504"/>
    <w:rsid w:val="00FB260D"/>
    <w:rsid w:val="00FB3A04"/>
    <w:rsid w:val="00FB3BEB"/>
    <w:rsid w:val="00FB5063"/>
    <w:rsid w:val="00FB7EE7"/>
    <w:rsid w:val="00FC1155"/>
    <w:rsid w:val="00FC13A8"/>
    <w:rsid w:val="00FC296D"/>
    <w:rsid w:val="00FC2B56"/>
    <w:rsid w:val="00FC31C0"/>
    <w:rsid w:val="00FC3B2E"/>
    <w:rsid w:val="00FC4E85"/>
    <w:rsid w:val="00FC53FC"/>
    <w:rsid w:val="00FC60C2"/>
    <w:rsid w:val="00FC7019"/>
    <w:rsid w:val="00FD0A4E"/>
    <w:rsid w:val="00FD1E2C"/>
    <w:rsid w:val="00FD3B08"/>
    <w:rsid w:val="00FD45C7"/>
    <w:rsid w:val="00FD5632"/>
    <w:rsid w:val="00FD6E57"/>
    <w:rsid w:val="00FD74CC"/>
    <w:rsid w:val="00FE18DB"/>
    <w:rsid w:val="00FE1D0D"/>
    <w:rsid w:val="00FE1FC5"/>
    <w:rsid w:val="00FE4B4B"/>
    <w:rsid w:val="00FE5BFA"/>
    <w:rsid w:val="00FE749B"/>
    <w:rsid w:val="00FF1031"/>
    <w:rsid w:val="00FF3A7D"/>
    <w:rsid w:val="00FF3BC6"/>
    <w:rsid w:val="00FF529F"/>
    <w:rsid w:val="00FF60B4"/>
    <w:rsid w:val="00FF7082"/>
    <w:rsid w:val="01181456"/>
    <w:rsid w:val="015F78F1"/>
    <w:rsid w:val="01767B71"/>
    <w:rsid w:val="018F0027"/>
    <w:rsid w:val="01B91D0C"/>
    <w:rsid w:val="01BF19D1"/>
    <w:rsid w:val="020804A4"/>
    <w:rsid w:val="021E085A"/>
    <w:rsid w:val="028E0B7F"/>
    <w:rsid w:val="029410BF"/>
    <w:rsid w:val="029455AD"/>
    <w:rsid w:val="029871B4"/>
    <w:rsid w:val="02C94668"/>
    <w:rsid w:val="030E7E36"/>
    <w:rsid w:val="033B6FBA"/>
    <w:rsid w:val="0374586D"/>
    <w:rsid w:val="03B723C8"/>
    <w:rsid w:val="03CE0C38"/>
    <w:rsid w:val="03DD27A5"/>
    <w:rsid w:val="03E406E3"/>
    <w:rsid w:val="041D6970"/>
    <w:rsid w:val="048670BB"/>
    <w:rsid w:val="04DC3295"/>
    <w:rsid w:val="055E02BB"/>
    <w:rsid w:val="057C07A9"/>
    <w:rsid w:val="05C23925"/>
    <w:rsid w:val="05FB4A52"/>
    <w:rsid w:val="069301CC"/>
    <w:rsid w:val="06CC17C8"/>
    <w:rsid w:val="06DA5D19"/>
    <w:rsid w:val="06F85085"/>
    <w:rsid w:val="07312023"/>
    <w:rsid w:val="0749688F"/>
    <w:rsid w:val="075E40BB"/>
    <w:rsid w:val="076A7EAD"/>
    <w:rsid w:val="079F0861"/>
    <w:rsid w:val="07D72E1C"/>
    <w:rsid w:val="07DA6D6F"/>
    <w:rsid w:val="07F66B5E"/>
    <w:rsid w:val="08C92362"/>
    <w:rsid w:val="092A1C9F"/>
    <w:rsid w:val="09715AF9"/>
    <w:rsid w:val="09816F6A"/>
    <w:rsid w:val="09FF3BF3"/>
    <w:rsid w:val="0A3854DD"/>
    <w:rsid w:val="0A3F3A25"/>
    <w:rsid w:val="0A660160"/>
    <w:rsid w:val="0A9A4AC4"/>
    <w:rsid w:val="0AA42F62"/>
    <w:rsid w:val="0AAA3CC8"/>
    <w:rsid w:val="0AAC1E5E"/>
    <w:rsid w:val="0B137733"/>
    <w:rsid w:val="0B2D4F70"/>
    <w:rsid w:val="0B3114AD"/>
    <w:rsid w:val="0B9C1826"/>
    <w:rsid w:val="0BA953BE"/>
    <w:rsid w:val="0BCA2154"/>
    <w:rsid w:val="0C59767E"/>
    <w:rsid w:val="0C6F4C34"/>
    <w:rsid w:val="0CA6448E"/>
    <w:rsid w:val="0CCE1043"/>
    <w:rsid w:val="0CE97D42"/>
    <w:rsid w:val="0D091F4F"/>
    <w:rsid w:val="0D423770"/>
    <w:rsid w:val="0D514B0D"/>
    <w:rsid w:val="0DE15BE1"/>
    <w:rsid w:val="0DF34DC7"/>
    <w:rsid w:val="0E2B5D40"/>
    <w:rsid w:val="0E3A3B6B"/>
    <w:rsid w:val="0E687A3B"/>
    <w:rsid w:val="0E6B5D11"/>
    <w:rsid w:val="0E834043"/>
    <w:rsid w:val="0E9C0543"/>
    <w:rsid w:val="0EBC28AD"/>
    <w:rsid w:val="0EC00B7E"/>
    <w:rsid w:val="0ED657A9"/>
    <w:rsid w:val="0F5F5FBD"/>
    <w:rsid w:val="0F8F2391"/>
    <w:rsid w:val="102B1894"/>
    <w:rsid w:val="102F7D69"/>
    <w:rsid w:val="10C36704"/>
    <w:rsid w:val="10C810E0"/>
    <w:rsid w:val="10E548CC"/>
    <w:rsid w:val="12234478"/>
    <w:rsid w:val="1252082F"/>
    <w:rsid w:val="128A35B1"/>
    <w:rsid w:val="129252CE"/>
    <w:rsid w:val="12C543F6"/>
    <w:rsid w:val="133B2B8B"/>
    <w:rsid w:val="135C661C"/>
    <w:rsid w:val="1365144E"/>
    <w:rsid w:val="13890ABD"/>
    <w:rsid w:val="13C054D2"/>
    <w:rsid w:val="14233D1E"/>
    <w:rsid w:val="143E0385"/>
    <w:rsid w:val="146548AF"/>
    <w:rsid w:val="14893727"/>
    <w:rsid w:val="14CD6480"/>
    <w:rsid w:val="14D3666F"/>
    <w:rsid w:val="15231FCC"/>
    <w:rsid w:val="15DE18EA"/>
    <w:rsid w:val="15FC19AC"/>
    <w:rsid w:val="15FF7E6C"/>
    <w:rsid w:val="16A06632"/>
    <w:rsid w:val="16BC0F4E"/>
    <w:rsid w:val="17290CBC"/>
    <w:rsid w:val="176A3546"/>
    <w:rsid w:val="17903F29"/>
    <w:rsid w:val="17CC023E"/>
    <w:rsid w:val="17F76D12"/>
    <w:rsid w:val="17FA6EAF"/>
    <w:rsid w:val="18364045"/>
    <w:rsid w:val="18BE53BE"/>
    <w:rsid w:val="18D771F0"/>
    <w:rsid w:val="18EE0FF5"/>
    <w:rsid w:val="19EB139B"/>
    <w:rsid w:val="1A2958D5"/>
    <w:rsid w:val="1A417530"/>
    <w:rsid w:val="1A5E76FB"/>
    <w:rsid w:val="1A6E4810"/>
    <w:rsid w:val="1A8B2106"/>
    <w:rsid w:val="1AAB6C04"/>
    <w:rsid w:val="1AE51725"/>
    <w:rsid w:val="1AFF3148"/>
    <w:rsid w:val="1B346F0C"/>
    <w:rsid w:val="1B715A79"/>
    <w:rsid w:val="1B947C8B"/>
    <w:rsid w:val="1BB12787"/>
    <w:rsid w:val="1BC47DF2"/>
    <w:rsid w:val="1BF076FA"/>
    <w:rsid w:val="1C3C649D"/>
    <w:rsid w:val="1C4B108B"/>
    <w:rsid w:val="1C4E3346"/>
    <w:rsid w:val="1C6052B0"/>
    <w:rsid w:val="1C925751"/>
    <w:rsid w:val="1CC45CDD"/>
    <w:rsid w:val="1CE3063B"/>
    <w:rsid w:val="1CEE6210"/>
    <w:rsid w:val="1CFF4E92"/>
    <w:rsid w:val="1D1F797E"/>
    <w:rsid w:val="1D951CB1"/>
    <w:rsid w:val="1D9B470A"/>
    <w:rsid w:val="1D9C4C6D"/>
    <w:rsid w:val="1DBC67F1"/>
    <w:rsid w:val="1DD33B69"/>
    <w:rsid w:val="1E206F43"/>
    <w:rsid w:val="1E7A218E"/>
    <w:rsid w:val="1EA5569B"/>
    <w:rsid w:val="1EC820E3"/>
    <w:rsid w:val="1EFE7656"/>
    <w:rsid w:val="1F091A8B"/>
    <w:rsid w:val="1F37123B"/>
    <w:rsid w:val="1F681F5F"/>
    <w:rsid w:val="1F724EAA"/>
    <w:rsid w:val="1F7820ED"/>
    <w:rsid w:val="1FAF4A23"/>
    <w:rsid w:val="1FB43DE7"/>
    <w:rsid w:val="20074AC3"/>
    <w:rsid w:val="20285CD0"/>
    <w:rsid w:val="202D2A69"/>
    <w:rsid w:val="2039388E"/>
    <w:rsid w:val="20854F59"/>
    <w:rsid w:val="208C2AF3"/>
    <w:rsid w:val="208C37F9"/>
    <w:rsid w:val="20D70139"/>
    <w:rsid w:val="20DF1A81"/>
    <w:rsid w:val="20E42016"/>
    <w:rsid w:val="211041EB"/>
    <w:rsid w:val="213566FF"/>
    <w:rsid w:val="21672A7E"/>
    <w:rsid w:val="21BD4D61"/>
    <w:rsid w:val="21DA33D9"/>
    <w:rsid w:val="21DF5AE9"/>
    <w:rsid w:val="21E64CB6"/>
    <w:rsid w:val="21F43CF1"/>
    <w:rsid w:val="21FA5933"/>
    <w:rsid w:val="21FF5519"/>
    <w:rsid w:val="22371E1E"/>
    <w:rsid w:val="22A2261D"/>
    <w:rsid w:val="22DC4764"/>
    <w:rsid w:val="230B49B6"/>
    <w:rsid w:val="239B2561"/>
    <w:rsid w:val="23BE41F5"/>
    <w:rsid w:val="23FB37A5"/>
    <w:rsid w:val="2412039C"/>
    <w:rsid w:val="243E6375"/>
    <w:rsid w:val="24E43AF1"/>
    <w:rsid w:val="24EC573C"/>
    <w:rsid w:val="251A1750"/>
    <w:rsid w:val="253212D1"/>
    <w:rsid w:val="256C6F12"/>
    <w:rsid w:val="256F3F2A"/>
    <w:rsid w:val="2579114B"/>
    <w:rsid w:val="25801CD3"/>
    <w:rsid w:val="25907302"/>
    <w:rsid w:val="25E90563"/>
    <w:rsid w:val="25EB3977"/>
    <w:rsid w:val="25F62579"/>
    <w:rsid w:val="260F4DA8"/>
    <w:rsid w:val="26884901"/>
    <w:rsid w:val="26D14BE0"/>
    <w:rsid w:val="26F341F3"/>
    <w:rsid w:val="271306D7"/>
    <w:rsid w:val="27221BD2"/>
    <w:rsid w:val="27401E28"/>
    <w:rsid w:val="27414C32"/>
    <w:rsid w:val="275B34E7"/>
    <w:rsid w:val="27636D6A"/>
    <w:rsid w:val="277F4CDB"/>
    <w:rsid w:val="27811E54"/>
    <w:rsid w:val="279A389E"/>
    <w:rsid w:val="27A02EA3"/>
    <w:rsid w:val="28082B4A"/>
    <w:rsid w:val="280E2503"/>
    <w:rsid w:val="283654D4"/>
    <w:rsid w:val="286B0675"/>
    <w:rsid w:val="286D2C2F"/>
    <w:rsid w:val="289E1564"/>
    <w:rsid w:val="28B11256"/>
    <w:rsid w:val="28C12209"/>
    <w:rsid w:val="292024ED"/>
    <w:rsid w:val="29744F8C"/>
    <w:rsid w:val="2983407D"/>
    <w:rsid w:val="29A12B82"/>
    <w:rsid w:val="29DC7068"/>
    <w:rsid w:val="2A5208D8"/>
    <w:rsid w:val="2A5874ED"/>
    <w:rsid w:val="2A866EAD"/>
    <w:rsid w:val="2A9E191C"/>
    <w:rsid w:val="2AB4113F"/>
    <w:rsid w:val="2B164C2E"/>
    <w:rsid w:val="2B8605FF"/>
    <w:rsid w:val="2BE71A4E"/>
    <w:rsid w:val="2C087541"/>
    <w:rsid w:val="2C172306"/>
    <w:rsid w:val="2C33195B"/>
    <w:rsid w:val="2C3B29A6"/>
    <w:rsid w:val="2C3F3CD5"/>
    <w:rsid w:val="2C726454"/>
    <w:rsid w:val="2C7E6EC0"/>
    <w:rsid w:val="2CAA43CA"/>
    <w:rsid w:val="2D0C0813"/>
    <w:rsid w:val="2D5E00EC"/>
    <w:rsid w:val="2D7D1C9C"/>
    <w:rsid w:val="2DAE2509"/>
    <w:rsid w:val="2DDB031F"/>
    <w:rsid w:val="2E2465DC"/>
    <w:rsid w:val="2E5C6941"/>
    <w:rsid w:val="2E666BF4"/>
    <w:rsid w:val="2E8728CE"/>
    <w:rsid w:val="2EA702F2"/>
    <w:rsid w:val="2EBC3D59"/>
    <w:rsid w:val="2EF7683B"/>
    <w:rsid w:val="2F594063"/>
    <w:rsid w:val="2FE02387"/>
    <w:rsid w:val="2FF17810"/>
    <w:rsid w:val="30977E0E"/>
    <w:rsid w:val="30C06167"/>
    <w:rsid w:val="30F47A27"/>
    <w:rsid w:val="31242D00"/>
    <w:rsid w:val="31351217"/>
    <w:rsid w:val="31811153"/>
    <w:rsid w:val="31DA2B20"/>
    <w:rsid w:val="32354F4C"/>
    <w:rsid w:val="3251015F"/>
    <w:rsid w:val="328A2480"/>
    <w:rsid w:val="32B87CA1"/>
    <w:rsid w:val="32D5191B"/>
    <w:rsid w:val="32F95D29"/>
    <w:rsid w:val="33622CC4"/>
    <w:rsid w:val="33817C57"/>
    <w:rsid w:val="33C550B4"/>
    <w:rsid w:val="33DF290C"/>
    <w:rsid w:val="33EF1707"/>
    <w:rsid w:val="33F209EE"/>
    <w:rsid w:val="341E08CC"/>
    <w:rsid w:val="342F62F6"/>
    <w:rsid w:val="345B1B06"/>
    <w:rsid w:val="347F70FD"/>
    <w:rsid w:val="34A9783B"/>
    <w:rsid w:val="34BF1578"/>
    <w:rsid w:val="354D6418"/>
    <w:rsid w:val="35632D5E"/>
    <w:rsid w:val="362E26F6"/>
    <w:rsid w:val="363E4EDB"/>
    <w:rsid w:val="36776F73"/>
    <w:rsid w:val="368F480F"/>
    <w:rsid w:val="36AD7EB3"/>
    <w:rsid w:val="36AF171D"/>
    <w:rsid w:val="37115432"/>
    <w:rsid w:val="372A2687"/>
    <w:rsid w:val="37DF6525"/>
    <w:rsid w:val="37F35FAD"/>
    <w:rsid w:val="38106279"/>
    <w:rsid w:val="38577395"/>
    <w:rsid w:val="38A80A21"/>
    <w:rsid w:val="38B41F5E"/>
    <w:rsid w:val="38C43E2A"/>
    <w:rsid w:val="390A723C"/>
    <w:rsid w:val="39400042"/>
    <w:rsid w:val="39A52921"/>
    <w:rsid w:val="39E113B8"/>
    <w:rsid w:val="3A38141C"/>
    <w:rsid w:val="3A6F1B6D"/>
    <w:rsid w:val="3A765BAE"/>
    <w:rsid w:val="3A8D3755"/>
    <w:rsid w:val="3AA72ACF"/>
    <w:rsid w:val="3AAB481D"/>
    <w:rsid w:val="3AEA6116"/>
    <w:rsid w:val="3B027CA5"/>
    <w:rsid w:val="3B0D2A22"/>
    <w:rsid w:val="3B473250"/>
    <w:rsid w:val="3BB47341"/>
    <w:rsid w:val="3BF23A6A"/>
    <w:rsid w:val="3BFE76C9"/>
    <w:rsid w:val="3C0D4B53"/>
    <w:rsid w:val="3C195B71"/>
    <w:rsid w:val="3C221B9E"/>
    <w:rsid w:val="3C357E53"/>
    <w:rsid w:val="3C447BA4"/>
    <w:rsid w:val="3C8138E7"/>
    <w:rsid w:val="3C956475"/>
    <w:rsid w:val="3CBA034E"/>
    <w:rsid w:val="3CCA7406"/>
    <w:rsid w:val="3D217466"/>
    <w:rsid w:val="3D477642"/>
    <w:rsid w:val="3D6040CD"/>
    <w:rsid w:val="3D691E7B"/>
    <w:rsid w:val="3D7A1B32"/>
    <w:rsid w:val="3DC2371B"/>
    <w:rsid w:val="3DD73353"/>
    <w:rsid w:val="3E0A11D3"/>
    <w:rsid w:val="3E2140B4"/>
    <w:rsid w:val="3E34347D"/>
    <w:rsid w:val="3E405056"/>
    <w:rsid w:val="3EB946D3"/>
    <w:rsid w:val="3EF8666A"/>
    <w:rsid w:val="3EF92BC7"/>
    <w:rsid w:val="3EFD5B8C"/>
    <w:rsid w:val="3F023BCC"/>
    <w:rsid w:val="3F2C1948"/>
    <w:rsid w:val="3F410E9B"/>
    <w:rsid w:val="3FC54376"/>
    <w:rsid w:val="3FD95863"/>
    <w:rsid w:val="3FDB71DF"/>
    <w:rsid w:val="3FF20FAA"/>
    <w:rsid w:val="4038660A"/>
    <w:rsid w:val="40522F4B"/>
    <w:rsid w:val="406960D0"/>
    <w:rsid w:val="40897436"/>
    <w:rsid w:val="4098190D"/>
    <w:rsid w:val="411D3F26"/>
    <w:rsid w:val="4126289F"/>
    <w:rsid w:val="415362FF"/>
    <w:rsid w:val="415D7A14"/>
    <w:rsid w:val="416C1B62"/>
    <w:rsid w:val="41AF7032"/>
    <w:rsid w:val="41FC5C46"/>
    <w:rsid w:val="420325CD"/>
    <w:rsid w:val="4209225A"/>
    <w:rsid w:val="421F47DF"/>
    <w:rsid w:val="423F29B8"/>
    <w:rsid w:val="4246516B"/>
    <w:rsid w:val="4254472C"/>
    <w:rsid w:val="425B7C9B"/>
    <w:rsid w:val="42AD365F"/>
    <w:rsid w:val="42B2158C"/>
    <w:rsid w:val="42DA32B5"/>
    <w:rsid w:val="430711AD"/>
    <w:rsid w:val="43351D02"/>
    <w:rsid w:val="433869A0"/>
    <w:rsid w:val="43B0055A"/>
    <w:rsid w:val="43B86F03"/>
    <w:rsid w:val="43C779B7"/>
    <w:rsid w:val="43EA6609"/>
    <w:rsid w:val="442D57E5"/>
    <w:rsid w:val="443E7D37"/>
    <w:rsid w:val="44444E8A"/>
    <w:rsid w:val="448636F5"/>
    <w:rsid w:val="44AE67A8"/>
    <w:rsid w:val="44B84F97"/>
    <w:rsid w:val="44C3334D"/>
    <w:rsid w:val="44C86842"/>
    <w:rsid w:val="44F27256"/>
    <w:rsid w:val="4540774B"/>
    <w:rsid w:val="45C67B21"/>
    <w:rsid w:val="45EA0448"/>
    <w:rsid w:val="46200992"/>
    <w:rsid w:val="466F47BC"/>
    <w:rsid w:val="46C73B51"/>
    <w:rsid w:val="4709257D"/>
    <w:rsid w:val="473D2589"/>
    <w:rsid w:val="47537BBA"/>
    <w:rsid w:val="47A76637"/>
    <w:rsid w:val="47C8032A"/>
    <w:rsid w:val="47CB6105"/>
    <w:rsid w:val="47F7542E"/>
    <w:rsid w:val="4832256C"/>
    <w:rsid w:val="487F6336"/>
    <w:rsid w:val="492D2E04"/>
    <w:rsid w:val="497B5356"/>
    <w:rsid w:val="49A01D15"/>
    <w:rsid w:val="4A4D10FA"/>
    <w:rsid w:val="4A592E3B"/>
    <w:rsid w:val="4A753ED0"/>
    <w:rsid w:val="4AA344B3"/>
    <w:rsid w:val="4AD31042"/>
    <w:rsid w:val="4AE57112"/>
    <w:rsid w:val="4AF16AF1"/>
    <w:rsid w:val="4AFD1B3E"/>
    <w:rsid w:val="4B0642DE"/>
    <w:rsid w:val="4B2C69C6"/>
    <w:rsid w:val="4B426D6F"/>
    <w:rsid w:val="4B7E5126"/>
    <w:rsid w:val="4BB5548C"/>
    <w:rsid w:val="4C335D8A"/>
    <w:rsid w:val="4C5E3CD3"/>
    <w:rsid w:val="4C7164B3"/>
    <w:rsid w:val="4C96181B"/>
    <w:rsid w:val="4CCF2879"/>
    <w:rsid w:val="4CDA7EF6"/>
    <w:rsid w:val="4CEA7E42"/>
    <w:rsid w:val="4CFB7A4B"/>
    <w:rsid w:val="4E220481"/>
    <w:rsid w:val="4E374BEF"/>
    <w:rsid w:val="4E3C4510"/>
    <w:rsid w:val="4E4E1648"/>
    <w:rsid w:val="4E5A6CE1"/>
    <w:rsid w:val="4ED30DF6"/>
    <w:rsid w:val="4F050C64"/>
    <w:rsid w:val="4F1D0113"/>
    <w:rsid w:val="4F374ABE"/>
    <w:rsid w:val="4F3C4A5A"/>
    <w:rsid w:val="4F9F58D6"/>
    <w:rsid w:val="4FA77A78"/>
    <w:rsid w:val="4FBD154D"/>
    <w:rsid w:val="4FDE4134"/>
    <w:rsid w:val="4FF4726F"/>
    <w:rsid w:val="50376278"/>
    <w:rsid w:val="5056206E"/>
    <w:rsid w:val="505E2B0A"/>
    <w:rsid w:val="506C1094"/>
    <w:rsid w:val="5097052E"/>
    <w:rsid w:val="50B116A6"/>
    <w:rsid w:val="51096166"/>
    <w:rsid w:val="51474935"/>
    <w:rsid w:val="51922A6E"/>
    <w:rsid w:val="51B54E10"/>
    <w:rsid w:val="51C9452A"/>
    <w:rsid w:val="51E44EEF"/>
    <w:rsid w:val="52326683"/>
    <w:rsid w:val="52335459"/>
    <w:rsid w:val="52B97E69"/>
    <w:rsid w:val="52C51423"/>
    <w:rsid w:val="52CB6777"/>
    <w:rsid w:val="531B2857"/>
    <w:rsid w:val="532C41E9"/>
    <w:rsid w:val="53987C33"/>
    <w:rsid w:val="53A12D82"/>
    <w:rsid w:val="53C945FB"/>
    <w:rsid w:val="54005337"/>
    <w:rsid w:val="54184F5C"/>
    <w:rsid w:val="54333971"/>
    <w:rsid w:val="549876F9"/>
    <w:rsid w:val="54A44D66"/>
    <w:rsid w:val="54EB627C"/>
    <w:rsid w:val="559770A6"/>
    <w:rsid w:val="55E3308D"/>
    <w:rsid w:val="55E4027B"/>
    <w:rsid w:val="561065A1"/>
    <w:rsid w:val="566F521F"/>
    <w:rsid w:val="567D2257"/>
    <w:rsid w:val="56945017"/>
    <w:rsid w:val="56B927C0"/>
    <w:rsid w:val="57106E4E"/>
    <w:rsid w:val="571E1064"/>
    <w:rsid w:val="571F7EAF"/>
    <w:rsid w:val="57C26686"/>
    <w:rsid w:val="57D13CBF"/>
    <w:rsid w:val="57E722A5"/>
    <w:rsid w:val="583F6F5B"/>
    <w:rsid w:val="587358E6"/>
    <w:rsid w:val="58D27FFF"/>
    <w:rsid w:val="58DA63FA"/>
    <w:rsid w:val="593A19F0"/>
    <w:rsid w:val="597B37AF"/>
    <w:rsid w:val="597E4AFB"/>
    <w:rsid w:val="59855612"/>
    <w:rsid w:val="598B0010"/>
    <w:rsid w:val="59987307"/>
    <w:rsid w:val="59C84252"/>
    <w:rsid w:val="5A174D6B"/>
    <w:rsid w:val="5A3B477C"/>
    <w:rsid w:val="5A64198B"/>
    <w:rsid w:val="5A7539E6"/>
    <w:rsid w:val="5ACB37B8"/>
    <w:rsid w:val="5B0E18F6"/>
    <w:rsid w:val="5B6D62C8"/>
    <w:rsid w:val="5B6E0613"/>
    <w:rsid w:val="5B8B04E6"/>
    <w:rsid w:val="5BBD3B38"/>
    <w:rsid w:val="5BDE1D97"/>
    <w:rsid w:val="5BE663CF"/>
    <w:rsid w:val="5C4D3844"/>
    <w:rsid w:val="5C7B1C6F"/>
    <w:rsid w:val="5C811426"/>
    <w:rsid w:val="5CCE3AC3"/>
    <w:rsid w:val="5CDE0018"/>
    <w:rsid w:val="5D306882"/>
    <w:rsid w:val="5D7067F8"/>
    <w:rsid w:val="5DA867B5"/>
    <w:rsid w:val="5DCE1B11"/>
    <w:rsid w:val="5DE35530"/>
    <w:rsid w:val="5DEE27E6"/>
    <w:rsid w:val="5DFF2593"/>
    <w:rsid w:val="5E1248E8"/>
    <w:rsid w:val="5E9A15F3"/>
    <w:rsid w:val="5EAC6562"/>
    <w:rsid w:val="5F321485"/>
    <w:rsid w:val="5F8E6C0B"/>
    <w:rsid w:val="5F8F5CDF"/>
    <w:rsid w:val="5FB93DB7"/>
    <w:rsid w:val="5FCF0D98"/>
    <w:rsid w:val="609C2190"/>
    <w:rsid w:val="615D0083"/>
    <w:rsid w:val="617B28CE"/>
    <w:rsid w:val="618A6458"/>
    <w:rsid w:val="619338A2"/>
    <w:rsid w:val="61C1676D"/>
    <w:rsid w:val="622A2EA4"/>
    <w:rsid w:val="62315D38"/>
    <w:rsid w:val="625247BE"/>
    <w:rsid w:val="62A02C94"/>
    <w:rsid w:val="62B71146"/>
    <w:rsid w:val="62CD2300"/>
    <w:rsid w:val="630A484C"/>
    <w:rsid w:val="6312369C"/>
    <w:rsid w:val="634278FA"/>
    <w:rsid w:val="635403B3"/>
    <w:rsid w:val="63892462"/>
    <w:rsid w:val="639030FC"/>
    <w:rsid w:val="63E55E3D"/>
    <w:rsid w:val="64146536"/>
    <w:rsid w:val="643747A0"/>
    <w:rsid w:val="64375256"/>
    <w:rsid w:val="64846260"/>
    <w:rsid w:val="64CC67EE"/>
    <w:rsid w:val="64D5039D"/>
    <w:rsid w:val="65182AF3"/>
    <w:rsid w:val="653D43D3"/>
    <w:rsid w:val="658048F8"/>
    <w:rsid w:val="6615324D"/>
    <w:rsid w:val="663828C2"/>
    <w:rsid w:val="663E5786"/>
    <w:rsid w:val="665151C5"/>
    <w:rsid w:val="66531D9B"/>
    <w:rsid w:val="666C02D2"/>
    <w:rsid w:val="667A600D"/>
    <w:rsid w:val="668D26EF"/>
    <w:rsid w:val="668D3457"/>
    <w:rsid w:val="66E162E3"/>
    <w:rsid w:val="66EA7895"/>
    <w:rsid w:val="673959DA"/>
    <w:rsid w:val="676043F9"/>
    <w:rsid w:val="677E5053"/>
    <w:rsid w:val="67C70996"/>
    <w:rsid w:val="67CA2EF6"/>
    <w:rsid w:val="67CB3049"/>
    <w:rsid w:val="67F15358"/>
    <w:rsid w:val="68736F1C"/>
    <w:rsid w:val="688B0A2A"/>
    <w:rsid w:val="68A164CE"/>
    <w:rsid w:val="68ED6FEF"/>
    <w:rsid w:val="69555AC9"/>
    <w:rsid w:val="6979382E"/>
    <w:rsid w:val="699F0FE3"/>
    <w:rsid w:val="69D168ED"/>
    <w:rsid w:val="69D634B6"/>
    <w:rsid w:val="69FF15C6"/>
    <w:rsid w:val="6A010FA4"/>
    <w:rsid w:val="6A162576"/>
    <w:rsid w:val="6A63495C"/>
    <w:rsid w:val="6AC16EF6"/>
    <w:rsid w:val="6AE1036D"/>
    <w:rsid w:val="6AF16C29"/>
    <w:rsid w:val="6B0023D3"/>
    <w:rsid w:val="6BB01E17"/>
    <w:rsid w:val="6BD870D4"/>
    <w:rsid w:val="6C083ECD"/>
    <w:rsid w:val="6C784F60"/>
    <w:rsid w:val="6C9E62EC"/>
    <w:rsid w:val="6CA32054"/>
    <w:rsid w:val="6CB15F4D"/>
    <w:rsid w:val="6CC1600A"/>
    <w:rsid w:val="6CE94A6C"/>
    <w:rsid w:val="6CF163E5"/>
    <w:rsid w:val="6D024605"/>
    <w:rsid w:val="6D140FEE"/>
    <w:rsid w:val="6D390B9E"/>
    <w:rsid w:val="6D4142E7"/>
    <w:rsid w:val="6D5E7D56"/>
    <w:rsid w:val="6D87324C"/>
    <w:rsid w:val="6D95551E"/>
    <w:rsid w:val="6DA27ACC"/>
    <w:rsid w:val="6DB02BA2"/>
    <w:rsid w:val="6DFE351E"/>
    <w:rsid w:val="6E0C7F17"/>
    <w:rsid w:val="6E2E5999"/>
    <w:rsid w:val="6EE5105C"/>
    <w:rsid w:val="6F021872"/>
    <w:rsid w:val="6F1F338C"/>
    <w:rsid w:val="6F24163D"/>
    <w:rsid w:val="6F2D45E9"/>
    <w:rsid w:val="6F2D7488"/>
    <w:rsid w:val="6F330CE4"/>
    <w:rsid w:val="6F943F61"/>
    <w:rsid w:val="6FAB69B9"/>
    <w:rsid w:val="70022FC2"/>
    <w:rsid w:val="703E5D1A"/>
    <w:rsid w:val="70512711"/>
    <w:rsid w:val="70F33611"/>
    <w:rsid w:val="70F73796"/>
    <w:rsid w:val="710870BC"/>
    <w:rsid w:val="71177155"/>
    <w:rsid w:val="714D0F73"/>
    <w:rsid w:val="71536AB4"/>
    <w:rsid w:val="717520A8"/>
    <w:rsid w:val="717E198A"/>
    <w:rsid w:val="71A74F10"/>
    <w:rsid w:val="724315AE"/>
    <w:rsid w:val="7255673D"/>
    <w:rsid w:val="727C60DF"/>
    <w:rsid w:val="728C6382"/>
    <w:rsid w:val="7323275A"/>
    <w:rsid w:val="73581226"/>
    <w:rsid w:val="736A2E9E"/>
    <w:rsid w:val="738D4A3C"/>
    <w:rsid w:val="739D44B5"/>
    <w:rsid w:val="74151D55"/>
    <w:rsid w:val="747F57CA"/>
    <w:rsid w:val="749A7F69"/>
    <w:rsid w:val="74B11819"/>
    <w:rsid w:val="74E00485"/>
    <w:rsid w:val="750C6A4F"/>
    <w:rsid w:val="753A696D"/>
    <w:rsid w:val="75450BB9"/>
    <w:rsid w:val="757D3906"/>
    <w:rsid w:val="759A4470"/>
    <w:rsid w:val="76165DD7"/>
    <w:rsid w:val="764C65E6"/>
    <w:rsid w:val="76631A40"/>
    <w:rsid w:val="76807097"/>
    <w:rsid w:val="76FC3A86"/>
    <w:rsid w:val="77040DFF"/>
    <w:rsid w:val="771460A9"/>
    <w:rsid w:val="771818DD"/>
    <w:rsid w:val="777F7315"/>
    <w:rsid w:val="781474DC"/>
    <w:rsid w:val="78187D06"/>
    <w:rsid w:val="781F2AEE"/>
    <w:rsid w:val="782347DB"/>
    <w:rsid w:val="78277471"/>
    <w:rsid w:val="7831145A"/>
    <w:rsid w:val="78673379"/>
    <w:rsid w:val="78731CE2"/>
    <w:rsid w:val="78E0626B"/>
    <w:rsid w:val="78E955D1"/>
    <w:rsid w:val="78F4719D"/>
    <w:rsid w:val="799A7EFC"/>
    <w:rsid w:val="79DD5495"/>
    <w:rsid w:val="7A2B1FDC"/>
    <w:rsid w:val="7A31764D"/>
    <w:rsid w:val="7A366584"/>
    <w:rsid w:val="7A516826"/>
    <w:rsid w:val="7A651918"/>
    <w:rsid w:val="7A7F2E8F"/>
    <w:rsid w:val="7ADC1DBC"/>
    <w:rsid w:val="7AE868E6"/>
    <w:rsid w:val="7B1C052F"/>
    <w:rsid w:val="7B364826"/>
    <w:rsid w:val="7B8E6410"/>
    <w:rsid w:val="7BB42543"/>
    <w:rsid w:val="7BDC717B"/>
    <w:rsid w:val="7BF5023D"/>
    <w:rsid w:val="7C7B5B9A"/>
    <w:rsid w:val="7CC920E9"/>
    <w:rsid w:val="7CEC5AE4"/>
    <w:rsid w:val="7D6E353D"/>
    <w:rsid w:val="7D714BF8"/>
    <w:rsid w:val="7D752C71"/>
    <w:rsid w:val="7D9648D2"/>
    <w:rsid w:val="7DC31396"/>
    <w:rsid w:val="7DE7331D"/>
    <w:rsid w:val="7E065A22"/>
    <w:rsid w:val="7E80705E"/>
    <w:rsid w:val="7F142A4D"/>
    <w:rsid w:val="7F261DE5"/>
    <w:rsid w:val="7F2A46A1"/>
    <w:rsid w:val="7F4E507A"/>
    <w:rsid w:val="7FA15148"/>
    <w:rsid w:val="7FEA27C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9" w:semiHidden="0" w:name="heading 7"/>
    <w:lsdException w:qFormat="1" w:uiPriority="9" w:name="heading 8"/>
    <w:lsdException w:qFormat="1" w:uiPriority="9" w:name="heading 9"/>
    <w:lsdException w:uiPriority="99" w:name="index 1"/>
    <w:lsdException w:uiPriority="99" w:name="index 2"/>
    <w:lsdException w:uiPriority="99" w:name="index 3"/>
    <w:lsdException w:qFormat="1"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qFormat="1" w:unhideWhenUsed="0" w:uiPriority="0" w:semiHidden="0" w:name="toc 9"/>
    <w:lsdException w:qFormat="1" w:unhideWhenUsed="0" w:uiPriority="0" w:semiHidden="0" w:name="Normal Indent"/>
    <w:lsdException w:uiPriority="99"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20" w:semiHidden="0" w:name="Emphasis"/>
    <w:lsdException w:qFormat="1" w:uiPriority="99" w:semiHidden="0" w:name="Document Map"/>
    <w:lsdException w:qFormat="1" w:unhideWhenUsed="0" w:uiPriority="0" w:semiHidden="0" w:name="Plain Text"/>
    <w:lsdException w:uiPriority="99" w:name="E-mail Signature"/>
    <w:lsdException w:qFormat="1" w:uiPriority="0" w:semiHidden="0" w:name="Normal (Web)"/>
    <w:lsdException w:uiPriority="99" w:name="HTML Acronym"/>
    <w:lsdException w:uiPriority="99" w:name="HTML Address"/>
    <w:lsdException w:qFormat="1" w:uiPriority="99" w:semiHidden="0" w:name="HTML Cite"/>
    <w:lsdException w:uiPriority="99" w:name="HTML Code"/>
    <w:lsdException w:uiPriority="99" w:name="HTML Definition"/>
    <w:lsdException w:uiPriority="99" w:name="HTML Keyboard"/>
    <w:lsdException w:qFormat="1" w:uiPriority="99" w:semiHidden="0" w:name="HTML Preformatted"/>
    <w:lsdException w:qFormat="1" w:uiPriority="99" w:name="HTML Sample"/>
    <w:lsdException w:uiPriority="99" w:name="HTML Typewriter"/>
    <w:lsdException w:uiPriority="99"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宋体" w:cs="Times New Roman"/>
      <w:kern w:val="2"/>
      <w:sz w:val="21"/>
      <w:szCs w:val="24"/>
      <w:lang w:val="en-US" w:eastAsia="zh-CN" w:bidi="ar-SA"/>
    </w:rPr>
  </w:style>
  <w:style w:type="paragraph" w:styleId="2">
    <w:name w:val="heading 1"/>
    <w:basedOn w:val="1"/>
    <w:next w:val="1"/>
    <w:link w:val="64"/>
    <w:qFormat/>
    <w:uiPriority w:val="0"/>
    <w:pPr>
      <w:keepNext/>
      <w:keepLines/>
      <w:numPr>
        <w:ilvl w:val="0"/>
        <w:numId w:val="1"/>
      </w:numPr>
      <w:snapToGrid w:val="0"/>
      <w:spacing w:line="400" w:lineRule="atLeast"/>
      <w:outlineLvl w:val="0"/>
    </w:pPr>
    <w:rPr>
      <w:rFonts w:ascii="宋体" w:eastAsia="黑体"/>
      <w:kern w:val="28"/>
      <w:sz w:val="28"/>
      <w:szCs w:val="20"/>
    </w:rPr>
  </w:style>
  <w:style w:type="paragraph" w:styleId="3">
    <w:name w:val="heading 2"/>
    <w:basedOn w:val="1"/>
    <w:next w:val="1"/>
    <w:link w:val="69"/>
    <w:qFormat/>
    <w:uiPriority w:val="0"/>
    <w:pPr>
      <w:numPr>
        <w:ilvl w:val="1"/>
        <w:numId w:val="1"/>
      </w:numPr>
      <w:tabs>
        <w:tab w:val="left" w:pos="425"/>
      </w:tabs>
      <w:snapToGrid w:val="0"/>
      <w:spacing w:line="360" w:lineRule="auto"/>
      <w:outlineLvl w:val="1"/>
    </w:pPr>
    <w:rPr>
      <w:rFonts w:ascii="宋体"/>
      <w:sz w:val="28"/>
      <w:szCs w:val="20"/>
    </w:rPr>
  </w:style>
  <w:style w:type="paragraph" w:styleId="4">
    <w:name w:val="heading 3"/>
    <w:basedOn w:val="1"/>
    <w:next w:val="1"/>
    <w:link w:val="77"/>
    <w:qFormat/>
    <w:uiPriority w:val="0"/>
    <w:pPr>
      <w:tabs>
        <w:tab w:val="left" w:pos="425"/>
        <w:tab w:val="left" w:pos="720"/>
        <w:tab w:val="left" w:pos="1985"/>
        <w:tab w:val="left" w:pos="7088"/>
      </w:tabs>
      <w:outlineLvl w:val="2"/>
    </w:pPr>
  </w:style>
  <w:style w:type="paragraph" w:styleId="5">
    <w:name w:val="heading 4"/>
    <w:basedOn w:val="1"/>
    <w:next w:val="1"/>
    <w:link w:val="72"/>
    <w:qFormat/>
    <w:uiPriority w:val="0"/>
    <w:pPr>
      <w:keepNext/>
      <w:keepLines/>
      <w:spacing w:before="280" w:after="290" w:line="376" w:lineRule="auto"/>
      <w:outlineLvl w:val="3"/>
    </w:pPr>
    <w:rPr>
      <w:rFonts w:ascii="Calibri Light" w:hAnsi="Calibri Light"/>
      <w:b/>
      <w:bCs/>
      <w:kern w:val="0"/>
      <w:sz w:val="28"/>
      <w:szCs w:val="28"/>
    </w:rPr>
  </w:style>
  <w:style w:type="paragraph" w:styleId="6">
    <w:name w:val="heading 5"/>
    <w:basedOn w:val="1"/>
    <w:next w:val="1"/>
    <w:link w:val="75"/>
    <w:qFormat/>
    <w:uiPriority w:val="0"/>
    <w:pPr>
      <w:keepNext/>
      <w:keepLines/>
      <w:spacing w:before="280" w:after="290" w:line="376" w:lineRule="auto"/>
      <w:outlineLvl w:val="4"/>
    </w:pPr>
    <w:rPr>
      <w:b/>
      <w:bCs/>
      <w:kern w:val="0"/>
      <w:sz w:val="28"/>
      <w:szCs w:val="28"/>
    </w:rPr>
  </w:style>
  <w:style w:type="paragraph" w:styleId="7">
    <w:name w:val="heading 6"/>
    <w:basedOn w:val="1"/>
    <w:next w:val="1"/>
    <w:link w:val="68"/>
    <w:qFormat/>
    <w:uiPriority w:val="0"/>
    <w:pPr>
      <w:keepNext/>
      <w:keepLines/>
      <w:spacing w:before="240" w:after="64" w:line="320" w:lineRule="auto"/>
      <w:outlineLvl w:val="5"/>
    </w:pPr>
    <w:rPr>
      <w:rFonts w:ascii="Calibri Light" w:hAnsi="Calibri Light"/>
      <w:b/>
      <w:bCs/>
      <w:kern w:val="0"/>
      <w:sz w:val="24"/>
    </w:rPr>
  </w:style>
  <w:style w:type="paragraph" w:styleId="8">
    <w:name w:val="heading 7"/>
    <w:basedOn w:val="1"/>
    <w:next w:val="1"/>
    <w:link w:val="85"/>
    <w:qFormat/>
    <w:uiPriority w:val="9"/>
    <w:pPr>
      <w:keepNext/>
      <w:keepLines/>
      <w:spacing w:before="240" w:after="64" w:line="320" w:lineRule="auto"/>
      <w:outlineLvl w:val="6"/>
    </w:pPr>
    <w:rPr>
      <w:b/>
      <w:bCs/>
      <w:sz w:val="24"/>
    </w:rPr>
  </w:style>
  <w:style w:type="character" w:default="1" w:styleId="38">
    <w:name w:val="Default Paragraph Font"/>
    <w:semiHidden/>
    <w:unhideWhenUsed/>
    <w:qFormat/>
    <w:uiPriority w:val="1"/>
  </w:style>
  <w:style w:type="table" w:default="1" w:styleId="36">
    <w:name w:val="Normal Table"/>
    <w:semiHidden/>
    <w:unhideWhenUsed/>
    <w:qFormat/>
    <w:uiPriority w:val="99"/>
    <w:tblPr>
      <w:tblCellMar>
        <w:top w:w="0" w:type="dxa"/>
        <w:left w:w="108" w:type="dxa"/>
        <w:bottom w:w="0" w:type="dxa"/>
        <w:right w:w="108" w:type="dxa"/>
      </w:tblCellMar>
    </w:tblPr>
  </w:style>
  <w:style w:type="paragraph" w:styleId="9">
    <w:name w:val="Normal Indent"/>
    <w:basedOn w:val="1"/>
    <w:link w:val="117"/>
    <w:qFormat/>
    <w:uiPriority w:val="0"/>
    <w:pPr>
      <w:ind w:firstLine="420" w:firstLineChars="200"/>
    </w:pPr>
  </w:style>
  <w:style w:type="paragraph" w:styleId="10">
    <w:name w:val="Document Map"/>
    <w:basedOn w:val="1"/>
    <w:link w:val="70"/>
    <w:unhideWhenUsed/>
    <w:qFormat/>
    <w:uiPriority w:val="99"/>
    <w:rPr>
      <w:rFonts w:ascii="Microsoft YaHei UI" w:eastAsia="Microsoft YaHei UI"/>
      <w:kern w:val="0"/>
      <w:sz w:val="18"/>
      <w:szCs w:val="18"/>
    </w:rPr>
  </w:style>
  <w:style w:type="paragraph" w:styleId="11">
    <w:name w:val="annotation text"/>
    <w:basedOn w:val="1"/>
    <w:link w:val="86"/>
    <w:qFormat/>
    <w:uiPriority w:val="99"/>
    <w:rPr>
      <w:kern w:val="0"/>
      <w:sz w:val="20"/>
    </w:rPr>
  </w:style>
  <w:style w:type="paragraph" w:styleId="12">
    <w:name w:val="Body Text"/>
    <w:basedOn w:val="1"/>
    <w:next w:val="13"/>
    <w:link w:val="79"/>
    <w:qFormat/>
    <w:uiPriority w:val="0"/>
    <w:pPr>
      <w:spacing w:after="120"/>
    </w:pPr>
    <w:rPr>
      <w:kern w:val="0"/>
      <w:sz w:val="20"/>
    </w:rPr>
  </w:style>
  <w:style w:type="paragraph" w:customStyle="1" w:styleId="13">
    <w:name w:val="一级条标题"/>
    <w:basedOn w:val="14"/>
    <w:next w:val="15"/>
    <w:link w:val="102"/>
    <w:qFormat/>
    <w:uiPriority w:val="0"/>
    <w:pPr>
      <w:tabs>
        <w:tab w:val="left" w:pos="720"/>
      </w:tabs>
      <w:spacing w:beforeLines="0" w:afterLines="0"/>
      <w:outlineLvl w:val="2"/>
    </w:pPr>
  </w:style>
  <w:style w:type="paragraph" w:customStyle="1" w:styleId="14">
    <w:name w:val="章标题"/>
    <w:next w:val="1"/>
    <w:link w:val="101"/>
    <w:qFormat/>
    <w:uiPriority w:val="0"/>
    <w:pPr>
      <w:tabs>
        <w:tab w:val="left" w:pos="720"/>
      </w:tabs>
      <w:spacing w:beforeLines="50" w:afterLines="50"/>
      <w:ind w:left="567" w:hanging="567"/>
      <w:jc w:val="both"/>
      <w:outlineLvl w:val="1"/>
    </w:pPr>
    <w:rPr>
      <w:rFonts w:ascii="黑体" w:hAnsi="Calibri" w:eastAsia="黑体" w:cs="Times New Roman"/>
      <w:sz w:val="21"/>
      <w:lang w:val="en-US" w:eastAsia="zh-CN" w:bidi="ar-SA"/>
    </w:rPr>
  </w:style>
  <w:style w:type="paragraph" w:customStyle="1" w:styleId="15">
    <w:name w:val="段"/>
    <w:next w:val="1"/>
    <w:link w:val="96"/>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styleId="16">
    <w:name w:val="Body Text Indent"/>
    <w:basedOn w:val="1"/>
    <w:link w:val="88"/>
    <w:qFormat/>
    <w:uiPriority w:val="0"/>
    <w:pPr>
      <w:tabs>
        <w:tab w:val="left" w:pos="2160"/>
      </w:tabs>
      <w:ind w:left="2159" w:leftChars="1028" w:firstLine="1"/>
    </w:pPr>
    <w:rPr>
      <w:rFonts w:ascii="宋体" w:hAnsi="宋体"/>
      <w:kern w:val="0"/>
      <w:sz w:val="20"/>
      <w:szCs w:val="21"/>
    </w:rPr>
  </w:style>
  <w:style w:type="paragraph" w:styleId="17">
    <w:name w:val="index 4"/>
    <w:basedOn w:val="1"/>
    <w:next w:val="1"/>
    <w:semiHidden/>
    <w:unhideWhenUsed/>
    <w:qFormat/>
    <w:uiPriority w:val="99"/>
    <w:pPr>
      <w:ind w:left="600" w:leftChars="600"/>
    </w:pPr>
  </w:style>
  <w:style w:type="paragraph" w:styleId="18">
    <w:name w:val="toc 3"/>
    <w:basedOn w:val="1"/>
    <w:next w:val="1"/>
    <w:unhideWhenUsed/>
    <w:qFormat/>
    <w:uiPriority w:val="39"/>
    <w:pPr>
      <w:spacing w:after="100" w:line="259" w:lineRule="auto"/>
      <w:ind w:left="440"/>
    </w:pPr>
    <w:rPr>
      <w:rFonts w:ascii="Calibri" w:hAnsi="Calibri"/>
      <w:kern w:val="0"/>
      <w:sz w:val="22"/>
      <w:szCs w:val="22"/>
    </w:rPr>
  </w:style>
  <w:style w:type="paragraph" w:styleId="19">
    <w:name w:val="Plain Text"/>
    <w:basedOn w:val="1"/>
    <w:link w:val="81"/>
    <w:qFormat/>
    <w:uiPriority w:val="0"/>
    <w:rPr>
      <w:rFonts w:ascii="宋体" w:hAnsi="Courier New"/>
      <w:kern w:val="0"/>
      <w:sz w:val="20"/>
      <w:szCs w:val="20"/>
    </w:rPr>
  </w:style>
  <w:style w:type="paragraph" w:styleId="20">
    <w:name w:val="Date"/>
    <w:basedOn w:val="1"/>
    <w:next w:val="1"/>
    <w:link w:val="89"/>
    <w:qFormat/>
    <w:uiPriority w:val="0"/>
    <w:pPr>
      <w:ind w:left="100" w:leftChars="2500"/>
    </w:pPr>
    <w:rPr>
      <w:kern w:val="0"/>
      <w:sz w:val="20"/>
    </w:rPr>
  </w:style>
  <w:style w:type="paragraph" w:styleId="21">
    <w:name w:val="Body Text Indent 2"/>
    <w:basedOn w:val="1"/>
    <w:qFormat/>
    <w:uiPriority w:val="0"/>
    <w:pPr>
      <w:ind w:firstLine="360"/>
    </w:pPr>
  </w:style>
  <w:style w:type="paragraph" w:styleId="22">
    <w:name w:val="Balloon Text"/>
    <w:basedOn w:val="1"/>
    <w:link w:val="66"/>
    <w:qFormat/>
    <w:uiPriority w:val="99"/>
    <w:rPr>
      <w:kern w:val="0"/>
      <w:sz w:val="18"/>
      <w:szCs w:val="18"/>
    </w:rPr>
  </w:style>
  <w:style w:type="paragraph" w:styleId="23">
    <w:name w:val="footer"/>
    <w:basedOn w:val="1"/>
    <w:link w:val="65"/>
    <w:qFormat/>
    <w:uiPriority w:val="0"/>
    <w:pPr>
      <w:tabs>
        <w:tab w:val="center" w:pos="4153"/>
        <w:tab w:val="right" w:pos="8306"/>
      </w:tabs>
      <w:snapToGrid w:val="0"/>
    </w:pPr>
    <w:rPr>
      <w:kern w:val="0"/>
      <w:sz w:val="18"/>
      <w:szCs w:val="20"/>
    </w:rPr>
  </w:style>
  <w:style w:type="paragraph" w:styleId="24">
    <w:name w:val="header"/>
    <w:basedOn w:val="1"/>
    <w:link w:val="84"/>
    <w:qFormat/>
    <w:uiPriority w:val="0"/>
    <w:pPr>
      <w:pBdr>
        <w:bottom w:val="single" w:color="auto" w:sz="6" w:space="1"/>
      </w:pBdr>
      <w:tabs>
        <w:tab w:val="center" w:pos="4153"/>
        <w:tab w:val="right" w:pos="8306"/>
      </w:tabs>
      <w:snapToGrid w:val="0"/>
      <w:jc w:val="center"/>
    </w:pPr>
    <w:rPr>
      <w:kern w:val="0"/>
      <w:sz w:val="18"/>
      <w:szCs w:val="20"/>
    </w:rPr>
  </w:style>
  <w:style w:type="paragraph" w:styleId="25">
    <w:name w:val="toc 1"/>
    <w:basedOn w:val="1"/>
    <w:next w:val="1"/>
    <w:qFormat/>
    <w:uiPriority w:val="39"/>
    <w:pPr>
      <w:tabs>
        <w:tab w:val="right" w:leader="dot" w:pos="8296"/>
      </w:tabs>
    </w:pPr>
  </w:style>
  <w:style w:type="paragraph" w:styleId="26">
    <w:name w:val="Subtitle"/>
    <w:basedOn w:val="1"/>
    <w:next w:val="1"/>
    <w:link w:val="71"/>
    <w:qFormat/>
    <w:uiPriority w:val="0"/>
    <w:pPr>
      <w:spacing w:before="240" w:after="60" w:line="312" w:lineRule="auto"/>
      <w:jc w:val="center"/>
      <w:outlineLvl w:val="1"/>
    </w:pPr>
    <w:rPr>
      <w:rFonts w:ascii="Calibri Light" w:hAnsi="Calibri Light"/>
      <w:b/>
      <w:bCs/>
      <w:kern w:val="28"/>
      <w:sz w:val="32"/>
      <w:szCs w:val="32"/>
    </w:rPr>
  </w:style>
  <w:style w:type="paragraph" w:styleId="27">
    <w:name w:val="Body Text Indent 3"/>
    <w:basedOn w:val="1"/>
    <w:link w:val="67"/>
    <w:qFormat/>
    <w:uiPriority w:val="0"/>
    <w:pPr>
      <w:spacing w:after="120"/>
      <w:ind w:left="420" w:leftChars="200"/>
    </w:pPr>
    <w:rPr>
      <w:kern w:val="0"/>
      <w:sz w:val="16"/>
      <w:szCs w:val="16"/>
    </w:rPr>
  </w:style>
  <w:style w:type="paragraph" w:styleId="28">
    <w:name w:val="toc 2"/>
    <w:basedOn w:val="1"/>
    <w:next w:val="1"/>
    <w:unhideWhenUsed/>
    <w:qFormat/>
    <w:uiPriority w:val="39"/>
    <w:pPr>
      <w:spacing w:after="100" w:line="259" w:lineRule="auto"/>
      <w:ind w:left="220"/>
    </w:pPr>
    <w:rPr>
      <w:rFonts w:ascii="Calibri" w:hAnsi="Calibri"/>
      <w:kern w:val="0"/>
      <w:sz w:val="22"/>
      <w:szCs w:val="22"/>
    </w:rPr>
  </w:style>
  <w:style w:type="paragraph" w:styleId="29">
    <w:name w:val="toc 9"/>
    <w:basedOn w:val="1"/>
    <w:next w:val="1"/>
    <w:qFormat/>
    <w:uiPriority w:val="0"/>
    <w:pPr>
      <w:ind w:left="3360" w:leftChars="1600"/>
    </w:pPr>
  </w:style>
  <w:style w:type="paragraph" w:styleId="30">
    <w:name w:val="HTML Preformatted"/>
    <w:basedOn w:val="1"/>
    <w:link w:val="108"/>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宋体" w:hAnsi="宋体"/>
      <w:kern w:val="0"/>
      <w:sz w:val="24"/>
    </w:rPr>
  </w:style>
  <w:style w:type="paragraph" w:styleId="31">
    <w:name w:val="Normal (Web)"/>
    <w:basedOn w:val="1"/>
    <w:unhideWhenUsed/>
    <w:qFormat/>
    <w:uiPriority w:val="0"/>
    <w:pPr>
      <w:spacing w:before="100" w:beforeAutospacing="1" w:after="100" w:afterAutospacing="1"/>
    </w:pPr>
    <w:rPr>
      <w:rFonts w:ascii="宋体" w:hAnsi="宋体" w:cs="宋体"/>
      <w:kern w:val="0"/>
      <w:sz w:val="24"/>
    </w:rPr>
  </w:style>
  <w:style w:type="paragraph" w:styleId="32">
    <w:name w:val="Title"/>
    <w:basedOn w:val="1"/>
    <w:next w:val="1"/>
    <w:link w:val="87"/>
    <w:qFormat/>
    <w:uiPriority w:val="0"/>
    <w:pPr>
      <w:spacing w:before="240" w:after="60"/>
      <w:jc w:val="center"/>
      <w:outlineLvl w:val="0"/>
    </w:pPr>
    <w:rPr>
      <w:rFonts w:ascii="Cambria" w:hAnsi="Cambria"/>
      <w:b/>
      <w:bCs/>
      <w:kern w:val="0"/>
      <w:sz w:val="36"/>
      <w:szCs w:val="32"/>
    </w:rPr>
  </w:style>
  <w:style w:type="paragraph" w:styleId="33">
    <w:name w:val="annotation subject"/>
    <w:basedOn w:val="11"/>
    <w:next w:val="11"/>
    <w:link w:val="63"/>
    <w:qFormat/>
    <w:uiPriority w:val="99"/>
    <w:rPr>
      <w:b/>
      <w:bCs/>
    </w:rPr>
  </w:style>
  <w:style w:type="paragraph" w:styleId="34">
    <w:name w:val="Body Text First Indent"/>
    <w:basedOn w:val="12"/>
    <w:next w:val="1"/>
    <w:link w:val="78"/>
    <w:qFormat/>
    <w:uiPriority w:val="0"/>
    <w:pPr>
      <w:ind w:firstLine="420" w:firstLineChars="100"/>
    </w:pPr>
  </w:style>
  <w:style w:type="paragraph" w:styleId="35">
    <w:name w:val="Body Text First Indent 2"/>
    <w:basedOn w:val="16"/>
    <w:qFormat/>
    <w:uiPriority w:val="0"/>
    <w:pPr>
      <w:ind w:firstLine="420" w:firstLineChars="200"/>
    </w:pPr>
    <w:rPr>
      <w:rFonts w:ascii="Times New Roman" w:hAnsi="Times New Roman"/>
    </w:rPr>
  </w:style>
  <w:style w:type="table" w:styleId="37">
    <w:name w:val="Table Grid"/>
    <w:basedOn w:val="36"/>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9">
    <w:name w:val="Strong"/>
    <w:qFormat/>
    <w:uiPriority w:val="0"/>
    <w:rPr>
      <w:b/>
      <w:bCs/>
    </w:rPr>
  </w:style>
  <w:style w:type="character" w:styleId="40">
    <w:name w:val="page number"/>
    <w:qFormat/>
    <w:uiPriority w:val="0"/>
  </w:style>
  <w:style w:type="character" w:styleId="41">
    <w:name w:val="FollowedHyperlink"/>
    <w:qFormat/>
    <w:uiPriority w:val="99"/>
    <w:rPr>
      <w:color w:val="0000FF"/>
      <w:u w:val="single"/>
    </w:rPr>
  </w:style>
  <w:style w:type="character" w:styleId="42">
    <w:name w:val="Emphasis"/>
    <w:qFormat/>
    <w:uiPriority w:val="20"/>
    <w:rPr>
      <w:i/>
      <w:iCs/>
    </w:rPr>
  </w:style>
  <w:style w:type="character" w:styleId="43">
    <w:name w:val="Hyperlink"/>
    <w:qFormat/>
    <w:uiPriority w:val="99"/>
    <w:rPr>
      <w:color w:val="000099"/>
      <w:u w:val="none"/>
    </w:rPr>
  </w:style>
  <w:style w:type="character" w:styleId="44">
    <w:name w:val="annotation reference"/>
    <w:qFormat/>
    <w:uiPriority w:val="99"/>
    <w:rPr>
      <w:sz w:val="21"/>
      <w:szCs w:val="21"/>
    </w:rPr>
  </w:style>
  <w:style w:type="character" w:styleId="45">
    <w:name w:val="HTML Cite"/>
    <w:unhideWhenUsed/>
    <w:qFormat/>
    <w:uiPriority w:val="99"/>
    <w:rPr>
      <w:color w:val="008000"/>
    </w:rPr>
  </w:style>
  <w:style w:type="character" w:styleId="46">
    <w:name w:val="HTML Sample"/>
    <w:basedOn w:val="38"/>
    <w:semiHidden/>
    <w:unhideWhenUsed/>
    <w:qFormat/>
    <w:uiPriority w:val="99"/>
    <w:rPr>
      <w:rFonts w:ascii="Courier New" w:hAnsi="Courier New"/>
    </w:rPr>
  </w:style>
  <w:style w:type="paragraph" w:customStyle="1" w:styleId="47">
    <w:name w:val="_Style 0"/>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48">
    <w:name w:val="正文_0_0"/>
    <w:qFormat/>
    <w:uiPriority w:val="0"/>
    <w:pPr>
      <w:widowControl w:val="0"/>
      <w:spacing w:line="360" w:lineRule="auto"/>
      <w:jc w:val="both"/>
    </w:pPr>
    <w:rPr>
      <w:rFonts w:ascii="Times New Roman" w:hAnsi="Times New Roman" w:eastAsia="宋体" w:cs="Times New Roman"/>
      <w:kern w:val="2"/>
      <w:sz w:val="21"/>
      <w:szCs w:val="24"/>
      <w:lang w:val="en-US" w:eastAsia="zh-CN" w:bidi="ar-SA"/>
    </w:rPr>
  </w:style>
  <w:style w:type="paragraph" w:customStyle="1" w:styleId="49">
    <w:name w:val="3"/>
    <w:basedOn w:val="1"/>
    <w:qFormat/>
    <w:uiPriority w:val="34"/>
    <w:pPr>
      <w:ind w:firstLine="420" w:firstLineChars="200"/>
    </w:pPr>
  </w:style>
  <w:style w:type="paragraph" w:customStyle="1" w:styleId="50">
    <w:name w:val="xl54"/>
    <w:basedOn w:val="1"/>
    <w:qFormat/>
    <w:uiPriority w:val="0"/>
    <w:pPr>
      <w:pBdr>
        <w:left w:val="single" w:color="auto" w:sz="4" w:space="0"/>
        <w:right w:val="single" w:color="auto" w:sz="4" w:space="0"/>
      </w:pBdr>
      <w:spacing w:before="100" w:beforeAutospacing="1" w:after="100" w:afterAutospacing="1"/>
      <w:jc w:val="center"/>
      <w:textAlignment w:val="center"/>
    </w:pPr>
    <w:rPr>
      <w:rFonts w:ascii="Arial" w:hAnsi="Arial" w:eastAsia="Arial Unicode MS" w:cs="Arial"/>
      <w:b/>
      <w:bCs/>
      <w:kern w:val="0"/>
      <w:sz w:val="20"/>
      <w:szCs w:val="20"/>
    </w:rPr>
  </w:style>
  <w:style w:type="paragraph" w:customStyle="1" w:styleId="51">
    <w:name w:val="_Style 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2">
    <w:name w:val="2"/>
    <w:link w:val="83"/>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53">
    <w:name w:val="xl52"/>
    <w:basedOn w:val="1"/>
    <w:qFormat/>
    <w:uiPriority w:val="0"/>
    <w:pPr>
      <w:spacing w:before="100" w:beforeAutospacing="1" w:after="100" w:afterAutospacing="1"/>
      <w:jc w:val="center"/>
      <w:textAlignment w:val="top"/>
    </w:pPr>
    <w:rPr>
      <w:kern w:val="0"/>
      <w:sz w:val="20"/>
      <w:szCs w:val="20"/>
    </w:rPr>
  </w:style>
  <w:style w:type="paragraph" w:customStyle="1" w:styleId="54">
    <w:name w:val="Table Text Char Char"/>
    <w:qFormat/>
    <w:uiPriority w:val="0"/>
    <w:pPr>
      <w:snapToGrid w:val="0"/>
      <w:spacing w:before="80" w:after="80"/>
    </w:pPr>
    <w:rPr>
      <w:rFonts w:ascii="Arial" w:hAnsi="Arial" w:eastAsia="宋体" w:cs="Arial"/>
      <w:sz w:val="18"/>
      <w:szCs w:val="18"/>
      <w:lang w:val="en-US" w:eastAsia="zh-CN" w:bidi="ar-SA"/>
    </w:rPr>
  </w:style>
  <w:style w:type="paragraph" w:customStyle="1" w:styleId="55">
    <w:name w:val="_Style 3"/>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56">
    <w:name w:val="Char1"/>
    <w:basedOn w:val="10"/>
    <w:qFormat/>
    <w:uiPriority w:val="0"/>
    <w:pPr>
      <w:shd w:val="clear" w:color="auto" w:fill="000080"/>
    </w:pPr>
    <w:rPr>
      <w:rFonts w:ascii="Times New Roman" w:eastAsia="宋体"/>
      <w:sz w:val="21"/>
      <w:szCs w:val="20"/>
      <w:shd w:val="clear" w:color="auto" w:fill="000080"/>
    </w:rPr>
  </w:style>
  <w:style w:type="paragraph" w:customStyle="1" w:styleId="57">
    <w:name w:val="Table Text"/>
    <w:basedOn w:val="1"/>
    <w:qFormat/>
    <w:uiPriority w:val="0"/>
    <w:pPr>
      <w:tabs>
        <w:tab w:val="decimal" w:pos="0"/>
      </w:tabs>
      <w:autoSpaceDE w:val="0"/>
      <w:autoSpaceDN w:val="0"/>
      <w:adjustRightInd w:val="0"/>
      <w:spacing w:before="80" w:after="80"/>
    </w:pPr>
    <w:rPr>
      <w:rFonts w:ascii="Arial" w:hAnsi="Arial"/>
      <w:kern w:val="0"/>
      <w:sz w:val="18"/>
      <w:szCs w:val="20"/>
    </w:rPr>
  </w:style>
  <w:style w:type="paragraph" w:customStyle="1" w:styleId="58">
    <w:name w:val="列出段落111"/>
    <w:basedOn w:val="1"/>
    <w:qFormat/>
    <w:uiPriority w:val="0"/>
    <w:pPr>
      <w:ind w:firstLine="420" w:firstLineChars="200"/>
    </w:pPr>
    <w:rPr>
      <w:rFonts w:ascii="Calibri" w:hAnsi="Calibri"/>
      <w:sz w:val="28"/>
    </w:rPr>
  </w:style>
  <w:style w:type="paragraph" w:customStyle="1" w:styleId="59">
    <w:name w:val="样式1"/>
    <w:basedOn w:val="1"/>
    <w:qFormat/>
    <w:uiPriority w:val="0"/>
    <w:rPr>
      <w:rFonts w:eastAsia="仿宋_GB2312"/>
      <w:kern w:val="0"/>
      <w:sz w:val="32"/>
      <w:szCs w:val="20"/>
    </w:rPr>
  </w:style>
  <w:style w:type="paragraph" w:customStyle="1" w:styleId="60">
    <w:name w:val="1"/>
    <w:basedOn w:val="2"/>
    <w:next w:val="1"/>
    <w:qFormat/>
    <w:uiPriority w:val="39"/>
    <w:pPr>
      <w:numPr>
        <w:numId w:val="0"/>
      </w:numPr>
      <w:snapToGrid/>
      <w:spacing w:before="240" w:line="259" w:lineRule="auto"/>
      <w:outlineLvl w:val="9"/>
    </w:pPr>
    <w:rPr>
      <w:rFonts w:ascii="Calibri Light" w:hAnsi="Calibri Light" w:eastAsia="宋体"/>
      <w:color w:val="2E74B5"/>
      <w:kern w:val="0"/>
      <w:sz w:val="32"/>
      <w:szCs w:val="32"/>
    </w:rPr>
  </w:style>
  <w:style w:type="paragraph" w:customStyle="1" w:styleId="61">
    <w:name w:val="列出段落11"/>
    <w:basedOn w:val="1"/>
    <w:qFormat/>
    <w:uiPriority w:val="0"/>
    <w:pPr>
      <w:ind w:firstLine="420" w:firstLineChars="200"/>
    </w:pPr>
  </w:style>
  <w:style w:type="paragraph" w:customStyle="1" w:styleId="62">
    <w:name w:val="正文_0"/>
    <w:qFormat/>
    <w:uiPriority w:val="0"/>
    <w:pPr>
      <w:widowControl w:val="0"/>
      <w:spacing w:line="360" w:lineRule="auto"/>
      <w:jc w:val="both"/>
    </w:pPr>
    <w:rPr>
      <w:rFonts w:ascii="Times New Roman" w:hAnsi="Times New Roman" w:eastAsia="宋体" w:cs="Times New Roman"/>
      <w:kern w:val="2"/>
      <w:sz w:val="21"/>
      <w:szCs w:val="24"/>
      <w:lang w:val="en-US" w:eastAsia="zh-CN" w:bidi="ar-SA"/>
    </w:rPr>
  </w:style>
  <w:style w:type="character" w:customStyle="1" w:styleId="63">
    <w:name w:val="批注主题 Char1"/>
    <w:link w:val="33"/>
    <w:qFormat/>
    <w:uiPriority w:val="99"/>
    <w:rPr>
      <w:rFonts w:ascii="Times New Roman" w:hAnsi="Times New Roman" w:eastAsia="宋体" w:cs="Times New Roman"/>
      <w:b/>
      <w:bCs/>
      <w:szCs w:val="24"/>
    </w:rPr>
  </w:style>
  <w:style w:type="character" w:customStyle="1" w:styleId="64">
    <w:name w:val="标题 1 Char"/>
    <w:link w:val="2"/>
    <w:qFormat/>
    <w:uiPriority w:val="0"/>
    <w:rPr>
      <w:rFonts w:ascii="宋体" w:eastAsia="黑体"/>
      <w:kern w:val="28"/>
      <w:sz w:val="28"/>
    </w:rPr>
  </w:style>
  <w:style w:type="character" w:customStyle="1" w:styleId="65">
    <w:name w:val="页脚 Char"/>
    <w:link w:val="23"/>
    <w:qFormat/>
    <w:uiPriority w:val="99"/>
    <w:rPr>
      <w:rFonts w:ascii="Times New Roman" w:hAnsi="Times New Roman" w:eastAsia="宋体" w:cs="Times New Roman"/>
      <w:sz w:val="18"/>
      <w:szCs w:val="20"/>
    </w:rPr>
  </w:style>
  <w:style w:type="character" w:customStyle="1" w:styleId="66">
    <w:name w:val="批注框文本 Char"/>
    <w:link w:val="22"/>
    <w:qFormat/>
    <w:uiPriority w:val="99"/>
    <w:rPr>
      <w:rFonts w:ascii="Times New Roman" w:hAnsi="Times New Roman" w:eastAsia="宋体" w:cs="Times New Roman"/>
      <w:sz w:val="18"/>
      <w:szCs w:val="18"/>
    </w:rPr>
  </w:style>
  <w:style w:type="character" w:customStyle="1" w:styleId="67">
    <w:name w:val="正文文本缩进 3 Char"/>
    <w:link w:val="27"/>
    <w:qFormat/>
    <w:uiPriority w:val="0"/>
    <w:rPr>
      <w:rFonts w:ascii="Times New Roman" w:hAnsi="Times New Roman" w:eastAsia="宋体" w:cs="Times New Roman"/>
      <w:sz w:val="16"/>
      <w:szCs w:val="16"/>
    </w:rPr>
  </w:style>
  <w:style w:type="character" w:customStyle="1" w:styleId="68">
    <w:name w:val="标题 6 Char"/>
    <w:link w:val="7"/>
    <w:qFormat/>
    <w:uiPriority w:val="0"/>
    <w:rPr>
      <w:rFonts w:ascii="Calibri Light" w:hAnsi="Calibri Light" w:eastAsia="宋体" w:cs="Times New Roman"/>
      <w:b/>
      <w:bCs/>
      <w:sz w:val="24"/>
      <w:szCs w:val="24"/>
    </w:rPr>
  </w:style>
  <w:style w:type="character" w:customStyle="1" w:styleId="69">
    <w:name w:val="标题 2 Char"/>
    <w:link w:val="3"/>
    <w:qFormat/>
    <w:uiPriority w:val="0"/>
    <w:rPr>
      <w:rFonts w:ascii="宋体"/>
      <w:kern w:val="2"/>
      <w:sz w:val="28"/>
    </w:rPr>
  </w:style>
  <w:style w:type="character" w:customStyle="1" w:styleId="70">
    <w:name w:val="文档结构图 Char"/>
    <w:link w:val="10"/>
    <w:semiHidden/>
    <w:qFormat/>
    <w:uiPriority w:val="99"/>
    <w:rPr>
      <w:rFonts w:ascii="Microsoft YaHei UI" w:hAnsi="Times New Roman" w:eastAsia="Microsoft YaHei UI" w:cs="Times New Roman"/>
      <w:sz w:val="18"/>
      <w:szCs w:val="18"/>
    </w:rPr>
  </w:style>
  <w:style w:type="character" w:customStyle="1" w:styleId="71">
    <w:name w:val="副标题 Char"/>
    <w:link w:val="26"/>
    <w:qFormat/>
    <w:uiPriority w:val="0"/>
    <w:rPr>
      <w:rFonts w:ascii="Calibri Light" w:hAnsi="Calibri Light" w:eastAsia="宋体" w:cs="Times New Roman"/>
      <w:b/>
      <w:bCs/>
      <w:kern w:val="28"/>
      <w:sz w:val="32"/>
      <w:szCs w:val="32"/>
    </w:rPr>
  </w:style>
  <w:style w:type="character" w:customStyle="1" w:styleId="72">
    <w:name w:val="标题 4 Char"/>
    <w:link w:val="5"/>
    <w:qFormat/>
    <w:uiPriority w:val="0"/>
    <w:rPr>
      <w:rFonts w:ascii="Calibri Light" w:hAnsi="Calibri Light" w:eastAsia="宋体" w:cs="Times New Roman"/>
      <w:b/>
      <w:bCs/>
      <w:sz w:val="28"/>
      <w:szCs w:val="28"/>
    </w:rPr>
  </w:style>
  <w:style w:type="character" w:customStyle="1" w:styleId="73">
    <w:name w:val="标题 Char1"/>
    <w:qFormat/>
    <w:uiPriority w:val="0"/>
    <w:rPr>
      <w:rFonts w:ascii="Calibri Light" w:hAnsi="Calibri Light" w:eastAsia="宋体" w:cs="Times New Roman"/>
      <w:b/>
      <w:bCs/>
      <w:sz w:val="32"/>
      <w:szCs w:val="32"/>
    </w:rPr>
  </w:style>
  <w:style w:type="character" w:customStyle="1" w:styleId="74">
    <w:name w:val="批注文字 Char"/>
    <w:qFormat/>
    <w:uiPriority w:val="99"/>
    <w:rPr>
      <w:rFonts w:ascii="Times New Roman" w:hAnsi="Times New Roman" w:eastAsia="宋体" w:cs="Times New Roman"/>
      <w:szCs w:val="24"/>
    </w:rPr>
  </w:style>
  <w:style w:type="character" w:customStyle="1" w:styleId="75">
    <w:name w:val="标题 5 Char"/>
    <w:link w:val="6"/>
    <w:qFormat/>
    <w:uiPriority w:val="0"/>
    <w:rPr>
      <w:rFonts w:ascii="Times New Roman" w:hAnsi="Times New Roman" w:eastAsia="宋体" w:cs="Times New Roman"/>
      <w:b/>
      <w:bCs/>
      <w:sz w:val="28"/>
      <w:szCs w:val="28"/>
    </w:rPr>
  </w:style>
  <w:style w:type="character" w:customStyle="1" w:styleId="76">
    <w:name w:val="Table Text Char Char Char"/>
    <w:qFormat/>
    <w:uiPriority w:val="0"/>
    <w:rPr>
      <w:rFonts w:ascii="Arial" w:hAnsi="Arial" w:eastAsia="宋体" w:cs="Arial"/>
      <w:sz w:val="18"/>
      <w:szCs w:val="18"/>
      <w:lang w:val="en-US" w:eastAsia="zh-CN" w:bidi="ar-SA"/>
    </w:rPr>
  </w:style>
  <w:style w:type="character" w:customStyle="1" w:styleId="77">
    <w:name w:val="标题 3 Char"/>
    <w:link w:val="4"/>
    <w:qFormat/>
    <w:uiPriority w:val="0"/>
    <w:rPr>
      <w:rFonts w:ascii="宋体"/>
      <w:kern w:val="2"/>
      <w:sz w:val="28"/>
    </w:rPr>
  </w:style>
  <w:style w:type="character" w:customStyle="1" w:styleId="78">
    <w:name w:val="正文首行缩进 Char"/>
    <w:link w:val="34"/>
    <w:qFormat/>
    <w:uiPriority w:val="0"/>
    <w:rPr>
      <w:rFonts w:ascii="Times New Roman" w:hAnsi="Times New Roman" w:eastAsia="宋体" w:cs="Times New Roman"/>
      <w:szCs w:val="24"/>
    </w:rPr>
  </w:style>
  <w:style w:type="character" w:customStyle="1" w:styleId="79">
    <w:name w:val="正文文本 Char"/>
    <w:link w:val="12"/>
    <w:qFormat/>
    <w:uiPriority w:val="0"/>
    <w:rPr>
      <w:rFonts w:ascii="Times New Roman" w:hAnsi="Times New Roman" w:eastAsia="宋体" w:cs="Times New Roman"/>
      <w:szCs w:val="24"/>
    </w:rPr>
  </w:style>
  <w:style w:type="character" w:customStyle="1" w:styleId="80">
    <w:name w:val="纯文本 Char"/>
    <w:qFormat/>
    <w:uiPriority w:val="0"/>
    <w:rPr>
      <w:rFonts w:ascii="宋体" w:hAnsi="Courier New" w:eastAsia="宋体" w:cs="Courier New"/>
      <w:szCs w:val="21"/>
    </w:rPr>
  </w:style>
  <w:style w:type="character" w:customStyle="1" w:styleId="81">
    <w:name w:val="纯文本 Char2"/>
    <w:link w:val="19"/>
    <w:qFormat/>
    <w:uiPriority w:val="0"/>
    <w:rPr>
      <w:rFonts w:ascii="宋体" w:hAnsi="Courier New" w:eastAsia="宋体" w:cs="Times New Roman"/>
      <w:szCs w:val="20"/>
    </w:rPr>
  </w:style>
  <w:style w:type="character" w:customStyle="1" w:styleId="82">
    <w:name w:val="Table Text Char"/>
    <w:qFormat/>
    <w:uiPriority w:val="0"/>
    <w:rPr>
      <w:rFonts w:ascii="Arial" w:hAnsi="Arial" w:eastAsia="宋体"/>
      <w:sz w:val="18"/>
      <w:lang w:val="en-US" w:eastAsia="zh-CN" w:bidi="ar-SA"/>
    </w:rPr>
  </w:style>
  <w:style w:type="character" w:customStyle="1" w:styleId="83">
    <w:name w:val="无间隔 Char"/>
    <w:link w:val="52"/>
    <w:qFormat/>
    <w:uiPriority w:val="1"/>
    <w:rPr>
      <w:rFonts w:ascii="Times New Roman" w:hAnsi="Times New Roman"/>
      <w:kern w:val="2"/>
      <w:sz w:val="21"/>
      <w:szCs w:val="24"/>
      <w:lang w:val="en-US" w:eastAsia="zh-CN" w:bidi="ar-SA"/>
    </w:rPr>
  </w:style>
  <w:style w:type="character" w:customStyle="1" w:styleId="84">
    <w:name w:val="页眉 Char1"/>
    <w:link w:val="24"/>
    <w:qFormat/>
    <w:uiPriority w:val="99"/>
    <w:rPr>
      <w:rFonts w:ascii="Times New Roman" w:hAnsi="Times New Roman" w:eastAsia="宋体" w:cs="Times New Roman"/>
      <w:sz w:val="18"/>
      <w:szCs w:val="20"/>
    </w:rPr>
  </w:style>
  <w:style w:type="character" w:customStyle="1" w:styleId="85">
    <w:name w:val="标题 7 Char"/>
    <w:link w:val="8"/>
    <w:semiHidden/>
    <w:qFormat/>
    <w:uiPriority w:val="9"/>
    <w:rPr>
      <w:rFonts w:ascii="Times New Roman" w:hAnsi="Times New Roman"/>
      <w:b/>
      <w:bCs/>
      <w:kern w:val="2"/>
      <w:sz w:val="24"/>
      <w:szCs w:val="24"/>
    </w:rPr>
  </w:style>
  <w:style w:type="character" w:customStyle="1" w:styleId="86">
    <w:name w:val="批注文字 Char1"/>
    <w:link w:val="11"/>
    <w:qFormat/>
    <w:uiPriority w:val="0"/>
    <w:rPr>
      <w:rFonts w:ascii="Times New Roman" w:hAnsi="Times New Roman" w:eastAsia="宋体" w:cs="Times New Roman"/>
      <w:szCs w:val="24"/>
    </w:rPr>
  </w:style>
  <w:style w:type="character" w:customStyle="1" w:styleId="87">
    <w:name w:val="标题 Char"/>
    <w:link w:val="32"/>
    <w:qFormat/>
    <w:uiPriority w:val="0"/>
    <w:rPr>
      <w:rFonts w:ascii="Cambria" w:hAnsi="Cambria"/>
      <w:b/>
      <w:bCs/>
      <w:sz w:val="36"/>
      <w:szCs w:val="32"/>
    </w:rPr>
  </w:style>
  <w:style w:type="character" w:customStyle="1" w:styleId="88">
    <w:name w:val="正文文本缩进 Char"/>
    <w:link w:val="16"/>
    <w:qFormat/>
    <w:uiPriority w:val="0"/>
    <w:rPr>
      <w:rFonts w:ascii="宋体" w:hAnsi="宋体" w:eastAsia="宋体" w:cs="Times New Roman"/>
      <w:szCs w:val="21"/>
    </w:rPr>
  </w:style>
  <w:style w:type="character" w:customStyle="1" w:styleId="89">
    <w:name w:val="日期 Char"/>
    <w:link w:val="20"/>
    <w:qFormat/>
    <w:uiPriority w:val="0"/>
    <w:rPr>
      <w:rFonts w:ascii="Times New Roman" w:hAnsi="Times New Roman" w:eastAsia="宋体" w:cs="Times New Roman"/>
      <w:szCs w:val="24"/>
    </w:rPr>
  </w:style>
  <w:style w:type="character" w:customStyle="1" w:styleId="90">
    <w:name w:val="批注主题 Char"/>
    <w:semiHidden/>
    <w:qFormat/>
    <w:uiPriority w:val="99"/>
    <w:rPr>
      <w:rFonts w:ascii="Times New Roman" w:hAnsi="Times New Roman" w:eastAsia="宋体" w:cs="Times New Roman"/>
      <w:b/>
      <w:bCs/>
      <w:szCs w:val="24"/>
    </w:rPr>
  </w:style>
  <w:style w:type="paragraph" w:customStyle="1" w:styleId="91">
    <w:name w:val="p16"/>
    <w:basedOn w:val="1"/>
    <w:qFormat/>
    <w:uiPriority w:val="0"/>
    <w:rPr>
      <w:rFonts w:ascii="宋体" w:hAnsi="宋体" w:cs="宋体"/>
      <w:kern w:val="0"/>
      <w:szCs w:val="21"/>
    </w:rPr>
  </w:style>
  <w:style w:type="paragraph" w:styleId="92">
    <w:name w:val="List Paragraph"/>
    <w:basedOn w:val="1"/>
    <w:link w:val="124"/>
    <w:unhideWhenUsed/>
    <w:qFormat/>
    <w:uiPriority w:val="34"/>
    <w:pPr>
      <w:ind w:firstLine="420" w:firstLineChars="200"/>
    </w:pPr>
  </w:style>
  <w:style w:type="paragraph" w:customStyle="1" w:styleId="93">
    <w:name w:val="Default"/>
    <w:qFormat/>
    <w:uiPriority w:val="0"/>
    <w:pPr>
      <w:widowControl w:val="0"/>
      <w:autoSpaceDE w:val="0"/>
      <w:autoSpaceDN w:val="0"/>
      <w:adjustRightInd w:val="0"/>
    </w:pPr>
    <w:rPr>
      <w:rFonts w:ascii="微软雅黑" w:hAnsi="Times New Roman" w:eastAsia="微软雅黑" w:cs="微软雅黑"/>
      <w:color w:val="000000"/>
      <w:sz w:val="24"/>
      <w:szCs w:val="24"/>
      <w:lang w:val="en-US" w:eastAsia="zh-CN" w:bidi="ar-SA"/>
    </w:rPr>
  </w:style>
  <w:style w:type="paragraph" w:customStyle="1" w:styleId="94">
    <w:name w:val="列出段落1"/>
    <w:basedOn w:val="1"/>
    <w:qFormat/>
    <w:uiPriority w:val="0"/>
    <w:pPr>
      <w:ind w:firstLine="420" w:firstLineChars="200"/>
    </w:pPr>
    <w:rPr>
      <w:rFonts w:ascii="Calibri" w:hAnsi="Calibri" w:cs="黑体"/>
      <w:szCs w:val="22"/>
    </w:rPr>
  </w:style>
  <w:style w:type="paragraph" w:styleId="95">
    <w:name w:val="No Spacing"/>
    <w:link w:val="107"/>
    <w:qFormat/>
    <w:uiPriority w:val="1"/>
    <w:pPr>
      <w:widowControl w:val="0"/>
      <w:jc w:val="both"/>
    </w:pPr>
    <w:rPr>
      <w:rFonts w:ascii="Times New Roman" w:hAnsi="Times New Roman" w:eastAsia="宋体" w:cs="Times New Roman"/>
      <w:kern w:val="2"/>
      <w:sz w:val="21"/>
      <w:szCs w:val="24"/>
      <w:lang w:val="en-US" w:eastAsia="zh-CN" w:bidi="ar-SA"/>
    </w:rPr>
  </w:style>
  <w:style w:type="character" w:customStyle="1" w:styleId="96">
    <w:name w:val="段 Char Char"/>
    <w:link w:val="15"/>
    <w:qFormat/>
    <w:uiPriority w:val="0"/>
    <w:rPr>
      <w:rFonts w:ascii="宋体"/>
      <w:sz w:val="21"/>
      <w:lang w:val="en-US" w:eastAsia="zh-CN" w:bidi="ar-SA"/>
    </w:rPr>
  </w:style>
  <w:style w:type="character" w:customStyle="1" w:styleId="97">
    <w:name w:val="三级条标题 Char Char"/>
    <w:link w:val="98"/>
    <w:qFormat/>
    <w:uiPriority w:val="0"/>
    <w:rPr>
      <w:rFonts w:ascii="黑体" w:eastAsia="黑体"/>
      <w:sz w:val="21"/>
    </w:rPr>
  </w:style>
  <w:style w:type="paragraph" w:customStyle="1" w:styleId="98">
    <w:name w:val="三级条标题"/>
    <w:basedOn w:val="99"/>
    <w:next w:val="15"/>
    <w:link w:val="97"/>
    <w:qFormat/>
    <w:uiPriority w:val="0"/>
    <w:pPr>
      <w:tabs>
        <w:tab w:val="left" w:pos="720"/>
        <w:tab w:val="left" w:pos="992"/>
      </w:tabs>
      <w:ind w:left="992" w:hanging="992"/>
      <w:outlineLvl w:val="4"/>
    </w:pPr>
  </w:style>
  <w:style w:type="paragraph" w:customStyle="1" w:styleId="99">
    <w:name w:val="二级条标题"/>
    <w:basedOn w:val="13"/>
    <w:next w:val="15"/>
    <w:link w:val="100"/>
    <w:qFormat/>
    <w:uiPriority w:val="0"/>
    <w:pPr>
      <w:outlineLvl w:val="3"/>
    </w:pPr>
  </w:style>
  <w:style w:type="character" w:customStyle="1" w:styleId="100">
    <w:name w:val="二级条标题 Char Char"/>
    <w:link w:val="99"/>
    <w:qFormat/>
    <w:uiPriority w:val="0"/>
    <w:rPr>
      <w:rFonts w:ascii="黑体" w:eastAsia="黑体"/>
      <w:sz w:val="21"/>
    </w:rPr>
  </w:style>
  <w:style w:type="character" w:customStyle="1" w:styleId="101">
    <w:name w:val="章标题 Char Char"/>
    <w:link w:val="14"/>
    <w:qFormat/>
    <w:uiPriority w:val="0"/>
    <w:rPr>
      <w:rFonts w:ascii="黑体" w:eastAsia="黑体"/>
      <w:sz w:val="21"/>
      <w:lang w:val="en-US" w:eastAsia="zh-CN" w:bidi="ar-SA"/>
    </w:rPr>
  </w:style>
  <w:style w:type="character" w:customStyle="1" w:styleId="102">
    <w:name w:val="一级条标题 Char Char"/>
    <w:link w:val="13"/>
    <w:qFormat/>
    <w:uiPriority w:val="0"/>
    <w:rPr>
      <w:rFonts w:ascii="黑体" w:eastAsia="黑体"/>
      <w:sz w:val="21"/>
    </w:rPr>
  </w:style>
  <w:style w:type="paragraph" w:customStyle="1" w:styleId="103">
    <w:name w:val="正文图标题"/>
    <w:next w:val="15"/>
    <w:qFormat/>
    <w:uiPriority w:val="0"/>
    <w:pPr>
      <w:ind w:left="360" w:hanging="360"/>
      <w:jc w:val="center"/>
    </w:pPr>
    <w:rPr>
      <w:rFonts w:ascii="黑体" w:hAnsi="Times New Roman" w:eastAsia="黑体" w:cs="Times New Roman"/>
      <w:sz w:val="21"/>
      <w:lang w:val="en-US" w:eastAsia="zh-CN" w:bidi="ar-SA"/>
    </w:rPr>
  </w:style>
  <w:style w:type="paragraph" w:customStyle="1" w:styleId="104">
    <w:name w:val="正文表标题"/>
    <w:next w:val="15"/>
    <w:qFormat/>
    <w:uiPriority w:val="0"/>
    <w:pPr>
      <w:ind w:left="360" w:hanging="360"/>
      <w:jc w:val="center"/>
    </w:pPr>
    <w:rPr>
      <w:rFonts w:ascii="黑体" w:hAnsi="Times New Roman" w:eastAsia="黑体" w:cs="Times New Roman"/>
      <w:sz w:val="21"/>
      <w:lang w:val="en-US" w:eastAsia="zh-CN" w:bidi="ar-SA"/>
    </w:rPr>
  </w:style>
  <w:style w:type="paragraph" w:customStyle="1" w:styleId="105">
    <w:name w:val="目次、标准名称标题"/>
    <w:basedOn w:val="1"/>
    <w:next w:val="15"/>
    <w:qFormat/>
    <w:uiPriority w:val="0"/>
    <w:pPr>
      <w:shd w:val="clear" w:color="FFFFFF" w:fill="FFFFFF"/>
      <w:spacing w:before="640" w:after="560" w:line="460" w:lineRule="exact"/>
      <w:jc w:val="center"/>
      <w:outlineLvl w:val="0"/>
    </w:pPr>
    <w:rPr>
      <w:rFonts w:ascii="黑体" w:eastAsia="黑体"/>
      <w:kern w:val="0"/>
      <w:sz w:val="32"/>
      <w:szCs w:val="20"/>
    </w:rPr>
  </w:style>
  <w:style w:type="character" w:customStyle="1" w:styleId="106">
    <w:name w:val="纯文本 Char1"/>
    <w:qFormat/>
    <w:uiPriority w:val="0"/>
    <w:rPr>
      <w:rFonts w:ascii="宋体" w:hAnsi="Courier New" w:eastAsia="宋体" w:cs="Courier New"/>
      <w:sz w:val="21"/>
      <w:szCs w:val="21"/>
    </w:rPr>
  </w:style>
  <w:style w:type="character" w:customStyle="1" w:styleId="107">
    <w:name w:val="无间隔 Char1"/>
    <w:link w:val="95"/>
    <w:qFormat/>
    <w:uiPriority w:val="1"/>
    <w:rPr>
      <w:rFonts w:ascii="Times New Roman" w:hAnsi="Times New Roman"/>
      <w:kern w:val="2"/>
      <w:sz w:val="21"/>
      <w:szCs w:val="24"/>
      <w:lang w:bidi="ar-SA"/>
    </w:rPr>
  </w:style>
  <w:style w:type="character" w:customStyle="1" w:styleId="108">
    <w:name w:val="HTML 预设格式 Char"/>
    <w:link w:val="30"/>
    <w:qFormat/>
    <w:uiPriority w:val="99"/>
    <w:rPr>
      <w:rFonts w:ascii="宋体" w:hAnsi="宋体" w:cs="宋体"/>
      <w:sz w:val="24"/>
      <w:szCs w:val="24"/>
    </w:rPr>
  </w:style>
  <w:style w:type="character" w:customStyle="1" w:styleId="109">
    <w:name w:val="页眉 Char"/>
    <w:qFormat/>
    <w:uiPriority w:val="99"/>
    <w:rPr>
      <w:lang w:eastAsia="zh-CN"/>
    </w:rPr>
  </w:style>
  <w:style w:type="character" w:customStyle="1" w:styleId="110">
    <w:name w:val="textcontents"/>
    <w:qFormat/>
    <w:uiPriority w:val="0"/>
    <w:rPr>
      <w:rFonts w:cs="Times New Roman"/>
    </w:rPr>
  </w:style>
  <w:style w:type="character" w:customStyle="1" w:styleId="111">
    <w:name w:val="标题4 Char Char"/>
    <w:link w:val="112"/>
    <w:qFormat/>
    <w:uiPriority w:val="0"/>
    <w:rPr>
      <w:rFonts w:ascii="Arial" w:hAnsi="Arial"/>
      <w:b/>
      <w:bCs/>
      <w:sz w:val="24"/>
      <w:szCs w:val="32"/>
    </w:rPr>
  </w:style>
  <w:style w:type="paragraph" w:customStyle="1" w:styleId="112">
    <w:name w:val="标题4"/>
    <w:basedOn w:val="3"/>
    <w:next w:val="17"/>
    <w:link w:val="111"/>
    <w:qFormat/>
    <w:uiPriority w:val="0"/>
    <w:pPr>
      <w:numPr>
        <w:ilvl w:val="0"/>
        <w:numId w:val="0"/>
      </w:numPr>
      <w:tabs>
        <w:tab w:val="clear" w:pos="425"/>
        <w:tab w:val="clear" w:pos="720"/>
      </w:tabs>
      <w:snapToGrid/>
      <w:spacing w:before="260" w:after="260" w:line="413" w:lineRule="auto"/>
    </w:pPr>
    <w:rPr>
      <w:rFonts w:ascii="Arial" w:hAnsi="Arial"/>
      <w:b/>
      <w:bCs/>
      <w:kern w:val="0"/>
      <w:sz w:val="24"/>
      <w:szCs w:val="32"/>
    </w:rPr>
  </w:style>
  <w:style w:type="character" w:customStyle="1" w:styleId="113">
    <w:name w:val="tabg"/>
    <w:qFormat/>
    <w:uiPriority w:val="0"/>
    <w:rPr>
      <w:rFonts w:ascii="微软雅黑" w:hAnsi="微软雅黑" w:eastAsia="微软雅黑" w:cs="微软雅黑"/>
      <w:color w:val="FFFFFF"/>
      <w:sz w:val="27"/>
      <w:szCs w:val="27"/>
    </w:rPr>
  </w:style>
  <w:style w:type="paragraph" w:customStyle="1" w:styleId="114">
    <w:name w:val="xl154"/>
    <w:basedOn w:val="1"/>
    <w:qFormat/>
    <w:uiPriority w:val="0"/>
    <w:pPr>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textAlignment w:val="center"/>
    </w:pPr>
    <w:rPr>
      <w:rFonts w:ascii="Arial" w:hAnsi="Arial" w:cs="Arial"/>
      <w:b/>
      <w:bCs/>
      <w:i/>
      <w:iCs/>
      <w:kern w:val="0"/>
      <w:sz w:val="20"/>
      <w:szCs w:val="20"/>
    </w:rPr>
  </w:style>
  <w:style w:type="paragraph" w:customStyle="1" w:styleId="115">
    <w:name w:val="表内文字  居左"/>
    <w:basedOn w:val="1"/>
    <w:qFormat/>
    <w:uiPriority w:val="0"/>
    <w:rPr>
      <w:snapToGrid w:val="0"/>
      <w:szCs w:val="20"/>
    </w:rPr>
  </w:style>
  <w:style w:type="paragraph" w:customStyle="1" w:styleId="116">
    <w:name w:val="_Style 32"/>
    <w:qFormat/>
    <w:uiPriority w:val="1"/>
    <w:pPr>
      <w:widowControl w:val="0"/>
      <w:jc w:val="both"/>
    </w:pPr>
    <w:rPr>
      <w:rFonts w:ascii="Calibri" w:hAnsi="Calibri" w:eastAsia="微软雅黑" w:cs="Times New Roman"/>
      <w:kern w:val="2"/>
      <w:sz w:val="21"/>
      <w:szCs w:val="24"/>
      <w:lang w:val="en-US" w:eastAsia="zh-CN" w:bidi="ar-SA"/>
    </w:rPr>
  </w:style>
  <w:style w:type="character" w:customStyle="1" w:styleId="117">
    <w:name w:val="正文缩进 Char"/>
    <w:link w:val="9"/>
    <w:qFormat/>
    <w:uiPriority w:val="0"/>
    <w:rPr>
      <w:kern w:val="2"/>
      <w:sz w:val="21"/>
      <w:szCs w:val="24"/>
    </w:rPr>
  </w:style>
  <w:style w:type="character" w:customStyle="1" w:styleId="118">
    <w:name w:val="font41"/>
    <w:basedOn w:val="38"/>
    <w:qFormat/>
    <w:uiPriority w:val="0"/>
    <w:rPr>
      <w:rFonts w:hint="default" w:ascii="GE Inspira Pitch" w:hAnsi="GE Inspira Pitch" w:eastAsia="GE Inspira Pitch" w:cs="GE Inspira Pitch"/>
      <w:color w:val="FF0000"/>
      <w:sz w:val="22"/>
      <w:szCs w:val="22"/>
      <w:u w:val="none"/>
    </w:rPr>
  </w:style>
  <w:style w:type="character" w:customStyle="1" w:styleId="119">
    <w:name w:val="日期 Char1"/>
    <w:semiHidden/>
    <w:qFormat/>
    <w:uiPriority w:val="99"/>
    <w:rPr>
      <w:kern w:val="2"/>
      <w:sz w:val="21"/>
      <w:szCs w:val="24"/>
    </w:rPr>
  </w:style>
  <w:style w:type="character" w:customStyle="1" w:styleId="120">
    <w:name w:val="font21"/>
    <w:qFormat/>
    <w:uiPriority w:val="0"/>
    <w:rPr>
      <w:rFonts w:hint="default" w:ascii="GE Inspira Pitch" w:hAnsi="GE Inspira Pitch" w:eastAsia="GE Inspira Pitch" w:cs="GE Inspira Pitch"/>
      <w:b/>
      <w:color w:val="000000"/>
      <w:sz w:val="22"/>
      <w:szCs w:val="22"/>
      <w:u w:val="none"/>
    </w:rPr>
  </w:style>
  <w:style w:type="character" w:customStyle="1" w:styleId="121">
    <w:name w:val="font01"/>
    <w:qFormat/>
    <w:uiPriority w:val="0"/>
    <w:rPr>
      <w:rFonts w:hint="eastAsia" w:ascii="宋体" w:hAnsi="宋体" w:eastAsia="宋体" w:cs="宋体"/>
      <w:color w:val="000000"/>
      <w:sz w:val="22"/>
      <w:szCs w:val="22"/>
      <w:u w:val="none"/>
    </w:rPr>
  </w:style>
  <w:style w:type="character" w:customStyle="1" w:styleId="122">
    <w:name w:val="font61"/>
    <w:qFormat/>
    <w:uiPriority w:val="0"/>
    <w:rPr>
      <w:rFonts w:hint="default" w:ascii="GE Inspira Pitch" w:hAnsi="GE Inspira Pitch" w:eastAsia="GE Inspira Pitch" w:cs="GE Inspira Pitch"/>
      <w:color w:val="000000"/>
      <w:sz w:val="22"/>
      <w:szCs w:val="22"/>
      <w:u w:val="none"/>
    </w:rPr>
  </w:style>
  <w:style w:type="character" w:customStyle="1" w:styleId="123">
    <w:name w:val="font71"/>
    <w:qFormat/>
    <w:uiPriority w:val="0"/>
    <w:rPr>
      <w:rFonts w:hint="default" w:ascii="幼圆" w:hAnsi="幼圆" w:eastAsia="幼圆" w:cs="幼圆"/>
      <w:color w:val="000000"/>
      <w:sz w:val="22"/>
      <w:szCs w:val="22"/>
      <w:u w:val="none"/>
    </w:rPr>
  </w:style>
  <w:style w:type="character" w:customStyle="1" w:styleId="124">
    <w:name w:val="列出段落 Char"/>
    <w:link w:val="92"/>
    <w:qFormat/>
    <w:uiPriority w:val="34"/>
    <w:rPr>
      <w:kern w:val="2"/>
      <w:sz w:val="21"/>
      <w:szCs w:val="24"/>
    </w:rPr>
  </w:style>
  <w:style w:type="character" w:customStyle="1" w:styleId="125">
    <w:name w:val="font51"/>
    <w:qFormat/>
    <w:uiPriority w:val="0"/>
    <w:rPr>
      <w:rFonts w:hint="default" w:ascii="幼圆" w:hAnsi="幼圆" w:eastAsia="幼圆" w:cs="幼圆"/>
      <w:color w:val="FF0000"/>
      <w:sz w:val="22"/>
      <w:szCs w:val="22"/>
      <w:u w:val="none"/>
    </w:rPr>
  </w:style>
  <w:style w:type="character" w:customStyle="1" w:styleId="126">
    <w:name w:val="font101"/>
    <w:qFormat/>
    <w:uiPriority w:val="0"/>
    <w:rPr>
      <w:rFonts w:hint="default" w:ascii="GE Inspira Pitch" w:hAnsi="GE Inspira Pitch" w:eastAsia="GE Inspira Pitch" w:cs="GE Inspira Pitch"/>
      <w:color w:val="0000FF"/>
      <w:sz w:val="22"/>
      <w:szCs w:val="22"/>
      <w:u w:val="none"/>
    </w:rPr>
  </w:style>
  <w:style w:type="character" w:customStyle="1" w:styleId="127">
    <w:name w:val="font91"/>
    <w:qFormat/>
    <w:uiPriority w:val="0"/>
    <w:rPr>
      <w:rFonts w:hint="default" w:ascii="幼圆" w:hAnsi="幼圆" w:eastAsia="幼圆" w:cs="幼圆"/>
      <w:b/>
      <w:color w:val="000000"/>
      <w:sz w:val="32"/>
      <w:szCs w:val="32"/>
      <w:u w:val="none"/>
    </w:rPr>
  </w:style>
  <w:style w:type="character" w:customStyle="1" w:styleId="128">
    <w:name w:val="font11"/>
    <w:qFormat/>
    <w:uiPriority w:val="0"/>
    <w:rPr>
      <w:rFonts w:hint="eastAsia" w:ascii="宋体" w:hAnsi="宋体" w:eastAsia="宋体" w:cs="宋体"/>
      <w:color w:val="333333"/>
      <w:sz w:val="13"/>
      <w:szCs w:val="13"/>
      <w:u w:val="none"/>
    </w:rPr>
  </w:style>
  <w:style w:type="character" w:customStyle="1" w:styleId="129">
    <w:name w:val="font31"/>
    <w:qFormat/>
    <w:uiPriority w:val="0"/>
    <w:rPr>
      <w:rFonts w:ascii="幼圆" w:hAnsi="幼圆" w:eastAsia="幼圆" w:cs="幼圆"/>
      <w:b/>
      <w:color w:val="000000"/>
      <w:sz w:val="22"/>
      <w:szCs w:val="22"/>
      <w:u w:val="none"/>
    </w:rPr>
  </w:style>
  <w:style w:type="paragraph" w:customStyle="1" w:styleId="130">
    <w:name w:val="新正文"/>
    <w:basedOn w:val="1"/>
    <w:qFormat/>
    <w:uiPriority w:val="0"/>
    <w:pPr>
      <w:spacing w:line="440" w:lineRule="exact"/>
    </w:pPr>
    <w:rPr>
      <w:rFonts w:hAnsi="宋体" w:cs="Arial"/>
      <w:sz w:val="28"/>
      <w:szCs w:val="28"/>
    </w:rPr>
  </w:style>
  <w:style w:type="paragraph" w:customStyle="1" w:styleId="131">
    <w:name w:val="Char"/>
    <w:basedOn w:val="1"/>
    <w:qFormat/>
    <w:uiPriority w:val="0"/>
  </w:style>
  <w:style w:type="paragraph" w:customStyle="1" w:styleId="132">
    <w:name w:val="List Paragraph1"/>
    <w:basedOn w:val="1"/>
    <w:qFormat/>
    <w:uiPriority w:val="0"/>
    <w:pPr>
      <w:ind w:firstLine="420" w:firstLineChars="200"/>
    </w:pPr>
    <w:rPr>
      <w:szCs w:val="20"/>
    </w:rPr>
  </w:style>
  <w:style w:type="paragraph" w:customStyle="1" w:styleId="133">
    <w:name w:val="Free Form"/>
    <w:qFormat/>
    <w:uiPriority w:val="0"/>
    <w:rPr>
      <w:rFonts w:ascii="Helvetica" w:hAnsi="Helvetica" w:eastAsia="ヒラギノ角ゴ Pro W3" w:cs="Times New Roman"/>
      <w:color w:val="000000"/>
      <w:sz w:val="24"/>
      <w:lang w:val="en-US" w:eastAsia="en-US" w:bidi="ar-SA"/>
    </w:rPr>
  </w:style>
  <w:style w:type="paragraph" w:customStyle="1" w:styleId="134">
    <w:name w:val="Char Char"/>
    <w:basedOn w:val="1"/>
    <w:qFormat/>
    <w:uiPriority w:val="0"/>
    <w:pPr>
      <w:spacing w:after="160" w:line="240" w:lineRule="exact"/>
    </w:pPr>
  </w:style>
  <w:style w:type="paragraph" w:customStyle="1" w:styleId="135">
    <w:name w:val="Body"/>
    <w:qFormat/>
    <w:uiPriority w:val="0"/>
    <w:rPr>
      <w:rFonts w:ascii="Helvetica" w:hAnsi="Helvetica" w:eastAsia="ヒラギノ角ゴ Pro W3" w:cs="Times New Roman"/>
      <w:color w:val="000000"/>
      <w:sz w:val="24"/>
      <w:lang w:val="en-US" w:eastAsia="en-US" w:bidi="ar-SA"/>
    </w:rPr>
  </w:style>
  <w:style w:type="character" w:customStyle="1" w:styleId="136">
    <w:name w:val="apple-converted-space"/>
    <w:qFormat/>
    <w:uiPriority w:val="0"/>
  </w:style>
  <w:style w:type="paragraph" w:customStyle="1" w:styleId="137">
    <w:name w:val="无间隔1"/>
    <w:qFormat/>
    <w:uiPriority w:val="0"/>
    <w:pPr>
      <w:widowControl w:val="0"/>
      <w:spacing w:line="360" w:lineRule="auto"/>
      <w:jc w:val="both"/>
    </w:pPr>
    <w:rPr>
      <w:rFonts w:ascii="Times New Roman" w:hAnsi="Times New Roman" w:eastAsia="宋体" w:cs="Times New Roman"/>
      <w:sz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400318-5816-440F-8183-DB6559DB338B}">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75</Pages>
  <Words>26418</Words>
  <Characters>27316</Characters>
  <Lines>428</Lines>
  <Paragraphs>120</Paragraphs>
  <TotalTime>1</TotalTime>
  <ScaleCrop>false</ScaleCrop>
  <LinksUpToDate>false</LinksUpToDate>
  <CharactersWithSpaces>28638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2025-03-08T04:44:00Z</dcterms:created>
  <dc:creator>李青</dc:creator>
  <cp:lastModifiedBy>Administrator</cp:lastModifiedBy>
  <cp:lastPrinted>2020-09-25T06:32:00Z</cp:lastPrinted>
  <dcterms:modified xsi:type="dcterms:W3CDTF">2025-03-31T11:28:12Z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8273E81907D641799640D1A173FA2CCF_13</vt:lpwstr>
  </property>
  <property fmtid="{D5CDD505-2E9C-101B-9397-08002B2CF9AE}" pid="4" name="KSOTemplateDocerSaveRecord">
    <vt:lpwstr>eyJoZGlkIjoiNzVjODk0ZWIxN2ViMjdkMzY1ODI3NDY5MzIxZTZjODkifQ==</vt:lpwstr>
  </property>
</Properties>
</file>