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ascii="宋体" w:hAnsi="宋体"/>
          <w:b/>
          <w:color w:val="auto"/>
          <w:sz w:val="24"/>
        </w:rPr>
      </w:pPr>
    </w:p>
    <w:p>
      <w:pPr>
        <w:adjustRightInd w:val="0"/>
        <w:spacing w:line="360" w:lineRule="auto"/>
        <w:jc w:val="center"/>
        <w:textAlignment w:val="baseline"/>
        <w:rPr>
          <w:rFonts w:ascii="宋体" w:hAnsi="宋体"/>
          <w:b/>
          <w:color w:val="auto"/>
          <w:sz w:val="24"/>
        </w:rPr>
      </w:pPr>
    </w:p>
    <w:p>
      <w:pPr>
        <w:adjustRightInd w:val="0"/>
        <w:spacing w:line="360" w:lineRule="auto"/>
        <w:jc w:val="center"/>
        <w:textAlignment w:val="baseline"/>
        <w:rPr>
          <w:rFonts w:ascii="宋体" w:hAnsi="宋体"/>
          <w:b/>
          <w:color w:val="auto"/>
          <w:sz w:val="24"/>
        </w:rPr>
      </w:pPr>
    </w:p>
    <w:p>
      <w:pPr>
        <w:adjustRightInd w:val="0"/>
        <w:spacing w:line="360" w:lineRule="auto"/>
        <w:jc w:val="center"/>
        <w:textAlignment w:val="baseline"/>
        <w:rPr>
          <w:rFonts w:ascii="宋体" w:hAnsi="宋体"/>
          <w:b/>
          <w:color w:val="auto"/>
          <w:sz w:val="24"/>
        </w:rPr>
      </w:pPr>
    </w:p>
    <w:p>
      <w:pPr>
        <w:adjustRightInd w:val="0"/>
        <w:spacing w:line="360" w:lineRule="auto"/>
        <w:jc w:val="center"/>
        <w:textAlignment w:val="baseline"/>
        <w:rPr>
          <w:rFonts w:ascii="宋体" w:hAnsi="宋体"/>
          <w:b/>
          <w:color w:val="auto"/>
          <w:sz w:val="24"/>
        </w:rPr>
      </w:pPr>
    </w:p>
    <w:p>
      <w:pPr>
        <w:adjustRightInd w:val="0"/>
        <w:spacing w:line="360" w:lineRule="auto"/>
        <w:jc w:val="center"/>
        <w:textAlignment w:val="baseline"/>
        <w:rPr>
          <w:rFonts w:ascii="宋体" w:hAnsi="宋体"/>
          <w:color w:val="auto"/>
          <w:sz w:val="24"/>
        </w:rPr>
      </w:pPr>
    </w:p>
    <w:p>
      <w:pPr>
        <w:adjustRightInd w:val="0"/>
        <w:spacing w:line="360" w:lineRule="auto"/>
        <w:jc w:val="center"/>
        <w:textAlignment w:val="baseline"/>
        <w:rPr>
          <w:rFonts w:ascii="宋体" w:hAnsi="宋体"/>
          <w:color w:val="auto"/>
          <w:sz w:val="24"/>
        </w:rPr>
      </w:pPr>
    </w:p>
    <w:p>
      <w:pPr>
        <w:pStyle w:val="29"/>
        <w:spacing w:before="0" w:after="0" w:line="360" w:lineRule="auto"/>
        <w:rPr>
          <w:rFonts w:ascii="宋体" w:hAnsi="宋体"/>
          <w:color w:val="auto"/>
          <w:sz w:val="96"/>
          <w:szCs w:val="96"/>
        </w:rPr>
      </w:pPr>
      <w:bookmarkStart w:id="0" w:name="_Toc449568588"/>
      <w:r>
        <w:rPr>
          <w:rFonts w:hint="eastAsia" w:ascii="宋体" w:hAnsi="宋体"/>
          <w:color w:val="auto"/>
          <w:sz w:val="96"/>
          <w:szCs w:val="96"/>
        </w:rPr>
        <w:t>竞争性磋商文件</w:t>
      </w:r>
      <w:bookmarkEnd w:id="0"/>
    </w:p>
    <w:p>
      <w:pPr>
        <w:pStyle w:val="29"/>
        <w:spacing w:line="360" w:lineRule="auto"/>
        <w:rPr>
          <w:rFonts w:ascii="宋体" w:hAnsi="宋体"/>
          <w:color w:val="auto"/>
          <w:sz w:val="24"/>
          <w:szCs w:val="24"/>
        </w:rPr>
      </w:pPr>
    </w:p>
    <w:p>
      <w:pPr>
        <w:adjustRightInd w:val="0"/>
        <w:spacing w:line="360" w:lineRule="auto"/>
        <w:jc w:val="center"/>
        <w:textAlignment w:val="baseline"/>
        <w:rPr>
          <w:rFonts w:ascii="宋体" w:hAnsi="宋体"/>
          <w:color w:val="auto"/>
          <w:sz w:val="24"/>
        </w:rPr>
      </w:pPr>
    </w:p>
    <w:p>
      <w:pPr>
        <w:adjustRightInd w:val="0"/>
        <w:spacing w:line="360" w:lineRule="auto"/>
        <w:jc w:val="center"/>
        <w:textAlignment w:val="baseline"/>
        <w:rPr>
          <w:rFonts w:ascii="宋体" w:hAnsi="宋体"/>
          <w:color w:val="auto"/>
          <w:sz w:val="24"/>
        </w:rPr>
      </w:pPr>
    </w:p>
    <w:p>
      <w:pPr>
        <w:adjustRightInd w:val="0"/>
        <w:spacing w:line="360" w:lineRule="auto"/>
        <w:jc w:val="center"/>
        <w:textAlignment w:val="baseline"/>
        <w:rPr>
          <w:rFonts w:ascii="宋体" w:hAnsi="宋体"/>
          <w:color w:val="auto"/>
          <w:sz w:val="24"/>
        </w:rPr>
      </w:pPr>
    </w:p>
    <w:p>
      <w:pPr>
        <w:adjustRightInd w:val="0"/>
        <w:spacing w:line="360" w:lineRule="auto"/>
        <w:jc w:val="center"/>
        <w:textAlignment w:val="baseline"/>
        <w:rPr>
          <w:rFonts w:ascii="宋体" w:hAnsi="宋体"/>
          <w:color w:val="auto"/>
          <w:sz w:val="24"/>
        </w:rPr>
      </w:pPr>
    </w:p>
    <w:p>
      <w:pPr>
        <w:adjustRightInd w:val="0"/>
        <w:spacing w:line="360" w:lineRule="auto"/>
        <w:jc w:val="center"/>
        <w:textAlignment w:val="baseline"/>
        <w:rPr>
          <w:rFonts w:ascii="宋体" w:hAnsi="宋体"/>
          <w:color w:val="auto"/>
          <w:sz w:val="24"/>
        </w:rPr>
      </w:pPr>
    </w:p>
    <w:p>
      <w:pPr>
        <w:adjustRightInd w:val="0"/>
        <w:spacing w:line="360" w:lineRule="auto"/>
        <w:jc w:val="center"/>
        <w:textAlignment w:val="baseline"/>
        <w:rPr>
          <w:rFonts w:ascii="宋体" w:hAnsi="宋体"/>
          <w:color w:val="auto"/>
          <w:sz w:val="24"/>
        </w:rPr>
      </w:pPr>
    </w:p>
    <w:p>
      <w:pPr>
        <w:spacing w:line="360" w:lineRule="auto"/>
        <w:ind w:left="3355" w:leftChars="528" w:hanging="2246" w:hangingChars="699"/>
        <w:rPr>
          <w:rFonts w:hint="default" w:ascii="宋体" w:hAnsi="宋体" w:eastAsia="宋体" w:cs="Arial"/>
          <w:b/>
          <w:color w:val="auto"/>
          <w:kern w:val="0"/>
          <w:sz w:val="32"/>
          <w:szCs w:val="32"/>
          <w:lang w:val="en-US" w:eastAsia="zh-CN"/>
        </w:rPr>
      </w:pPr>
      <w:r>
        <w:rPr>
          <w:rFonts w:hint="eastAsia" w:ascii="宋体" w:hAnsi="宋体" w:cs="Arial"/>
          <w:b/>
          <w:color w:val="auto"/>
          <w:kern w:val="0"/>
          <w:sz w:val="32"/>
          <w:szCs w:val="32"/>
        </w:rPr>
        <w:t>采购项目名称：</w:t>
      </w:r>
      <w:r>
        <w:rPr>
          <w:rFonts w:hint="eastAsia" w:ascii="宋体" w:hAnsi="宋体" w:cs="Arial"/>
          <w:b/>
          <w:color w:val="auto"/>
          <w:kern w:val="0"/>
          <w:sz w:val="32"/>
          <w:szCs w:val="32"/>
          <w:lang w:val="en-US" w:eastAsia="zh-CN"/>
        </w:rPr>
        <w:t>海北州第二人民医院医疗服务能力提升(口腔)专科建设项目</w:t>
      </w:r>
    </w:p>
    <w:p>
      <w:pPr>
        <w:adjustRightInd w:val="0"/>
        <w:snapToGrid w:val="0"/>
        <w:spacing w:line="360" w:lineRule="auto"/>
        <w:ind w:left="2678" w:leftChars="498" w:hanging="1632" w:hangingChars="508"/>
        <w:textAlignment w:val="baseline"/>
        <w:rPr>
          <w:rFonts w:hint="eastAsia" w:ascii="宋体" w:hAnsi="宋体" w:eastAsia="宋体" w:cs="Arial"/>
          <w:b/>
          <w:color w:val="auto"/>
          <w:kern w:val="0"/>
          <w:sz w:val="32"/>
          <w:szCs w:val="32"/>
          <w:lang w:eastAsia="zh-CN"/>
        </w:rPr>
      </w:pPr>
      <w:r>
        <w:rPr>
          <w:rFonts w:hint="eastAsia" w:ascii="宋体" w:hAnsi="宋体" w:cs="Arial"/>
          <w:b/>
          <w:color w:val="auto"/>
          <w:kern w:val="0"/>
          <w:sz w:val="32"/>
          <w:szCs w:val="32"/>
        </w:rPr>
        <w:t>采购项目编号：</w:t>
      </w:r>
      <w:r>
        <w:rPr>
          <w:rFonts w:hint="eastAsia" w:ascii="宋体" w:hAnsi="宋体" w:cs="Arial"/>
          <w:b/>
          <w:color w:val="auto"/>
          <w:kern w:val="0"/>
          <w:sz w:val="32"/>
          <w:szCs w:val="32"/>
          <w:lang w:eastAsia="zh-CN"/>
        </w:rPr>
        <w:t>青海国焱竞磋（货物）2024-183号</w:t>
      </w:r>
    </w:p>
    <w:p>
      <w:pPr>
        <w:adjustRightInd w:val="0"/>
        <w:snapToGrid w:val="0"/>
        <w:spacing w:line="360" w:lineRule="auto"/>
        <w:ind w:left="2678" w:leftChars="498" w:hanging="1632" w:hangingChars="508"/>
        <w:textAlignment w:val="baseline"/>
        <w:rPr>
          <w:rFonts w:ascii="宋体" w:hAnsi="宋体" w:cs="Arial"/>
          <w:b/>
          <w:color w:val="auto"/>
          <w:kern w:val="0"/>
          <w:sz w:val="32"/>
          <w:szCs w:val="32"/>
        </w:rPr>
      </w:pPr>
      <w:r>
        <w:rPr>
          <w:rFonts w:hint="eastAsia" w:ascii="宋体" w:hAnsi="宋体" w:cs="Arial"/>
          <w:b/>
          <w:color w:val="auto"/>
          <w:kern w:val="0"/>
          <w:sz w:val="32"/>
          <w:szCs w:val="32"/>
        </w:rPr>
        <w:t>采  购 单 位</w:t>
      </w:r>
      <w:r>
        <w:rPr>
          <w:rFonts w:hint="eastAsia" w:ascii="宋体" w:hAnsi="宋体"/>
          <w:color w:val="auto"/>
          <w:sz w:val="32"/>
          <w:szCs w:val="32"/>
        </w:rPr>
        <w:t>：</w:t>
      </w:r>
      <w:r>
        <w:rPr>
          <w:rFonts w:hint="eastAsia" w:ascii="宋体" w:hAnsi="宋体" w:cs="Arial"/>
          <w:b/>
          <w:color w:val="auto"/>
          <w:kern w:val="0"/>
          <w:sz w:val="32"/>
          <w:szCs w:val="32"/>
          <w:lang w:val="en-US" w:eastAsia="zh-CN"/>
        </w:rPr>
        <w:t>海北藏族自治州第二人民医院</w:t>
      </w:r>
    </w:p>
    <w:p>
      <w:pPr>
        <w:adjustRightInd w:val="0"/>
        <w:snapToGrid w:val="0"/>
        <w:spacing w:line="360" w:lineRule="auto"/>
        <w:ind w:left="2678" w:leftChars="498" w:hanging="1632" w:hangingChars="508"/>
        <w:textAlignment w:val="baseline"/>
        <w:rPr>
          <w:rFonts w:ascii="宋体" w:hAnsi="宋体"/>
          <w:b/>
          <w:bCs/>
          <w:color w:val="auto"/>
          <w:sz w:val="32"/>
          <w:szCs w:val="32"/>
        </w:rPr>
      </w:pPr>
      <w:r>
        <w:rPr>
          <w:rFonts w:ascii="宋体" w:hAnsi="宋体"/>
          <w:b/>
          <w:bCs/>
          <w:color w:val="auto"/>
          <w:sz w:val="32"/>
          <w:szCs w:val="32"/>
        </w:rPr>
        <w:t>采购代理机构</w:t>
      </w:r>
      <w:r>
        <w:rPr>
          <w:rFonts w:hint="eastAsia" w:ascii="宋体" w:hAnsi="宋体"/>
          <w:b/>
          <w:bCs/>
          <w:color w:val="auto"/>
          <w:sz w:val="32"/>
          <w:szCs w:val="32"/>
        </w:rPr>
        <w:t>：</w:t>
      </w:r>
      <w:r>
        <w:rPr>
          <w:rFonts w:ascii="宋体" w:hAnsi="宋体"/>
          <w:b/>
          <w:bCs/>
          <w:color w:val="auto"/>
          <w:sz w:val="32"/>
          <w:szCs w:val="32"/>
        </w:rPr>
        <w:t>青海国焱工程项目管理有限公司</w:t>
      </w:r>
    </w:p>
    <w:p>
      <w:pPr>
        <w:adjustRightInd w:val="0"/>
        <w:snapToGrid w:val="0"/>
        <w:spacing w:line="360" w:lineRule="auto"/>
        <w:ind w:left="2681" w:leftChars="194" w:hanging="2274" w:hangingChars="708"/>
        <w:textAlignment w:val="baseline"/>
        <w:rPr>
          <w:rFonts w:ascii="宋体" w:hAnsi="宋体"/>
          <w:b/>
          <w:bCs/>
          <w:color w:val="auto"/>
          <w:sz w:val="32"/>
          <w:szCs w:val="32"/>
        </w:rPr>
      </w:pPr>
    </w:p>
    <w:p>
      <w:pPr>
        <w:adjustRightInd w:val="0"/>
        <w:spacing w:line="360" w:lineRule="auto"/>
        <w:jc w:val="center"/>
        <w:textAlignment w:val="baseline"/>
        <w:rPr>
          <w:rFonts w:ascii="宋体" w:hAnsi="宋体"/>
          <w:b/>
          <w:bCs/>
          <w:color w:val="auto"/>
          <w:sz w:val="32"/>
          <w:szCs w:val="32"/>
        </w:rPr>
      </w:pPr>
      <w:r>
        <w:rPr>
          <w:rFonts w:hint="eastAsia" w:ascii="宋体" w:hAnsi="宋体"/>
          <w:b/>
          <w:bCs/>
          <w:color w:val="auto"/>
          <w:sz w:val="32"/>
          <w:szCs w:val="32"/>
          <w:lang w:eastAsia="zh-CN"/>
        </w:rPr>
        <w:t>2024年</w:t>
      </w:r>
      <w:r>
        <w:rPr>
          <w:rFonts w:hint="eastAsia" w:ascii="宋体" w:hAnsi="宋体"/>
          <w:b/>
          <w:bCs/>
          <w:color w:val="auto"/>
          <w:sz w:val="32"/>
          <w:szCs w:val="32"/>
          <w:lang w:val="en-US" w:eastAsia="zh-CN"/>
        </w:rPr>
        <w:t>06</w:t>
      </w:r>
      <w:r>
        <w:rPr>
          <w:rFonts w:hint="eastAsia" w:ascii="宋体" w:hAnsi="宋体"/>
          <w:b/>
          <w:bCs/>
          <w:color w:val="auto"/>
          <w:sz w:val="32"/>
          <w:szCs w:val="32"/>
        </w:rPr>
        <w:t>月</w:t>
      </w:r>
    </w:p>
    <w:p>
      <w:pPr>
        <w:spacing w:line="360" w:lineRule="auto"/>
        <w:jc w:val="center"/>
        <w:rPr>
          <w:rFonts w:ascii="宋体" w:hAnsi="宋体"/>
          <w:color w:val="auto"/>
          <w:sz w:val="24"/>
        </w:rPr>
      </w:pPr>
      <w:r>
        <w:rPr>
          <w:rFonts w:ascii="宋体" w:hAnsi="宋体"/>
          <w:color w:val="auto"/>
          <w:sz w:val="24"/>
        </w:rPr>
        <w:br w:type="page"/>
      </w:r>
      <w:r>
        <w:rPr>
          <w:rFonts w:ascii="宋体" w:hAnsi="宋体"/>
          <w:b/>
          <w:color w:val="auto"/>
          <w:sz w:val="24"/>
        </w:rPr>
        <w:t>目录</w:t>
      </w:r>
    </w:p>
    <w:p>
      <w:pPr>
        <w:pStyle w:val="21"/>
        <w:jc w:val="center"/>
        <w:rPr>
          <w:rFonts w:asciiTheme="minorHAnsi" w:hAnsiTheme="minorHAnsi" w:eastAsiaTheme="minorEastAsia" w:cstheme="minorBidi"/>
          <w:color w:val="auto"/>
          <w:szCs w:val="22"/>
        </w:rPr>
      </w:pPr>
      <w:r>
        <w:rPr>
          <w:rFonts w:ascii="宋体" w:hAnsi="宋体"/>
          <w:color w:val="auto"/>
          <w:sz w:val="24"/>
        </w:rPr>
        <w:fldChar w:fldCharType="begin"/>
      </w:r>
      <w:r>
        <w:rPr>
          <w:rFonts w:ascii="宋体" w:hAnsi="宋体"/>
          <w:color w:val="auto"/>
          <w:sz w:val="24"/>
        </w:rPr>
        <w:instrText xml:space="preserve"> TOC \h \z \t "标题 1,1,标题 2,1,标题 3,1,标题 4,1,标题 5,1,标题 6,1,标题 7,1,副标题,1" </w:instrText>
      </w:r>
      <w:r>
        <w:rPr>
          <w:rFonts w:ascii="宋体" w:hAnsi="宋体"/>
          <w:color w:val="auto"/>
          <w:sz w:val="24"/>
        </w:rPr>
        <w:fldChar w:fldCharType="separate"/>
      </w:r>
      <w:r>
        <w:rPr>
          <w:color w:val="auto"/>
        </w:rPr>
        <w:fldChar w:fldCharType="begin"/>
      </w:r>
      <w:r>
        <w:rPr>
          <w:color w:val="auto"/>
        </w:rPr>
        <w:instrText xml:space="preserve"> HYPERLINK \l "_Toc109133079" </w:instrText>
      </w:r>
      <w:r>
        <w:rPr>
          <w:color w:val="auto"/>
        </w:rPr>
        <w:fldChar w:fldCharType="separate"/>
      </w:r>
      <w:r>
        <w:rPr>
          <w:rStyle w:val="39"/>
          <w:rFonts w:hint="eastAsia" w:ascii="宋体" w:hAnsi="宋体"/>
          <w:color w:val="auto"/>
        </w:rPr>
        <w:t>第一部分</w:t>
      </w:r>
      <w:r>
        <w:rPr>
          <w:rStyle w:val="39"/>
          <w:rFonts w:ascii="宋体" w:hAnsi="宋体"/>
          <w:color w:val="auto"/>
        </w:rPr>
        <w:t xml:space="preserve">   </w:t>
      </w:r>
      <w:r>
        <w:rPr>
          <w:rStyle w:val="39"/>
          <w:rFonts w:hint="eastAsia" w:ascii="宋体" w:hAnsi="宋体"/>
          <w:color w:val="auto"/>
        </w:rPr>
        <w:t>磋商邀请</w:t>
      </w:r>
      <w:r>
        <w:rPr>
          <w:color w:val="auto"/>
        </w:rPr>
        <w:tab/>
      </w:r>
      <w:r>
        <w:rPr>
          <w:color w:val="auto"/>
        </w:rPr>
        <w:fldChar w:fldCharType="begin"/>
      </w:r>
      <w:r>
        <w:rPr>
          <w:color w:val="auto"/>
        </w:rPr>
        <w:instrText xml:space="preserve"> PAGEREF _Toc109133079 \h </w:instrText>
      </w:r>
      <w:r>
        <w:rPr>
          <w:color w:val="auto"/>
        </w:rPr>
        <w:fldChar w:fldCharType="separate"/>
      </w:r>
      <w:r>
        <w:rPr>
          <w:color w:val="auto"/>
        </w:rPr>
        <w:t>3</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"_Toc109133080" </w:instrText>
      </w:r>
      <w:r>
        <w:rPr>
          <w:color w:val="auto"/>
        </w:rPr>
        <w:fldChar w:fldCharType="separate"/>
      </w:r>
      <w:r>
        <w:rPr>
          <w:rStyle w:val="39"/>
          <w:rFonts w:hint="eastAsia"/>
          <w:color w:val="auto"/>
        </w:rPr>
        <w:t>第二部分</w:t>
      </w:r>
      <w:r>
        <w:rPr>
          <w:rStyle w:val="39"/>
          <w:color w:val="auto"/>
        </w:rPr>
        <w:t xml:space="preserve">  </w:t>
      </w:r>
      <w:r>
        <w:rPr>
          <w:rStyle w:val="39"/>
          <w:rFonts w:hint="eastAsia"/>
          <w:color w:val="auto"/>
        </w:rPr>
        <w:t>磋商供应商须知前附表</w:t>
      </w:r>
      <w:r>
        <w:rPr>
          <w:color w:val="auto"/>
        </w:rPr>
        <w:tab/>
      </w:r>
      <w:r>
        <w:rPr>
          <w:color w:val="auto"/>
        </w:rPr>
        <w:fldChar w:fldCharType="begin"/>
      </w:r>
      <w:r>
        <w:rPr>
          <w:color w:val="auto"/>
        </w:rPr>
        <w:instrText xml:space="preserve"> PAGEREF _Toc109133080 \h </w:instrText>
      </w:r>
      <w:r>
        <w:rPr>
          <w:color w:val="auto"/>
        </w:rPr>
        <w:fldChar w:fldCharType="separate"/>
      </w:r>
      <w:r>
        <w:rPr>
          <w:color w:val="auto"/>
        </w:rPr>
        <w:t>6</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"_Toc109133081" </w:instrText>
      </w:r>
      <w:r>
        <w:rPr>
          <w:color w:val="auto"/>
        </w:rPr>
        <w:fldChar w:fldCharType="separate"/>
      </w:r>
      <w:r>
        <w:rPr>
          <w:rStyle w:val="39"/>
          <w:rFonts w:hint="eastAsia" w:ascii="宋体" w:hAnsi="宋体"/>
          <w:color w:val="auto"/>
        </w:rPr>
        <w:t>第三部分</w:t>
      </w:r>
      <w:r>
        <w:rPr>
          <w:rStyle w:val="39"/>
          <w:rFonts w:ascii="宋体" w:hAnsi="宋体"/>
          <w:color w:val="auto"/>
        </w:rPr>
        <w:t xml:space="preserve">  </w:t>
      </w:r>
      <w:r>
        <w:rPr>
          <w:rStyle w:val="39"/>
          <w:rFonts w:hint="eastAsia" w:ascii="宋体" w:hAnsi="宋体"/>
          <w:color w:val="auto"/>
        </w:rPr>
        <w:t>磋商供应商须知</w:t>
      </w:r>
      <w:r>
        <w:rPr>
          <w:color w:val="auto"/>
        </w:rPr>
        <w:tab/>
      </w:r>
      <w:r>
        <w:rPr>
          <w:color w:val="auto"/>
        </w:rPr>
        <w:fldChar w:fldCharType="begin"/>
      </w:r>
      <w:r>
        <w:rPr>
          <w:color w:val="auto"/>
        </w:rPr>
        <w:instrText xml:space="preserve"> PAGEREF _Toc109133081 \h </w:instrText>
      </w:r>
      <w:r>
        <w:rPr>
          <w:color w:val="auto"/>
        </w:rPr>
        <w:fldChar w:fldCharType="separate"/>
      </w:r>
      <w:r>
        <w:rPr>
          <w:color w:val="auto"/>
        </w:rPr>
        <w:t>10</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"_Toc109133082" </w:instrText>
      </w:r>
      <w:r>
        <w:rPr>
          <w:color w:val="auto"/>
        </w:rPr>
        <w:fldChar w:fldCharType="separate"/>
      </w:r>
      <w:r>
        <w:rPr>
          <w:rStyle w:val="39"/>
          <w:rFonts w:hint="eastAsia" w:hAnsi="宋体"/>
          <w:b/>
          <w:color w:val="auto"/>
          <w:spacing w:val="-20"/>
        </w:rPr>
        <w:t>一、</w:t>
      </w:r>
      <w:r>
        <w:rPr>
          <w:rFonts w:asciiTheme="minorHAnsi" w:hAnsiTheme="minorHAnsi" w:eastAsiaTheme="minorEastAsia" w:cstheme="minorBidi"/>
          <w:color w:val="auto"/>
          <w:szCs w:val="22"/>
        </w:rPr>
        <w:tab/>
      </w:r>
      <w:r>
        <w:rPr>
          <w:rStyle w:val="39"/>
          <w:rFonts w:hint="eastAsia" w:hAnsi="宋体"/>
          <w:b/>
          <w:color w:val="auto"/>
        </w:rPr>
        <w:t>说明</w:t>
      </w:r>
      <w:r>
        <w:rPr>
          <w:color w:val="auto"/>
        </w:rPr>
        <w:tab/>
      </w:r>
      <w:r>
        <w:rPr>
          <w:color w:val="auto"/>
        </w:rPr>
        <w:fldChar w:fldCharType="begin"/>
      </w:r>
      <w:r>
        <w:rPr>
          <w:color w:val="auto"/>
        </w:rPr>
        <w:instrText xml:space="preserve"> PAGEREF _Toc109133082 \h </w:instrText>
      </w:r>
      <w:r>
        <w:rPr>
          <w:color w:val="auto"/>
        </w:rPr>
        <w:fldChar w:fldCharType="separate"/>
      </w:r>
      <w:r>
        <w:rPr>
          <w:color w:val="auto"/>
        </w:rPr>
        <w:t>10</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"_Toc109133083" </w:instrText>
      </w:r>
      <w:r>
        <w:rPr>
          <w:color w:val="auto"/>
        </w:rPr>
        <w:fldChar w:fldCharType="separate"/>
      </w:r>
      <w:r>
        <w:rPr>
          <w:rStyle w:val="39"/>
          <w:rFonts w:hint="eastAsia" w:ascii="宋体" w:hAnsi="宋体"/>
          <w:color w:val="auto"/>
        </w:rPr>
        <w:t>1、</w:t>
      </w:r>
      <w:r>
        <w:rPr>
          <w:rFonts w:asciiTheme="minorHAnsi" w:hAnsiTheme="minorHAnsi" w:eastAsiaTheme="minorEastAsia" w:cstheme="minorBidi"/>
          <w:color w:val="auto"/>
          <w:szCs w:val="22"/>
        </w:rPr>
        <w:tab/>
      </w:r>
      <w:r>
        <w:rPr>
          <w:rStyle w:val="39"/>
          <w:rFonts w:hint="eastAsia" w:ascii="宋体" w:hAnsi="宋体"/>
          <w:color w:val="auto"/>
        </w:rPr>
        <w:t>磋商内容及要求</w:t>
      </w:r>
      <w:r>
        <w:rPr>
          <w:color w:val="auto"/>
        </w:rPr>
        <w:tab/>
      </w:r>
      <w:r>
        <w:rPr>
          <w:color w:val="auto"/>
        </w:rPr>
        <w:fldChar w:fldCharType="begin"/>
      </w:r>
      <w:r>
        <w:rPr>
          <w:color w:val="auto"/>
        </w:rPr>
        <w:instrText xml:space="preserve"> PAGEREF _Toc109133083 \h </w:instrText>
      </w:r>
      <w:r>
        <w:rPr>
          <w:color w:val="auto"/>
        </w:rPr>
        <w:fldChar w:fldCharType="separate"/>
      </w:r>
      <w:r>
        <w:rPr>
          <w:color w:val="auto"/>
        </w:rPr>
        <w:t>10</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"_Toc109133084" </w:instrText>
      </w:r>
      <w:r>
        <w:rPr>
          <w:color w:val="auto"/>
        </w:rPr>
        <w:fldChar w:fldCharType="separate"/>
      </w:r>
      <w:r>
        <w:rPr>
          <w:rStyle w:val="39"/>
          <w:rFonts w:hint="eastAsia" w:ascii="宋体" w:hAnsi="宋体"/>
          <w:color w:val="auto"/>
        </w:rPr>
        <w:t>2、</w:t>
      </w:r>
      <w:r>
        <w:rPr>
          <w:rFonts w:asciiTheme="minorHAnsi" w:hAnsiTheme="minorHAnsi" w:eastAsiaTheme="minorEastAsia" w:cstheme="minorBidi"/>
          <w:color w:val="auto"/>
          <w:szCs w:val="22"/>
        </w:rPr>
        <w:tab/>
      </w:r>
      <w:r>
        <w:rPr>
          <w:rStyle w:val="39"/>
          <w:rFonts w:hint="eastAsia" w:ascii="宋体" w:hAnsi="宋体"/>
          <w:color w:val="auto"/>
        </w:rPr>
        <w:t>采购方式、合格的磋商供应商</w:t>
      </w:r>
      <w:r>
        <w:rPr>
          <w:color w:val="auto"/>
        </w:rPr>
        <w:tab/>
      </w:r>
      <w:r>
        <w:rPr>
          <w:color w:val="auto"/>
        </w:rPr>
        <w:fldChar w:fldCharType="begin"/>
      </w:r>
      <w:r>
        <w:rPr>
          <w:color w:val="auto"/>
        </w:rPr>
        <w:instrText xml:space="preserve"> PAGEREF _Toc109133084 \h </w:instrText>
      </w:r>
      <w:r>
        <w:rPr>
          <w:color w:val="auto"/>
        </w:rPr>
        <w:fldChar w:fldCharType="separate"/>
      </w:r>
      <w:r>
        <w:rPr>
          <w:color w:val="auto"/>
        </w:rPr>
        <w:t>10</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"_Toc109133085" </w:instrText>
      </w:r>
      <w:r>
        <w:rPr>
          <w:color w:val="auto"/>
        </w:rPr>
        <w:fldChar w:fldCharType="separate"/>
      </w:r>
      <w:r>
        <w:rPr>
          <w:rStyle w:val="39"/>
          <w:rFonts w:hint="eastAsia" w:ascii="宋体" w:hAnsi="宋体"/>
          <w:color w:val="auto"/>
        </w:rPr>
        <w:t>3、</w:t>
      </w:r>
      <w:r>
        <w:rPr>
          <w:rFonts w:asciiTheme="minorHAnsi" w:hAnsiTheme="minorHAnsi" w:eastAsiaTheme="minorEastAsia" w:cstheme="minorBidi"/>
          <w:color w:val="auto"/>
          <w:szCs w:val="22"/>
        </w:rPr>
        <w:tab/>
      </w:r>
      <w:r>
        <w:rPr>
          <w:rStyle w:val="39"/>
          <w:rFonts w:hint="eastAsia" w:ascii="宋体" w:hAnsi="宋体"/>
          <w:color w:val="auto"/>
        </w:rPr>
        <w:t>磋商费用</w:t>
      </w:r>
      <w:r>
        <w:rPr>
          <w:color w:val="auto"/>
        </w:rPr>
        <w:tab/>
      </w:r>
      <w:r>
        <w:rPr>
          <w:color w:val="auto"/>
        </w:rPr>
        <w:fldChar w:fldCharType="begin"/>
      </w:r>
      <w:r>
        <w:rPr>
          <w:color w:val="auto"/>
        </w:rPr>
        <w:instrText xml:space="preserve"> PAGEREF _Toc109133085 \h </w:instrText>
      </w:r>
      <w:r>
        <w:rPr>
          <w:color w:val="auto"/>
        </w:rPr>
        <w:fldChar w:fldCharType="separate"/>
      </w:r>
      <w:r>
        <w:rPr>
          <w:color w:val="auto"/>
        </w:rPr>
        <w:t>10</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"_Toc109133086" </w:instrText>
      </w:r>
      <w:r>
        <w:rPr>
          <w:color w:val="auto"/>
        </w:rPr>
        <w:fldChar w:fldCharType="separate"/>
      </w:r>
      <w:r>
        <w:rPr>
          <w:rStyle w:val="39"/>
          <w:rFonts w:hint="eastAsia" w:hAnsi="宋体"/>
          <w:b/>
          <w:color w:val="auto"/>
          <w:spacing w:val="-20"/>
        </w:rPr>
        <w:t>二、</w:t>
      </w:r>
      <w:r>
        <w:rPr>
          <w:rFonts w:asciiTheme="minorHAnsi" w:hAnsiTheme="minorHAnsi" w:eastAsiaTheme="minorEastAsia" w:cstheme="minorBidi"/>
          <w:color w:val="auto"/>
          <w:szCs w:val="22"/>
        </w:rPr>
        <w:tab/>
      </w:r>
      <w:r>
        <w:rPr>
          <w:rStyle w:val="39"/>
          <w:rFonts w:hint="eastAsia" w:hAnsi="宋体"/>
          <w:b/>
          <w:color w:val="auto"/>
        </w:rPr>
        <w:t>磋商文件说明</w:t>
      </w:r>
      <w:r>
        <w:rPr>
          <w:color w:val="auto"/>
        </w:rPr>
        <w:tab/>
      </w:r>
      <w:r>
        <w:rPr>
          <w:color w:val="auto"/>
        </w:rPr>
        <w:fldChar w:fldCharType="begin"/>
      </w:r>
      <w:r>
        <w:rPr>
          <w:color w:val="auto"/>
        </w:rPr>
        <w:instrText xml:space="preserve"> PAGEREF _Toc109133086 \h </w:instrText>
      </w:r>
      <w:r>
        <w:rPr>
          <w:color w:val="auto"/>
        </w:rPr>
        <w:fldChar w:fldCharType="separate"/>
      </w:r>
      <w:r>
        <w:rPr>
          <w:color w:val="auto"/>
        </w:rPr>
        <w:t>10</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"_Toc109133087" </w:instrText>
      </w:r>
      <w:r>
        <w:rPr>
          <w:color w:val="auto"/>
        </w:rPr>
        <w:fldChar w:fldCharType="separate"/>
      </w:r>
      <w:r>
        <w:rPr>
          <w:rStyle w:val="39"/>
          <w:rFonts w:hint="eastAsia" w:ascii="宋体" w:hAnsi="宋体"/>
          <w:color w:val="auto"/>
        </w:rPr>
        <w:t>4、</w:t>
      </w:r>
      <w:r>
        <w:rPr>
          <w:rFonts w:asciiTheme="minorHAnsi" w:hAnsiTheme="minorHAnsi" w:eastAsiaTheme="minorEastAsia" w:cstheme="minorBidi"/>
          <w:color w:val="auto"/>
          <w:szCs w:val="22"/>
        </w:rPr>
        <w:tab/>
      </w:r>
      <w:r>
        <w:rPr>
          <w:rStyle w:val="39"/>
          <w:rFonts w:hint="eastAsia" w:ascii="宋体" w:hAnsi="宋体"/>
          <w:color w:val="auto"/>
        </w:rPr>
        <w:t>磋商文件的构成</w:t>
      </w:r>
      <w:r>
        <w:rPr>
          <w:color w:val="auto"/>
        </w:rPr>
        <w:tab/>
      </w:r>
      <w:r>
        <w:rPr>
          <w:color w:val="auto"/>
        </w:rPr>
        <w:fldChar w:fldCharType="begin"/>
      </w:r>
      <w:r>
        <w:rPr>
          <w:color w:val="auto"/>
        </w:rPr>
        <w:instrText xml:space="preserve"> PAGEREF _Toc109133087 \h </w:instrText>
      </w:r>
      <w:r>
        <w:rPr>
          <w:color w:val="auto"/>
        </w:rPr>
        <w:fldChar w:fldCharType="separate"/>
      </w:r>
      <w:r>
        <w:rPr>
          <w:color w:val="auto"/>
        </w:rPr>
        <w:t>10</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"_Toc109133088" </w:instrText>
      </w:r>
      <w:r>
        <w:rPr>
          <w:color w:val="auto"/>
        </w:rPr>
        <w:fldChar w:fldCharType="separate"/>
      </w:r>
      <w:r>
        <w:rPr>
          <w:rStyle w:val="39"/>
          <w:rFonts w:hint="eastAsia" w:ascii="宋体" w:hAnsi="宋体"/>
          <w:color w:val="auto"/>
        </w:rPr>
        <w:t>5、</w:t>
      </w:r>
      <w:r>
        <w:rPr>
          <w:rFonts w:asciiTheme="minorHAnsi" w:hAnsiTheme="minorHAnsi" w:eastAsiaTheme="minorEastAsia" w:cstheme="minorBidi"/>
          <w:color w:val="auto"/>
          <w:szCs w:val="22"/>
        </w:rPr>
        <w:tab/>
      </w:r>
      <w:r>
        <w:rPr>
          <w:rStyle w:val="39"/>
          <w:rFonts w:hint="eastAsia" w:ascii="宋体" w:hAnsi="宋体"/>
          <w:color w:val="auto"/>
        </w:rPr>
        <w:t>磋商文件、磋商活动和成交结果的质疑</w:t>
      </w:r>
      <w:r>
        <w:rPr>
          <w:color w:val="auto"/>
        </w:rPr>
        <w:tab/>
      </w:r>
      <w:r>
        <w:rPr>
          <w:color w:val="auto"/>
        </w:rPr>
        <w:fldChar w:fldCharType="begin"/>
      </w:r>
      <w:r>
        <w:rPr>
          <w:color w:val="auto"/>
        </w:rPr>
        <w:instrText xml:space="preserve"> PAGEREF _Toc109133088 \h </w:instrText>
      </w:r>
      <w:r>
        <w:rPr>
          <w:color w:val="auto"/>
        </w:rPr>
        <w:fldChar w:fldCharType="separate"/>
      </w:r>
      <w:r>
        <w:rPr>
          <w:color w:val="auto"/>
        </w:rPr>
        <w:t>11</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"_Toc109133089" </w:instrText>
      </w:r>
      <w:r>
        <w:rPr>
          <w:color w:val="auto"/>
        </w:rPr>
        <w:fldChar w:fldCharType="separate"/>
      </w:r>
      <w:r>
        <w:rPr>
          <w:rStyle w:val="39"/>
          <w:rFonts w:hint="eastAsia" w:ascii="宋体" w:hAnsi="宋体"/>
          <w:color w:val="auto"/>
        </w:rPr>
        <w:t>6、</w:t>
      </w:r>
      <w:r>
        <w:rPr>
          <w:rFonts w:asciiTheme="minorHAnsi" w:hAnsiTheme="minorHAnsi" w:eastAsiaTheme="minorEastAsia" w:cstheme="minorBidi"/>
          <w:color w:val="auto"/>
          <w:szCs w:val="22"/>
        </w:rPr>
        <w:tab/>
      </w:r>
      <w:r>
        <w:rPr>
          <w:rStyle w:val="39"/>
          <w:rFonts w:hint="eastAsia" w:ascii="宋体" w:hAnsi="宋体"/>
          <w:color w:val="auto"/>
        </w:rPr>
        <w:t>磋商文件的修改</w:t>
      </w:r>
      <w:r>
        <w:rPr>
          <w:color w:val="auto"/>
        </w:rPr>
        <w:tab/>
      </w:r>
      <w:r>
        <w:rPr>
          <w:color w:val="auto"/>
        </w:rPr>
        <w:fldChar w:fldCharType="begin"/>
      </w:r>
      <w:r>
        <w:rPr>
          <w:color w:val="auto"/>
        </w:rPr>
        <w:instrText xml:space="preserve"> PAGEREF _Toc109133089 \h </w:instrText>
      </w:r>
      <w:r>
        <w:rPr>
          <w:color w:val="auto"/>
        </w:rPr>
        <w:fldChar w:fldCharType="separate"/>
      </w:r>
      <w:r>
        <w:rPr>
          <w:color w:val="auto"/>
        </w:rPr>
        <w:t>11</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"_Toc109133090" </w:instrText>
      </w:r>
      <w:r>
        <w:rPr>
          <w:color w:val="auto"/>
        </w:rPr>
        <w:fldChar w:fldCharType="separate"/>
      </w:r>
      <w:r>
        <w:rPr>
          <w:rStyle w:val="39"/>
          <w:rFonts w:hint="eastAsia" w:hAnsi="宋体"/>
          <w:b/>
          <w:color w:val="auto"/>
          <w:spacing w:val="-20"/>
        </w:rPr>
        <w:t>三、</w:t>
      </w:r>
      <w:r>
        <w:rPr>
          <w:rFonts w:asciiTheme="minorHAnsi" w:hAnsiTheme="minorHAnsi" w:eastAsiaTheme="minorEastAsia" w:cstheme="minorBidi"/>
          <w:color w:val="auto"/>
          <w:szCs w:val="22"/>
        </w:rPr>
        <w:tab/>
      </w:r>
      <w:r>
        <w:rPr>
          <w:rStyle w:val="39"/>
          <w:rFonts w:hint="eastAsia" w:hAnsi="宋体"/>
          <w:b/>
          <w:color w:val="auto"/>
        </w:rPr>
        <w:t>磋商响应文件的编写</w:t>
      </w:r>
      <w:r>
        <w:rPr>
          <w:color w:val="auto"/>
        </w:rPr>
        <w:tab/>
      </w:r>
      <w:r>
        <w:rPr>
          <w:color w:val="auto"/>
        </w:rPr>
        <w:fldChar w:fldCharType="begin"/>
      </w:r>
      <w:r>
        <w:rPr>
          <w:color w:val="auto"/>
        </w:rPr>
        <w:instrText xml:space="preserve"> PAGEREF _Toc109133090 \h </w:instrText>
      </w:r>
      <w:r>
        <w:rPr>
          <w:color w:val="auto"/>
        </w:rPr>
        <w:fldChar w:fldCharType="separate"/>
      </w:r>
      <w:r>
        <w:rPr>
          <w:color w:val="auto"/>
        </w:rPr>
        <w:t>12</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"_Toc109133091" </w:instrText>
      </w:r>
      <w:r>
        <w:rPr>
          <w:color w:val="auto"/>
        </w:rPr>
        <w:fldChar w:fldCharType="separate"/>
      </w:r>
      <w:r>
        <w:rPr>
          <w:rStyle w:val="39"/>
          <w:rFonts w:hint="eastAsia" w:ascii="宋体" w:hAnsi="宋体"/>
          <w:color w:val="auto"/>
        </w:rPr>
        <w:t>7、</w:t>
      </w:r>
      <w:r>
        <w:rPr>
          <w:rFonts w:asciiTheme="minorHAnsi" w:hAnsiTheme="minorHAnsi" w:eastAsiaTheme="minorEastAsia" w:cstheme="minorBidi"/>
          <w:color w:val="auto"/>
          <w:szCs w:val="22"/>
        </w:rPr>
        <w:tab/>
      </w:r>
      <w:r>
        <w:rPr>
          <w:rStyle w:val="39"/>
          <w:rFonts w:hint="eastAsia" w:ascii="宋体" w:hAnsi="宋体"/>
          <w:color w:val="auto"/>
        </w:rPr>
        <w:t>磋商响应文件的语言及度量衡单位</w:t>
      </w:r>
      <w:r>
        <w:rPr>
          <w:color w:val="auto"/>
        </w:rPr>
        <w:tab/>
      </w:r>
      <w:r>
        <w:rPr>
          <w:color w:val="auto"/>
        </w:rPr>
        <w:fldChar w:fldCharType="begin"/>
      </w:r>
      <w:r>
        <w:rPr>
          <w:color w:val="auto"/>
        </w:rPr>
        <w:instrText xml:space="preserve"> PAGEREF _Toc109133091 \h </w:instrText>
      </w:r>
      <w:r>
        <w:rPr>
          <w:color w:val="auto"/>
        </w:rPr>
        <w:fldChar w:fldCharType="separate"/>
      </w:r>
      <w:r>
        <w:rPr>
          <w:color w:val="auto"/>
        </w:rPr>
        <w:t>12</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"_Toc109133092" </w:instrText>
      </w:r>
      <w:r>
        <w:rPr>
          <w:color w:val="auto"/>
        </w:rPr>
        <w:fldChar w:fldCharType="separate"/>
      </w:r>
      <w:r>
        <w:rPr>
          <w:rStyle w:val="39"/>
          <w:rFonts w:hint="eastAsia" w:ascii="宋体" w:hAnsi="宋体"/>
          <w:color w:val="auto"/>
        </w:rPr>
        <w:t>8、</w:t>
      </w:r>
      <w:r>
        <w:rPr>
          <w:rFonts w:asciiTheme="minorHAnsi" w:hAnsiTheme="minorHAnsi" w:eastAsiaTheme="minorEastAsia" w:cstheme="minorBidi"/>
          <w:color w:val="auto"/>
          <w:szCs w:val="22"/>
        </w:rPr>
        <w:tab/>
      </w:r>
      <w:r>
        <w:rPr>
          <w:rStyle w:val="39"/>
          <w:rFonts w:hint="eastAsia" w:ascii="宋体" w:hAnsi="宋体"/>
          <w:color w:val="auto"/>
        </w:rPr>
        <w:t>磋商报价及币种</w:t>
      </w:r>
      <w:r>
        <w:rPr>
          <w:color w:val="auto"/>
        </w:rPr>
        <w:tab/>
      </w:r>
      <w:r>
        <w:rPr>
          <w:color w:val="auto"/>
        </w:rPr>
        <w:fldChar w:fldCharType="begin"/>
      </w:r>
      <w:r>
        <w:rPr>
          <w:color w:val="auto"/>
        </w:rPr>
        <w:instrText xml:space="preserve"> PAGEREF _Toc109133092 \h </w:instrText>
      </w:r>
      <w:r>
        <w:rPr>
          <w:color w:val="auto"/>
        </w:rPr>
        <w:fldChar w:fldCharType="separate"/>
      </w:r>
      <w:r>
        <w:rPr>
          <w:color w:val="auto"/>
        </w:rPr>
        <w:t>12</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"_Toc109133093" </w:instrText>
      </w:r>
      <w:r>
        <w:rPr>
          <w:color w:val="auto"/>
        </w:rPr>
        <w:fldChar w:fldCharType="separate"/>
      </w:r>
      <w:r>
        <w:rPr>
          <w:rStyle w:val="39"/>
          <w:rFonts w:hint="eastAsia" w:ascii="宋体" w:hAnsi="宋体"/>
          <w:color w:val="auto"/>
        </w:rPr>
        <w:t>9、</w:t>
      </w:r>
      <w:r>
        <w:rPr>
          <w:rFonts w:asciiTheme="minorHAnsi" w:hAnsiTheme="minorHAnsi" w:eastAsiaTheme="minorEastAsia" w:cstheme="minorBidi"/>
          <w:color w:val="auto"/>
          <w:szCs w:val="22"/>
        </w:rPr>
        <w:tab/>
      </w:r>
      <w:r>
        <w:rPr>
          <w:rStyle w:val="39"/>
          <w:rFonts w:hint="eastAsia" w:ascii="宋体" w:hAnsi="宋体"/>
          <w:color w:val="auto"/>
        </w:rPr>
        <w:t>磋商保证金</w:t>
      </w:r>
      <w:r>
        <w:rPr>
          <w:color w:val="auto"/>
        </w:rPr>
        <w:tab/>
      </w:r>
      <w:r>
        <w:rPr>
          <w:color w:val="auto"/>
        </w:rPr>
        <w:fldChar w:fldCharType="begin"/>
      </w:r>
      <w:r>
        <w:rPr>
          <w:color w:val="auto"/>
        </w:rPr>
        <w:instrText xml:space="preserve"> PAGEREF _Toc109133093 \h </w:instrText>
      </w:r>
      <w:r>
        <w:rPr>
          <w:color w:val="auto"/>
        </w:rPr>
        <w:fldChar w:fldCharType="separate"/>
      </w:r>
      <w:r>
        <w:rPr>
          <w:color w:val="auto"/>
        </w:rPr>
        <w:t>12</w:t>
      </w:r>
      <w:r>
        <w:rPr>
          <w:color w:val="auto"/>
        </w:rPr>
        <w:fldChar w:fldCharType="end"/>
      </w:r>
      <w:r>
        <w:rPr>
          <w:color w:val="auto"/>
        </w:rPr>
        <w:fldChar w:fldCharType="end"/>
      </w:r>
    </w:p>
    <w:p>
      <w:pPr>
        <w:pStyle w:val="21"/>
        <w:tabs>
          <w:tab w:val="left" w:pos="84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"_Toc109133094" </w:instrText>
      </w:r>
      <w:r>
        <w:rPr>
          <w:color w:val="auto"/>
        </w:rPr>
        <w:fldChar w:fldCharType="separate"/>
      </w:r>
      <w:r>
        <w:rPr>
          <w:rStyle w:val="39"/>
          <w:rFonts w:hint="eastAsia" w:ascii="宋体" w:hAnsi="宋体"/>
          <w:color w:val="auto"/>
        </w:rPr>
        <w:t>10、</w:t>
      </w:r>
      <w:r>
        <w:rPr>
          <w:rFonts w:asciiTheme="minorHAnsi" w:hAnsiTheme="minorHAnsi" w:eastAsiaTheme="minorEastAsia" w:cstheme="minorBidi"/>
          <w:color w:val="auto"/>
          <w:szCs w:val="22"/>
        </w:rPr>
        <w:tab/>
      </w:r>
      <w:r>
        <w:rPr>
          <w:rStyle w:val="39"/>
          <w:rFonts w:hint="eastAsia" w:ascii="宋体" w:hAnsi="宋体"/>
          <w:color w:val="auto"/>
        </w:rPr>
        <w:t>磋商有效期</w:t>
      </w:r>
      <w:r>
        <w:rPr>
          <w:color w:val="auto"/>
        </w:rPr>
        <w:tab/>
      </w:r>
      <w:r>
        <w:rPr>
          <w:color w:val="auto"/>
        </w:rPr>
        <w:fldChar w:fldCharType="begin"/>
      </w:r>
      <w:r>
        <w:rPr>
          <w:color w:val="auto"/>
        </w:rPr>
        <w:instrText xml:space="preserve"> PAGEREF _Toc109133094 \h </w:instrText>
      </w:r>
      <w:r>
        <w:rPr>
          <w:color w:val="auto"/>
        </w:rPr>
        <w:fldChar w:fldCharType="separate"/>
      </w:r>
      <w:r>
        <w:rPr>
          <w:color w:val="auto"/>
        </w:rPr>
        <w:t>13</w:t>
      </w:r>
      <w:r>
        <w:rPr>
          <w:color w:val="auto"/>
        </w:rPr>
        <w:fldChar w:fldCharType="end"/>
      </w:r>
      <w:r>
        <w:rPr>
          <w:color w:val="auto"/>
        </w:rPr>
        <w:fldChar w:fldCharType="end"/>
      </w:r>
    </w:p>
    <w:p>
      <w:pPr>
        <w:pStyle w:val="21"/>
        <w:tabs>
          <w:tab w:val="left" w:pos="84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"_Toc109133095" </w:instrText>
      </w:r>
      <w:r>
        <w:rPr>
          <w:color w:val="auto"/>
        </w:rPr>
        <w:fldChar w:fldCharType="separate"/>
      </w:r>
      <w:r>
        <w:rPr>
          <w:rStyle w:val="39"/>
          <w:rFonts w:hint="eastAsia" w:ascii="宋体" w:hAnsi="宋体"/>
          <w:color w:val="auto"/>
        </w:rPr>
        <w:t>11、</w:t>
      </w:r>
      <w:r>
        <w:rPr>
          <w:rFonts w:asciiTheme="minorHAnsi" w:hAnsiTheme="minorHAnsi" w:eastAsiaTheme="minorEastAsia" w:cstheme="minorBidi"/>
          <w:color w:val="auto"/>
          <w:szCs w:val="22"/>
        </w:rPr>
        <w:tab/>
      </w:r>
      <w:r>
        <w:rPr>
          <w:rStyle w:val="39"/>
          <w:rFonts w:hint="eastAsia" w:ascii="宋体" w:hAnsi="宋体"/>
          <w:color w:val="auto"/>
        </w:rPr>
        <w:t>磋商响应文件的构成</w:t>
      </w:r>
      <w:r>
        <w:rPr>
          <w:color w:val="auto"/>
        </w:rPr>
        <w:tab/>
      </w:r>
      <w:r>
        <w:rPr>
          <w:color w:val="auto"/>
        </w:rPr>
        <w:fldChar w:fldCharType="begin"/>
      </w:r>
      <w:r>
        <w:rPr>
          <w:color w:val="auto"/>
        </w:rPr>
        <w:instrText xml:space="preserve"> PAGEREF _Toc109133095 \h </w:instrText>
      </w:r>
      <w:r>
        <w:rPr>
          <w:color w:val="auto"/>
        </w:rPr>
        <w:fldChar w:fldCharType="separate"/>
      </w:r>
      <w:r>
        <w:rPr>
          <w:color w:val="auto"/>
        </w:rPr>
        <w:t>14</w:t>
      </w:r>
      <w:r>
        <w:rPr>
          <w:color w:val="auto"/>
        </w:rPr>
        <w:fldChar w:fldCharType="end"/>
      </w:r>
      <w:r>
        <w:rPr>
          <w:color w:val="auto"/>
        </w:rPr>
        <w:fldChar w:fldCharType="end"/>
      </w:r>
    </w:p>
    <w:p>
      <w:pPr>
        <w:pStyle w:val="21"/>
        <w:tabs>
          <w:tab w:val="left" w:pos="84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"_Toc109133096" </w:instrText>
      </w:r>
      <w:r>
        <w:rPr>
          <w:color w:val="auto"/>
        </w:rPr>
        <w:fldChar w:fldCharType="separate"/>
      </w:r>
      <w:r>
        <w:rPr>
          <w:rStyle w:val="39"/>
          <w:rFonts w:hint="eastAsia" w:ascii="宋体" w:hAnsi="宋体"/>
          <w:color w:val="auto"/>
        </w:rPr>
        <w:t>12、</w:t>
      </w:r>
      <w:r>
        <w:rPr>
          <w:rFonts w:asciiTheme="minorHAnsi" w:hAnsiTheme="minorHAnsi" w:eastAsiaTheme="minorEastAsia" w:cstheme="minorBidi"/>
          <w:color w:val="auto"/>
          <w:szCs w:val="22"/>
        </w:rPr>
        <w:tab/>
      </w:r>
      <w:r>
        <w:rPr>
          <w:rStyle w:val="39"/>
          <w:rFonts w:hint="eastAsia" w:ascii="宋体" w:hAnsi="宋体"/>
          <w:color w:val="auto"/>
        </w:rPr>
        <w:t>磋商响应文件的编制要求</w:t>
      </w:r>
      <w:r>
        <w:rPr>
          <w:color w:val="auto"/>
        </w:rPr>
        <w:tab/>
      </w:r>
      <w:r>
        <w:rPr>
          <w:color w:val="auto"/>
        </w:rPr>
        <w:fldChar w:fldCharType="begin"/>
      </w:r>
      <w:r>
        <w:rPr>
          <w:color w:val="auto"/>
        </w:rPr>
        <w:instrText xml:space="preserve"> PAGEREF _Toc109133096 \h </w:instrText>
      </w:r>
      <w:r>
        <w:rPr>
          <w:color w:val="auto"/>
        </w:rPr>
        <w:fldChar w:fldCharType="separate"/>
      </w:r>
      <w:r>
        <w:rPr>
          <w:color w:val="auto"/>
        </w:rPr>
        <w:t>14</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"_Toc109133097" </w:instrText>
      </w:r>
      <w:r>
        <w:rPr>
          <w:color w:val="auto"/>
        </w:rPr>
        <w:fldChar w:fldCharType="separate"/>
      </w:r>
      <w:r>
        <w:rPr>
          <w:rStyle w:val="39"/>
          <w:rFonts w:hint="eastAsia" w:hAnsi="宋体"/>
          <w:b/>
          <w:color w:val="auto"/>
          <w:spacing w:val="-20"/>
        </w:rPr>
        <w:t>四、</w:t>
      </w:r>
      <w:r>
        <w:rPr>
          <w:rFonts w:asciiTheme="minorHAnsi" w:hAnsiTheme="minorHAnsi" w:eastAsiaTheme="minorEastAsia" w:cstheme="minorBidi"/>
          <w:color w:val="auto"/>
          <w:szCs w:val="22"/>
        </w:rPr>
        <w:tab/>
      </w:r>
      <w:r>
        <w:rPr>
          <w:rStyle w:val="39"/>
          <w:rFonts w:hint="eastAsia" w:hAnsi="宋体"/>
          <w:b/>
          <w:color w:val="auto"/>
        </w:rPr>
        <w:t>磋商响应文件的递交</w:t>
      </w:r>
      <w:r>
        <w:rPr>
          <w:color w:val="auto"/>
        </w:rPr>
        <w:tab/>
      </w:r>
      <w:r>
        <w:rPr>
          <w:color w:val="auto"/>
        </w:rPr>
        <w:fldChar w:fldCharType="begin"/>
      </w:r>
      <w:r>
        <w:rPr>
          <w:color w:val="auto"/>
        </w:rPr>
        <w:instrText xml:space="preserve"> PAGEREF _Toc109133097 \h </w:instrText>
      </w:r>
      <w:r>
        <w:rPr>
          <w:color w:val="auto"/>
        </w:rPr>
        <w:fldChar w:fldCharType="separate"/>
      </w:r>
      <w:r>
        <w:rPr>
          <w:color w:val="auto"/>
        </w:rPr>
        <w:t>14</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"_Toc109133098" </w:instrText>
      </w:r>
      <w:r>
        <w:rPr>
          <w:color w:val="auto"/>
        </w:rPr>
        <w:fldChar w:fldCharType="separate"/>
      </w:r>
      <w:r>
        <w:rPr>
          <w:rStyle w:val="39"/>
          <w:rFonts w:hint="eastAsia" w:hAnsi="宋体"/>
          <w:b/>
          <w:color w:val="auto"/>
          <w:spacing w:val="-20"/>
        </w:rPr>
        <w:t>五、</w:t>
      </w:r>
      <w:r>
        <w:rPr>
          <w:rFonts w:asciiTheme="minorHAnsi" w:hAnsiTheme="minorHAnsi" w:eastAsiaTheme="minorEastAsia" w:cstheme="minorBidi"/>
          <w:color w:val="auto"/>
          <w:szCs w:val="22"/>
        </w:rPr>
        <w:tab/>
      </w:r>
      <w:r>
        <w:rPr>
          <w:rStyle w:val="39"/>
          <w:rFonts w:hint="eastAsia" w:hAnsi="宋体"/>
          <w:b/>
          <w:color w:val="auto"/>
        </w:rPr>
        <w:t>磋商过程</w:t>
      </w:r>
      <w:r>
        <w:rPr>
          <w:color w:val="auto"/>
        </w:rPr>
        <w:tab/>
      </w:r>
      <w:r>
        <w:rPr>
          <w:color w:val="auto"/>
        </w:rPr>
        <w:fldChar w:fldCharType="begin"/>
      </w:r>
      <w:r>
        <w:rPr>
          <w:color w:val="auto"/>
        </w:rPr>
        <w:instrText xml:space="preserve"> PAGEREF _Toc109133098 \h </w:instrText>
      </w:r>
      <w:r>
        <w:rPr>
          <w:color w:val="auto"/>
        </w:rPr>
        <w:fldChar w:fldCharType="separate"/>
      </w:r>
      <w:r>
        <w:rPr>
          <w:color w:val="auto"/>
        </w:rPr>
        <w:t>15</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"_Toc109133099" </w:instrText>
      </w:r>
      <w:r>
        <w:rPr>
          <w:color w:val="auto"/>
        </w:rPr>
        <w:fldChar w:fldCharType="separate"/>
      </w:r>
      <w:r>
        <w:rPr>
          <w:rStyle w:val="39"/>
          <w:rFonts w:hint="eastAsia" w:hAnsi="宋体"/>
          <w:b/>
          <w:color w:val="auto"/>
          <w:spacing w:val="-20"/>
        </w:rPr>
        <w:t>六、</w:t>
      </w:r>
      <w:r>
        <w:rPr>
          <w:rFonts w:asciiTheme="minorHAnsi" w:hAnsiTheme="minorHAnsi" w:eastAsiaTheme="minorEastAsia" w:cstheme="minorBidi"/>
          <w:color w:val="auto"/>
          <w:szCs w:val="22"/>
        </w:rPr>
        <w:tab/>
      </w:r>
      <w:r>
        <w:rPr>
          <w:rStyle w:val="39"/>
          <w:rFonts w:hint="eastAsia" w:hAnsi="宋体"/>
          <w:b/>
          <w:color w:val="auto"/>
        </w:rPr>
        <w:t>资格审查</w:t>
      </w:r>
      <w:r>
        <w:rPr>
          <w:color w:val="auto"/>
        </w:rPr>
        <w:tab/>
      </w:r>
      <w:r>
        <w:rPr>
          <w:color w:val="auto"/>
        </w:rPr>
        <w:fldChar w:fldCharType="begin"/>
      </w:r>
      <w:r>
        <w:rPr>
          <w:color w:val="auto"/>
        </w:rPr>
        <w:instrText xml:space="preserve"> PAGEREF _Toc109133099 \h </w:instrText>
      </w:r>
      <w:r>
        <w:rPr>
          <w:color w:val="auto"/>
        </w:rPr>
        <w:fldChar w:fldCharType="separate"/>
      </w:r>
      <w:r>
        <w:rPr>
          <w:color w:val="auto"/>
        </w:rPr>
        <w:t>15</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"_Toc109133100" </w:instrText>
      </w:r>
      <w:r>
        <w:rPr>
          <w:color w:val="auto"/>
        </w:rPr>
        <w:fldChar w:fldCharType="separate"/>
      </w:r>
      <w:r>
        <w:rPr>
          <w:rStyle w:val="39"/>
          <w:rFonts w:hint="eastAsia" w:hAnsi="宋体"/>
          <w:b/>
          <w:color w:val="auto"/>
          <w:spacing w:val="-20"/>
        </w:rPr>
        <w:t>七、</w:t>
      </w:r>
      <w:r>
        <w:rPr>
          <w:rFonts w:asciiTheme="minorHAnsi" w:hAnsiTheme="minorHAnsi" w:eastAsiaTheme="minorEastAsia" w:cstheme="minorBidi"/>
          <w:color w:val="auto"/>
          <w:szCs w:val="22"/>
        </w:rPr>
        <w:tab/>
      </w:r>
      <w:r>
        <w:rPr>
          <w:rStyle w:val="39"/>
          <w:rFonts w:hint="eastAsia" w:hAnsi="宋体"/>
          <w:b/>
          <w:color w:val="auto"/>
        </w:rPr>
        <w:t>评审程序及方法</w:t>
      </w:r>
      <w:r>
        <w:rPr>
          <w:color w:val="auto"/>
        </w:rPr>
        <w:tab/>
      </w:r>
      <w:r>
        <w:rPr>
          <w:color w:val="auto"/>
        </w:rPr>
        <w:fldChar w:fldCharType="begin"/>
      </w:r>
      <w:r>
        <w:rPr>
          <w:color w:val="auto"/>
        </w:rPr>
        <w:instrText xml:space="preserve"> PAGEREF _Toc109133100 \h </w:instrText>
      </w:r>
      <w:r>
        <w:rPr>
          <w:color w:val="auto"/>
        </w:rPr>
        <w:fldChar w:fldCharType="separate"/>
      </w:r>
      <w:r>
        <w:rPr>
          <w:color w:val="auto"/>
        </w:rPr>
        <w:t>15</w:t>
      </w:r>
      <w:r>
        <w:rPr>
          <w:color w:val="auto"/>
        </w:rPr>
        <w:fldChar w:fldCharType="end"/>
      </w:r>
      <w:r>
        <w:rPr>
          <w:color w:val="auto"/>
        </w:rPr>
        <w:fldChar w:fldCharType="end"/>
      </w:r>
    </w:p>
    <w:p>
      <w:pPr>
        <w:pStyle w:val="21"/>
        <w:tabs>
          <w:tab w:val="left" w:pos="84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"_Toc109133101" </w:instrText>
      </w:r>
      <w:r>
        <w:rPr>
          <w:color w:val="auto"/>
        </w:rPr>
        <w:fldChar w:fldCharType="separate"/>
      </w:r>
      <w:r>
        <w:rPr>
          <w:rStyle w:val="39"/>
          <w:rFonts w:hint="eastAsia" w:ascii="宋体" w:hAnsi="宋体"/>
          <w:color w:val="auto"/>
        </w:rPr>
        <w:t>13、</w:t>
      </w:r>
      <w:r>
        <w:rPr>
          <w:rFonts w:asciiTheme="minorHAnsi" w:hAnsiTheme="minorHAnsi" w:eastAsiaTheme="minorEastAsia" w:cstheme="minorBidi"/>
          <w:color w:val="auto"/>
          <w:szCs w:val="22"/>
        </w:rPr>
        <w:tab/>
      </w:r>
      <w:r>
        <w:rPr>
          <w:rStyle w:val="39"/>
          <w:rFonts w:hint="eastAsia" w:ascii="宋体" w:hAnsi="宋体"/>
          <w:color w:val="auto"/>
        </w:rPr>
        <w:t>评标委员会</w:t>
      </w:r>
      <w:r>
        <w:rPr>
          <w:color w:val="auto"/>
        </w:rPr>
        <w:tab/>
      </w:r>
      <w:r>
        <w:rPr>
          <w:color w:val="auto"/>
        </w:rPr>
        <w:fldChar w:fldCharType="begin"/>
      </w:r>
      <w:r>
        <w:rPr>
          <w:color w:val="auto"/>
        </w:rPr>
        <w:instrText xml:space="preserve"> PAGEREF _Toc109133101 \h </w:instrText>
      </w:r>
      <w:r>
        <w:rPr>
          <w:color w:val="auto"/>
        </w:rPr>
        <w:fldChar w:fldCharType="separate"/>
      </w:r>
      <w:r>
        <w:rPr>
          <w:color w:val="auto"/>
        </w:rPr>
        <w:t>15</w:t>
      </w:r>
      <w:r>
        <w:rPr>
          <w:color w:val="auto"/>
        </w:rPr>
        <w:fldChar w:fldCharType="end"/>
      </w:r>
      <w:r>
        <w:rPr>
          <w:color w:val="auto"/>
        </w:rPr>
        <w:fldChar w:fldCharType="end"/>
      </w:r>
    </w:p>
    <w:p>
      <w:pPr>
        <w:pStyle w:val="21"/>
        <w:tabs>
          <w:tab w:val="left" w:pos="84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"_Toc109133102" </w:instrText>
      </w:r>
      <w:r>
        <w:rPr>
          <w:color w:val="auto"/>
        </w:rPr>
        <w:fldChar w:fldCharType="separate"/>
      </w:r>
      <w:r>
        <w:rPr>
          <w:rStyle w:val="39"/>
          <w:rFonts w:hint="eastAsia" w:ascii="宋体" w:hAnsi="宋体"/>
          <w:color w:val="auto"/>
        </w:rPr>
        <w:t>14、</w:t>
      </w:r>
      <w:r>
        <w:rPr>
          <w:rFonts w:asciiTheme="minorHAnsi" w:hAnsiTheme="minorHAnsi" w:eastAsiaTheme="minorEastAsia" w:cstheme="minorBidi"/>
          <w:color w:val="auto"/>
          <w:szCs w:val="22"/>
        </w:rPr>
        <w:tab/>
      </w:r>
      <w:r>
        <w:rPr>
          <w:rStyle w:val="39"/>
          <w:rFonts w:hint="eastAsia" w:ascii="宋体" w:hAnsi="宋体"/>
          <w:color w:val="auto"/>
        </w:rPr>
        <w:t>磋商程序</w:t>
      </w:r>
      <w:r>
        <w:rPr>
          <w:color w:val="auto"/>
        </w:rPr>
        <w:tab/>
      </w:r>
      <w:r>
        <w:rPr>
          <w:color w:val="auto"/>
        </w:rPr>
        <w:fldChar w:fldCharType="begin"/>
      </w:r>
      <w:r>
        <w:rPr>
          <w:color w:val="auto"/>
        </w:rPr>
        <w:instrText xml:space="preserve"> PAGEREF _Toc109133102 \h </w:instrText>
      </w:r>
      <w:r>
        <w:rPr>
          <w:color w:val="auto"/>
        </w:rPr>
        <w:fldChar w:fldCharType="separate"/>
      </w:r>
      <w:r>
        <w:rPr>
          <w:color w:val="auto"/>
        </w:rPr>
        <w:t>17</w:t>
      </w:r>
      <w:r>
        <w:rPr>
          <w:color w:val="auto"/>
        </w:rPr>
        <w:fldChar w:fldCharType="end"/>
      </w:r>
      <w:r>
        <w:rPr>
          <w:color w:val="auto"/>
        </w:rPr>
        <w:fldChar w:fldCharType="end"/>
      </w:r>
    </w:p>
    <w:p>
      <w:pPr>
        <w:pStyle w:val="21"/>
        <w:tabs>
          <w:tab w:val="left" w:pos="84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"_Toc109133103" </w:instrText>
      </w:r>
      <w:r>
        <w:rPr>
          <w:color w:val="auto"/>
        </w:rPr>
        <w:fldChar w:fldCharType="separate"/>
      </w:r>
      <w:r>
        <w:rPr>
          <w:rStyle w:val="39"/>
          <w:rFonts w:hint="eastAsia" w:ascii="宋体" w:hAnsi="宋体"/>
          <w:color w:val="auto"/>
        </w:rPr>
        <w:t>15、</w:t>
      </w:r>
      <w:r>
        <w:rPr>
          <w:rFonts w:asciiTheme="minorHAnsi" w:hAnsiTheme="minorHAnsi" w:eastAsiaTheme="minorEastAsia" w:cstheme="minorBidi"/>
          <w:color w:val="auto"/>
          <w:szCs w:val="22"/>
        </w:rPr>
        <w:tab/>
      </w:r>
      <w:r>
        <w:rPr>
          <w:rStyle w:val="39"/>
          <w:rFonts w:hint="eastAsia" w:ascii="宋体" w:hAnsi="宋体"/>
          <w:color w:val="auto"/>
        </w:rPr>
        <w:t>评审办法</w:t>
      </w:r>
      <w:r>
        <w:rPr>
          <w:color w:val="auto"/>
        </w:rPr>
        <w:tab/>
      </w:r>
      <w:r>
        <w:rPr>
          <w:color w:val="auto"/>
        </w:rPr>
        <w:fldChar w:fldCharType="begin"/>
      </w:r>
      <w:r>
        <w:rPr>
          <w:color w:val="auto"/>
        </w:rPr>
        <w:instrText xml:space="preserve"> PAGEREF _Toc109133103 \h </w:instrText>
      </w:r>
      <w:r>
        <w:rPr>
          <w:color w:val="auto"/>
        </w:rPr>
        <w:fldChar w:fldCharType="separate"/>
      </w:r>
      <w:r>
        <w:rPr>
          <w:color w:val="auto"/>
        </w:rPr>
        <w:t>18</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"_Toc109133104" </w:instrText>
      </w:r>
      <w:r>
        <w:rPr>
          <w:color w:val="auto"/>
        </w:rPr>
        <w:fldChar w:fldCharType="separate"/>
      </w:r>
      <w:r>
        <w:rPr>
          <w:rStyle w:val="39"/>
          <w:rFonts w:hint="eastAsia" w:hAnsi="宋体"/>
          <w:b/>
          <w:color w:val="auto"/>
          <w:spacing w:val="-20"/>
        </w:rPr>
        <w:t>八、</w:t>
      </w:r>
      <w:r>
        <w:rPr>
          <w:rFonts w:asciiTheme="minorHAnsi" w:hAnsiTheme="minorHAnsi" w:eastAsiaTheme="minorEastAsia" w:cstheme="minorBidi"/>
          <w:color w:val="auto"/>
          <w:szCs w:val="22"/>
        </w:rPr>
        <w:tab/>
      </w:r>
      <w:r>
        <w:rPr>
          <w:rStyle w:val="39"/>
          <w:rFonts w:hint="eastAsia" w:hAnsi="宋体"/>
          <w:b/>
          <w:color w:val="auto"/>
        </w:rPr>
        <w:t>定标</w:t>
      </w:r>
      <w:r>
        <w:rPr>
          <w:color w:val="auto"/>
        </w:rPr>
        <w:tab/>
      </w:r>
      <w:r>
        <w:rPr>
          <w:color w:val="auto"/>
        </w:rPr>
        <w:fldChar w:fldCharType="begin"/>
      </w:r>
      <w:r>
        <w:rPr>
          <w:color w:val="auto"/>
        </w:rPr>
        <w:instrText xml:space="preserve"> PAGEREF _Toc109133104 \h </w:instrText>
      </w:r>
      <w:r>
        <w:rPr>
          <w:color w:val="auto"/>
        </w:rPr>
        <w:fldChar w:fldCharType="separate"/>
      </w:r>
      <w:r>
        <w:rPr>
          <w:color w:val="auto"/>
        </w:rPr>
        <w:t>20</w:t>
      </w:r>
      <w:r>
        <w:rPr>
          <w:color w:val="auto"/>
        </w:rPr>
        <w:fldChar w:fldCharType="end"/>
      </w:r>
      <w:r>
        <w:rPr>
          <w:color w:val="auto"/>
        </w:rPr>
        <w:fldChar w:fldCharType="end"/>
      </w:r>
    </w:p>
    <w:p>
      <w:pPr>
        <w:pStyle w:val="21"/>
        <w:tabs>
          <w:tab w:val="left" w:pos="84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"_Toc109133105" </w:instrText>
      </w:r>
      <w:r>
        <w:rPr>
          <w:color w:val="auto"/>
        </w:rPr>
        <w:fldChar w:fldCharType="separate"/>
      </w:r>
      <w:r>
        <w:rPr>
          <w:rStyle w:val="39"/>
          <w:rFonts w:hint="eastAsia" w:ascii="宋体" w:hAnsi="宋体"/>
          <w:color w:val="auto"/>
        </w:rPr>
        <w:t>16、</w:t>
      </w:r>
      <w:r>
        <w:rPr>
          <w:rFonts w:asciiTheme="minorHAnsi" w:hAnsiTheme="minorHAnsi" w:eastAsiaTheme="minorEastAsia" w:cstheme="minorBidi"/>
          <w:color w:val="auto"/>
          <w:szCs w:val="22"/>
        </w:rPr>
        <w:tab/>
      </w:r>
      <w:r>
        <w:rPr>
          <w:rStyle w:val="39"/>
          <w:rFonts w:hint="eastAsia" w:ascii="宋体" w:hAnsi="宋体"/>
          <w:color w:val="auto"/>
        </w:rPr>
        <w:t>推荐并确定成交磋商供应商</w:t>
      </w:r>
      <w:r>
        <w:rPr>
          <w:color w:val="auto"/>
        </w:rPr>
        <w:tab/>
      </w:r>
      <w:r>
        <w:rPr>
          <w:color w:val="auto"/>
        </w:rPr>
        <w:fldChar w:fldCharType="begin"/>
      </w:r>
      <w:r>
        <w:rPr>
          <w:color w:val="auto"/>
        </w:rPr>
        <w:instrText xml:space="preserve"> PAGEREF _Toc109133105 \h </w:instrText>
      </w:r>
      <w:r>
        <w:rPr>
          <w:color w:val="auto"/>
        </w:rPr>
        <w:fldChar w:fldCharType="separate"/>
      </w:r>
      <w:r>
        <w:rPr>
          <w:color w:val="auto"/>
        </w:rPr>
        <w:t>20</w:t>
      </w:r>
      <w:r>
        <w:rPr>
          <w:color w:val="auto"/>
        </w:rPr>
        <w:fldChar w:fldCharType="end"/>
      </w:r>
      <w:r>
        <w:rPr>
          <w:color w:val="auto"/>
        </w:rPr>
        <w:fldChar w:fldCharType="end"/>
      </w:r>
    </w:p>
    <w:p>
      <w:pPr>
        <w:pStyle w:val="21"/>
        <w:tabs>
          <w:tab w:val="left" w:pos="84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"_Toc109133106" </w:instrText>
      </w:r>
      <w:r>
        <w:rPr>
          <w:color w:val="auto"/>
        </w:rPr>
        <w:fldChar w:fldCharType="separate"/>
      </w:r>
      <w:r>
        <w:rPr>
          <w:rStyle w:val="39"/>
          <w:rFonts w:hint="eastAsia" w:ascii="宋体" w:hAnsi="宋体"/>
          <w:color w:val="auto"/>
        </w:rPr>
        <w:t>17、</w:t>
      </w:r>
      <w:r>
        <w:rPr>
          <w:rFonts w:asciiTheme="minorHAnsi" w:hAnsiTheme="minorHAnsi" w:eastAsiaTheme="minorEastAsia" w:cstheme="minorBidi"/>
          <w:color w:val="auto"/>
          <w:szCs w:val="22"/>
        </w:rPr>
        <w:tab/>
      </w:r>
      <w:r>
        <w:rPr>
          <w:rStyle w:val="39"/>
          <w:rFonts w:hint="eastAsia" w:ascii="宋体" w:hAnsi="宋体"/>
          <w:color w:val="auto"/>
        </w:rPr>
        <w:t>成交通知</w:t>
      </w:r>
      <w:r>
        <w:rPr>
          <w:color w:val="auto"/>
        </w:rPr>
        <w:tab/>
      </w:r>
      <w:r>
        <w:rPr>
          <w:color w:val="auto"/>
        </w:rPr>
        <w:fldChar w:fldCharType="begin"/>
      </w:r>
      <w:r>
        <w:rPr>
          <w:color w:val="auto"/>
        </w:rPr>
        <w:instrText xml:space="preserve"> PAGEREF _Toc109133106 \h </w:instrText>
      </w:r>
      <w:r>
        <w:rPr>
          <w:color w:val="auto"/>
        </w:rPr>
        <w:fldChar w:fldCharType="separate"/>
      </w:r>
      <w:r>
        <w:rPr>
          <w:color w:val="auto"/>
        </w:rPr>
        <w:t>21</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"_Toc109133107" </w:instrText>
      </w:r>
      <w:r>
        <w:rPr>
          <w:color w:val="auto"/>
        </w:rPr>
        <w:fldChar w:fldCharType="separate"/>
      </w:r>
      <w:r>
        <w:rPr>
          <w:rStyle w:val="39"/>
          <w:rFonts w:hint="eastAsia" w:hAnsi="宋体"/>
          <w:b/>
          <w:color w:val="auto"/>
          <w:spacing w:val="-20"/>
        </w:rPr>
        <w:t>九、</w:t>
      </w:r>
      <w:r>
        <w:rPr>
          <w:rFonts w:asciiTheme="minorHAnsi" w:hAnsiTheme="minorHAnsi" w:eastAsiaTheme="minorEastAsia" w:cstheme="minorBidi"/>
          <w:color w:val="auto"/>
          <w:szCs w:val="22"/>
        </w:rPr>
        <w:tab/>
      </w:r>
      <w:r>
        <w:rPr>
          <w:rStyle w:val="39"/>
          <w:rFonts w:hint="eastAsia" w:hAnsi="宋体"/>
          <w:b/>
          <w:color w:val="auto"/>
        </w:rPr>
        <w:t>授予合同</w:t>
      </w:r>
      <w:r>
        <w:rPr>
          <w:color w:val="auto"/>
        </w:rPr>
        <w:tab/>
      </w:r>
      <w:r>
        <w:rPr>
          <w:color w:val="auto"/>
        </w:rPr>
        <w:fldChar w:fldCharType="begin"/>
      </w:r>
      <w:r>
        <w:rPr>
          <w:color w:val="auto"/>
        </w:rPr>
        <w:instrText xml:space="preserve"> PAGEREF _Toc109133107 \h </w:instrText>
      </w:r>
      <w:r>
        <w:rPr>
          <w:color w:val="auto"/>
        </w:rPr>
        <w:fldChar w:fldCharType="separate"/>
      </w:r>
      <w:r>
        <w:rPr>
          <w:color w:val="auto"/>
        </w:rPr>
        <w:t>22</w:t>
      </w:r>
      <w:r>
        <w:rPr>
          <w:color w:val="auto"/>
        </w:rPr>
        <w:fldChar w:fldCharType="end"/>
      </w:r>
      <w:r>
        <w:rPr>
          <w:color w:val="auto"/>
        </w:rPr>
        <w:fldChar w:fldCharType="end"/>
      </w:r>
    </w:p>
    <w:p>
      <w:pPr>
        <w:pStyle w:val="21"/>
        <w:tabs>
          <w:tab w:val="left" w:pos="84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"_Toc109133108" </w:instrText>
      </w:r>
      <w:r>
        <w:rPr>
          <w:color w:val="auto"/>
        </w:rPr>
        <w:fldChar w:fldCharType="separate"/>
      </w:r>
      <w:r>
        <w:rPr>
          <w:rStyle w:val="39"/>
          <w:rFonts w:hint="eastAsia" w:ascii="宋体" w:hAnsi="宋体"/>
          <w:color w:val="auto"/>
        </w:rPr>
        <w:t>18、</w:t>
      </w:r>
      <w:r>
        <w:rPr>
          <w:rFonts w:asciiTheme="minorHAnsi" w:hAnsiTheme="minorHAnsi" w:eastAsiaTheme="minorEastAsia" w:cstheme="minorBidi"/>
          <w:color w:val="auto"/>
          <w:szCs w:val="22"/>
        </w:rPr>
        <w:tab/>
      </w:r>
      <w:r>
        <w:rPr>
          <w:rStyle w:val="39"/>
          <w:rFonts w:hint="eastAsia" w:ascii="宋体" w:hAnsi="宋体"/>
          <w:color w:val="auto"/>
        </w:rPr>
        <w:t>签订合同</w:t>
      </w:r>
      <w:r>
        <w:rPr>
          <w:color w:val="auto"/>
        </w:rPr>
        <w:tab/>
      </w:r>
      <w:r>
        <w:rPr>
          <w:color w:val="auto"/>
        </w:rPr>
        <w:fldChar w:fldCharType="begin"/>
      </w:r>
      <w:r>
        <w:rPr>
          <w:color w:val="auto"/>
        </w:rPr>
        <w:instrText xml:space="preserve"> PAGEREF _Toc109133108 \h </w:instrText>
      </w:r>
      <w:r>
        <w:rPr>
          <w:color w:val="auto"/>
        </w:rPr>
        <w:fldChar w:fldCharType="separate"/>
      </w:r>
      <w:r>
        <w:rPr>
          <w:color w:val="auto"/>
        </w:rPr>
        <w:t>22</w:t>
      </w:r>
      <w:r>
        <w:rPr>
          <w:color w:val="auto"/>
        </w:rPr>
        <w:fldChar w:fldCharType="end"/>
      </w:r>
      <w:r>
        <w:rPr>
          <w:color w:val="auto"/>
        </w:rPr>
        <w:fldChar w:fldCharType="end"/>
      </w:r>
    </w:p>
    <w:p>
      <w:pPr>
        <w:pStyle w:val="21"/>
        <w:tabs>
          <w:tab w:val="left" w:pos="63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"_Toc109133109" </w:instrText>
      </w:r>
      <w:r>
        <w:rPr>
          <w:color w:val="auto"/>
        </w:rPr>
        <w:fldChar w:fldCharType="separate"/>
      </w:r>
      <w:r>
        <w:rPr>
          <w:rStyle w:val="39"/>
          <w:rFonts w:hint="eastAsia" w:hAnsi="宋体"/>
          <w:b/>
          <w:color w:val="auto"/>
          <w:spacing w:val="-20"/>
        </w:rPr>
        <w:t>十、</w:t>
      </w:r>
      <w:r>
        <w:rPr>
          <w:rFonts w:asciiTheme="minorHAnsi" w:hAnsiTheme="minorHAnsi" w:eastAsiaTheme="minorEastAsia" w:cstheme="minorBidi"/>
          <w:color w:val="auto"/>
          <w:szCs w:val="22"/>
        </w:rPr>
        <w:tab/>
      </w:r>
      <w:r>
        <w:rPr>
          <w:rStyle w:val="39"/>
          <w:rFonts w:hint="eastAsia" w:hAnsi="宋体"/>
          <w:b/>
          <w:color w:val="auto"/>
        </w:rPr>
        <w:t>废标条款</w:t>
      </w:r>
      <w:r>
        <w:rPr>
          <w:color w:val="auto"/>
        </w:rPr>
        <w:tab/>
      </w:r>
      <w:r>
        <w:rPr>
          <w:color w:val="auto"/>
        </w:rPr>
        <w:fldChar w:fldCharType="begin"/>
      </w:r>
      <w:r>
        <w:rPr>
          <w:color w:val="auto"/>
        </w:rPr>
        <w:instrText xml:space="preserve"> PAGEREF _Toc109133109 \h </w:instrText>
      </w:r>
      <w:r>
        <w:rPr>
          <w:color w:val="auto"/>
        </w:rPr>
        <w:fldChar w:fldCharType="separate"/>
      </w:r>
      <w:r>
        <w:rPr>
          <w:color w:val="auto"/>
        </w:rPr>
        <w:t>23</w:t>
      </w:r>
      <w:r>
        <w:rPr>
          <w:color w:val="auto"/>
        </w:rPr>
        <w:fldChar w:fldCharType="end"/>
      </w:r>
      <w:r>
        <w:rPr>
          <w:color w:val="auto"/>
        </w:rPr>
        <w:fldChar w:fldCharType="end"/>
      </w:r>
    </w:p>
    <w:p>
      <w:pPr>
        <w:pStyle w:val="21"/>
        <w:tabs>
          <w:tab w:val="left" w:pos="84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"_Toc109133110" </w:instrText>
      </w:r>
      <w:r>
        <w:rPr>
          <w:color w:val="auto"/>
        </w:rPr>
        <w:fldChar w:fldCharType="separate"/>
      </w:r>
      <w:r>
        <w:rPr>
          <w:rStyle w:val="39"/>
          <w:rFonts w:hint="eastAsia" w:ascii="宋体" w:hAnsi="宋体"/>
          <w:color w:val="auto"/>
        </w:rPr>
        <w:t>19、</w:t>
      </w:r>
      <w:r>
        <w:rPr>
          <w:rFonts w:asciiTheme="minorHAnsi" w:hAnsiTheme="minorHAnsi" w:eastAsiaTheme="minorEastAsia" w:cstheme="minorBidi"/>
          <w:color w:val="auto"/>
          <w:szCs w:val="22"/>
        </w:rPr>
        <w:tab/>
      </w:r>
      <w:r>
        <w:rPr>
          <w:rStyle w:val="39"/>
          <w:rFonts w:hint="eastAsia" w:ascii="宋体" w:hAnsi="宋体"/>
          <w:color w:val="auto"/>
        </w:rPr>
        <w:t>废标情形</w:t>
      </w:r>
      <w:r>
        <w:rPr>
          <w:color w:val="auto"/>
        </w:rPr>
        <w:tab/>
      </w:r>
      <w:r>
        <w:rPr>
          <w:color w:val="auto"/>
        </w:rPr>
        <w:fldChar w:fldCharType="begin"/>
      </w:r>
      <w:r>
        <w:rPr>
          <w:color w:val="auto"/>
        </w:rPr>
        <w:instrText xml:space="preserve"> PAGEREF _Toc109133110 \h </w:instrText>
      </w:r>
      <w:r>
        <w:rPr>
          <w:color w:val="auto"/>
        </w:rPr>
        <w:fldChar w:fldCharType="separate"/>
      </w:r>
      <w:r>
        <w:rPr>
          <w:color w:val="auto"/>
        </w:rPr>
        <w:t>23</w:t>
      </w:r>
      <w:r>
        <w:rPr>
          <w:color w:val="auto"/>
        </w:rPr>
        <w:fldChar w:fldCharType="end"/>
      </w:r>
      <w:r>
        <w:rPr>
          <w:color w:val="auto"/>
        </w:rPr>
        <w:fldChar w:fldCharType="end"/>
      </w:r>
    </w:p>
    <w:p>
      <w:pPr>
        <w:pStyle w:val="21"/>
        <w:tabs>
          <w:tab w:val="left" w:pos="84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"_Toc109133111" </w:instrText>
      </w:r>
      <w:r>
        <w:rPr>
          <w:color w:val="auto"/>
        </w:rPr>
        <w:fldChar w:fldCharType="separate"/>
      </w:r>
      <w:r>
        <w:rPr>
          <w:rStyle w:val="39"/>
          <w:rFonts w:hint="eastAsia" w:hAnsi="宋体"/>
          <w:b/>
          <w:color w:val="auto"/>
          <w:spacing w:val="-20"/>
        </w:rPr>
        <w:t>十一、</w:t>
      </w:r>
      <w:r>
        <w:rPr>
          <w:rFonts w:asciiTheme="minorHAnsi" w:hAnsiTheme="minorHAnsi" w:eastAsiaTheme="minorEastAsia" w:cstheme="minorBidi"/>
          <w:color w:val="auto"/>
          <w:szCs w:val="22"/>
        </w:rPr>
        <w:tab/>
      </w:r>
      <w:r>
        <w:rPr>
          <w:rStyle w:val="39"/>
          <w:rFonts w:hint="eastAsia" w:hAnsi="宋体"/>
          <w:b/>
          <w:color w:val="auto"/>
        </w:rPr>
        <w:t>其他</w:t>
      </w:r>
      <w:r>
        <w:rPr>
          <w:color w:val="auto"/>
        </w:rPr>
        <w:tab/>
      </w:r>
      <w:r>
        <w:rPr>
          <w:color w:val="auto"/>
        </w:rPr>
        <w:fldChar w:fldCharType="begin"/>
      </w:r>
      <w:r>
        <w:rPr>
          <w:color w:val="auto"/>
        </w:rPr>
        <w:instrText xml:space="preserve"> PAGEREF _Toc109133111 \h </w:instrText>
      </w:r>
      <w:r>
        <w:rPr>
          <w:color w:val="auto"/>
        </w:rPr>
        <w:fldChar w:fldCharType="separate"/>
      </w:r>
      <w:r>
        <w:rPr>
          <w:color w:val="auto"/>
        </w:rPr>
        <w:t>23</w:t>
      </w:r>
      <w:r>
        <w:rPr>
          <w:color w:val="auto"/>
        </w:rPr>
        <w:fldChar w:fldCharType="end"/>
      </w:r>
      <w:r>
        <w:rPr>
          <w:color w:val="auto"/>
        </w:rPr>
        <w:fldChar w:fldCharType="end"/>
      </w:r>
    </w:p>
    <w:p>
      <w:pPr>
        <w:pStyle w:val="21"/>
        <w:tabs>
          <w:tab w:val="left" w:pos="840"/>
        </w:tabs>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"_Toc109133112" </w:instrText>
      </w:r>
      <w:r>
        <w:rPr>
          <w:color w:val="auto"/>
        </w:rPr>
        <w:fldChar w:fldCharType="separate"/>
      </w:r>
      <w:r>
        <w:rPr>
          <w:rStyle w:val="39"/>
          <w:rFonts w:hint="eastAsia" w:ascii="宋体" w:hAnsi="宋体"/>
          <w:color w:val="auto"/>
        </w:rPr>
        <w:t>20、</w:t>
      </w:r>
      <w:r>
        <w:rPr>
          <w:rFonts w:asciiTheme="minorHAnsi" w:hAnsiTheme="minorHAnsi" w:eastAsiaTheme="minorEastAsia" w:cstheme="minorBidi"/>
          <w:color w:val="auto"/>
          <w:szCs w:val="22"/>
        </w:rPr>
        <w:tab/>
      </w:r>
      <w:r>
        <w:rPr>
          <w:rStyle w:val="39"/>
          <w:rFonts w:hint="eastAsia" w:ascii="宋体" w:hAnsi="宋体"/>
          <w:color w:val="auto"/>
        </w:rPr>
        <w:t>串标情形</w:t>
      </w:r>
      <w:r>
        <w:rPr>
          <w:color w:val="auto"/>
        </w:rPr>
        <w:tab/>
      </w:r>
      <w:r>
        <w:rPr>
          <w:color w:val="auto"/>
        </w:rPr>
        <w:fldChar w:fldCharType="begin"/>
      </w:r>
      <w:r>
        <w:rPr>
          <w:color w:val="auto"/>
        </w:rPr>
        <w:instrText xml:space="preserve"> PAGEREF _Toc109133112 \h </w:instrText>
      </w:r>
      <w:r>
        <w:rPr>
          <w:color w:val="auto"/>
        </w:rPr>
        <w:fldChar w:fldCharType="separate"/>
      </w:r>
      <w:r>
        <w:rPr>
          <w:color w:val="auto"/>
        </w:rPr>
        <w:t>23</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"_Toc109133113" </w:instrText>
      </w:r>
      <w:r>
        <w:rPr>
          <w:color w:val="auto"/>
        </w:rPr>
        <w:fldChar w:fldCharType="separate"/>
      </w:r>
      <w:r>
        <w:rPr>
          <w:rStyle w:val="39"/>
          <w:rFonts w:hint="eastAsia" w:ascii="宋体" w:hAnsi="宋体"/>
          <w:color w:val="auto"/>
        </w:rPr>
        <w:t>第四部分青海省政府采购合同文本样式</w:t>
      </w:r>
      <w:r>
        <w:rPr>
          <w:color w:val="auto"/>
        </w:rPr>
        <w:tab/>
      </w:r>
      <w:r>
        <w:rPr>
          <w:color w:val="auto"/>
        </w:rPr>
        <w:fldChar w:fldCharType="begin"/>
      </w:r>
      <w:r>
        <w:rPr>
          <w:color w:val="auto"/>
        </w:rPr>
        <w:instrText xml:space="preserve"> PAGEREF _Toc109133113 \h </w:instrText>
      </w:r>
      <w:r>
        <w:rPr>
          <w:color w:val="auto"/>
        </w:rPr>
        <w:fldChar w:fldCharType="separate"/>
      </w:r>
      <w:r>
        <w:rPr>
          <w:color w:val="auto"/>
        </w:rPr>
        <w:t>24</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"_Toc109133114" </w:instrText>
      </w:r>
      <w:r>
        <w:rPr>
          <w:color w:val="auto"/>
        </w:rPr>
        <w:fldChar w:fldCharType="separate"/>
      </w:r>
      <w:r>
        <w:rPr>
          <w:rStyle w:val="39"/>
          <w:rFonts w:hint="eastAsia" w:ascii="宋体" w:hAnsi="宋体"/>
          <w:color w:val="auto"/>
        </w:rPr>
        <w:t>第五部分</w:t>
      </w:r>
      <w:r>
        <w:rPr>
          <w:rStyle w:val="39"/>
          <w:rFonts w:ascii="宋体" w:hAnsi="宋体"/>
          <w:color w:val="auto"/>
        </w:rPr>
        <w:t xml:space="preserve">  </w:t>
      </w:r>
      <w:r>
        <w:rPr>
          <w:rStyle w:val="39"/>
          <w:rFonts w:hint="eastAsia" w:ascii="宋体" w:hAnsi="宋体"/>
          <w:color w:val="auto"/>
        </w:rPr>
        <w:t>磋商响应文件格式</w:t>
      </w:r>
      <w:r>
        <w:rPr>
          <w:color w:val="auto"/>
        </w:rPr>
        <w:tab/>
      </w:r>
      <w:r>
        <w:rPr>
          <w:color w:val="auto"/>
        </w:rPr>
        <w:fldChar w:fldCharType="begin"/>
      </w:r>
      <w:r>
        <w:rPr>
          <w:color w:val="auto"/>
        </w:rPr>
        <w:instrText xml:space="preserve"> PAGEREF _Toc109133114 \h </w:instrText>
      </w:r>
      <w:r>
        <w:rPr>
          <w:color w:val="auto"/>
        </w:rPr>
        <w:fldChar w:fldCharType="separate"/>
      </w:r>
      <w:r>
        <w:rPr>
          <w:color w:val="auto"/>
        </w:rPr>
        <w:t>37</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"_Toc109133115" </w:instrText>
      </w:r>
      <w:r>
        <w:rPr>
          <w:color w:val="auto"/>
        </w:rPr>
        <w:fldChar w:fldCharType="separate"/>
      </w:r>
      <w:r>
        <w:rPr>
          <w:rStyle w:val="39"/>
          <w:rFonts w:hint="eastAsia" w:hAnsi="宋体"/>
          <w:b/>
          <w:color w:val="auto"/>
          <w:lang w:val="zh-CN"/>
        </w:rPr>
        <w:t>磋商响应文件封面</w:t>
      </w:r>
      <w:r>
        <w:rPr>
          <w:color w:val="auto"/>
        </w:rPr>
        <w:tab/>
      </w:r>
      <w:r>
        <w:rPr>
          <w:color w:val="auto"/>
        </w:rPr>
        <w:fldChar w:fldCharType="begin"/>
      </w:r>
      <w:r>
        <w:rPr>
          <w:color w:val="auto"/>
        </w:rPr>
        <w:instrText xml:space="preserve"> PAGEREF _Toc109133115 \h </w:instrText>
      </w:r>
      <w:r>
        <w:rPr>
          <w:color w:val="auto"/>
        </w:rPr>
        <w:fldChar w:fldCharType="separate"/>
      </w:r>
      <w:r>
        <w:rPr>
          <w:color w:val="auto"/>
        </w:rPr>
        <w:t>38</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"_Toc109133116" </w:instrText>
      </w:r>
      <w:r>
        <w:rPr>
          <w:color w:val="auto"/>
        </w:rPr>
        <w:fldChar w:fldCharType="separate"/>
      </w:r>
      <w:r>
        <w:rPr>
          <w:rStyle w:val="39"/>
          <w:rFonts w:hint="eastAsia" w:hAnsi="宋体"/>
          <w:b/>
          <w:color w:val="auto"/>
          <w:lang w:val="zh-CN"/>
        </w:rPr>
        <w:t>磋商响应文件目录</w:t>
      </w:r>
      <w:r>
        <w:rPr>
          <w:color w:val="auto"/>
        </w:rPr>
        <w:tab/>
      </w:r>
      <w:r>
        <w:rPr>
          <w:color w:val="auto"/>
        </w:rPr>
        <w:fldChar w:fldCharType="begin"/>
      </w:r>
      <w:r>
        <w:rPr>
          <w:color w:val="auto"/>
        </w:rPr>
        <w:instrText xml:space="preserve"> PAGEREF _Toc109133116 \h </w:instrText>
      </w:r>
      <w:r>
        <w:rPr>
          <w:color w:val="auto"/>
        </w:rPr>
        <w:fldChar w:fldCharType="separate"/>
      </w:r>
      <w:r>
        <w:rPr>
          <w:color w:val="auto"/>
        </w:rPr>
        <w:t>39</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"_Toc109133117" </w:instrText>
      </w:r>
      <w:r>
        <w:rPr>
          <w:color w:val="auto"/>
        </w:rPr>
        <w:fldChar w:fldCharType="separate"/>
      </w:r>
      <w:r>
        <w:rPr>
          <w:rStyle w:val="39"/>
          <w:rFonts w:hint="eastAsia" w:hAnsi="宋体"/>
          <w:b/>
          <w:color w:val="auto"/>
          <w:lang w:val="zh-CN"/>
        </w:rPr>
        <w:t>格式</w:t>
      </w:r>
      <w:r>
        <w:rPr>
          <w:rStyle w:val="39"/>
          <w:rFonts w:hAnsi="宋体"/>
          <w:b/>
          <w:color w:val="auto"/>
          <w:lang w:val="zh-CN"/>
        </w:rPr>
        <w:t>1</w:t>
      </w:r>
      <w:r>
        <w:rPr>
          <w:rStyle w:val="39"/>
          <w:rFonts w:hint="eastAsia" w:hAnsi="宋体"/>
          <w:b/>
          <w:color w:val="auto"/>
          <w:lang w:val="zh-CN"/>
        </w:rPr>
        <w:t>、磋商函</w:t>
      </w:r>
      <w:r>
        <w:rPr>
          <w:color w:val="auto"/>
        </w:rPr>
        <w:tab/>
      </w:r>
      <w:r>
        <w:rPr>
          <w:color w:val="auto"/>
        </w:rPr>
        <w:fldChar w:fldCharType="begin"/>
      </w:r>
      <w:r>
        <w:rPr>
          <w:color w:val="auto"/>
        </w:rPr>
        <w:instrText xml:space="preserve"> PAGEREF _Toc109133117 \h </w:instrText>
      </w:r>
      <w:r>
        <w:rPr>
          <w:color w:val="auto"/>
        </w:rPr>
        <w:fldChar w:fldCharType="separate"/>
      </w:r>
      <w:r>
        <w:rPr>
          <w:color w:val="auto"/>
        </w:rPr>
        <w:t>40</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"_Toc109133118" </w:instrText>
      </w:r>
      <w:r>
        <w:rPr>
          <w:color w:val="auto"/>
        </w:rPr>
        <w:fldChar w:fldCharType="separate"/>
      </w:r>
      <w:r>
        <w:rPr>
          <w:rStyle w:val="39"/>
          <w:rFonts w:hint="eastAsia" w:hAnsi="宋体"/>
          <w:b/>
          <w:color w:val="auto"/>
          <w:lang w:val="zh-CN"/>
        </w:rPr>
        <w:t>格式</w:t>
      </w:r>
      <w:r>
        <w:rPr>
          <w:rStyle w:val="39"/>
          <w:rFonts w:hAnsi="宋体"/>
          <w:b/>
          <w:color w:val="auto"/>
          <w:lang w:val="zh-CN"/>
        </w:rPr>
        <w:t>2</w:t>
      </w:r>
      <w:r>
        <w:rPr>
          <w:rStyle w:val="39"/>
          <w:rFonts w:hint="eastAsia" w:hAnsi="宋体"/>
          <w:b/>
          <w:color w:val="auto"/>
          <w:lang w:val="zh-CN"/>
        </w:rPr>
        <w:t>、法定代表人证明书</w:t>
      </w:r>
      <w:r>
        <w:rPr>
          <w:color w:val="auto"/>
        </w:rPr>
        <w:tab/>
      </w:r>
      <w:r>
        <w:rPr>
          <w:color w:val="auto"/>
        </w:rPr>
        <w:fldChar w:fldCharType="begin"/>
      </w:r>
      <w:r>
        <w:rPr>
          <w:color w:val="auto"/>
        </w:rPr>
        <w:instrText xml:space="preserve"> PAGEREF _Toc109133118 \h </w:instrText>
      </w:r>
      <w:r>
        <w:rPr>
          <w:color w:val="auto"/>
        </w:rPr>
        <w:fldChar w:fldCharType="separate"/>
      </w:r>
      <w:r>
        <w:rPr>
          <w:color w:val="auto"/>
        </w:rPr>
        <w:t>41</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"_Toc109133119" </w:instrText>
      </w:r>
      <w:r>
        <w:rPr>
          <w:color w:val="auto"/>
        </w:rPr>
        <w:fldChar w:fldCharType="separate"/>
      </w:r>
      <w:r>
        <w:rPr>
          <w:rStyle w:val="39"/>
          <w:rFonts w:hint="eastAsia" w:hAnsi="宋体"/>
          <w:b/>
          <w:color w:val="auto"/>
          <w:lang w:val="zh-CN"/>
        </w:rPr>
        <w:t>格式</w:t>
      </w:r>
      <w:r>
        <w:rPr>
          <w:rStyle w:val="39"/>
          <w:rFonts w:hAnsi="宋体"/>
          <w:b/>
          <w:color w:val="auto"/>
          <w:lang w:val="zh-CN"/>
        </w:rPr>
        <w:t>3</w:t>
      </w:r>
      <w:r>
        <w:rPr>
          <w:rStyle w:val="39"/>
          <w:rFonts w:hint="eastAsia" w:hAnsi="宋体"/>
          <w:b/>
          <w:color w:val="auto"/>
          <w:lang w:val="zh-CN"/>
        </w:rPr>
        <w:t>、法定代表人授权书</w:t>
      </w:r>
      <w:r>
        <w:rPr>
          <w:color w:val="auto"/>
        </w:rPr>
        <w:tab/>
      </w:r>
      <w:r>
        <w:rPr>
          <w:color w:val="auto"/>
        </w:rPr>
        <w:fldChar w:fldCharType="begin"/>
      </w:r>
      <w:r>
        <w:rPr>
          <w:color w:val="auto"/>
        </w:rPr>
        <w:instrText xml:space="preserve"> PAGEREF _Toc109133119 \h </w:instrText>
      </w:r>
      <w:r>
        <w:rPr>
          <w:color w:val="auto"/>
        </w:rPr>
        <w:fldChar w:fldCharType="separate"/>
      </w:r>
      <w:r>
        <w:rPr>
          <w:color w:val="auto"/>
        </w:rPr>
        <w:t>42</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"_Toc109133120" </w:instrText>
      </w:r>
      <w:r>
        <w:rPr>
          <w:color w:val="auto"/>
        </w:rPr>
        <w:fldChar w:fldCharType="separate"/>
      </w:r>
      <w:r>
        <w:rPr>
          <w:rStyle w:val="39"/>
          <w:rFonts w:hint="eastAsia" w:hAnsi="宋体"/>
          <w:b/>
          <w:color w:val="auto"/>
          <w:lang w:val="zh-CN"/>
        </w:rPr>
        <w:t>格式</w:t>
      </w:r>
      <w:r>
        <w:rPr>
          <w:rStyle w:val="39"/>
          <w:rFonts w:hAnsi="宋体"/>
          <w:b/>
          <w:color w:val="auto"/>
          <w:lang w:val="zh-CN"/>
        </w:rPr>
        <w:t>4</w:t>
      </w:r>
      <w:r>
        <w:rPr>
          <w:rStyle w:val="39"/>
          <w:rFonts w:hint="eastAsia" w:hAnsi="宋体"/>
          <w:b/>
          <w:color w:val="auto"/>
          <w:lang w:val="zh-CN"/>
        </w:rPr>
        <w:t>、磋商供应商承诺书</w:t>
      </w:r>
      <w:r>
        <w:rPr>
          <w:color w:val="auto"/>
        </w:rPr>
        <w:tab/>
      </w:r>
      <w:r>
        <w:rPr>
          <w:color w:val="auto"/>
        </w:rPr>
        <w:fldChar w:fldCharType="begin"/>
      </w:r>
      <w:r>
        <w:rPr>
          <w:color w:val="auto"/>
        </w:rPr>
        <w:instrText xml:space="preserve"> PAGEREF _Toc109133120 \h </w:instrText>
      </w:r>
      <w:r>
        <w:rPr>
          <w:color w:val="auto"/>
        </w:rPr>
        <w:fldChar w:fldCharType="separate"/>
      </w:r>
      <w:r>
        <w:rPr>
          <w:color w:val="auto"/>
        </w:rPr>
        <w:t>43</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"_Toc109133121" </w:instrText>
      </w:r>
      <w:r>
        <w:rPr>
          <w:color w:val="auto"/>
        </w:rPr>
        <w:fldChar w:fldCharType="separate"/>
      </w:r>
      <w:r>
        <w:rPr>
          <w:rStyle w:val="39"/>
          <w:rFonts w:hint="eastAsia" w:hAnsi="宋体"/>
          <w:b/>
          <w:color w:val="auto"/>
          <w:lang w:val="zh-CN"/>
        </w:rPr>
        <w:t>格式</w:t>
      </w:r>
      <w:r>
        <w:rPr>
          <w:rStyle w:val="39"/>
          <w:rFonts w:hAnsi="宋体"/>
          <w:b/>
          <w:color w:val="auto"/>
          <w:lang w:val="zh-CN"/>
        </w:rPr>
        <w:t>5</w:t>
      </w:r>
      <w:r>
        <w:rPr>
          <w:rStyle w:val="39"/>
          <w:rFonts w:hint="eastAsia" w:hAnsi="宋体"/>
          <w:b/>
          <w:color w:val="auto"/>
          <w:lang w:val="zh-CN"/>
        </w:rPr>
        <w:t>、供应商诚信承诺书</w:t>
      </w:r>
      <w:r>
        <w:rPr>
          <w:color w:val="auto"/>
        </w:rPr>
        <w:tab/>
      </w:r>
      <w:r>
        <w:rPr>
          <w:color w:val="auto"/>
        </w:rPr>
        <w:fldChar w:fldCharType="begin"/>
      </w:r>
      <w:r>
        <w:rPr>
          <w:color w:val="auto"/>
        </w:rPr>
        <w:instrText xml:space="preserve"> PAGEREF _Toc109133121 \h </w:instrText>
      </w:r>
      <w:r>
        <w:rPr>
          <w:color w:val="auto"/>
        </w:rPr>
        <w:fldChar w:fldCharType="separate"/>
      </w:r>
      <w:r>
        <w:rPr>
          <w:color w:val="auto"/>
        </w:rPr>
        <w:t>44</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"_Toc109133122" </w:instrText>
      </w:r>
      <w:r>
        <w:rPr>
          <w:color w:val="auto"/>
        </w:rPr>
        <w:fldChar w:fldCharType="separate"/>
      </w:r>
      <w:r>
        <w:rPr>
          <w:rStyle w:val="39"/>
          <w:rFonts w:hint="eastAsia" w:hAnsi="宋体"/>
          <w:b/>
          <w:color w:val="auto"/>
          <w:lang w:val="zh-CN"/>
        </w:rPr>
        <w:t>格式</w:t>
      </w:r>
      <w:r>
        <w:rPr>
          <w:rStyle w:val="39"/>
          <w:rFonts w:hAnsi="宋体"/>
          <w:b/>
          <w:color w:val="auto"/>
          <w:lang w:val="zh-CN"/>
        </w:rPr>
        <w:t>6</w:t>
      </w:r>
      <w:r>
        <w:rPr>
          <w:rStyle w:val="39"/>
          <w:rFonts w:hint="eastAsia" w:hAnsi="宋体"/>
          <w:b/>
          <w:color w:val="auto"/>
          <w:lang w:val="zh-CN"/>
        </w:rPr>
        <w:t>、资格证明材料</w:t>
      </w:r>
      <w:r>
        <w:rPr>
          <w:color w:val="auto"/>
        </w:rPr>
        <w:tab/>
      </w:r>
      <w:r>
        <w:rPr>
          <w:color w:val="auto"/>
        </w:rPr>
        <w:fldChar w:fldCharType="begin"/>
      </w:r>
      <w:r>
        <w:rPr>
          <w:color w:val="auto"/>
        </w:rPr>
        <w:instrText xml:space="preserve"> PAGEREF _Toc109133122 \h </w:instrText>
      </w:r>
      <w:r>
        <w:rPr>
          <w:color w:val="auto"/>
        </w:rPr>
        <w:fldChar w:fldCharType="separate"/>
      </w:r>
      <w:r>
        <w:rPr>
          <w:color w:val="auto"/>
        </w:rPr>
        <w:t>45</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"_Toc109133123" </w:instrText>
      </w:r>
      <w:r>
        <w:rPr>
          <w:color w:val="auto"/>
        </w:rPr>
        <w:fldChar w:fldCharType="separate"/>
      </w:r>
      <w:r>
        <w:rPr>
          <w:rStyle w:val="39"/>
          <w:rFonts w:hint="eastAsia" w:hAnsi="宋体"/>
          <w:b/>
          <w:color w:val="auto"/>
          <w:lang w:val="zh-CN"/>
        </w:rPr>
        <w:t>格式</w:t>
      </w:r>
      <w:r>
        <w:rPr>
          <w:rStyle w:val="39"/>
          <w:rFonts w:hAnsi="宋体"/>
          <w:b/>
          <w:color w:val="auto"/>
          <w:lang w:val="zh-CN"/>
        </w:rPr>
        <w:t>7</w:t>
      </w:r>
      <w:r>
        <w:rPr>
          <w:rStyle w:val="39"/>
          <w:rFonts w:hint="eastAsia" w:hAnsi="宋体"/>
          <w:b/>
          <w:color w:val="auto"/>
          <w:lang w:val="zh-CN"/>
        </w:rPr>
        <w:t>、财务状况、缴纳税收和社会保障资金证明</w:t>
      </w:r>
      <w:r>
        <w:rPr>
          <w:color w:val="auto"/>
        </w:rPr>
        <w:tab/>
      </w:r>
      <w:r>
        <w:rPr>
          <w:color w:val="auto"/>
        </w:rPr>
        <w:fldChar w:fldCharType="begin"/>
      </w:r>
      <w:r>
        <w:rPr>
          <w:color w:val="auto"/>
        </w:rPr>
        <w:instrText xml:space="preserve"> PAGEREF _Toc109133123 \h </w:instrText>
      </w:r>
      <w:r>
        <w:rPr>
          <w:color w:val="auto"/>
        </w:rPr>
        <w:fldChar w:fldCharType="separate"/>
      </w:r>
      <w:r>
        <w:rPr>
          <w:color w:val="auto"/>
        </w:rPr>
        <w:t>46</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"_Toc109133124" </w:instrText>
      </w:r>
      <w:r>
        <w:rPr>
          <w:color w:val="auto"/>
        </w:rPr>
        <w:fldChar w:fldCharType="separate"/>
      </w:r>
      <w:r>
        <w:rPr>
          <w:rStyle w:val="39"/>
          <w:rFonts w:hint="eastAsia" w:hAnsi="宋体"/>
          <w:b/>
          <w:color w:val="auto"/>
          <w:lang w:val="zh-CN"/>
        </w:rPr>
        <w:t>格式</w:t>
      </w:r>
      <w:r>
        <w:rPr>
          <w:rStyle w:val="39"/>
          <w:rFonts w:hAnsi="宋体"/>
          <w:b/>
          <w:color w:val="auto"/>
          <w:lang w:val="zh-CN"/>
        </w:rPr>
        <w:t>8</w:t>
      </w:r>
      <w:r>
        <w:rPr>
          <w:rStyle w:val="39"/>
          <w:rFonts w:hint="eastAsia" w:hAnsi="宋体"/>
          <w:b/>
          <w:color w:val="auto"/>
          <w:lang w:val="zh-CN"/>
        </w:rPr>
        <w:t>、具备履行合同所必须的设备和专业技术能力证明</w:t>
      </w:r>
      <w:r>
        <w:rPr>
          <w:color w:val="auto"/>
        </w:rPr>
        <w:tab/>
      </w:r>
      <w:r>
        <w:rPr>
          <w:color w:val="auto"/>
        </w:rPr>
        <w:fldChar w:fldCharType="begin"/>
      </w:r>
      <w:r>
        <w:rPr>
          <w:color w:val="auto"/>
        </w:rPr>
        <w:instrText xml:space="preserve"> PAGEREF _Toc109133124 \h </w:instrText>
      </w:r>
      <w:r>
        <w:rPr>
          <w:color w:val="auto"/>
        </w:rPr>
        <w:fldChar w:fldCharType="separate"/>
      </w:r>
      <w:r>
        <w:rPr>
          <w:color w:val="auto"/>
        </w:rPr>
        <w:t>47</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"_Toc109133125" </w:instrText>
      </w:r>
      <w:r>
        <w:rPr>
          <w:color w:val="auto"/>
        </w:rPr>
        <w:fldChar w:fldCharType="separate"/>
      </w:r>
      <w:r>
        <w:rPr>
          <w:rStyle w:val="39"/>
          <w:rFonts w:hint="eastAsia" w:hAnsi="宋体"/>
          <w:b/>
          <w:color w:val="auto"/>
          <w:lang w:val="zh-CN"/>
        </w:rPr>
        <w:t>格式</w:t>
      </w:r>
      <w:r>
        <w:rPr>
          <w:rStyle w:val="39"/>
          <w:rFonts w:hAnsi="宋体"/>
          <w:b/>
          <w:color w:val="auto"/>
          <w:lang w:val="zh-CN"/>
        </w:rPr>
        <w:t>9</w:t>
      </w:r>
      <w:r>
        <w:rPr>
          <w:rStyle w:val="39"/>
          <w:rFonts w:hint="eastAsia" w:hAnsi="宋体"/>
          <w:b/>
          <w:color w:val="auto"/>
          <w:lang w:val="zh-CN"/>
        </w:rPr>
        <w:t>、磋商保证金证明</w:t>
      </w:r>
      <w:r>
        <w:rPr>
          <w:color w:val="auto"/>
        </w:rPr>
        <w:tab/>
      </w:r>
      <w:r>
        <w:rPr>
          <w:color w:val="auto"/>
        </w:rPr>
        <w:fldChar w:fldCharType="begin"/>
      </w:r>
      <w:r>
        <w:rPr>
          <w:color w:val="auto"/>
        </w:rPr>
        <w:instrText xml:space="preserve"> PAGEREF _Toc109133125 \h </w:instrText>
      </w:r>
      <w:r>
        <w:rPr>
          <w:color w:val="auto"/>
        </w:rPr>
        <w:fldChar w:fldCharType="separate"/>
      </w:r>
      <w:r>
        <w:rPr>
          <w:color w:val="auto"/>
        </w:rPr>
        <w:t>48</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"_Toc109133126" </w:instrText>
      </w:r>
      <w:r>
        <w:rPr>
          <w:color w:val="auto"/>
        </w:rPr>
        <w:fldChar w:fldCharType="separate"/>
      </w:r>
      <w:r>
        <w:rPr>
          <w:rStyle w:val="39"/>
          <w:rFonts w:hint="eastAsia" w:hAnsi="宋体"/>
          <w:b/>
          <w:color w:val="auto"/>
          <w:lang w:val="zh-CN"/>
        </w:rPr>
        <w:t>格式</w:t>
      </w:r>
      <w:r>
        <w:rPr>
          <w:rStyle w:val="39"/>
          <w:rFonts w:hAnsi="宋体"/>
          <w:b/>
          <w:color w:val="auto"/>
          <w:lang w:val="zh-CN"/>
        </w:rPr>
        <w:t>10</w:t>
      </w:r>
      <w:r>
        <w:rPr>
          <w:rStyle w:val="39"/>
          <w:rFonts w:hint="eastAsia" w:hAnsi="宋体"/>
          <w:b/>
          <w:color w:val="auto"/>
          <w:lang w:val="zh-CN"/>
        </w:rPr>
        <w:t>、无重大违法记录声明</w:t>
      </w:r>
      <w:r>
        <w:rPr>
          <w:color w:val="auto"/>
        </w:rPr>
        <w:tab/>
      </w:r>
      <w:r>
        <w:rPr>
          <w:color w:val="auto"/>
        </w:rPr>
        <w:fldChar w:fldCharType="begin"/>
      </w:r>
      <w:r>
        <w:rPr>
          <w:color w:val="auto"/>
        </w:rPr>
        <w:instrText xml:space="preserve"> PAGEREF _Toc109133126 \h </w:instrText>
      </w:r>
      <w:r>
        <w:rPr>
          <w:color w:val="auto"/>
        </w:rPr>
        <w:fldChar w:fldCharType="separate"/>
      </w:r>
      <w:r>
        <w:rPr>
          <w:color w:val="auto"/>
        </w:rPr>
        <w:t>49</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"_Toc109133127" </w:instrText>
      </w:r>
      <w:r>
        <w:rPr>
          <w:color w:val="auto"/>
        </w:rPr>
        <w:fldChar w:fldCharType="separate"/>
      </w:r>
      <w:r>
        <w:rPr>
          <w:rStyle w:val="39"/>
          <w:rFonts w:hint="eastAsia" w:hAnsi="宋体"/>
          <w:b/>
          <w:color w:val="auto"/>
          <w:lang w:val="zh-CN"/>
        </w:rPr>
        <w:t>格式</w:t>
      </w:r>
      <w:r>
        <w:rPr>
          <w:rStyle w:val="39"/>
          <w:rFonts w:hAnsi="宋体"/>
          <w:b/>
          <w:color w:val="auto"/>
          <w:lang w:val="zh-CN"/>
        </w:rPr>
        <w:t>11</w:t>
      </w:r>
      <w:r>
        <w:rPr>
          <w:rStyle w:val="39"/>
          <w:rFonts w:hint="eastAsia" w:hAnsi="宋体"/>
          <w:b/>
          <w:color w:val="auto"/>
          <w:lang w:val="zh-CN"/>
        </w:rPr>
        <w:t>、</w:t>
      </w:r>
      <w:r>
        <w:rPr>
          <w:rStyle w:val="39"/>
          <w:rFonts w:hint="eastAsia" w:hAnsi="宋体"/>
          <w:b/>
          <w:color w:val="auto"/>
        </w:rPr>
        <w:t>竞争性磋商首次报价表</w:t>
      </w:r>
      <w:r>
        <w:rPr>
          <w:color w:val="auto"/>
        </w:rPr>
        <w:tab/>
      </w:r>
      <w:r>
        <w:rPr>
          <w:color w:val="auto"/>
        </w:rPr>
        <w:fldChar w:fldCharType="begin"/>
      </w:r>
      <w:r>
        <w:rPr>
          <w:color w:val="auto"/>
        </w:rPr>
        <w:instrText xml:space="preserve"> PAGEREF _Toc109133127 \h </w:instrText>
      </w:r>
      <w:r>
        <w:rPr>
          <w:color w:val="auto"/>
        </w:rPr>
        <w:fldChar w:fldCharType="separate"/>
      </w:r>
      <w:r>
        <w:rPr>
          <w:color w:val="auto"/>
        </w:rPr>
        <w:t>50</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"_Toc109133128" </w:instrText>
      </w:r>
      <w:r>
        <w:rPr>
          <w:color w:val="auto"/>
        </w:rPr>
        <w:fldChar w:fldCharType="separate"/>
      </w:r>
      <w:r>
        <w:rPr>
          <w:rStyle w:val="39"/>
          <w:rFonts w:hint="eastAsia" w:hAnsi="宋体"/>
          <w:b/>
          <w:color w:val="auto"/>
          <w:lang w:val="zh-CN"/>
        </w:rPr>
        <w:t>格式</w:t>
      </w:r>
      <w:r>
        <w:rPr>
          <w:rStyle w:val="39"/>
          <w:rFonts w:hAnsi="宋体"/>
          <w:b/>
          <w:color w:val="auto"/>
          <w:lang w:val="zh-CN"/>
        </w:rPr>
        <w:t>12</w:t>
      </w:r>
      <w:r>
        <w:rPr>
          <w:rStyle w:val="39"/>
          <w:rFonts w:hint="eastAsia" w:hAnsi="宋体"/>
          <w:b/>
          <w:color w:val="auto"/>
          <w:lang w:val="zh-CN"/>
        </w:rPr>
        <w:t>、分项报价表</w:t>
      </w:r>
      <w:r>
        <w:rPr>
          <w:color w:val="auto"/>
        </w:rPr>
        <w:tab/>
      </w:r>
      <w:r>
        <w:rPr>
          <w:color w:val="auto"/>
        </w:rPr>
        <w:fldChar w:fldCharType="begin"/>
      </w:r>
      <w:r>
        <w:rPr>
          <w:color w:val="auto"/>
        </w:rPr>
        <w:instrText xml:space="preserve"> PAGEREF _Toc109133128 \h </w:instrText>
      </w:r>
      <w:r>
        <w:rPr>
          <w:color w:val="auto"/>
        </w:rPr>
        <w:fldChar w:fldCharType="separate"/>
      </w:r>
      <w:r>
        <w:rPr>
          <w:color w:val="auto"/>
        </w:rPr>
        <w:t>51</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"_Toc109133129" </w:instrText>
      </w:r>
      <w:r>
        <w:rPr>
          <w:color w:val="auto"/>
        </w:rPr>
        <w:fldChar w:fldCharType="separate"/>
      </w:r>
      <w:r>
        <w:rPr>
          <w:rStyle w:val="39"/>
          <w:rFonts w:hint="eastAsia" w:hAnsi="宋体"/>
          <w:b/>
          <w:color w:val="auto"/>
          <w:lang w:val="zh-CN"/>
        </w:rPr>
        <w:t>格式</w:t>
      </w:r>
      <w:r>
        <w:rPr>
          <w:rStyle w:val="39"/>
          <w:rFonts w:hAnsi="宋体"/>
          <w:b/>
          <w:color w:val="auto"/>
          <w:lang w:val="zh-CN"/>
        </w:rPr>
        <w:t>13</w:t>
      </w:r>
      <w:r>
        <w:rPr>
          <w:rStyle w:val="39"/>
          <w:rFonts w:hint="eastAsia" w:hAnsi="宋体"/>
          <w:b/>
          <w:color w:val="auto"/>
          <w:lang w:val="zh-CN"/>
        </w:rPr>
        <w:t>、技术规格响应表</w:t>
      </w:r>
      <w:r>
        <w:rPr>
          <w:color w:val="auto"/>
        </w:rPr>
        <w:tab/>
      </w:r>
      <w:r>
        <w:rPr>
          <w:color w:val="auto"/>
        </w:rPr>
        <w:fldChar w:fldCharType="begin"/>
      </w:r>
      <w:r>
        <w:rPr>
          <w:color w:val="auto"/>
        </w:rPr>
        <w:instrText xml:space="preserve"> PAGEREF _Toc109133129 \h </w:instrText>
      </w:r>
      <w:r>
        <w:rPr>
          <w:color w:val="auto"/>
        </w:rPr>
        <w:fldChar w:fldCharType="separate"/>
      </w:r>
      <w:r>
        <w:rPr>
          <w:color w:val="auto"/>
        </w:rPr>
        <w:t>52</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"_Toc109133130" </w:instrText>
      </w:r>
      <w:r>
        <w:rPr>
          <w:color w:val="auto"/>
        </w:rPr>
        <w:fldChar w:fldCharType="separate"/>
      </w:r>
      <w:r>
        <w:rPr>
          <w:rStyle w:val="39"/>
          <w:rFonts w:hint="eastAsia" w:hAnsi="宋体"/>
          <w:b/>
          <w:color w:val="auto"/>
          <w:lang w:val="zh-CN"/>
        </w:rPr>
        <w:t>格式</w:t>
      </w:r>
      <w:r>
        <w:rPr>
          <w:rStyle w:val="39"/>
          <w:rFonts w:hAnsi="宋体"/>
          <w:b/>
          <w:color w:val="auto"/>
          <w:lang w:val="zh-CN"/>
        </w:rPr>
        <w:t>14</w:t>
      </w:r>
      <w:r>
        <w:rPr>
          <w:rStyle w:val="39"/>
          <w:rFonts w:hint="eastAsia" w:hAnsi="宋体"/>
          <w:b/>
          <w:color w:val="auto"/>
          <w:lang w:val="zh-CN"/>
        </w:rPr>
        <w:t>、磋商产品相关资料</w:t>
      </w:r>
      <w:r>
        <w:rPr>
          <w:color w:val="auto"/>
        </w:rPr>
        <w:tab/>
      </w:r>
      <w:r>
        <w:rPr>
          <w:color w:val="auto"/>
        </w:rPr>
        <w:fldChar w:fldCharType="begin"/>
      </w:r>
      <w:r>
        <w:rPr>
          <w:color w:val="auto"/>
        </w:rPr>
        <w:instrText xml:space="preserve"> PAGEREF _Toc109133130 \h </w:instrText>
      </w:r>
      <w:r>
        <w:rPr>
          <w:color w:val="auto"/>
        </w:rPr>
        <w:fldChar w:fldCharType="separate"/>
      </w:r>
      <w:r>
        <w:rPr>
          <w:color w:val="auto"/>
        </w:rPr>
        <w:t>53</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"_Toc109133131" </w:instrText>
      </w:r>
      <w:r>
        <w:rPr>
          <w:color w:val="auto"/>
        </w:rPr>
        <w:fldChar w:fldCharType="separate"/>
      </w:r>
      <w:r>
        <w:rPr>
          <w:rStyle w:val="39"/>
          <w:rFonts w:hint="eastAsia" w:hAnsi="宋体"/>
          <w:b/>
          <w:color w:val="auto"/>
          <w:lang w:val="zh-CN"/>
        </w:rPr>
        <w:t>格式</w:t>
      </w:r>
      <w:r>
        <w:rPr>
          <w:rStyle w:val="39"/>
          <w:rFonts w:hAnsi="宋体"/>
          <w:b/>
          <w:color w:val="auto"/>
          <w:lang w:val="zh-CN"/>
        </w:rPr>
        <w:t>15</w:t>
      </w:r>
      <w:r>
        <w:rPr>
          <w:rStyle w:val="39"/>
          <w:rFonts w:hint="eastAsia" w:hAnsi="宋体"/>
          <w:b/>
          <w:color w:val="auto"/>
          <w:lang w:val="zh-CN"/>
        </w:rPr>
        <w:t>、磋商供应商的类似业绩证明材料</w:t>
      </w:r>
      <w:r>
        <w:rPr>
          <w:color w:val="auto"/>
        </w:rPr>
        <w:tab/>
      </w:r>
      <w:r>
        <w:rPr>
          <w:color w:val="auto"/>
        </w:rPr>
        <w:fldChar w:fldCharType="begin"/>
      </w:r>
      <w:r>
        <w:rPr>
          <w:color w:val="auto"/>
        </w:rPr>
        <w:instrText xml:space="preserve"> PAGEREF _Toc109133131 \h </w:instrText>
      </w:r>
      <w:r>
        <w:rPr>
          <w:color w:val="auto"/>
        </w:rPr>
        <w:fldChar w:fldCharType="separate"/>
      </w:r>
      <w:r>
        <w:rPr>
          <w:color w:val="auto"/>
        </w:rPr>
        <w:t>54</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"_Toc109133132" </w:instrText>
      </w:r>
      <w:r>
        <w:rPr>
          <w:color w:val="auto"/>
        </w:rPr>
        <w:fldChar w:fldCharType="separate"/>
      </w:r>
      <w:r>
        <w:rPr>
          <w:rStyle w:val="39"/>
          <w:rFonts w:hint="eastAsia" w:hAnsi="宋体"/>
          <w:b/>
          <w:color w:val="auto"/>
          <w:lang w:val="zh-CN"/>
        </w:rPr>
        <w:t>格式</w:t>
      </w:r>
      <w:r>
        <w:rPr>
          <w:rStyle w:val="39"/>
          <w:rFonts w:hAnsi="宋体"/>
          <w:b/>
          <w:color w:val="auto"/>
          <w:lang w:val="zh-CN"/>
        </w:rPr>
        <w:t>16</w:t>
      </w:r>
      <w:r>
        <w:rPr>
          <w:rStyle w:val="39"/>
          <w:rFonts w:hint="eastAsia" w:hAnsi="宋体"/>
          <w:b/>
          <w:color w:val="auto"/>
          <w:lang w:val="zh-CN"/>
        </w:rPr>
        <w:t>、享受政府采购政策优惠的证明资料</w:t>
      </w:r>
      <w:r>
        <w:rPr>
          <w:color w:val="auto"/>
        </w:rPr>
        <w:tab/>
      </w:r>
      <w:r>
        <w:rPr>
          <w:color w:val="auto"/>
        </w:rPr>
        <w:fldChar w:fldCharType="begin"/>
      </w:r>
      <w:r>
        <w:rPr>
          <w:color w:val="auto"/>
        </w:rPr>
        <w:instrText xml:space="preserve"> PAGEREF _Toc109133132 \h </w:instrText>
      </w:r>
      <w:r>
        <w:rPr>
          <w:color w:val="auto"/>
        </w:rPr>
        <w:fldChar w:fldCharType="separate"/>
      </w:r>
      <w:r>
        <w:rPr>
          <w:color w:val="auto"/>
        </w:rPr>
        <w:t>55</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"_Toc109133133" </w:instrText>
      </w:r>
      <w:r>
        <w:rPr>
          <w:color w:val="auto"/>
        </w:rPr>
        <w:fldChar w:fldCharType="separate"/>
      </w:r>
      <w:r>
        <w:rPr>
          <w:rStyle w:val="39"/>
          <w:rFonts w:hint="eastAsia" w:hAnsi="宋体"/>
          <w:b/>
          <w:color w:val="auto"/>
          <w:lang w:val="zh-CN"/>
        </w:rPr>
        <w:t>格式</w:t>
      </w:r>
      <w:r>
        <w:rPr>
          <w:rStyle w:val="39"/>
          <w:rFonts w:hAnsi="宋体"/>
          <w:b/>
          <w:color w:val="auto"/>
          <w:lang w:val="zh-CN"/>
        </w:rPr>
        <w:t>17</w:t>
      </w:r>
      <w:r>
        <w:rPr>
          <w:rStyle w:val="39"/>
          <w:rFonts w:hint="eastAsia" w:hAnsi="宋体"/>
          <w:b/>
          <w:color w:val="auto"/>
          <w:lang w:val="zh-CN"/>
        </w:rPr>
        <w:t>、磋商供应商认为在其他方面有必要说明的事项</w:t>
      </w:r>
      <w:r>
        <w:rPr>
          <w:color w:val="auto"/>
        </w:rPr>
        <w:tab/>
      </w:r>
      <w:r>
        <w:rPr>
          <w:color w:val="auto"/>
        </w:rPr>
        <w:fldChar w:fldCharType="begin"/>
      </w:r>
      <w:r>
        <w:rPr>
          <w:color w:val="auto"/>
        </w:rPr>
        <w:instrText xml:space="preserve"> PAGEREF _Toc109133133 \h </w:instrText>
      </w:r>
      <w:r>
        <w:rPr>
          <w:color w:val="auto"/>
        </w:rPr>
        <w:fldChar w:fldCharType="separate"/>
      </w:r>
      <w:r>
        <w:rPr>
          <w:color w:val="auto"/>
        </w:rPr>
        <w:t>59</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"_Toc109133134" </w:instrText>
      </w:r>
      <w:r>
        <w:rPr>
          <w:color w:val="auto"/>
        </w:rPr>
        <w:fldChar w:fldCharType="separate"/>
      </w:r>
      <w:r>
        <w:rPr>
          <w:rStyle w:val="39"/>
          <w:rFonts w:hint="eastAsia" w:hAnsi="宋体"/>
          <w:b/>
          <w:color w:val="auto"/>
          <w:lang w:val="zh-CN"/>
        </w:rPr>
        <w:t>格式</w:t>
      </w:r>
      <w:r>
        <w:rPr>
          <w:rStyle w:val="39"/>
          <w:rFonts w:hAnsi="宋体"/>
          <w:b/>
          <w:color w:val="auto"/>
          <w:lang w:val="zh-CN"/>
        </w:rPr>
        <w:t>18</w:t>
      </w:r>
      <w:r>
        <w:rPr>
          <w:rStyle w:val="39"/>
          <w:rFonts w:hint="eastAsia" w:hAnsi="宋体"/>
          <w:b/>
          <w:color w:val="auto"/>
          <w:lang w:val="zh-CN"/>
        </w:rPr>
        <w:t>、磋商最终报价表</w:t>
      </w:r>
      <w:r>
        <w:rPr>
          <w:rStyle w:val="39"/>
          <w:rFonts w:hint="eastAsia" w:hAnsi="宋体"/>
          <w:b/>
          <w:color w:val="auto"/>
        </w:rPr>
        <w:t>（单独提交）</w:t>
      </w:r>
      <w:r>
        <w:rPr>
          <w:color w:val="auto"/>
        </w:rPr>
        <w:tab/>
      </w:r>
      <w:r>
        <w:rPr>
          <w:color w:val="auto"/>
        </w:rPr>
        <w:fldChar w:fldCharType="begin"/>
      </w:r>
      <w:r>
        <w:rPr>
          <w:color w:val="auto"/>
        </w:rPr>
        <w:instrText xml:space="preserve"> PAGEREF _Toc109133134 \h </w:instrText>
      </w:r>
      <w:r>
        <w:rPr>
          <w:color w:val="auto"/>
        </w:rPr>
        <w:fldChar w:fldCharType="separate"/>
      </w:r>
      <w:r>
        <w:rPr>
          <w:color w:val="auto"/>
        </w:rPr>
        <w:t>60</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"_Toc109133135" </w:instrText>
      </w:r>
      <w:r>
        <w:rPr>
          <w:color w:val="auto"/>
        </w:rPr>
        <w:fldChar w:fldCharType="separate"/>
      </w:r>
      <w:r>
        <w:rPr>
          <w:rStyle w:val="39"/>
          <w:rFonts w:hint="eastAsia" w:ascii="宋体" w:hAnsi="宋体"/>
          <w:color w:val="auto"/>
        </w:rPr>
        <w:t>第六部分</w:t>
      </w:r>
      <w:r>
        <w:rPr>
          <w:rStyle w:val="39"/>
          <w:rFonts w:ascii="宋体" w:hAnsi="宋体"/>
          <w:color w:val="auto"/>
        </w:rPr>
        <w:t xml:space="preserve">  </w:t>
      </w:r>
      <w:r>
        <w:rPr>
          <w:rStyle w:val="39"/>
          <w:rFonts w:hint="eastAsia" w:ascii="宋体" w:hAnsi="宋体"/>
          <w:color w:val="auto"/>
        </w:rPr>
        <w:t>采购项目要求及技术参数</w:t>
      </w:r>
      <w:r>
        <w:rPr>
          <w:color w:val="auto"/>
        </w:rPr>
        <w:tab/>
      </w:r>
      <w:r>
        <w:rPr>
          <w:color w:val="auto"/>
        </w:rPr>
        <w:fldChar w:fldCharType="begin"/>
      </w:r>
      <w:r>
        <w:rPr>
          <w:color w:val="auto"/>
        </w:rPr>
        <w:instrText xml:space="preserve"> PAGEREF _Toc109133135 \h </w:instrText>
      </w:r>
      <w:r>
        <w:rPr>
          <w:color w:val="auto"/>
        </w:rPr>
        <w:fldChar w:fldCharType="separate"/>
      </w:r>
      <w:r>
        <w:rPr>
          <w:color w:val="auto"/>
        </w:rPr>
        <w:t>61</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"_Toc109133136" </w:instrText>
      </w:r>
      <w:r>
        <w:rPr>
          <w:color w:val="auto"/>
        </w:rPr>
        <w:fldChar w:fldCharType="separate"/>
      </w:r>
      <w:r>
        <w:rPr>
          <w:rStyle w:val="39"/>
          <w:rFonts w:hint="eastAsia" w:hAnsi="宋体"/>
          <w:b/>
          <w:bCs/>
          <w:color w:val="auto"/>
          <w:kern w:val="0"/>
        </w:rPr>
        <w:t>一、磋商要求</w:t>
      </w:r>
      <w:r>
        <w:rPr>
          <w:color w:val="auto"/>
        </w:rPr>
        <w:tab/>
      </w:r>
      <w:r>
        <w:rPr>
          <w:color w:val="auto"/>
        </w:rPr>
        <w:fldChar w:fldCharType="begin"/>
      </w:r>
      <w:r>
        <w:rPr>
          <w:color w:val="auto"/>
        </w:rPr>
        <w:instrText xml:space="preserve"> PAGEREF _Toc109133136 \h </w:instrText>
      </w:r>
      <w:r>
        <w:rPr>
          <w:color w:val="auto"/>
        </w:rPr>
        <w:fldChar w:fldCharType="separate"/>
      </w:r>
      <w:r>
        <w:rPr>
          <w:color w:val="auto"/>
        </w:rPr>
        <w:t>61</w:t>
      </w:r>
      <w:r>
        <w:rPr>
          <w:color w:val="auto"/>
        </w:rPr>
        <w:fldChar w:fldCharType="end"/>
      </w:r>
      <w:r>
        <w:rPr>
          <w:color w:val="auto"/>
        </w:rPr>
        <w:fldChar w:fldCharType="end"/>
      </w:r>
    </w:p>
    <w:p>
      <w:pPr>
        <w:pStyle w:val="21"/>
        <w:jc w:val="center"/>
        <w:rPr>
          <w:rFonts w:asciiTheme="minorHAnsi" w:hAnsiTheme="minorHAnsi" w:eastAsiaTheme="minorEastAsia" w:cstheme="minorBidi"/>
          <w:color w:val="auto"/>
          <w:szCs w:val="22"/>
        </w:rPr>
      </w:pPr>
      <w:r>
        <w:rPr>
          <w:color w:val="auto"/>
        </w:rPr>
        <w:fldChar w:fldCharType="begin"/>
      </w:r>
      <w:r>
        <w:rPr>
          <w:color w:val="auto"/>
        </w:rPr>
        <w:instrText xml:space="preserve"> HYPERLINK \l "_Toc109133137" </w:instrText>
      </w:r>
      <w:r>
        <w:rPr>
          <w:color w:val="auto"/>
        </w:rPr>
        <w:fldChar w:fldCharType="separate"/>
      </w:r>
      <w:r>
        <w:rPr>
          <w:rStyle w:val="39"/>
          <w:rFonts w:hint="eastAsia" w:hAnsi="宋体"/>
          <w:b/>
          <w:bCs/>
          <w:color w:val="auto"/>
          <w:kern w:val="0"/>
        </w:rPr>
        <w:t>二、采购项目参数及要求</w:t>
      </w:r>
      <w:r>
        <w:rPr>
          <w:color w:val="auto"/>
        </w:rPr>
        <w:tab/>
      </w:r>
      <w:r>
        <w:rPr>
          <w:color w:val="auto"/>
        </w:rPr>
        <w:fldChar w:fldCharType="begin"/>
      </w:r>
      <w:r>
        <w:rPr>
          <w:color w:val="auto"/>
        </w:rPr>
        <w:instrText xml:space="preserve"> PAGEREF _Toc109133137 \h </w:instrText>
      </w:r>
      <w:r>
        <w:rPr>
          <w:color w:val="auto"/>
        </w:rPr>
        <w:fldChar w:fldCharType="separate"/>
      </w:r>
      <w:r>
        <w:rPr>
          <w:color w:val="auto"/>
        </w:rPr>
        <w:t>62</w:t>
      </w:r>
      <w:r>
        <w:rPr>
          <w:color w:val="auto"/>
        </w:rPr>
        <w:fldChar w:fldCharType="end"/>
      </w:r>
      <w:r>
        <w:rPr>
          <w:color w:val="auto"/>
        </w:rPr>
        <w:fldChar w:fldCharType="end"/>
      </w:r>
    </w:p>
    <w:p>
      <w:pPr>
        <w:pStyle w:val="21"/>
        <w:spacing w:line="360" w:lineRule="auto"/>
        <w:jc w:val="center"/>
        <w:rPr>
          <w:rFonts w:ascii="宋体" w:hAnsi="宋体"/>
          <w:bCs/>
          <w:color w:val="auto"/>
          <w:sz w:val="24"/>
        </w:rPr>
      </w:pPr>
      <w:r>
        <w:rPr>
          <w:rFonts w:ascii="宋体" w:hAnsi="宋体"/>
          <w:bCs/>
          <w:color w:val="auto"/>
        </w:rPr>
        <w:fldChar w:fldCharType="end"/>
      </w:r>
    </w:p>
    <w:p>
      <w:pPr>
        <w:pStyle w:val="22"/>
        <w:spacing w:before="0" w:after="0" w:line="360" w:lineRule="auto"/>
        <w:rPr>
          <w:rFonts w:ascii="宋体" w:hAnsi="宋体"/>
          <w:color w:val="auto"/>
          <w:sz w:val="48"/>
          <w:szCs w:val="48"/>
        </w:rPr>
      </w:pPr>
      <w:r>
        <w:rPr>
          <w:rFonts w:ascii="宋体" w:hAnsi="宋体"/>
          <w:color w:val="auto"/>
          <w:sz w:val="24"/>
          <w:szCs w:val="24"/>
        </w:rPr>
        <w:br w:type="page"/>
      </w:r>
      <w:bookmarkStart w:id="1" w:name="_Toc444715732"/>
      <w:bookmarkStart w:id="2" w:name="_Toc109133079"/>
      <w:bookmarkStart w:id="3" w:name="_Hlk503427406"/>
      <w:r>
        <w:rPr>
          <w:rFonts w:hint="eastAsia" w:ascii="宋体" w:hAnsi="宋体"/>
          <w:color w:val="auto"/>
          <w:sz w:val="48"/>
          <w:szCs w:val="48"/>
        </w:rPr>
        <w:t>第一部分   磋商邀请</w:t>
      </w:r>
      <w:bookmarkEnd w:id="1"/>
      <w:bookmarkEnd w:id="2"/>
    </w:p>
    <w:bookmarkEnd w:id="3"/>
    <w:p>
      <w:pPr>
        <w:keepNext w:val="0"/>
        <w:keepLines w:val="0"/>
        <w:widowControl/>
        <w:suppressLineNumbers w:val="0"/>
        <w:pBdr>
          <w:bottom w:val="none" w:color="auto" w:sz="0" w:space="0"/>
        </w:pBdr>
        <w:spacing w:line="450" w:lineRule="atLeast"/>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cs="宋体"/>
          <w:b/>
          <w:bCs/>
          <w:i w:val="0"/>
          <w:iCs w:val="0"/>
          <w:caps w:val="0"/>
          <w:color w:val="auto"/>
          <w:spacing w:val="0"/>
          <w:kern w:val="0"/>
          <w:sz w:val="36"/>
          <w:szCs w:val="36"/>
          <w:lang w:val="en-US" w:eastAsia="zh-CN" w:bidi="ar"/>
        </w:rPr>
        <w:t>海北州第二人民医院医疗服务能力提升(口腔)专科建设项目</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51"/>
              <w:spacing w:line="360" w:lineRule="auto"/>
              <w:jc w:val="left"/>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项目概况                 </w:t>
            </w:r>
          </w:p>
          <w:p>
            <w:pPr>
              <w:pStyle w:val="51"/>
              <w:spacing w:line="360" w:lineRule="auto"/>
              <w:rPr>
                <w:rFonts w:hint="eastAsia" w:ascii="宋体" w:hAnsi="宋体" w:eastAsia="宋体" w:cs="宋体"/>
                <w:bCs/>
                <w:color w:val="auto"/>
                <w:kern w:val="0"/>
                <w:sz w:val="24"/>
                <w:lang w:val="zh-CN"/>
              </w:rPr>
            </w:pPr>
            <w:r>
              <w:rPr>
                <w:rFonts w:hint="eastAsia" w:ascii="宋体" w:hAnsi="宋体" w:cs="宋体"/>
                <w:bCs/>
                <w:color w:val="auto"/>
                <w:kern w:val="0"/>
                <w:sz w:val="24"/>
                <w:lang w:val="zh-CN" w:eastAsia="zh-CN"/>
              </w:rPr>
              <w:t>海北州第二人民医院医疗服务能力提升(口腔)专科建设项目</w:t>
            </w:r>
            <w:r>
              <w:rPr>
                <w:rFonts w:hint="eastAsia" w:ascii="宋体" w:hAnsi="宋体" w:eastAsia="宋体" w:cs="宋体"/>
                <w:bCs/>
                <w:color w:val="auto"/>
                <w:kern w:val="0"/>
                <w:sz w:val="24"/>
                <w:lang w:val="zh-CN" w:eastAsia="zh-CN"/>
              </w:rPr>
              <w:t>的潜在供应商应在政采云平台线上获取采购文件，并于</w:t>
            </w:r>
            <w:r>
              <w:rPr>
                <w:rFonts w:hint="eastAsia" w:ascii="宋体" w:hAnsi="宋体" w:cs="宋体"/>
                <w:bCs/>
                <w:color w:val="auto"/>
                <w:kern w:val="0"/>
                <w:sz w:val="24"/>
                <w:lang w:val="zh-CN" w:eastAsia="zh-CN"/>
              </w:rPr>
              <w:t>2024年</w:t>
            </w:r>
            <w:r>
              <w:rPr>
                <w:rFonts w:hint="eastAsia" w:ascii="宋体" w:hAnsi="宋体" w:cs="宋体"/>
                <w:bCs/>
                <w:color w:val="auto"/>
                <w:kern w:val="0"/>
                <w:sz w:val="24"/>
                <w:lang w:val="en-US" w:eastAsia="zh-CN"/>
              </w:rPr>
              <w:t>07</w:t>
            </w:r>
            <w:r>
              <w:rPr>
                <w:rFonts w:hint="eastAsia" w:ascii="宋体" w:hAnsi="宋体" w:eastAsia="宋体" w:cs="宋体"/>
                <w:bCs/>
                <w:color w:val="auto"/>
                <w:kern w:val="0"/>
                <w:sz w:val="24"/>
                <w:lang w:val="zh-CN" w:eastAsia="zh-CN"/>
              </w:rPr>
              <w:t>月</w:t>
            </w:r>
            <w:r>
              <w:rPr>
                <w:rFonts w:hint="eastAsia" w:ascii="宋体" w:hAnsi="宋体" w:cs="宋体"/>
                <w:bCs/>
                <w:color w:val="auto"/>
                <w:kern w:val="0"/>
                <w:sz w:val="24"/>
                <w:lang w:val="en-US" w:eastAsia="zh-CN"/>
              </w:rPr>
              <w:t>01</w:t>
            </w:r>
            <w:r>
              <w:rPr>
                <w:rFonts w:hint="eastAsia" w:ascii="宋体" w:hAnsi="宋体" w:eastAsia="宋体" w:cs="宋体"/>
                <w:bCs/>
                <w:color w:val="auto"/>
                <w:kern w:val="0"/>
                <w:sz w:val="24"/>
                <w:lang w:val="zh-CN" w:eastAsia="zh-CN"/>
              </w:rPr>
              <w:t>日</w:t>
            </w:r>
            <w:r>
              <w:rPr>
                <w:rFonts w:hint="eastAsia" w:ascii="宋体" w:hAnsi="宋体" w:cs="宋体"/>
                <w:bCs/>
                <w:color w:val="auto"/>
                <w:kern w:val="0"/>
                <w:sz w:val="24"/>
                <w:lang w:val="en-US" w:eastAsia="zh-CN"/>
              </w:rPr>
              <w:t>14</w:t>
            </w:r>
            <w:r>
              <w:rPr>
                <w:rFonts w:hint="eastAsia" w:ascii="宋体" w:hAnsi="宋体" w:eastAsia="宋体" w:cs="宋体"/>
                <w:bCs/>
                <w:color w:val="auto"/>
                <w:kern w:val="0"/>
                <w:sz w:val="24"/>
                <w:lang w:val="zh-CN" w:eastAsia="zh-CN"/>
              </w:rPr>
              <w:t>:30（北京时间）前提交响应文件。</w:t>
            </w:r>
          </w:p>
        </w:tc>
      </w:tr>
    </w:tbl>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一、项目基本情况</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项目编号：</w:t>
      </w:r>
      <w:r>
        <w:rPr>
          <w:rFonts w:hint="eastAsia" w:ascii="宋体" w:hAnsi="宋体" w:cs="宋体"/>
          <w:bCs/>
          <w:color w:val="auto"/>
          <w:kern w:val="0"/>
          <w:sz w:val="24"/>
          <w:lang w:val="zh-CN"/>
        </w:rPr>
        <w:t>青海国焱竞磋（货物）2024-183号</w:t>
      </w:r>
      <w:r>
        <w:rPr>
          <w:rFonts w:hint="eastAsia" w:ascii="宋体" w:hAnsi="宋体" w:eastAsia="宋体" w:cs="宋体"/>
          <w:bCs/>
          <w:color w:val="auto"/>
          <w:kern w:val="0"/>
          <w:sz w:val="24"/>
          <w:lang w:val="zh-CN"/>
        </w:rPr>
        <w:t>     </w:t>
      </w:r>
    </w:p>
    <w:p>
      <w:pPr>
        <w:pStyle w:val="51"/>
        <w:spacing w:line="360" w:lineRule="auto"/>
        <w:rPr>
          <w:rFonts w:hint="eastAsia" w:ascii="宋体" w:hAnsi="宋体" w:eastAsia="宋体" w:cs="宋体"/>
          <w:bCs/>
          <w:color w:val="auto"/>
          <w:kern w:val="0"/>
          <w:sz w:val="24"/>
          <w:lang w:val="zh-CN" w:eastAsia="zh-CN"/>
        </w:rPr>
      </w:pPr>
      <w:r>
        <w:rPr>
          <w:rFonts w:hint="eastAsia" w:ascii="宋体" w:hAnsi="宋体" w:eastAsia="宋体" w:cs="宋体"/>
          <w:bCs/>
          <w:color w:val="auto"/>
          <w:kern w:val="0"/>
          <w:sz w:val="24"/>
          <w:lang w:val="zh-CN"/>
        </w:rPr>
        <w:t>项目名称：</w:t>
      </w:r>
      <w:r>
        <w:rPr>
          <w:rFonts w:hint="eastAsia" w:ascii="宋体" w:hAnsi="宋体" w:cs="宋体"/>
          <w:bCs/>
          <w:color w:val="auto"/>
          <w:kern w:val="0"/>
          <w:sz w:val="24"/>
          <w:lang w:val="zh-CN" w:eastAsia="zh-CN"/>
        </w:rPr>
        <w:t>海北州第二人民医院医疗服务能力提升(口腔)专科建设项目</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采购方式：竞争性磋商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预算金额（元）：</w:t>
      </w:r>
      <w:r>
        <w:rPr>
          <w:rFonts w:hint="eastAsia" w:ascii="宋体" w:hAnsi="宋体" w:cs="宋体"/>
          <w:bCs/>
          <w:color w:val="auto"/>
          <w:kern w:val="0"/>
          <w:sz w:val="24"/>
          <w:lang w:val="en-US" w:eastAsia="zh-CN"/>
        </w:rPr>
        <w:t>1048730</w:t>
      </w:r>
      <w:r>
        <w:rPr>
          <w:rFonts w:hint="eastAsia" w:ascii="宋体" w:hAnsi="宋体" w:eastAsia="宋体" w:cs="宋体"/>
          <w:bCs/>
          <w:color w:val="auto"/>
          <w:kern w:val="0"/>
          <w:sz w:val="24"/>
          <w:lang w:val="zh-CN"/>
        </w:rPr>
        <w:t>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最高限价（元）：</w:t>
      </w:r>
      <w:r>
        <w:rPr>
          <w:rFonts w:hint="eastAsia" w:ascii="宋体" w:hAnsi="宋体" w:cs="宋体"/>
          <w:bCs/>
          <w:color w:val="auto"/>
          <w:kern w:val="0"/>
          <w:sz w:val="24"/>
          <w:lang w:val="en-US" w:eastAsia="zh-CN"/>
        </w:rPr>
        <w:t>1048730</w:t>
      </w:r>
      <w:r>
        <w:rPr>
          <w:rFonts w:hint="eastAsia" w:ascii="宋体" w:hAnsi="宋体" w:eastAsia="宋体" w:cs="宋体"/>
          <w:bCs/>
          <w:color w:val="auto"/>
          <w:kern w:val="0"/>
          <w:sz w:val="24"/>
          <w:lang w:val="zh-CN"/>
        </w:rPr>
        <w:t>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采购需求：</w:t>
      </w:r>
      <w:r>
        <w:rPr>
          <w:rFonts w:hint="eastAsia" w:ascii="宋体" w:hAnsi="宋体" w:eastAsia="宋体" w:cs="宋体"/>
          <w:bCs/>
          <w:color w:val="auto"/>
          <w:kern w:val="0"/>
          <w:sz w:val="24"/>
          <w:lang w:val="en-US" w:eastAsia="zh-CN"/>
        </w:rPr>
        <w:t>具体内容详见《</w:t>
      </w:r>
      <w:r>
        <w:rPr>
          <w:rFonts w:hint="eastAsia" w:ascii="宋体" w:hAnsi="宋体" w:cs="宋体"/>
          <w:bCs/>
          <w:color w:val="auto"/>
          <w:kern w:val="0"/>
          <w:sz w:val="24"/>
          <w:lang w:val="en-US" w:eastAsia="zh-CN"/>
        </w:rPr>
        <w:t>竞争性</w:t>
      </w:r>
      <w:r>
        <w:rPr>
          <w:rFonts w:hint="eastAsia" w:ascii="宋体" w:hAnsi="宋体" w:eastAsia="宋体" w:cs="宋体"/>
          <w:bCs/>
          <w:color w:val="auto"/>
          <w:kern w:val="0"/>
          <w:sz w:val="24"/>
          <w:lang w:val="en-US" w:eastAsia="zh-CN"/>
        </w:rPr>
        <w:t>磋商文件》         </w:t>
      </w:r>
      <w:r>
        <w:rPr>
          <w:rFonts w:hint="eastAsia" w:ascii="宋体" w:hAnsi="宋体" w:eastAsia="宋体" w:cs="宋体"/>
          <w:bCs/>
          <w:color w:val="auto"/>
          <w:kern w:val="0"/>
          <w:sz w:val="24"/>
          <w:lang w:val="en-US" w:eastAsia="zh-CN"/>
        </w:rPr>
        <w:br w:type="textWrapping"/>
      </w:r>
      <w:r>
        <w:rPr>
          <w:rFonts w:hint="eastAsia" w:ascii="宋体" w:hAnsi="宋体" w:eastAsia="宋体" w:cs="宋体"/>
          <w:bCs/>
          <w:color w:val="auto"/>
          <w:kern w:val="0"/>
          <w:sz w:val="24"/>
          <w:lang w:val="en-US" w:eastAsia="zh-CN"/>
        </w:rPr>
        <w:t>标项名称：</w:t>
      </w:r>
      <w:r>
        <w:rPr>
          <w:rFonts w:hint="eastAsia" w:ascii="宋体" w:hAnsi="宋体" w:cs="宋体"/>
          <w:bCs/>
          <w:color w:val="auto"/>
          <w:kern w:val="0"/>
          <w:sz w:val="24"/>
          <w:lang w:val="en-US" w:eastAsia="zh-CN"/>
        </w:rPr>
        <w:t>海北州第二人民医院医疗服务能力提升(口腔)专科建设项目</w:t>
      </w:r>
      <w:r>
        <w:rPr>
          <w:rFonts w:hint="eastAsia" w:ascii="宋体" w:hAnsi="宋体" w:eastAsia="宋体" w:cs="宋体"/>
          <w:bCs/>
          <w:color w:val="auto"/>
          <w:kern w:val="0"/>
          <w:sz w:val="24"/>
          <w:lang w:val="en-US" w:eastAsia="zh-CN"/>
        </w:rPr>
        <w:t> </w:t>
      </w:r>
      <w:r>
        <w:rPr>
          <w:rFonts w:hint="eastAsia" w:ascii="宋体" w:hAnsi="宋体" w:eastAsia="宋体" w:cs="宋体"/>
          <w:bCs/>
          <w:color w:val="auto"/>
          <w:kern w:val="0"/>
          <w:sz w:val="24"/>
          <w:lang w:val="en-US" w:eastAsia="zh-CN"/>
        </w:rPr>
        <w:br w:type="textWrapping"/>
      </w:r>
      <w:r>
        <w:rPr>
          <w:rFonts w:hint="eastAsia" w:ascii="宋体" w:hAnsi="宋体" w:eastAsia="宋体" w:cs="宋体"/>
          <w:bCs/>
          <w:color w:val="auto"/>
          <w:kern w:val="0"/>
          <w:sz w:val="24"/>
          <w:lang w:val="en-US" w:eastAsia="zh-CN"/>
        </w:rPr>
        <w:t>数量：详见磋商文件</w:t>
      </w:r>
      <w:r>
        <w:rPr>
          <w:rFonts w:hint="eastAsia" w:ascii="宋体" w:hAnsi="宋体" w:eastAsia="宋体" w:cs="宋体"/>
          <w:bCs/>
          <w:color w:val="auto"/>
          <w:kern w:val="0"/>
          <w:sz w:val="24"/>
          <w:lang w:val="en-US" w:eastAsia="zh-CN"/>
        </w:rPr>
        <w:br w:type="textWrapping"/>
      </w:r>
      <w:r>
        <w:rPr>
          <w:rFonts w:hint="eastAsia" w:ascii="宋体" w:hAnsi="宋体" w:eastAsia="宋体" w:cs="宋体"/>
          <w:bCs/>
          <w:color w:val="auto"/>
          <w:kern w:val="0"/>
          <w:sz w:val="24"/>
          <w:lang w:val="en-US" w:eastAsia="zh-CN"/>
        </w:rPr>
        <w:t>预算金额（元）：</w:t>
      </w:r>
      <w:r>
        <w:rPr>
          <w:rFonts w:hint="eastAsia" w:ascii="宋体" w:hAnsi="宋体" w:cs="宋体"/>
          <w:bCs/>
          <w:color w:val="auto"/>
          <w:kern w:val="0"/>
          <w:sz w:val="24"/>
          <w:lang w:val="en-US" w:eastAsia="zh-CN"/>
        </w:rPr>
        <w:t>1048730</w:t>
      </w:r>
      <w:r>
        <w:rPr>
          <w:rFonts w:hint="eastAsia" w:ascii="宋体" w:hAnsi="宋体" w:eastAsia="宋体" w:cs="宋体"/>
          <w:bCs/>
          <w:color w:val="auto"/>
          <w:kern w:val="0"/>
          <w:sz w:val="24"/>
          <w:lang w:val="en-US" w:eastAsia="zh-CN"/>
        </w:rPr>
        <w:br w:type="textWrapping"/>
      </w:r>
      <w:r>
        <w:rPr>
          <w:rFonts w:hint="eastAsia" w:ascii="宋体" w:hAnsi="宋体" w:eastAsia="宋体" w:cs="宋体"/>
          <w:bCs/>
          <w:color w:val="auto"/>
          <w:kern w:val="0"/>
          <w:sz w:val="24"/>
          <w:lang w:val="en-US" w:eastAsia="zh-CN"/>
        </w:rPr>
        <w:t>单位：详见磋商文件</w:t>
      </w:r>
      <w:r>
        <w:rPr>
          <w:rFonts w:hint="eastAsia" w:ascii="宋体" w:hAnsi="宋体" w:eastAsia="宋体" w:cs="宋体"/>
          <w:bCs/>
          <w:color w:val="auto"/>
          <w:kern w:val="0"/>
          <w:sz w:val="24"/>
          <w:lang w:val="en-US" w:eastAsia="zh-CN"/>
        </w:rPr>
        <w:br w:type="textWrapping"/>
      </w:r>
      <w:r>
        <w:rPr>
          <w:rFonts w:hint="eastAsia" w:ascii="宋体" w:hAnsi="宋体" w:eastAsia="宋体" w:cs="宋体"/>
          <w:bCs/>
          <w:color w:val="auto"/>
          <w:kern w:val="0"/>
          <w:sz w:val="24"/>
          <w:lang w:val="en-US" w:eastAsia="zh-CN"/>
        </w:rPr>
        <w:t>简要规格描述：具体内容详见《</w:t>
      </w:r>
      <w:r>
        <w:rPr>
          <w:rFonts w:hint="eastAsia" w:ascii="宋体" w:hAnsi="宋体" w:cs="宋体"/>
          <w:bCs/>
          <w:color w:val="auto"/>
          <w:kern w:val="0"/>
          <w:sz w:val="24"/>
          <w:lang w:val="en-US" w:eastAsia="zh-CN"/>
        </w:rPr>
        <w:t>竞争性</w:t>
      </w:r>
      <w:r>
        <w:rPr>
          <w:rFonts w:hint="eastAsia" w:ascii="宋体" w:hAnsi="宋体" w:eastAsia="宋体" w:cs="宋体"/>
          <w:bCs/>
          <w:color w:val="auto"/>
          <w:kern w:val="0"/>
          <w:sz w:val="24"/>
          <w:lang w:val="en-US" w:eastAsia="zh-CN"/>
        </w:rPr>
        <w:t>磋商文件》</w:t>
      </w:r>
      <w:r>
        <w:rPr>
          <w:rFonts w:hint="eastAsia" w:ascii="宋体" w:hAnsi="宋体" w:eastAsia="宋体" w:cs="宋体"/>
          <w:bCs/>
          <w:color w:val="auto"/>
          <w:kern w:val="0"/>
          <w:sz w:val="24"/>
          <w:lang w:val="en-US" w:eastAsia="zh-CN"/>
        </w:rPr>
        <w:br w:type="textWrapping"/>
      </w:r>
      <w:r>
        <w:rPr>
          <w:rFonts w:hint="eastAsia" w:ascii="宋体" w:hAnsi="宋体" w:eastAsia="宋体" w:cs="宋体"/>
          <w:bCs/>
          <w:color w:val="auto"/>
          <w:kern w:val="0"/>
          <w:sz w:val="24"/>
          <w:lang w:val="en-US" w:eastAsia="zh-CN"/>
        </w:rPr>
        <w:t>备注：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合同履约期限：自合同签订之日起30个日历日</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本项目（否）接受联合体投标。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二、申请人的资格要求：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1、符合《政府采购法》第22条条件，并提供下列材料：</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&lt;1&gt;投标人的营业执照等证明文件，自然人的身份证明。</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&lt;2&gt;财务状况报告，依法缴纳税收和社会保障资金的相关材料。</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&lt;3&gt;具备履行合同所必需的设备和专业技术能力的证明材料。</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&lt;4&gt;参加政府采购活动前3年内在经营活动中没有重大违法记录的书面声明。</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&lt;5&gt;具备法律、行政法规规定的其他条件的证明材料。</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2、经信用中国（www.creditchina.gov.cn）、中国政府采购网（www.ccgp.gov.cn）等渠道查询后，列入失信被执行人或重大税收违法案件当事人名单或政府采购严重违法失信行为记录名单的，取消投标资格。（提供网站的查询截图）；</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3、单位负责人为同一人或者存在直接控股、管理关系的不同投标人，不得参加同一合同项下的政府采购活动。否则，皆取消投标资格；</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4、为本采购项目提供整体设计、规范编制或者项目管理、监理、检测等服务的投标人，不得再参加该采购项目的其他采购活动；</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5、本项目不接受投标人以联合体方式进行投标；</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6、本次采购要求投标人为生产商的，须具备有效的医疗器械生产许可证和所投产品的医疗器械注册证；投标人为代理商的，具备有效的医疗器械经营许可证及所投产品的医疗器械注册证；</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三、获取采购文件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时间：</w:t>
      </w:r>
      <w:r>
        <w:rPr>
          <w:rFonts w:hint="eastAsia" w:ascii="宋体" w:hAnsi="宋体"/>
          <w:color w:val="auto"/>
          <w:kern w:val="0"/>
          <w:sz w:val="24"/>
          <w:lang w:eastAsia="zh-CN"/>
        </w:rPr>
        <w:t>2024年</w:t>
      </w:r>
      <w:r>
        <w:rPr>
          <w:rFonts w:hint="eastAsia" w:ascii="宋体" w:hAnsi="宋体"/>
          <w:color w:val="auto"/>
          <w:kern w:val="0"/>
          <w:sz w:val="24"/>
          <w:lang w:val="en-US" w:eastAsia="zh-CN"/>
        </w:rPr>
        <w:t>06</w:t>
      </w:r>
      <w:r>
        <w:rPr>
          <w:rFonts w:hint="eastAsia" w:ascii="宋体" w:hAnsi="宋体"/>
          <w:color w:val="auto"/>
          <w:kern w:val="0"/>
          <w:sz w:val="24"/>
        </w:rPr>
        <w:t>月</w:t>
      </w:r>
      <w:r>
        <w:rPr>
          <w:rFonts w:hint="eastAsia" w:ascii="宋体" w:hAnsi="宋体"/>
          <w:color w:val="auto"/>
          <w:kern w:val="0"/>
          <w:sz w:val="24"/>
          <w:lang w:val="en-US" w:eastAsia="zh-CN"/>
        </w:rPr>
        <w:t>20</w:t>
      </w:r>
      <w:r>
        <w:rPr>
          <w:rFonts w:hint="eastAsia" w:ascii="宋体" w:hAnsi="宋体"/>
          <w:color w:val="auto"/>
          <w:kern w:val="0"/>
          <w:sz w:val="24"/>
        </w:rPr>
        <w:t>日至</w:t>
      </w:r>
      <w:r>
        <w:rPr>
          <w:rFonts w:hint="eastAsia" w:ascii="宋体" w:hAnsi="宋体"/>
          <w:color w:val="auto"/>
          <w:kern w:val="0"/>
          <w:sz w:val="24"/>
          <w:lang w:eastAsia="zh-CN"/>
        </w:rPr>
        <w:t>2024年</w:t>
      </w:r>
      <w:r>
        <w:rPr>
          <w:rFonts w:hint="eastAsia" w:ascii="宋体" w:hAnsi="宋体"/>
          <w:color w:val="auto"/>
          <w:kern w:val="0"/>
          <w:sz w:val="24"/>
          <w:lang w:val="en-US" w:eastAsia="zh-CN"/>
        </w:rPr>
        <w:t>06</w:t>
      </w:r>
      <w:r>
        <w:rPr>
          <w:rFonts w:hint="eastAsia" w:ascii="宋体" w:hAnsi="宋体"/>
          <w:color w:val="auto"/>
          <w:kern w:val="0"/>
          <w:sz w:val="24"/>
        </w:rPr>
        <w:t>月</w:t>
      </w:r>
      <w:r>
        <w:rPr>
          <w:rFonts w:hint="eastAsia" w:ascii="宋体" w:hAnsi="宋体"/>
          <w:color w:val="auto"/>
          <w:kern w:val="0"/>
          <w:sz w:val="24"/>
          <w:lang w:val="en-US" w:eastAsia="zh-CN"/>
        </w:rPr>
        <w:t>27</w:t>
      </w:r>
      <w:r>
        <w:rPr>
          <w:rFonts w:hint="eastAsia" w:ascii="宋体" w:hAnsi="宋体"/>
          <w:color w:val="auto"/>
          <w:kern w:val="0"/>
          <w:sz w:val="24"/>
        </w:rPr>
        <w:t>日</w:t>
      </w:r>
      <w:r>
        <w:rPr>
          <w:rFonts w:hint="eastAsia" w:ascii="宋体" w:hAnsi="宋体" w:eastAsia="宋体" w:cs="宋体"/>
          <w:bCs/>
          <w:color w:val="auto"/>
          <w:kern w:val="0"/>
          <w:sz w:val="24"/>
          <w:lang w:val="zh-CN"/>
        </w:rPr>
        <w:t>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地点：</w:t>
      </w:r>
      <w:r>
        <w:rPr>
          <w:rFonts w:ascii="宋体" w:hAnsi="宋体"/>
          <w:color w:val="auto"/>
          <w:kern w:val="0"/>
          <w:sz w:val="24"/>
        </w:rPr>
        <w:t>线上获取通过政采云平台（</w:t>
      </w:r>
      <w:r>
        <w:rPr>
          <w:rFonts w:ascii="宋体" w:hAnsi="宋体"/>
          <w:color w:val="auto"/>
          <w:kern w:val="0"/>
          <w:sz w:val="24"/>
        </w:rPr>
        <w:drawing>
          <wp:inline distT="0" distB="0" distL="0" distR="0">
            <wp:extent cx="189865" cy="146685"/>
            <wp:effectExtent l="0" t="0" r="635" b="5715"/>
            <wp:docPr id="3" name="图片 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GJ$ACOF(TYDYECOKVDY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ascii="宋体" w:hAnsi="宋体"/>
          <w:color w:val="auto"/>
          <w:kern w:val="0"/>
          <w:sz w:val="24"/>
        </w:rPr>
        <w:t>www.zcygov.cn）获取</w:t>
      </w:r>
      <w:r>
        <w:rPr>
          <w:rFonts w:hint="eastAsia" w:ascii="宋体" w:hAnsi="宋体" w:eastAsia="宋体" w:cs="宋体"/>
          <w:bCs/>
          <w:color w:val="auto"/>
          <w:kern w:val="0"/>
          <w:sz w:val="24"/>
          <w:lang w:val="zh-CN"/>
        </w:rPr>
        <w:t>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方式：</w:t>
      </w:r>
      <w:r>
        <w:rPr>
          <w:rFonts w:ascii="宋体" w:hAnsi="宋体"/>
          <w:color w:val="auto"/>
          <w:kern w:val="0"/>
          <w:sz w:val="24"/>
        </w:rPr>
        <w:t>线上获取通过政采云平台（</w:t>
      </w:r>
      <w:r>
        <w:rPr>
          <w:rFonts w:ascii="宋体" w:hAnsi="宋体"/>
          <w:color w:val="auto"/>
          <w:kern w:val="0"/>
          <w:sz w:val="24"/>
        </w:rPr>
        <w:drawing>
          <wp:inline distT="0" distB="0" distL="0" distR="0">
            <wp:extent cx="189865" cy="146685"/>
            <wp:effectExtent l="0" t="0" r="635" b="571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ascii="宋体" w:hAnsi="宋体"/>
          <w:color w:val="auto"/>
          <w:kern w:val="0"/>
          <w:sz w:val="24"/>
        </w:rPr>
        <w:t>www.zcygov.cn）获取</w:t>
      </w:r>
      <w:r>
        <w:rPr>
          <w:rFonts w:hint="eastAsia" w:ascii="宋体" w:hAnsi="宋体" w:eastAsia="宋体" w:cs="宋体"/>
          <w:bCs/>
          <w:color w:val="auto"/>
          <w:kern w:val="0"/>
          <w:sz w:val="24"/>
          <w:lang w:val="zh-CN"/>
        </w:rPr>
        <w:t>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售价（元）：0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四、响应文件提交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截止时间：</w:t>
      </w:r>
      <w:r>
        <w:rPr>
          <w:rFonts w:hint="eastAsia" w:ascii="宋体" w:hAnsi="宋体"/>
          <w:color w:val="auto"/>
          <w:kern w:val="0"/>
          <w:sz w:val="24"/>
          <w:lang w:eastAsia="zh-CN"/>
        </w:rPr>
        <w:t>2024年</w:t>
      </w:r>
      <w:r>
        <w:rPr>
          <w:rFonts w:hint="eastAsia" w:ascii="宋体" w:hAnsi="宋体"/>
          <w:color w:val="auto"/>
          <w:kern w:val="0"/>
          <w:sz w:val="24"/>
          <w:lang w:val="en-US" w:eastAsia="zh-CN"/>
        </w:rPr>
        <w:t>07</w:t>
      </w:r>
      <w:r>
        <w:rPr>
          <w:rFonts w:hint="eastAsia" w:ascii="宋体" w:hAnsi="宋体"/>
          <w:color w:val="auto"/>
          <w:kern w:val="0"/>
          <w:sz w:val="24"/>
        </w:rPr>
        <w:t>月</w:t>
      </w:r>
      <w:r>
        <w:rPr>
          <w:rFonts w:hint="eastAsia" w:ascii="宋体" w:hAnsi="宋体"/>
          <w:color w:val="auto"/>
          <w:kern w:val="0"/>
          <w:sz w:val="24"/>
          <w:lang w:val="en-US" w:eastAsia="zh-CN"/>
        </w:rPr>
        <w:t>01</w:t>
      </w:r>
      <w:r>
        <w:rPr>
          <w:rFonts w:hint="eastAsia" w:ascii="宋体" w:hAnsi="宋体"/>
          <w:color w:val="auto"/>
          <w:kern w:val="0"/>
          <w:sz w:val="24"/>
        </w:rPr>
        <w:t>日</w:t>
      </w:r>
      <w:r>
        <w:rPr>
          <w:rFonts w:hint="eastAsia" w:ascii="宋体" w:hAnsi="宋体"/>
          <w:color w:val="auto"/>
          <w:kern w:val="0"/>
          <w:sz w:val="24"/>
          <w:lang w:val="en-US" w:eastAsia="zh-CN"/>
        </w:rPr>
        <w:t>14</w:t>
      </w:r>
      <w:r>
        <w:rPr>
          <w:rFonts w:hint="eastAsia" w:ascii="宋体" w:hAnsi="宋体"/>
          <w:color w:val="auto"/>
          <w:kern w:val="0"/>
          <w:sz w:val="24"/>
        </w:rPr>
        <w:t>:30（北京时间）</w:t>
      </w:r>
      <w:r>
        <w:rPr>
          <w:rFonts w:hint="eastAsia" w:ascii="宋体" w:hAnsi="宋体" w:eastAsia="宋体" w:cs="宋体"/>
          <w:bCs/>
          <w:color w:val="auto"/>
          <w:kern w:val="0"/>
          <w:sz w:val="24"/>
          <w:lang w:val="zh-CN"/>
        </w:rPr>
        <w:t>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地点：</w:t>
      </w:r>
      <w:r>
        <w:rPr>
          <w:rFonts w:hint="eastAsia" w:ascii="宋体" w:hAnsi="宋体"/>
          <w:color w:val="auto"/>
          <w:kern w:val="0"/>
          <w:sz w:val="24"/>
        </w:rPr>
        <w:t>通过政采云投标客户端递交响应文件</w:t>
      </w:r>
      <w:r>
        <w:rPr>
          <w:rFonts w:hint="eastAsia" w:ascii="宋体" w:hAnsi="宋体" w:eastAsia="宋体" w:cs="宋体"/>
          <w:bCs/>
          <w:color w:val="auto"/>
          <w:kern w:val="0"/>
          <w:sz w:val="24"/>
          <w:lang w:val="zh-CN"/>
        </w:rPr>
        <w:t>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五、响应文件开启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开启时间：</w:t>
      </w:r>
      <w:r>
        <w:rPr>
          <w:rFonts w:hint="eastAsia" w:ascii="宋体" w:hAnsi="宋体"/>
          <w:color w:val="auto"/>
          <w:kern w:val="0"/>
          <w:sz w:val="24"/>
          <w:lang w:eastAsia="zh-CN"/>
        </w:rPr>
        <w:t>2024年</w:t>
      </w:r>
      <w:r>
        <w:rPr>
          <w:rFonts w:hint="eastAsia" w:ascii="宋体" w:hAnsi="宋体"/>
          <w:color w:val="auto"/>
          <w:kern w:val="0"/>
          <w:sz w:val="24"/>
          <w:lang w:val="en-US" w:eastAsia="zh-CN"/>
        </w:rPr>
        <w:t>07</w:t>
      </w:r>
      <w:r>
        <w:rPr>
          <w:rFonts w:hint="eastAsia" w:ascii="宋体" w:hAnsi="宋体"/>
          <w:color w:val="auto"/>
          <w:kern w:val="0"/>
          <w:sz w:val="24"/>
        </w:rPr>
        <w:t>月</w:t>
      </w:r>
      <w:r>
        <w:rPr>
          <w:rFonts w:hint="eastAsia" w:ascii="宋体" w:hAnsi="宋体"/>
          <w:color w:val="auto"/>
          <w:kern w:val="0"/>
          <w:sz w:val="24"/>
          <w:lang w:val="en-US" w:eastAsia="zh-CN"/>
        </w:rPr>
        <w:t>01</w:t>
      </w:r>
      <w:r>
        <w:rPr>
          <w:rFonts w:hint="eastAsia" w:ascii="宋体" w:hAnsi="宋体"/>
          <w:color w:val="auto"/>
          <w:kern w:val="0"/>
          <w:sz w:val="24"/>
        </w:rPr>
        <w:t>日</w:t>
      </w:r>
      <w:r>
        <w:rPr>
          <w:rFonts w:hint="eastAsia" w:ascii="宋体" w:hAnsi="宋体"/>
          <w:color w:val="auto"/>
          <w:kern w:val="0"/>
          <w:sz w:val="24"/>
          <w:lang w:val="en-US" w:eastAsia="zh-CN"/>
        </w:rPr>
        <w:t>14</w:t>
      </w:r>
      <w:r>
        <w:rPr>
          <w:rFonts w:hint="eastAsia" w:ascii="宋体" w:hAnsi="宋体"/>
          <w:color w:val="auto"/>
          <w:kern w:val="0"/>
          <w:sz w:val="24"/>
        </w:rPr>
        <w:t>:30（北京时间）</w:t>
      </w:r>
      <w:r>
        <w:rPr>
          <w:rFonts w:hint="eastAsia" w:ascii="宋体" w:hAnsi="宋体" w:eastAsia="宋体" w:cs="宋体"/>
          <w:bCs/>
          <w:color w:val="auto"/>
          <w:kern w:val="0"/>
          <w:sz w:val="24"/>
          <w:lang w:val="zh-CN"/>
        </w:rPr>
        <w:t>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地点：</w:t>
      </w:r>
      <w:r>
        <w:rPr>
          <w:rFonts w:hint="eastAsia" w:ascii="宋体" w:hAnsi="宋体"/>
          <w:color w:val="auto"/>
          <w:kern w:val="0"/>
          <w:sz w:val="24"/>
          <w:lang w:eastAsia="zh-CN"/>
        </w:rPr>
        <w:t>西宁市城西区盐湖巷6号10号楼（城西区总部经济大厦)16楼</w:t>
      </w:r>
      <w:r>
        <w:rPr>
          <w:rFonts w:hint="eastAsia" w:ascii="宋体" w:hAnsi="宋体"/>
          <w:color w:val="auto"/>
          <w:kern w:val="0"/>
          <w:sz w:val="24"/>
        </w:rPr>
        <w:t>青海国焱工程项目管理有限公司</w:t>
      </w:r>
      <w:r>
        <w:rPr>
          <w:rFonts w:hint="eastAsia" w:ascii="宋体" w:hAnsi="宋体" w:cs="宋体"/>
          <w:color w:val="auto"/>
          <w:sz w:val="24"/>
          <w:lang w:eastAsia="zh-CN"/>
        </w:rPr>
        <w:t>，</w:t>
      </w:r>
      <w:r>
        <w:rPr>
          <w:rFonts w:hint="eastAsia" w:ascii="宋体" w:hAnsi="宋体"/>
          <w:color w:val="auto"/>
          <w:kern w:val="0"/>
          <w:sz w:val="24"/>
        </w:rPr>
        <w:t>通过政采云投标客户端递交响应文件</w:t>
      </w:r>
      <w:r>
        <w:rPr>
          <w:rFonts w:hint="eastAsia" w:ascii="宋体" w:hAnsi="宋体" w:eastAsia="宋体" w:cs="宋体"/>
          <w:bCs/>
          <w:color w:val="auto"/>
          <w:kern w:val="0"/>
          <w:sz w:val="24"/>
          <w:lang w:val="zh-CN"/>
        </w:rPr>
        <w:t>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六、公告期限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自本公告发布之日起</w:t>
      </w:r>
      <w:r>
        <w:rPr>
          <w:rFonts w:hint="eastAsia" w:ascii="宋体" w:hAnsi="宋体" w:cs="宋体"/>
          <w:bCs/>
          <w:color w:val="auto"/>
          <w:kern w:val="0"/>
          <w:sz w:val="24"/>
          <w:lang w:val="en-US" w:eastAsia="zh-CN"/>
        </w:rPr>
        <w:t>5</w:t>
      </w:r>
      <w:r>
        <w:rPr>
          <w:rFonts w:hint="eastAsia" w:ascii="宋体" w:hAnsi="宋体" w:eastAsia="宋体" w:cs="宋体"/>
          <w:bCs/>
          <w:color w:val="auto"/>
          <w:kern w:val="0"/>
          <w:sz w:val="24"/>
          <w:lang w:val="zh-CN"/>
        </w:rPr>
        <w:t>个工作日。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七、其他补充事宜    </w:t>
      </w:r>
    </w:p>
    <w:p>
      <w:pPr>
        <w:pStyle w:val="91"/>
        <w:numPr>
          <w:ilvl w:val="0"/>
          <w:numId w:val="2"/>
        </w:numPr>
        <w:spacing w:line="360" w:lineRule="auto"/>
        <w:ind w:firstLineChars="0"/>
        <w:rPr>
          <w:rFonts w:ascii="宋体" w:hAnsi="宋体"/>
          <w:color w:val="auto"/>
          <w:kern w:val="0"/>
          <w:sz w:val="24"/>
        </w:rPr>
      </w:pPr>
      <w:r>
        <w:rPr>
          <w:rFonts w:hint="eastAsia" w:ascii="宋体" w:hAnsi="宋体" w:cs="宋体"/>
          <w:color w:val="auto"/>
          <w:kern w:val="0"/>
          <w:sz w:val="24"/>
        </w:rPr>
        <w:t>本公告发布于《青海政府采购网》、《青海项目信息网》同时发布（公告期限：公告内容以青海政府采购网发布的为准）</w:t>
      </w:r>
      <w:r>
        <w:rPr>
          <w:rFonts w:hint="eastAsia" w:ascii="宋体" w:hAnsi="宋体"/>
          <w:color w:val="auto"/>
          <w:kern w:val="0"/>
          <w:sz w:val="24"/>
        </w:rPr>
        <w:t>。</w:t>
      </w:r>
    </w:p>
    <w:p>
      <w:pPr>
        <w:pStyle w:val="91"/>
        <w:numPr>
          <w:ilvl w:val="0"/>
          <w:numId w:val="2"/>
        </w:numPr>
        <w:spacing w:line="360" w:lineRule="auto"/>
        <w:ind w:firstLineChars="0"/>
        <w:rPr>
          <w:rFonts w:ascii="宋体" w:hAnsi="宋体"/>
          <w:color w:val="auto"/>
          <w:kern w:val="0"/>
          <w:sz w:val="24"/>
        </w:rPr>
      </w:pPr>
      <w:r>
        <w:rPr>
          <w:rFonts w:hint="eastAsia" w:ascii="宋体" w:hAnsi="宋体"/>
          <w:color w:val="auto"/>
          <w:kern w:val="0"/>
          <w:sz w:val="24"/>
        </w:rPr>
        <w:t>本次招标采用线上提交投标文件的方式进行采购，投标文件必须在投标文件递交截止时间前上传平台。</w:t>
      </w:r>
    </w:p>
    <w:p>
      <w:pPr>
        <w:pStyle w:val="91"/>
        <w:numPr>
          <w:ilvl w:val="0"/>
          <w:numId w:val="2"/>
        </w:numPr>
        <w:spacing w:line="360" w:lineRule="auto"/>
        <w:ind w:firstLineChars="0"/>
        <w:rPr>
          <w:rFonts w:hint="eastAsia" w:ascii="宋体" w:hAnsi="宋体" w:eastAsia="宋体" w:cs="宋体"/>
          <w:bCs/>
          <w:color w:val="auto"/>
          <w:kern w:val="0"/>
          <w:sz w:val="24"/>
          <w:lang w:val="zh-CN"/>
        </w:rPr>
      </w:pPr>
      <w:r>
        <w:rPr>
          <w:rFonts w:ascii="宋体" w:hAnsi="宋体" w:cs="宋体"/>
          <w:color w:val="auto"/>
          <w:sz w:val="24"/>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color w:val="auto"/>
          <w:sz w:val="24"/>
        </w:rPr>
        <w:t>PC咨询网址（可及时反馈问题截图，让客服快速定位问题）:http://tseal.cn/k.html，</w:t>
      </w:r>
      <w:r>
        <w:rPr>
          <w:rFonts w:ascii="宋体" w:hAnsi="宋体" w:cs="宋体"/>
          <w:color w:val="auto"/>
          <w:sz w:val="24"/>
        </w:rPr>
        <w:t>联系电话（人工）：400-087-8198。</w:t>
      </w:r>
    </w:p>
    <w:p>
      <w:pPr>
        <w:pStyle w:val="91"/>
        <w:numPr>
          <w:ilvl w:val="0"/>
          <w:numId w:val="2"/>
        </w:numPr>
        <w:spacing w:line="360" w:lineRule="auto"/>
        <w:ind w:firstLineChars="0"/>
        <w:rPr>
          <w:rFonts w:hint="eastAsia" w:ascii="宋体" w:hAnsi="宋体" w:eastAsia="宋体" w:cs="宋体"/>
          <w:bCs/>
          <w:color w:val="auto"/>
          <w:kern w:val="0"/>
          <w:sz w:val="24"/>
          <w:lang w:val="zh-CN"/>
        </w:rPr>
      </w:pPr>
      <w:r>
        <w:rPr>
          <w:rFonts w:ascii="宋体" w:hAnsi="宋体" w:cs="宋体"/>
          <w:color w:val="auto"/>
          <w:sz w:val="24"/>
        </w:rPr>
        <w:t>磋商供应商解密和磋商报价时必须</w:t>
      </w:r>
      <w:r>
        <w:rPr>
          <w:rFonts w:hint="eastAsia" w:ascii="宋体" w:hAnsi="宋体" w:cs="宋体"/>
          <w:color w:val="auto"/>
          <w:sz w:val="24"/>
        </w:rPr>
        <w:t>由</w:t>
      </w:r>
      <w:r>
        <w:rPr>
          <w:rFonts w:ascii="宋体" w:hAnsi="宋体" w:cs="宋体"/>
          <w:color w:val="auto"/>
          <w:sz w:val="24"/>
        </w:rPr>
        <w:t>e签宝注册人办理，磋商供应商须在固定电脑设备前登陆等待解密和磋商报价，磋商供应商</w:t>
      </w:r>
      <w:r>
        <w:rPr>
          <w:rFonts w:hint="eastAsia" w:ascii="宋体" w:hAnsi="宋体" w:cs="宋体"/>
          <w:color w:val="auto"/>
          <w:sz w:val="24"/>
        </w:rPr>
        <w:t>须在规定的时间内完成，如超时，则视为无效投标</w:t>
      </w:r>
      <w:r>
        <w:rPr>
          <w:rFonts w:ascii="宋体" w:hAnsi="宋体" w:cs="宋体"/>
          <w:color w:val="auto"/>
          <w:sz w:val="24"/>
        </w:rPr>
        <w:t>。</w:t>
      </w:r>
      <w:r>
        <w:rPr>
          <w:rFonts w:hint="eastAsia" w:ascii="宋体" w:hAnsi="宋体" w:eastAsia="宋体" w:cs="宋体"/>
          <w:bCs/>
          <w:color w:val="auto"/>
          <w:kern w:val="0"/>
          <w:sz w:val="24"/>
          <w:lang w:val="zh-CN"/>
        </w:rPr>
        <w:t>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八、凡对本次招标提出询问，请按以下方式联系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1.采购人信息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名 称：</w:t>
      </w:r>
      <w:r>
        <w:rPr>
          <w:rFonts w:hint="eastAsia" w:ascii="宋体" w:hAnsi="宋体"/>
          <w:color w:val="auto"/>
          <w:kern w:val="0"/>
          <w:sz w:val="24"/>
          <w:lang w:eastAsia="zh-CN"/>
        </w:rPr>
        <w:t>海北藏族自治州第二人民医院</w:t>
      </w:r>
      <w:r>
        <w:rPr>
          <w:rFonts w:hint="eastAsia" w:ascii="宋体" w:hAnsi="宋体" w:eastAsia="宋体" w:cs="宋体"/>
          <w:bCs/>
          <w:color w:val="auto"/>
          <w:kern w:val="0"/>
          <w:sz w:val="24"/>
          <w:lang w:val="zh-CN"/>
        </w:rPr>
        <w:t>           </w:t>
      </w:r>
    </w:p>
    <w:p>
      <w:pPr>
        <w:pStyle w:val="51"/>
        <w:spacing w:line="360" w:lineRule="auto"/>
        <w:rPr>
          <w:rFonts w:hint="eastAsia" w:ascii="宋体" w:hAnsi="宋体" w:eastAsia="宋体" w:cs="宋体"/>
          <w:bCs/>
          <w:color w:val="auto"/>
          <w:kern w:val="0"/>
          <w:sz w:val="24"/>
          <w:lang w:val="zh-CN" w:eastAsia="zh-CN"/>
        </w:rPr>
      </w:pPr>
      <w:r>
        <w:rPr>
          <w:rFonts w:hint="eastAsia" w:ascii="宋体" w:hAnsi="宋体" w:eastAsia="宋体" w:cs="宋体"/>
          <w:bCs/>
          <w:color w:val="auto"/>
          <w:kern w:val="0"/>
          <w:sz w:val="24"/>
          <w:lang w:val="zh-CN"/>
        </w:rPr>
        <w:t>地    址：</w:t>
      </w:r>
      <w:r>
        <w:rPr>
          <w:rFonts w:hint="eastAsia" w:ascii="宋体" w:hAnsi="宋体" w:eastAsia="宋体" w:cs="宋体"/>
          <w:bCs/>
          <w:color w:val="auto"/>
          <w:kern w:val="0"/>
          <w:sz w:val="24"/>
          <w:lang w:val="zh-CN" w:eastAsia="zh-CN"/>
        </w:rPr>
        <w:t>门源县浩门镇海北州第二人民医院南环路9号</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联 系 人：</w:t>
      </w:r>
      <w:r>
        <w:rPr>
          <w:rFonts w:hint="eastAsia" w:ascii="宋体" w:hAnsi="宋体" w:eastAsia="宋体" w:cs="宋体"/>
          <w:bCs/>
          <w:color w:val="auto"/>
          <w:kern w:val="0"/>
          <w:sz w:val="24"/>
          <w:lang w:val="zh-CN" w:eastAsia="zh-CN"/>
        </w:rPr>
        <w:t>任</w:t>
      </w:r>
      <w:r>
        <w:rPr>
          <w:rFonts w:hint="eastAsia" w:ascii="宋体" w:hAnsi="宋体" w:eastAsia="宋体" w:cs="宋体"/>
          <w:bCs/>
          <w:color w:val="auto"/>
          <w:kern w:val="0"/>
          <w:sz w:val="24"/>
          <w:lang w:val="zh-CN"/>
        </w:rPr>
        <w:t>先生</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联系方式：</w:t>
      </w:r>
      <w:r>
        <w:rPr>
          <w:rFonts w:hint="eastAsia" w:ascii="宋体" w:hAnsi="宋体" w:eastAsia="宋体" w:cs="宋体"/>
          <w:bCs/>
          <w:color w:val="auto"/>
          <w:kern w:val="0"/>
          <w:sz w:val="24"/>
          <w:lang w:val="zh-CN" w:eastAsia="zh-CN"/>
        </w:rPr>
        <w:t>0970-8612027</w:t>
      </w:r>
      <w:r>
        <w:rPr>
          <w:rFonts w:hint="eastAsia" w:ascii="宋体" w:hAnsi="宋体" w:eastAsia="宋体" w:cs="宋体"/>
          <w:bCs/>
          <w:color w:val="auto"/>
          <w:kern w:val="0"/>
          <w:sz w:val="24"/>
          <w:lang w:val="zh-CN"/>
        </w:rPr>
        <w:t>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2.采购代理机构信息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名 称：</w:t>
      </w:r>
      <w:r>
        <w:rPr>
          <w:rFonts w:hint="eastAsia" w:ascii="宋体" w:hAnsi="宋体"/>
          <w:color w:val="auto"/>
          <w:kern w:val="0"/>
          <w:sz w:val="24"/>
        </w:rPr>
        <w:t>青海国焱工程项目管理有限公司</w:t>
      </w:r>
      <w:r>
        <w:rPr>
          <w:rFonts w:hint="eastAsia" w:ascii="宋体" w:hAnsi="宋体" w:eastAsia="宋体" w:cs="宋体"/>
          <w:bCs/>
          <w:color w:val="auto"/>
          <w:kern w:val="0"/>
          <w:sz w:val="24"/>
          <w:lang w:val="zh-CN"/>
        </w:rPr>
        <w:t>         </w:t>
      </w:r>
    </w:p>
    <w:p>
      <w:pPr>
        <w:pStyle w:val="51"/>
        <w:spacing w:line="360" w:lineRule="auto"/>
        <w:jc w:val="left"/>
        <w:rPr>
          <w:rFonts w:hint="eastAsia" w:ascii="宋体" w:hAnsi="宋体" w:eastAsia="宋体"/>
          <w:color w:val="auto"/>
          <w:kern w:val="0"/>
          <w:sz w:val="24"/>
          <w:lang w:eastAsia="zh-CN"/>
        </w:rPr>
      </w:pPr>
      <w:r>
        <w:rPr>
          <w:rFonts w:hint="eastAsia" w:ascii="宋体" w:hAnsi="宋体" w:eastAsia="宋体" w:cs="宋体"/>
          <w:bCs/>
          <w:color w:val="auto"/>
          <w:kern w:val="0"/>
          <w:sz w:val="24"/>
          <w:lang w:val="zh-CN"/>
        </w:rPr>
        <w:t>地 址：</w:t>
      </w:r>
      <w:r>
        <w:rPr>
          <w:rFonts w:hint="eastAsia" w:ascii="宋体" w:hAnsi="宋体"/>
          <w:color w:val="auto"/>
          <w:kern w:val="0"/>
          <w:sz w:val="24"/>
          <w:lang w:eastAsia="zh-CN"/>
        </w:rPr>
        <w:t>西宁市城西区盐湖巷6号10号楼（城西区总部经济大厦)16楼</w:t>
      </w:r>
    </w:p>
    <w:p>
      <w:pPr>
        <w:pStyle w:val="51"/>
        <w:spacing w:line="360" w:lineRule="auto"/>
        <w:jc w:val="left"/>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联系方式：</w:t>
      </w:r>
      <w:r>
        <w:rPr>
          <w:rFonts w:hint="eastAsia" w:ascii="宋体" w:hAnsi="宋体"/>
          <w:color w:val="auto"/>
          <w:kern w:val="0"/>
          <w:sz w:val="24"/>
        </w:rPr>
        <w:t>0971-8456071</w:t>
      </w:r>
      <w:r>
        <w:rPr>
          <w:rFonts w:hint="eastAsia" w:ascii="宋体" w:hAnsi="宋体" w:eastAsia="宋体" w:cs="宋体"/>
          <w:bCs/>
          <w:color w:val="auto"/>
          <w:kern w:val="0"/>
          <w:sz w:val="24"/>
          <w:lang w:val="zh-CN"/>
        </w:rPr>
        <w:t>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3.项目联系方式    </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项目联系人：</w:t>
      </w:r>
      <w:r>
        <w:rPr>
          <w:rFonts w:hint="eastAsia" w:ascii="宋体" w:hAnsi="宋体"/>
          <w:color w:val="auto"/>
          <w:kern w:val="0"/>
          <w:sz w:val="24"/>
          <w:lang w:val="en-US" w:eastAsia="zh-CN"/>
        </w:rPr>
        <w:t>张</w:t>
      </w:r>
      <w:r>
        <w:rPr>
          <w:rFonts w:hint="eastAsia" w:ascii="宋体" w:hAnsi="宋体"/>
          <w:color w:val="auto"/>
          <w:kern w:val="0"/>
          <w:sz w:val="24"/>
        </w:rPr>
        <w:t>女士</w:t>
      </w:r>
      <w:r>
        <w:rPr>
          <w:rFonts w:hint="eastAsia" w:ascii="宋体" w:hAnsi="宋体" w:eastAsia="宋体" w:cs="宋体"/>
          <w:bCs/>
          <w:color w:val="auto"/>
          <w:kern w:val="0"/>
          <w:sz w:val="24"/>
          <w:lang w:val="zh-CN"/>
        </w:rPr>
        <w:t>   </w:t>
      </w:r>
    </w:p>
    <w:p>
      <w:pPr>
        <w:adjustRightInd w:val="0"/>
        <w:spacing w:line="360" w:lineRule="auto"/>
        <w:jc w:val="left"/>
        <w:textAlignment w:val="baseline"/>
        <w:outlineLvl w:val="0"/>
        <w:rPr>
          <w:rFonts w:ascii="宋体" w:hAnsi="宋体"/>
          <w:color w:val="auto"/>
          <w:sz w:val="24"/>
        </w:rPr>
      </w:pPr>
      <w:r>
        <w:rPr>
          <w:rFonts w:hint="eastAsia" w:ascii="宋体" w:hAnsi="宋体" w:eastAsia="宋体" w:cs="宋体"/>
          <w:bCs/>
          <w:color w:val="auto"/>
          <w:kern w:val="0"/>
          <w:sz w:val="24"/>
          <w:lang w:val="zh-CN"/>
        </w:rPr>
        <w:t>电 话：</w:t>
      </w:r>
      <w:r>
        <w:rPr>
          <w:rFonts w:hint="eastAsia" w:ascii="宋体" w:hAnsi="宋体"/>
          <w:color w:val="auto"/>
          <w:kern w:val="0"/>
          <w:sz w:val="24"/>
        </w:rPr>
        <w:t>0971-8456071</w:t>
      </w:r>
      <w:r>
        <w:rPr>
          <w:rFonts w:hint="eastAsia" w:ascii="宋体" w:hAnsi="宋体" w:eastAsia="宋体" w:cs="宋体"/>
          <w:bCs/>
          <w:color w:val="auto"/>
          <w:kern w:val="0"/>
          <w:sz w:val="24"/>
          <w:lang w:val="zh-CN"/>
        </w:rPr>
        <w:t> </w:t>
      </w:r>
    </w:p>
    <w:p>
      <w:pPr>
        <w:rPr>
          <w:rFonts w:ascii="宋体" w:hAnsi="宋体"/>
          <w:color w:val="auto"/>
          <w:sz w:val="24"/>
        </w:rPr>
      </w:pPr>
      <w:r>
        <w:rPr>
          <w:rFonts w:ascii="宋体" w:hAnsi="宋体"/>
          <w:color w:val="auto"/>
          <w:sz w:val="24"/>
        </w:rPr>
        <w:br w:type="page"/>
      </w:r>
    </w:p>
    <w:p>
      <w:pPr>
        <w:pStyle w:val="22"/>
        <w:rPr>
          <w:color w:val="auto"/>
          <w:sz w:val="48"/>
          <w:szCs w:val="48"/>
        </w:rPr>
      </w:pPr>
      <w:bookmarkStart w:id="4" w:name="_Toc444715733"/>
      <w:bookmarkStart w:id="5" w:name="_Toc109133080"/>
      <w:r>
        <w:rPr>
          <w:rFonts w:hint="eastAsia"/>
          <w:color w:val="auto"/>
          <w:sz w:val="48"/>
          <w:szCs w:val="48"/>
        </w:rPr>
        <w:t>第二部分  磋商供应商须知前附表</w:t>
      </w:r>
      <w:bookmarkEnd w:id="4"/>
      <w:bookmarkEnd w:id="5"/>
    </w:p>
    <w:tbl>
      <w:tblPr>
        <w:tblStyle w:val="32"/>
        <w:tblW w:w="10433" w:type="dxa"/>
        <w:jc w:val="center"/>
        <w:tblLayout w:type="fixed"/>
        <w:tblCellMar>
          <w:top w:w="0" w:type="dxa"/>
          <w:left w:w="57" w:type="dxa"/>
          <w:bottom w:w="0" w:type="dxa"/>
          <w:right w:w="57" w:type="dxa"/>
        </w:tblCellMar>
      </w:tblPr>
      <w:tblGrid>
        <w:gridCol w:w="653"/>
        <w:gridCol w:w="2098"/>
        <w:gridCol w:w="768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宋体"/>
                <w:color w:val="auto"/>
                <w:kern w:val="0"/>
                <w:sz w:val="24"/>
                <w:lang w:val="zh-CN"/>
              </w:rPr>
            </w:pPr>
            <w:r>
              <w:rPr>
                <w:rFonts w:hint="eastAsia" w:ascii="宋体" w:hAnsi="宋体" w:cs="宋体"/>
                <w:bCs/>
                <w:color w:val="auto"/>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宋体"/>
                <w:color w:val="auto"/>
                <w:kern w:val="0"/>
                <w:sz w:val="24"/>
                <w:lang w:val="zh-CN"/>
              </w:rPr>
            </w:pPr>
            <w:r>
              <w:rPr>
                <w:rFonts w:hint="eastAsia" w:ascii="宋体" w:hAnsi="宋体" w:cs="宋体"/>
                <w:bCs/>
                <w:color w:val="auto"/>
                <w:kern w:val="0"/>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sz w:val="24"/>
                <w:lang w:val="zh-CN"/>
              </w:rPr>
              <w:t>海北州第二人民医院医疗服务能力提升(口腔)专科建设项目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青海国焱竞磋（货物）2024-183号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海北藏族自治州第二人民医院</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青海国焱工程项目管理有限公司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hint="eastAsia" w:ascii="宋体" w:hAnsi="宋体" w:eastAsia="宋体" w:cs="宋体"/>
                <w:color w:val="auto"/>
                <w:kern w:val="0"/>
                <w:sz w:val="24"/>
                <w:lang w:val="zh-CN" w:eastAsia="zh-CN"/>
              </w:rPr>
            </w:pPr>
            <w:r>
              <w:rPr>
                <w:rFonts w:hint="eastAsia" w:ascii="宋体" w:hAnsi="宋体" w:cs="宋体"/>
                <w:color w:val="auto"/>
                <w:sz w:val="24"/>
                <w:lang w:eastAsia="zh-CN"/>
              </w:rPr>
              <w:t>人民币</w:t>
            </w:r>
            <w:r>
              <w:rPr>
                <w:rFonts w:hint="eastAsia" w:ascii="宋体" w:hAnsi="宋体" w:cs="宋体"/>
                <w:color w:val="auto"/>
                <w:sz w:val="24"/>
                <w:lang w:val="en-US" w:eastAsia="zh-CN"/>
              </w:rPr>
              <w:t>104.873</w:t>
            </w:r>
            <w:r>
              <w:rPr>
                <w:rFonts w:hint="eastAsia" w:ascii="宋体" w:hAnsi="宋体" w:cs="宋体"/>
                <w:color w:val="auto"/>
                <w:sz w:val="24"/>
                <w:lang w:eastAsia="zh-CN"/>
              </w:rPr>
              <w:t>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宋体"/>
                <w:color w:val="auto"/>
                <w:kern w:val="0"/>
                <w:sz w:val="24"/>
                <w:lang w:val="zh-CN"/>
              </w:rPr>
            </w:pPr>
            <w:r>
              <w:rPr>
                <w:rFonts w:hint="eastAsia" w:ascii="宋体" w:hAnsi="宋体"/>
                <w:color w:val="auto"/>
                <w:kern w:val="0"/>
                <w:sz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详见磋商文件“第六部分 采购项目要求及技术参数”</w:t>
            </w:r>
          </w:p>
        </w:tc>
      </w:tr>
      <w:tr>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color w:val="auto"/>
                <w:sz w:val="24"/>
              </w:rPr>
              <w:t>磋商供应商</w:t>
            </w:r>
            <w:r>
              <w:rPr>
                <w:rFonts w:hint="eastAsia" w:ascii="宋体" w:hAnsi="宋体" w:cs="宋体"/>
                <w:bCs/>
                <w:color w:val="auto"/>
                <w:kern w:val="0"/>
                <w:sz w:val="24"/>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1、符合《政府采购法》第22条条件，并提供下列材料：</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&lt;1&gt;投标人的营业执照等证明文件，自然人的身份证明。</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&lt;2&gt;财务状况报告，依法缴纳税收和社会保障资金的相关材料。</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&lt;3&gt;具备履行合同所必需的设备和专业技术能力的证明材料。</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&lt;4&gt;参加政府采购活动前3年内在经营活动中没有重大违法记录的书面声明。</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&lt;5&gt;具备法律、行政法规规定的其他条件的证明材料。</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2、经信用中国（www.creditchina.gov.cn）、中国政府采购网（www.ccgp.gov.cn）等渠道查询后，列入失信被执行人或重大税收违法案件当事人名单或政府采购严重违法失信行为记录名单的，取消投标资格。（提供网站的查询截图）；</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3、单位负责人为同一人或者存在直接控股、管理关系的不同投标人，不得参加同一合同项下的政府采购活动。否则，皆取消投标资格；</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4、为本采购项目提供整体设计、规范编制或者项目管理、监理、检测等服务的投标人，不得再参加该采购项目的其他采购活动；</w:t>
            </w:r>
          </w:p>
          <w:p>
            <w:pPr>
              <w:pStyle w:val="51"/>
              <w:spacing w:line="360" w:lineRule="auto"/>
              <w:rPr>
                <w:rFonts w:hint="eastAsia" w:ascii="宋体" w:hAnsi="宋体" w:eastAsia="宋体" w:cs="宋体"/>
                <w:bCs/>
                <w:color w:val="auto"/>
                <w:kern w:val="0"/>
                <w:sz w:val="24"/>
                <w:lang w:val="zh-CN"/>
              </w:rPr>
            </w:pPr>
            <w:r>
              <w:rPr>
                <w:rFonts w:hint="eastAsia" w:ascii="宋体" w:hAnsi="宋体" w:eastAsia="宋体" w:cs="宋体"/>
                <w:bCs/>
                <w:color w:val="auto"/>
                <w:kern w:val="0"/>
                <w:sz w:val="24"/>
                <w:lang w:val="zh-CN"/>
              </w:rPr>
              <w:t>5、本项目不接受投标人以联合体方式进行投标；</w:t>
            </w:r>
          </w:p>
          <w:p>
            <w:pPr>
              <w:pStyle w:val="51"/>
              <w:spacing w:line="360" w:lineRule="auto"/>
              <w:rPr>
                <w:rFonts w:ascii="宋体" w:hAnsi="宋体"/>
                <w:color w:val="auto"/>
                <w:kern w:val="0"/>
                <w:sz w:val="24"/>
              </w:rPr>
            </w:pPr>
            <w:r>
              <w:rPr>
                <w:rFonts w:hint="eastAsia" w:ascii="宋体" w:hAnsi="宋体" w:eastAsia="宋体" w:cs="宋体"/>
                <w:bCs/>
                <w:color w:val="auto"/>
                <w:kern w:val="0"/>
                <w:sz w:val="24"/>
                <w:lang w:val="zh-CN"/>
              </w:rPr>
              <w:t>6、本次采购要求投标人为生产商的，须具备有效的医疗器械生产许可证和所投产品的医疗器械注册证；投标人为代理商的，具备有效的医疗器械经营许可证及所投产品的医疗器械注册证；</w:t>
            </w:r>
          </w:p>
        </w:tc>
      </w:tr>
      <w:tr>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rPr>
            </w:pPr>
          </w:p>
        </w:tc>
        <w:tc>
          <w:tcPr>
            <w:tcW w:w="2098" w:type="dxa"/>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磋商保证金</w:t>
            </w:r>
          </w:p>
        </w:tc>
        <w:tc>
          <w:tcPr>
            <w:tcW w:w="7682" w:type="dxa"/>
            <w:tcBorders>
              <w:top w:val="single" w:color="000000" w:sz="6" w:space="0"/>
              <w:left w:val="single" w:color="000000" w:sz="6" w:space="0"/>
              <w:right w:val="single" w:color="000000" w:sz="6" w:space="0"/>
            </w:tcBorders>
            <w:shd w:val="clear" w:color="000000" w:fill="FFFFFF"/>
          </w:tcPr>
          <w:p>
            <w:pPr>
              <w:pStyle w:val="51"/>
              <w:spacing w:line="360" w:lineRule="auto"/>
              <w:rPr>
                <w:rFonts w:ascii="宋体" w:hAnsi="宋体" w:cs="宋体"/>
                <w:bCs/>
                <w:color w:val="auto"/>
                <w:kern w:val="0"/>
                <w:sz w:val="24"/>
                <w:lang w:val="zh-CN"/>
              </w:rPr>
            </w:pPr>
            <w:bookmarkStart w:id="6" w:name="_Toc421873478"/>
            <w:bookmarkStart w:id="7" w:name="_Toc435176391"/>
            <w:bookmarkStart w:id="8" w:name="_Toc435175539"/>
            <w:bookmarkStart w:id="9" w:name="_Toc444762753"/>
            <w:r>
              <w:rPr>
                <w:rFonts w:ascii="宋体" w:hAnsi="宋体" w:cs="宋体"/>
                <w:bCs/>
                <w:color w:val="auto"/>
                <w:kern w:val="0"/>
                <w:sz w:val="24"/>
                <w:lang w:val="zh-CN"/>
              </w:rPr>
              <w:t>各磋商供应商须在磋商响应文件递交截止时间前，缴纳磋商保证金（</w:t>
            </w:r>
            <w:r>
              <w:rPr>
                <w:rFonts w:hint="eastAsia" w:ascii="宋体" w:hAnsi="宋体" w:cs="宋体"/>
                <w:bCs/>
                <w:color w:val="auto"/>
                <w:kern w:val="0"/>
                <w:sz w:val="24"/>
                <w:lang w:val="zh-CN"/>
              </w:rPr>
              <w:t>磋商</w:t>
            </w:r>
            <w:r>
              <w:rPr>
                <w:rFonts w:ascii="宋体" w:hAnsi="宋体" w:cs="宋体"/>
                <w:bCs/>
                <w:color w:val="auto"/>
                <w:kern w:val="0"/>
                <w:sz w:val="24"/>
                <w:lang w:val="zh-CN"/>
              </w:rPr>
              <w:t>保证金应当从其基本账户汇出</w:t>
            </w:r>
            <w:bookmarkEnd w:id="6"/>
            <w:r>
              <w:rPr>
                <w:rFonts w:ascii="宋体" w:hAnsi="宋体" w:cs="宋体"/>
                <w:bCs/>
                <w:color w:val="auto"/>
                <w:kern w:val="0"/>
                <w:sz w:val="24"/>
                <w:lang w:val="zh-CN"/>
              </w:rPr>
              <w:t>，磋商响应文件中须附</w:t>
            </w:r>
            <w:r>
              <w:rPr>
                <w:rFonts w:hint="eastAsia" w:ascii="宋体" w:hAnsi="宋体" w:cs="宋体"/>
                <w:bCs/>
                <w:color w:val="auto"/>
                <w:kern w:val="0"/>
                <w:sz w:val="24"/>
                <w:lang w:val="zh-CN"/>
              </w:rPr>
              <w:t>企业</w:t>
            </w:r>
            <w:r>
              <w:rPr>
                <w:rFonts w:ascii="宋体" w:hAnsi="宋体" w:cs="宋体"/>
                <w:bCs/>
                <w:color w:val="auto"/>
                <w:kern w:val="0"/>
                <w:sz w:val="24"/>
                <w:lang w:val="zh-CN"/>
              </w:rPr>
              <w:t>基本账户开户许可证并加盖磋商企业公章）</w:t>
            </w:r>
            <w:bookmarkEnd w:id="7"/>
            <w:bookmarkEnd w:id="8"/>
            <w:bookmarkEnd w:id="9"/>
          </w:p>
          <w:p>
            <w:pPr>
              <w:pStyle w:val="51"/>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磋商</w:t>
            </w:r>
            <w:r>
              <w:rPr>
                <w:rFonts w:ascii="宋体" w:hAnsi="宋体" w:cs="宋体"/>
                <w:bCs/>
                <w:color w:val="auto"/>
                <w:kern w:val="0"/>
                <w:sz w:val="24"/>
                <w:lang w:val="zh-CN"/>
              </w:rPr>
              <w:t>保证金金额：</w:t>
            </w:r>
          </w:p>
          <w:p>
            <w:pPr>
              <w:pStyle w:val="51"/>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小写：￥</w:t>
            </w:r>
            <w:r>
              <w:rPr>
                <w:rFonts w:hint="eastAsia" w:ascii="宋体" w:hAnsi="宋体" w:cs="宋体"/>
                <w:bCs/>
                <w:color w:val="auto"/>
                <w:kern w:val="0"/>
                <w:sz w:val="24"/>
                <w:lang w:val="en-US" w:eastAsia="zh-CN"/>
              </w:rPr>
              <w:t>20</w:t>
            </w:r>
            <w:r>
              <w:rPr>
                <w:rFonts w:hint="eastAsia" w:ascii="宋体" w:hAnsi="宋体" w:cs="宋体"/>
                <w:bCs/>
                <w:color w:val="auto"/>
                <w:kern w:val="0"/>
                <w:sz w:val="24"/>
                <w:lang w:val="zh-CN"/>
              </w:rPr>
              <w:t>,</w:t>
            </w:r>
            <w:r>
              <w:rPr>
                <w:rFonts w:hint="eastAsia" w:ascii="宋体" w:hAnsi="宋体" w:cs="宋体"/>
                <w:bCs/>
                <w:color w:val="auto"/>
                <w:kern w:val="0"/>
                <w:sz w:val="24"/>
                <w:lang w:val="en-US" w:eastAsia="zh-CN"/>
              </w:rPr>
              <w:t>0</w:t>
            </w:r>
            <w:r>
              <w:rPr>
                <w:rFonts w:hint="eastAsia" w:ascii="宋体" w:hAnsi="宋体" w:cs="宋体"/>
                <w:bCs/>
                <w:color w:val="auto"/>
                <w:kern w:val="0"/>
                <w:sz w:val="24"/>
                <w:lang w:val="zh-CN"/>
              </w:rPr>
              <w:t>00.00元整；大写：</w:t>
            </w:r>
            <w:r>
              <w:rPr>
                <w:rFonts w:hint="eastAsia" w:ascii="宋体" w:hAnsi="宋体" w:cs="宋体"/>
                <w:bCs/>
                <w:color w:val="auto"/>
                <w:kern w:val="0"/>
                <w:sz w:val="24"/>
                <w:lang w:val="en-US" w:eastAsia="zh-CN"/>
              </w:rPr>
              <w:t>贰万</w:t>
            </w:r>
            <w:r>
              <w:rPr>
                <w:rFonts w:hint="eastAsia" w:ascii="宋体" w:hAnsi="宋体" w:cs="宋体"/>
                <w:bCs/>
                <w:color w:val="auto"/>
                <w:kern w:val="0"/>
                <w:sz w:val="24"/>
                <w:lang w:val="zh-CN"/>
              </w:rPr>
              <w:t>元整；</w:t>
            </w:r>
          </w:p>
          <w:p>
            <w:pPr>
              <w:pStyle w:val="51"/>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收款单位：青海国焱工程项目管理有限公司</w:t>
            </w:r>
          </w:p>
          <w:p>
            <w:pPr>
              <w:pStyle w:val="51"/>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开 户 行：中国工商银行股份有限公司西宁五四大街支行</w:t>
            </w:r>
          </w:p>
          <w:p>
            <w:pPr>
              <w:pStyle w:val="51"/>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银行账号：2806001309000043259</w:t>
            </w:r>
            <w:r>
              <w:rPr>
                <w:rFonts w:hint="eastAsia" w:ascii="宋体" w:hAnsi="宋体" w:cs="宋体"/>
                <w:color w:val="auto"/>
                <w:kern w:val="0"/>
                <w:sz w:val="24"/>
                <w:lang w:val="zh-CN"/>
              </w:rPr>
              <w:t>（开户行号：102851000139）</w:t>
            </w:r>
          </w:p>
          <w:p>
            <w:pPr>
              <w:pStyle w:val="51"/>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缴纳时间：磋商供应商在磋商截止期前，以银行到账时间为准。</w:t>
            </w:r>
          </w:p>
          <w:p>
            <w:pPr>
              <w:pStyle w:val="51"/>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（1）不接受个人名义或现金形式递交的磋商保证金，磋商供应商应单独提交磋商保证金，磋商保证金须从企业基本账户中支付，磋商文件中须附企业开户许可证；</w:t>
            </w:r>
          </w:p>
          <w:p>
            <w:pPr>
              <w:pStyle w:val="51"/>
              <w:spacing w:line="360" w:lineRule="auto"/>
              <w:rPr>
                <w:rFonts w:ascii="宋体" w:hAnsi="宋体" w:cs="宋体"/>
                <w:color w:val="auto"/>
                <w:kern w:val="0"/>
                <w:sz w:val="24"/>
                <w:lang w:val="zh-CN"/>
              </w:rPr>
            </w:pPr>
            <w:r>
              <w:rPr>
                <w:rFonts w:hint="eastAsia" w:ascii="宋体" w:hAnsi="宋体" w:cs="宋体"/>
                <w:bCs/>
                <w:color w:val="auto"/>
                <w:kern w:val="0"/>
                <w:sz w:val="24"/>
                <w:lang w:val="zh-CN"/>
              </w:rPr>
              <w:t>（2）磋商保证金有效期与磋商有效期一致。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olor w:val="auto"/>
                <w:kern w:val="0"/>
                <w:sz w:val="24"/>
              </w:rPr>
              <w:t>磋商</w:t>
            </w:r>
            <w:r>
              <w:rPr>
                <w:rFonts w:hint="eastAsia" w:ascii="宋体" w:hAnsi="宋体" w:cs="宋体"/>
                <w:bCs/>
                <w:color w:val="auto"/>
                <w:kern w:val="0"/>
                <w:sz w:val="24"/>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olor w:val="auto"/>
                <w:kern w:val="0"/>
                <w:sz w:val="24"/>
              </w:rPr>
              <w:t>磋商</w:t>
            </w:r>
            <w:r>
              <w:rPr>
                <w:rFonts w:hint="eastAsia" w:ascii="宋体" w:hAnsi="宋体" w:cs="宋体"/>
                <w:color w:val="auto"/>
                <w:kern w:val="0"/>
                <w:sz w:val="24"/>
                <w:lang w:val="zh-CN"/>
              </w:rPr>
              <w:t>保证金应当以电汇、支票、汇票、本票或者金融机构、担保机构出具的保函等非现金形式提交。通过银行转账的，必须由磋商供应商从其基本账户（需提供开户许可证）汇（转）入本须知附表中第1</w:t>
            </w:r>
            <w:r>
              <w:rPr>
                <w:rFonts w:ascii="宋体" w:hAnsi="宋体" w:cs="宋体"/>
                <w:color w:val="auto"/>
                <w:kern w:val="0"/>
                <w:sz w:val="24"/>
                <w:lang w:val="zh-CN"/>
              </w:rPr>
              <w:t>1</w:t>
            </w:r>
            <w:r>
              <w:rPr>
                <w:rFonts w:hint="eastAsia" w:ascii="宋体" w:hAnsi="宋体" w:cs="宋体"/>
                <w:color w:val="auto"/>
                <w:kern w:val="0"/>
                <w:sz w:val="24"/>
                <w:lang w:val="zh-CN"/>
              </w:rPr>
              <w:t>条指定的账户。</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磋商供应商未按照磋商文件要求提交</w:t>
            </w:r>
            <w:r>
              <w:rPr>
                <w:rFonts w:hint="eastAsia" w:ascii="宋体" w:hAnsi="宋体"/>
                <w:color w:val="auto"/>
                <w:kern w:val="0"/>
                <w:sz w:val="24"/>
              </w:rPr>
              <w:t>磋商</w:t>
            </w:r>
            <w:r>
              <w:rPr>
                <w:rFonts w:hint="eastAsia" w:ascii="宋体" w:hAnsi="宋体" w:cs="宋体"/>
                <w:color w:val="auto"/>
                <w:kern w:val="0"/>
                <w:sz w:val="24"/>
                <w:lang w:val="zh-CN"/>
              </w:rPr>
              <w:t>保证金的，磋商无效。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olor w:val="auto"/>
                <w:kern w:val="0"/>
                <w:sz w:val="24"/>
              </w:rPr>
              <w:t>磋商</w:t>
            </w:r>
            <w:r>
              <w:rPr>
                <w:rFonts w:hint="eastAsia" w:ascii="宋体" w:hAnsi="宋体" w:cs="宋体"/>
                <w:bCs/>
                <w:color w:val="auto"/>
                <w:kern w:val="0"/>
                <w:sz w:val="24"/>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宋体" w:hAnsi="宋体" w:cs="宋体"/>
                <w:color w:val="auto"/>
                <w:kern w:val="0"/>
                <w:sz w:val="24"/>
                <w:lang w:val="zh-CN"/>
              </w:rPr>
            </w:pPr>
            <w:r>
              <w:rPr>
                <w:rFonts w:hint="eastAsia" w:ascii="宋体" w:hAnsi="宋体" w:cs="宋体"/>
                <w:color w:val="auto"/>
                <w:kern w:val="0"/>
                <w:sz w:val="24"/>
                <w:lang w:val="zh-CN"/>
              </w:rPr>
              <w:t>未成交磋商供应商的</w:t>
            </w:r>
            <w:r>
              <w:rPr>
                <w:rFonts w:hint="eastAsia" w:ascii="宋体" w:hAnsi="宋体"/>
                <w:color w:val="auto"/>
                <w:kern w:val="0"/>
                <w:sz w:val="24"/>
              </w:rPr>
              <w:t>磋商</w:t>
            </w:r>
            <w:r>
              <w:rPr>
                <w:rFonts w:hint="eastAsia" w:ascii="宋体" w:hAnsi="宋体" w:cs="宋体"/>
                <w:color w:val="auto"/>
                <w:kern w:val="0"/>
                <w:sz w:val="24"/>
                <w:lang w:val="zh-CN"/>
              </w:rPr>
              <w:t>保证金自成交通知书发出之日起5个工作日内退还（不退现金）；成交磋商供应商的磋商保证金，自政府采购合同签订之日起5个工作日内退还（不退现金）。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olor w:val="auto"/>
                <w:kern w:val="0"/>
                <w:sz w:val="24"/>
              </w:rPr>
            </w:pPr>
            <w:r>
              <w:rPr>
                <w:rFonts w:hint="eastAsia" w:ascii="宋体" w:hAnsi="宋体" w:cs="宋体"/>
                <w:bCs/>
                <w:color w:val="auto"/>
                <w:kern w:val="0"/>
                <w:sz w:val="24"/>
                <w:lang w:val="zh-CN"/>
              </w:rPr>
              <w:t>递交磋商文件方式</w:t>
            </w:r>
          </w:p>
        </w:tc>
        <w:tc>
          <w:tcPr>
            <w:tcW w:w="7682"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hint="eastAsia" w:ascii="宋体" w:hAnsi="宋体"/>
                <w:color w:val="auto"/>
                <w:kern w:val="0"/>
                <w:sz w:val="24"/>
              </w:rPr>
              <w:t>通过政采云投标客户端递交响应文件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olor w:val="auto"/>
                <w:kern w:val="0"/>
                <w:sz w:val="24"/>
              </w:rPr>
              <w:t>磋商</w:t>
            </w:r>
            <w:r>
              <w:rPr>
                <w:rFonts w:hint="eastAsia" w:ascii="宋体" w:hAnsi="宋体" w:cs="宋体"/>
                <w:bCs/>
                <w:color w:val="auto"/>
                <w:kern w:val="0"/>
                <w:sz w:val="24"/>
                <w:lang w:val="zh-CN"/>
              </w:rPr>
              <w:t>截止时间</w:t>
            </w:r>
          </w:p>
        </w:tc>
        <w:tc>
          <w:tcPr>
            <w:tcW w:w="7682"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hint="eastAsia" w:ascii="宋体" w:hAnsi="宋体"/>
                <w:color w:val="auto"/>
                <w:kern w:val="0"/>
                <w:sz w:val="24"/>
                <w:lang w:eastAsia="zh-CN"/>
              </w:rPr>
              <w:t>2024年</w:t>
            </w:r>
            <w:r>
              <w:rPr>
                <w:rFonts w:hint="eastAsia" w:ascii="宋体" w:hAnsi="宋体"/>
                <w:color w:val="auto"/>
                <w:kern w:val="0"/>
                <w:sz w:val="24"/>
                <w:lang w:val="en-US" w:eastAsia="zh-CN"/>
              </w:rPr>
              <w:t>07</w:t>
            </w:r>
            <w:r>
              <w:rPr>
                <w:rFonts w:hint="eastAsia" w:ascii="宋体" w:hAnsi="宋体"/>
                <w:color w:val="auto"/>
                <w:kern w:val="0"/>
                <w:sz w:val="24"/>
              </w:rPr>
              <w:t>月</w:t>
            </w:r>
            <w:r>
              <w:rPr>
                <w:rFonts w:hint="eastAsia" w:ascii="宋体" w:hAnsi="宋体"/>
                <w:color w:val="auto"/>
                <w:kern w:val="0"/>
                <w:sz w:val="24"/>
                <w:lang w:val="en-US" w:eastAsia="zh-CN"/>
              </w:rPr>
              <w:t>01</w:t>
            </w:r>
            <w:r>
              <w:rPr>
                <w:rFonts w:hint="eastAsia" w:ascii="宋体" w:hAnsi="宋体"/>
                <w:color w:val="auto"/>
                <w:kern w:val="0"/>
                <w:sz w:val="24"/>
              </w:rPr>
              <w:t>日</w:t>
            </w:r>
            <w:r>
              <w:rPr>
                <w:rFonts w:hint="eastAsia" w:ascii="宋体" w:hAnsi="宋体"/>
                <w:color w:val="auto"/>
                <w:kern w:val="0"/>
                <w:sz w:val="24"/>
                <w:lang w:eastAsia="zh-CN"/>
              </w:rPr>
              <w:t>下</w:t>
            </w:r>
            <w:r>
              <w:rPr>
                <w:rFonts w:hint="eastAsia" w:ascii="宋体" w:hAnsi="宋体"/>
                <w:color w:val="auto"/>
                <w:kern w:val="0"/>
                <w:sz w:val="24"/>
              </w:rPr>
              <w:t>午</w:t>
            </w:r>
            <w:r>
              <w:rPr>
                <w:rFonts w:hint="eastAsia" w:ascii="宋体" w:hAnsi="宋体"/>
                <w:color w:val="auto"/>
                <w:kern w:val="0"/>
                <w:sz w:val="24"/>
                <w:lang w:val="en-US" w:eastAsia="zh-CN"/>
              </w:rPr>
              <w:t>14</w:t>
            </w:r>
            <w:r>
              <w:rPr>
                <w:rFonts w:hint="eastAsia" w:ascii="宋体" w:hAnsi="宋体"/>
                <w:color w:val="auto"/>
                <w:kern w:val="0"/>
                <w:sz w:val="24"/>
              </w:rPr>
              <w:t>:30（北京时间）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磋商时间</w:t>
            </w:r>
          </w:p>
        </w:tc>
        <w:tc>
          <w:tcPr>
            <w:tcW w:w="7682" w:type="dxa"/>
            <w:tcBorders>
              <w:top w:val="outset" w:color="000000" w:sz="6" w:space="0"/>
              <w:left w:val="outset" w:color="000000" w:sz="6" w:space="0"/>
              <w:bottom w:val="outset" w:color="000000" w:sz="6" w:space="0"/>
              <w:right w:val="outset" w:color="000000" w:sz="6" w:space="0"/>
            </w:tcBorders>
            <w:vAlign w:val="center"/>
          </w:tcPr>
          <w:p>
            <w:pPr>
              <w:pStyle w:val="51"/>
              <w:spacing w:line="360" w:lineRule="auto"/>
              <w:rPr>
                <w:rFonts w:ascii="宋体" w:hAnsi="宋体"/>
                <w:color w:val="auto"/>
                <w:kern w:val="0"/>
                <w:sz w:val="24"/>
              </w:rPr>
            </w:pPr>
            <w:r>
              <w:rPr>
                <w:rFonts w:hint="eastAsia" w:ascii="宋体" w:hAnsi="宋体"/>
                <w:color w:val="auto"/>
                <w:kern w:val="0"/>
                <w:sz w:val="24"/>
                <w:lang w:eastAsia="zh-CN"/>
              </w:rPr>
              <w:t>2024年</w:t>
            </w:r>
            <w:r>
              <w:rPr>
                <w:rFonts w:hint="eastAsia" w:ascii="宋体" w:hAnsi="宋体"/>
                <w:color w:val="auto"/>
                <w:kern w:val="0"/>
                <w:sz w:val="24"/>
                <w:lang w:val="en-US" w:eastAsia="zh-CN"/>
              </w:rPr>
              <w:t>07</w:t>
            </w:r>
            <w:r>
              <w:rPr>
                <w:rFonts w:hint="eastAsia" w:ascii="宋体" w:hAnsi="宋体"/>
                <w:color w:val="auto"/>
                <w:kern w:val="0"/>
                <w:sz w:val="24"/>
              </w:rPr>
              <w:t>月</w:t>
            </w:r>
            <w:r>
              <w:rPr>
                <w:rFonts w:hint="eastAsia" w:ascii="宋体" w:hAnsi="宋体"/>
                <w:color w:val="auto"/>
                <w:kern w:val="0"/>
                <w:sz w:val="24"/>
                <w:lang w:val="en-US" w:eastAsia="zh-CN"/>
              </w:rPr>
              <w:t>01</w:t>
            </w:r>
            <w:r>
              <w:rPr>
                <w:rFonts w:hint="eastAsia" w:ascii="宋体" w:hAnsi="宋体"/>
                <w:color w:val="auto"/>
                <w:kern w:val="0"/>
                <w:sz w:val="24"/>
              </w:rPr>
              <w:t>日</w:t>
            </w:r>
            <w:r>
              <w:rPr>
                <w:rFonts w:hint="eastAsia" w:ascii="宋体" w:hAnsi="宋体"/>
                <w:color w:val="auto"/>
                <w:kern w:val="0"/>
                <w:sz w:val="24"/>
                <w:lang w:eastAsia="zh-CN"/>
              </w:rPr>
              <w:t>下</w:t>
            </w:r>
            <w:r>
              <w:rPr>
                <w:rFonts w:hint="eastAsia" w:ascii="宋体" w:hAnsi="宋体"/>
                <w:color w:val="auto"/>
                <w:kern w:val="0"/>
                <w:sz w:val="24"/>
              </w:rPr>
              <w:t>午</w:t>
            </w:r>
            <w:r>
              <w:rPr>
                <w:rFonts w:hint="eastAsia" w:ascii="宋体" w:hAnsi="宋体"/>
                <w:color w:val="auto"/>
                <w:kern w:val="0"/>
                <w:sz w:val="24"/>
                <w:lang w:val="en-US" w:eastAsia="zh-CN"/>
              </w:rPr>
              <w:t>14</w:t>
            </w:r>
            <w:r>
              <w:rPr>
                <w:rFonts w:hint="eastAsia" w:ascii="宋体" w:hAnsi="宋体"/>
                <w:color w:val="auto"/>
                <w:kern w:val="0"/>
                <w:sz w:val="24"/>
              </w:rPr>
              <w:t>:30（北京时间）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磋商及磋商地点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olor w:val="auto"/>
                <w:kern w:val="0"/>
                <w:sz w:val="24"/>
                <w:lang w:eastAsia="zh-CN"/>
              </w:rPr>
              <w:t>西宁市城西区盐湖巷6号10号楼（城西区总部经济大厦)16楼</w:t>
            </w:r>
            <w:r>
              <w:rPr>
                <w:rFonts w:hint="eastAsia" w:ascii="宋体" w:hAnsi="宋体"/>
                <w:color w:val="auto"/>
                <w:kern w:val="0"/>
                <w:sz w:val="24"/>
              </w:rPr>
              <w:t>青海国焱工程项目管理有限公司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磋商响应文件格式及编制要求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olor w:val="auto"/>
                <w:kern w:val="0"/>
                <w:sz w:val="24"/>
              </w:rPr>
            </w:pPr>
            <w:r>
              <w:rPr>
                <w:rFonts w:hint="eastAsia" w:ascii="宋体" w:hAnsi="宋体"/>
                <w:color w:val="auto"/>
                <w:kern w:val="0"/>
                <w:sz w:val="24"/>
              </w:rPr>
              <w:t>1、供应商须提交加密电子投标文件1份务必在开标截止前上传至电子开评标系统。加密电子投标文件制作详情请咨询政采云，咨询电话：400-881-7190。</w:t>
            </w:r>
          </w:p>
          <w:p>
            <w:pPr>
              <w:autoSpaceDE w:val="0"/>
              <w:autoSpaceDN w:val="0"/>
              <w:spacing w:line="360" w:lineRule="auto"/>
              <w:rPr>
                <w:rFonts w:ascii="宋体" w:hAnsi="宋体"/>
                <w:color w:val="auto"/>
                <w:kern w:val="0"/>
                <w:sz w:val="24"/>
              </w:rPr>
            </w:pPr>
            <w:r>
              <w:rPr>
                <w:rFonts w:hint="eastAsia" w:ascii="宋体" w:hAnsi="宋体"/>
                <w:color w:val="auto"/>
                <w:kern w:val="0"/>
                <w:sz w:val="24"/>
              </w:rPr>
              <w:t>2、按照线上磋商响应文件编制要求，编制线上磋商响应文件。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递交磋商响应文件程序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olor w:val="auto"/>
                <w:kern w:val="0"/>
                <w:sz w:val="24"/>
              </w:rPr>
            </w:pPr>
            <w:r>
              <w:rPr>
                <w:rFonts w:hint="eastAsia" w:ascii="宋体" w:hAnsi="宋体"/>
                <w:color w:val="auto"/>
                <w:kern w:val="0"/>
                <w:sz w:val="24"/>
              </w:rPr>
              <w:t>供应商应当在磋商文件要求的截止时间前，将加密电子投标文件1份务必在开标截止前上传至电子开评标系统并进行签到。</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答疑澄清方式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线上答疑，应在规定的时间内通过政采云平台进行答疑澄清，如在规定的时间内未按要求进行澄清，视同放弃答疑。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招标代理服务费：</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收取对象：成交磋商供应商</w:t>
            </w:r>
          </w:p>
          <w:p>
            <w:pPr>
              <w:spacing w:line="360" w:lineRule="auto"/>
              <w:rPr>
                <w:rFonts w:ascii="宋体" w:hAnsi="宋体" w:cs="宋体"/>
                <w:color w:val="auto"/>
                <w:kern w:val="0"/>
                <w:sz w:val="24"/>
                <w:lang w:val="zh-CN"/>
              </w:rPr>
            </w:pPr>
            <w:r>
              <w:rPr>
                <w:rFonts w:hint="eastAsia" w:ascii="宋体" w:hAnsi="宋体" w:cs="宋体"/>
                <w:color w:val="auto"/>
                <w:kern w:val="0"/>
                <w:sz w:val="24"/>
                <w:lang w:val="zh-CN"/>
              </w:rPr>
              <w:t>说明：根据《关于进一步放开建设项目专项业务服务价格的通知》（发改价格[2015]299号）规定，实行市场调节价，应严格遵守《价格法》、《关于商品和服务实行明码标价的规定》等法律法规的规定。</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代理服务费的支付形式：电汇、支票。</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账户名：青海国焱工程项目管理有限公司</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开户行号：102851000139</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账  号：2806001309000043259</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开户行：中国工商银行股份有限公司西宁五四大街支行</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代理服务费以人民币支付。</w:t>
            </w:r>
          </w:p>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代理服务费不在投标报价中单列。</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自成交通知书发出之日起</w:t>
            </w:r>
            <w:r>
              <w:rPr>
                <w:rFonts w:hint="eastAsia" w:ascii="宋体" w:hAnsi="宋体" w:cs="宋体"/>
                <w:color w:val="auto"/>
                <w:kern w:val="0"/>
                <w:sz w:val="24"/>
              </w:rPr>
              <w:t>30</w:t>
            </w:r>
            <w:r>
              <w:rPr>
                <w:rFonts w:hint="eastAsia" w:ascii="宋体" w:hAnsi="宋体" w:cs="宋体"/>
                <w:color w:val="auto"/>
                <w:kern w:val="0"/>
                <w:sz w:val="24"/>
                <w:lang w:val="zh-CN"/>
              </w:rPr>
              <w:t>日内与采购单位签订供货合同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Arial"/>
                <w:color w:val="auto"/>
                <w:sz w:val="24"/>
              </w:rPr>
            </w:pPr>
            <w:r>
              <w:rPr>
                <w:rFonts w:ascii="宋体" w:hAnsi="宋体" w:cs="Arial"/>
                <w:color w:val="auto"/>
                <w:sz w:val="24"/>
              </w:rPr>
              <w:t>采购合同全数返回采购代理机构签证，盖章。</w:t>
            </w:r>
          </w:p>
          <w:p>
            <w:pPr>
              <w:spacing w:line="360" w:lineRule="auto"/>
              <w:rPr>
                <w:rFonts w:ascii="宋体" w:hAnsi="宋体" w:cs="Arial"/>
                <w:color w:val="auto"/>
                <w:sz w:val="24"/>
              </w:rPr>
            </w:pPr>
            <w:r>
              <w:rPr>
                <w:rFonts w:ascii="宋体" w:hAnsi="宋体" w:cs="Arial"/>
                <w:color w:val="auto"/>
                <w:sz w:val="24"/>
              </w:rPr>
              <w:t>采购代理机构留存</w:t>
            </w:r>
            <w:r>
              <w:rPr>
                <w:rFonts w:hint="eastAsia" w:ascii="宋体" w:hAnsi="宋体" w:cs="Arial"/>
                <w:color w:val="auto"/>
                <w:sz w:val="24"/>
              </w:rPr>
              <w:t>叁</w:t>
            </w:r>
            <w:r>
              <w:rPr>
                <w:rFonts w:ascii="宋体" w:hAnsi="宋体" w:cs="Arial"/>
                <w:color w:val="auto"/>
                <w:sz w:val="24"/>
              </w:rPr>
              <w:t>份原件备案。</w:t>
            </w:r>
          </w:p>
          <w:p>
            <w:pPr>
              <w:spacing w:line="360" w:lineRule="auto"/>
              <w:rPr>
                <w:rFonts w:ascii="宋体" w:hAnsi="宋体" w:cs="Arial"/>
                <w:color w:val="auto"/>
                <w:sz w:val="24"/>
              </w:rPr>
            </w:pPr>
            <w:r>
              <w:rPr>
                <w:rFonts w:ascii="宋体" w:hAnsi="宋体" w:cs="Arial"/>
                <w:color w:val="auto"/>
                <w:sz w:val="24"/>
              </w:rPr>
              <w:t>合同返回地址：</w:t>
            </w:r>
            <w:r>
              <w:rPr>
                <w:rFonts w:hint="eastAsia" w:ascii="宋体" w:hAnsi="宋体"/>
                <w:color w:val="auto"/>
                <w:kern w:val="0"/>
                <w:sz w:val="24"/>
                <w:lang w:eastAsia="zh-CN"/>
              </w:rPr>
              <w:t>西宁市城西区盐湖巷6号10号楼（城西区总部经济大厦)16楼</w:t>
            </w:r>
            <w:r>
              <w:rPr>
                <w:rFonts w:hint="eastAsia" w:ascii="宋体" w:hAnsi="宋体"/>
                <w:color w:val="auto"/>
                <w:kern w:val="0"/>
                <w:sz w:val="24"/>
              </w:rPr>
              <w:t>青海国焱工程项目管理有限公司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本次磋商有效期为磋商之日起60个日历日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ascii="宋体" w:hAnsi="宋体" w:cs="宋体"/>
                <w:bCs/>
                <w:color w:val="auto"/>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宋体"/>
                <w:bCs/>
                <w:color w:val="auto"/>
                <w:kern w:val="0"/>
                <w:sz w:val="24"/>
                <w:lang w:val="zh-CN"/>
              </w:rPr>
            </w:pPr>
            <w:r>
              <w:rPr>
                <w:rFonts w:hint="eastAsia" w:ascii="宋体" w:hAnsi="宋体" w:cs="宋体"/>
                <w:bCs/>
                <w:color w:val="auto"/>
                <w:kern w:val="0"/>
                <w:sz w:val="24"/>
                <w:lang w:val="zh-CN"/>
              </w:rPr>
              <w:t>其他要求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pStyle w:val="91"/>
              <w:numPr>
                <w:ilvl w:val="0"/>
                <w:numId w:val="4"/>
              </w:numPr>
              <w:spacing w:line="360" w:lineRule="auto"/>
              <w:ind w:firstLineChars="0"/>
              <w:rPr>
                <w:rFonts w:ascii="宋体" w:hAnsi="宋体"/>
                <w:color w:val="auto"/>
                <w:kern w:val="0"/>
                <w:sz w:val="24"/>
              </w:rPr>
            </w:pPr>
            <w:r>
              <w:rPr>
                <w:rFonts w:hint="eastAsia" w:ascii="宋体" w:hAnsi="宋体" w:cs="宋体"/>
                <w:color w:val="auto"/>
                <w:kern w:val="0"/>
                <w:sz w:val="24"/>
              </w:rPr>
              <w:t>本公告发布于《青海政府采购网》、《青海项目信息网》同时发布（公告期限：公告内容以青海政府采购网发布的为准）</w:t>
            </w:r>
            <w:r>
              <w:rPr>
                <w:rFonts w:hint="eastAsia" w:ascii="宋体" w:hAnsi="宋体"/>
                <w:color w:val="auto"/>
                <w:kern w:val="0"/>
                <w:sz w:val="24"/>
              </w:rPr>
              <w:t>。</w:t>
            </w:r>
          </w:p>
          <w:p>
            <w:pPr>
              <w:pStyle w:val="91"/>
              <w:numPr>
                <w:ilvl w:val="0"/>
                <w:numId w:val="4"/>
              </w:numPr>
              <w:spacing w:line="360" w:lineRule="auto"/>
              <w:ind w:firstLineChars="0"/>
              <w:rPr>
                <w:rFonts w:ascii="宋体" w:hAnsi="宋体"/>
                <w:color w:val="auto"/>
                <w:kern w:val="0"/>
                <w:sz w:val="24"/>
              </w:rPr>
            </w:pPr>
            <w:r>
              <w:rPr>
                <w:rFonts w:hint="eastAsia" w:ascii="宋体" w:hAnsi="宋体"/>
                <w:color w:val="auto"/>
                <w:kern w:val="0"/>
                <w:sz w:val="24"/>
              </w:rPr>
              <w:t>本次招标采用线上提交投标文件的方式进行采购，投标文件必须在投标文件递交截止时间前上传平台。</w:t>
            </w:r>
          </w:p>
          <w:p>
            <w:pPr>
              <w:pStyle w:val="91"/>
              <w:numPr>
                <w:ilvl w:val="0"/>
                <w:numId w:val="4"/>
              </w:numPr>
              <w:spacing w:line="360" w:lineRule="auto"/>
              <w:ind w:firstLineChars="0"/>
              <w:rPr>
                <w:rFonts w:ascii="宋体" w:hAnsi="宋体"/>
                <w:color w:val="auto"/>
                <w:kern w:val="0"/>
                <w:sz w:val="24"/>
              </w:rPr>
            </w:pPr>
            <w:r>
              <w:rPr>
                <w:rFonts w:ascii="宋体" w:hAnsi="宋体" w:cs="宋体"/>
                <w:color w:val="auto"/>
                <w:sz w:val="24"/>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color w:val="auto"/>
                <w:sz w:val="24"/>
              </w:rPr>
              <w:t>PC咨询网址（可及时反馈问题截图，让客服快速定位问题）:http://tseal.cn/k.html，</w:t>
            </w:r>
            <w:r>
              <w:rPr>
                <w:rFonts w:ascii="宋体" w:hAnsi="宋体" w:cs="宋体"/>
                <w:color w:val="auto"/>
                <w:sz w:val="24"/>
              </w:rPr>
              <w:t>联系电话（人工）：400-087-8198。</w:t>
            </w:r>
          </w:p>
          <w:p>
            <w:pPr>
              <w:pStyle w:val="91"/>
              <w:numPr>
                <w:ilvl w:val="0"/>
                <w:numId w:val="4"/>
              </w:numPr>
              <w:spacing w:line="360" w:lineRule="auto"/>
              <w:ind w:firstLineChars="0"/>
              <w:rPr>
                <w:rFonts w:ascii="宋体" w:hAnsi="宋体"/>
                <w:color w:val="auto"/>
                <w:kern w:val="0"/>
                <w:sz w:val="24"/>
              </w:rPr>
            </w:pPr>
            <w:r>
              <w:rPr>
                <w:rFonts w:ascii="宋体" w:hAnsi="宋体" w:cs="宋体"/>
                <w:color w:val="auto"/>
                <w:sz w:val="24"/>
              </w:rPr>
              <w:t>磋商供应商解密和磋商报价时必须</w:t>
            </w:r>
            <w:r>
              <w:rPr>
                <w:rFonts w:hint="eastAsia" w:ascii="宋体" w:hAnsi="宋体" w:cs="宋体"/>
                <w:color w:val="auto"/>
                <w:sz w:val="24"/>
              </w:rPr>
              <w:t>由</w:t>
            </w:r>
            <w:r>
              <w:rPr>
                <w:rFonts w:ascii="宋体" w:hAnsi="宋体" w:cs="宋体"/>
                <w:color w:val="auto"/>
                <w:sz w:val="24"/>
              </w:rPr>
              <w:t>e签宝注册人办理，磋商供应商须在固定电脑设备前登陆等待解密和磋商报价，磋商供应商</w:t>
            </w:r>
            <w:r>
              <w:rPr>
                <w:rFonts w:hint="eastAsia" w:ascii="宋体" w:hAnsi="宋体" w:cs="宋体"/>
                <w:color w:val="auto"/>
                <w:sz w:val="24"/>
              </w:rPr>
              <w:t>须在规定的时间内完成，如超时，则视为无效投标</w:t>
            </w:r>
            <w:r>
              <w:rPr>
                <w:rFonts w:ascii="宋体" w:hAnsi="宋体" w:cs="宋体"/>
                <w:color w:val="auto"/>
                <w:sz w:val="24"/>
              </w:rPr>
              <w:t>。</w:t>
            </w:r>
          </w:p>
        </w:tc>
      </w:tr>
    </w:tbl>
    <w:p>
      <w:pPr>
        <w:pStyle w:val="22"/>
        <w:spacing w:before="0" w:after="0" w:line="360" w:lineRule="auto"/>
        <w:rPr>
          <w:rFonts w:ascii="宋体" w:hAnsi="宋体"/>
          <w:color w:val="auto"/>
          <w:sz w:val="48"/>
          <w:szCs w:val="48"/>
          <w:lang w:val="zh-CN"/>
        </w:rPr>
      </w:pPr>
      <w:r>
        <w:rPr>
          <w:rFonts w:ascii="宋体" w:hAnsi="宋体"/>
          <w:b w:val="0"/>
          <w:color w:val="auto"/>
          <w:sz w:val="24"/>
          <w:szCs w:val="24"/>
        </w:rPr>
        <w:br w:type="page"/>
      </w:r>
      <w:bookmarkStart w:id="10" w:name="_Toc109133081"/>
      <w:bookmarkStart w:id="11" w:name="_Toc444715734"/>
      <w:r>
        <w:rPr>
          <w:rFonts w:hint="eastAsia" w:ascii="宋体" w:hAnsi="宋体"/>
          <w:color w:val="auto"/>
          <w:sz w:val="48"/>
          <w:szCs w:val="48"/>
        </w:rPr>
        <w:t>第三部分  磋商供应商须知</w:t>
      </w:r>
      <w:bookmarkEnd w:id="10"/>
      <w:bookmarkEnd w:id="11"/>
    </w:p>
    <w:p>
      <w:pPr>
        <w:pStyle w:val="4"/>
        <w:ind w:left="709"/>
        <w:rPr>
          <w:rFonts w:hAnsi="宋体"/>
          <w:b/>
          <w:color w:val="auto"/>
          <w:sz w:val="24"/>
          <w:szCs w:val="24"/>
        </w:rPr>
      </w:pPr>
      <w:bookmarkStart w:id="12" w:name="_Toc109133082"/>
      <w:r>
        <w:rPr>
          <w:rFonts w:hint="eastAsia" w:hAnsi="宋体"/>
          <w:b/>
          <w:color w:val="auto"/>
          <w:sz w:val="24"/>
          <w:szCs w:val="24"/>
        </w:rPr>
        <w:t>说明</w:t>
      </w:r>
      <w:bookmarkEnd w:id="12"/>
    </w:p>
    <w:p>
      <w:pPr>
        <w:pStyle w:val="5"/>
        <w:numPr>
          <w:ilvl w:val="0"/>
          <w:numId w:val="5"/>
        </w:numPr>
        <w:spacing w:before="0" w:after="0" w:line="360" w:lineRule="auto"/>
        <w:rPr>
          <w:rFonts w:ascii="宋体" w:hAnsi="宋体"/>
          <w:b w:val="0"/>
          <w:color w:val="auto"/>
          <w:sz w:val="24"/>
          <w:szCs w:val="24"/>
        </w:rPr>
      </w:pPr>
      <w:bookmarkStart w:id="13" w:name="_Toc488691479"/>
      <w:bookmarkStart w:id="14" w:name="_Toc459377860"/>
      <w:bookmarkStart w:id="15" w:name="_Toc495570969"/>
      <w:bookmarkStart w:id="16" w:name="_Toc109133083"/>
      <w:bookmarkStart w:id="17" w:name="_Toc446427794"/>
      <w:r>
        <w:rPr>
          <w:rFonts w:ascii="宋体" w:hAnsi="宋体"/>
          <w:b w:val="0"/>
          <w:color w:val="auto"/>
          <w:sz w:val="24"/>
          <w:szCs w:val="24"/>
        </w:rPr>
        <w:t>磋商内容及要求</w:t>
      </w:r>
      <w:bookmarkEnd w:id="13"/>
      <w:bookmarkEnd w:id="14"/>
      <w:bookmarkEnd w:id="15"/>
      <w:bookmarkEnd w:id="16"/>
      <w:bookmarkEnd w:id="17"/>
    </w:p>
    <w:p>
      <w:pPr>
        <w:pStyle w:val="16"/>
        <w:spacing w:line="360" w:lineRule="auto"/>
        <w:ind w:firstLine="480" w:firstLineChars="200"/>
        <w:rPr>
          <w:rFonts w:hAnsi="宋体"/>
          <w:color w:val="auto"/>
          <w:sz w:val="24"/>
          <w:szCs w:val="24"/>
        </w:rPr>
      </w:pPr>
      <w:r>
        <w:rPr>
          <w:rFonts w:hint="eastAsia" w:hAnsi="宋体"/>
          <w:color w:val="auto"/>
          <w:sz w:val="24"/>
          <w:szCs w:val="24"/>
        </w:rPr>
        <w:t>本次采购依据采购单位的采购计划，仅适用于本竞争性磋商文件（以下简称“磋商文件”）中所叙述的项目。</w:t>
      </w:r>
    </w:p>
    <w:p>
      <w:pPr>
        <w:pStyle w:val="5"/>
        <w:numPr>
          <w:ilvl w:val="0"/>
          <w:numId w:val="5"/>
        </w:numPr>
        <w:spacing w:before="0" w:after="0" w:line="360" w:lineRule="auto"/>
        <w:rPr>
          <w:rFonts w:ascii="宋体" w:hAnsi="宋体"/>
          <w:b w:val="0"/>
          <w:color w:val="auto"/>
          <w:sz w:val="24"/>
          <w:szCs w:val="24"/>
        </w:rPr>
      </w:pPr>
      <w:bookmarkStart w:id="18" w:name="_Toc109133084"/>
      <w:bookmarkStart w:id="19" w:name="_Toc488673614"/>
      <w:r>
        <w:rPr>
          <w:rFonts w:hint="eastAsia" w:ascii="宋体" w:hAnsi="宋体"/>
          <w:b w:val="0"/>
          <w:color w:val="auto"/>
          <w:sz w:val="24"/>
          <w:szCs w:val="24"/>
        </w:rPr>
        <w:t>采购方式、合格的磋商供应商</w:t>
      </w:r>
      <w:bookmarkEnd w:id="18"/>
      <w:bookmarkEnd w:id="19"/>
    </w:p>
    <w:p>
      <w:pPr>
        <w:pStyle w:val="16"/>
        <w:numPr>
          <w:ilvl w:val="1"/>
          <w:numId w:val="6"/>
        </w:numPr>
        <w:spacing w:line="360" w:lineRule="auto"/>
        <w:rPr>
          <w:rFonts w:hAnsi="宋体"/>
          <w:color w:val="auto"/>
          <w:sz w:val="24"/>
          <w:szCs w:val="24"/>
        </w:rPr>
      </w:pPr>
      <w:r>
        <w:rPr>
          <w:rFonts w:hint="eastAsia" w:hAnsi="宋体"/>
          <w:color w:val="auto"/>
          <w:sz w:val="24"/>
          <w:szCs w:val="24"/>
        </w:rPr>
        <w:t>本次磋商采取竞争性磋商方式；</w:t>
      </w:r>
    </w:p>
    <w:p>
      <w:pPr>
        <w:pStyle w:val="16"/>
        <w:numPr>
          <w:ilvl w:val="1"/>
          <w:numId w:val="6"/>
        </w:numPr>
        <w:spacing w:line="360" w:lineRule="auto"/>
        <w:rPr>
          <w:rFonts w:hAnsi="宋体"/>
          <w:color w:val="auto"/>
          <w:sz w:val="24"/>
          <w:szCs w:val="24"/>
        </w:rPr>
      </w:pPr>
      <w:r>
        <w:rPr>
          <w:rFonts w:hAnsi="宋体" w:cs="Arial"/>
          <w:color w:val="auto"/>
          <w:sz w:val="24"/>
          <w:szCs w:val="24"/>
        </w:rPr>
        <w:t>合格的磋商供应商：</w:t>
      </w:r>
    </w:p>
    <w:p>
      <w:pPr>
        <w:pStyle w:val="51"/>
        <w:numPr>
          <w:ilvl w:val="0"/>
          <w:numId w:val="7"/>
        </w:numPr>
        <w:spacing w:line="360" w:lineRule="auto"/>
        <w:rPr>
          <w:rFonts w:ascii="宋体" w:hAnsi="宋体"/>
          <w:color w:val="auto"/>
          <w:kern w:val="0"/>
          <w:sz w:val="24"/>
        </w:rPr>
      </w:pPr>
      <w:r>
        <w:rPr>
          <w:rFonts w:hint="eastAsia" w:ascii="宋体" w:hAnsi="宋体"/>
          <w:color w:val="auto"/>
          <w:kern w:val="0"/>
          <w:sz w:val="24"/>
        </w:rPr>
        <w:t>参加政府采购活动的供应商应当具备政府采购法第二十二条第一款规定的条件，提供下列材料：</w:t>
      </w:r>
    </w:p>
    <w:p>
      <w:pPr>
        <w:numPr>
          <w:ilvl w:val="0"/>
          <w:numId w:val="8"/>
        </w:numPr>
        <w:spacing w:line="360" w:lineRule="auto"/>
        <w:rPr>
          <w:rFonts w:ascii="宋体" w:hAnsi="宋体"/>
          <w:color w:val="auto"/>
          <w:kern w:val="0"/>
          <w:sz w:val="24"/>
        </w:rPr>
      </w:pPr>
      <w:r>
        <w:rPr>
          <w:rFonts w:hint="eastAsia" w:ascii="宋体" w:hAnsi="宋体"/>
          <w:color w:val="auto"/>
          <w:kern w:val="0"/>
          <w:sz w:val="24"/>
        </w:rPr>
        <w:t>磋商人的营业执照等证明文件，自然人的身份证明。</w:t>
      </w:r>
    </w:p>
    <w:p>
      <w:pPr>
        <w:numPr>
          <w:ilvl w:val="0"/>
          <w:numId w:val="8"/>
        </w:numPr>
        <w:spacing w:line="360" w:lineRule="auto"/>
        <w:rPr>
          <w:rFonts w:ascii="宋体" w:hAnsi="宋体"/>
          <w:color w:val="auto"/>
          <w:kern w:val="0"/>
          <w:sz w:val="24"/>
        </w:rPr>
      </w:pPr>
      <w:r>
        <w:rPr>
          <w:rFonts w:hint="eastAsia" w:ascii="宋体" w:hAnsi="宋体"/>
          <w:color w:val="auto"/>
          <w:kern w:val="0"/>
          <w:sz w:val="24"/>
        </w:rPr>
        <w:t>财务状况报告，依法缴纳税收和社会保障资金的相关材料。</w:t>
      </w:r>
    </w:p>
    <w:p>
      <w:pPr>
        <w:numPr>
          <w:ilvl w:val="0"/>
          <w:numId w:val="8"/>
        </w:numPr>
        <w:spacing w:line="360" w:lineRule="auto"/>
        <w:rPr>
          <w:rFonts w:ascii="宋体" w:hAnsi="宋体"/>
          <w:color w:val="auto"/>
          <w:kern w:val="0"/>
          <w:sz w:val="24"/>
        </w:rPr>
      </w:pPr>
      <w:r>
        <w:rPr>
          <w:rFonts w:hint="eastAsia" w:ascii="宋体" w:hAnsi="宋体"/>
          <w:color w:val="auto"/>
          <w:kern w:val="0"/>
          <w:sz w:val="24"/>
        </w:rPr>
        <w:t>具备履行合同所必需的设备和专业技术能力的证明材料。</w:t>
      </w:r>
    </w:p>
    <w:p>
      <w:pPr>
        <w:numPr>
          <w:ilvl w:val="0"/>
          <w:numId w:val="8"/>
        </w:numPr>
        <w:spacing w:line="360" w:lineRule="auto"/>
        <w:rPr>
          <w:rFonts w:ascii="宋体" w:hAnsi="宋体"/>
          <w:color w:val="auto"/>
          <w:kern w:val="0"/>
          <w:sz w:val="24"/>
        </w:rPr>
      </w:pPr>
      <w:r>
        <w:rPr>
          <w:rFonts w:hint="eastAsia" w:ascii="宋体" w:hAnsi="宋体"/>
          <w:color w:val="auto"/>
          <w:kern w:val="0"/>
          <w:sz w:val="24"/>
        </w:rPr>
        <w:t>参加政府采购活动前3年内在经营活动中没有重大违法记录的书面声明。</w:t>
      </w:r>
    </w:p>
    <w:p>
      <w:pPr>
        <w:numPr>
          <w:ilvl w:val="0"/>
          <w:numId w:val="8"/>
        </w:numPr>
        <w:spacing w:line="360" w:lineRule="auto"/>
        <w:rPr>
          <w:rFonts w:ascii="宋体" w:hAnsi="宋体"/>
          <w:color w:val="auto"/>
          <w:kern w:val="0"/>
          <w:sz w:val="24"/>
        </w:rPr>
      </w:pPr>
      <w:r>
        <w:rPr>
          <w:rFonts w:hint="eastAsia" w:ascii="宋体" w:hAnsi="宋体"/>
          <w:color w:val="auto"/>
          <w:kern w:val="0"/>
          <w:sz w:val="24"/>
        </w:rPr>
        <w:t>具备法律、行政法规规定的其他条件的证明材料。</w:t>
      </w:r>
    </w:p>
    <w:p>
      <w:pPr>
        <w:numPr>
          <w:ilvl w:val="0"/>
          <w:numId w:val="7"/>
        </w:numPr>
        <w:spacing w:line="360" w:lineRule="auto"/>
        <w:rPr>
          <w:rFonts w:ascii="宋体" w:hAnsi="宋体"/>
          <w:color w:val="auto"/>
          <w:kern w:val="0"/>
          <w:sz w:val="24"/>
        </w:rPr>
      </w:pPr>
      <w:r>
        <w:rPr>
          <w:rFonts w:hint="eastAsia" w:ascii="宋体" w:hAnsi="宋体"/>
          <w:color w:val="auto"/>
          <w:kern w:val="0"/>
          <w:sz w:val="24"/>
        </w:rPr>
        <w:t>单位负责人为同一人或者存在直接控股、管理关系的不同供应商，不得参加同一合同项下的政府采购活动。否则，皆取消磋商资格；</w:t>
      </w:r>
    </w:p>
    <w:p>
      <w:pPr>
        <w:numPr>
          <w:ilvl w:val="0"/>
          <w:numId w:val="7"/>
        </w:numPr>
        <w:spacing w:line="360" w:lineRule="auto"/>
        <w:rPr>
          <w:rFonts w:ascii="宋体" w:hAnsi="宋体"/>
          <w:color w:val="auto"/>
          <w:kern w:val="0"/>
          <w:sz w:val="24"/>
        </w:rPr>
      </w:pPr>
      <w:r>
        <w:rPr>
          <w:rFonts w:hint="eastAsia" w:ascii="宋体" w:hAnsi="宋体"/>
          <w:color w:val="auto"/>
          <w:kern w:val="0"/>
          <w:sz w:val="24"/>
        </w:rPr>
        <w:t>符合、承认并承诺履行本磋商文件各项规定，所提供的货物和服务须在我国境内合法生产销售的；</w:t>
      </w:r>
    </w:p>
    <w:p>
      <w:pPr>
        <w:numPr>
          <w:ilvl w:val="0"/>
          <w:numId w:val="7"/>
        </w:numPr>
        <w:spacing w:line="360" w:lineRule="auto"/>
        <w:rPr>
          <w:rFonts w:ascii="宋体" w:hAnsi="宋体"/>
          <w:color w:val="auto"/>
          <w:kern w:val="0"/>
          <w:sz w:val="24"/>
        </w:rPr>
      </w:pPr>
      <w:r>
        <w:rPr>
          <w:rFonts w:hint="eastAsia" w:ascii="宋体" w:hAnsi="宋体" w:eastAsia="宋体" w:cs="宋体"/>
          <w:bCs/>
          <w:color w:val="auto"/>
          <w:kern w:val="0"/>
          <w:sz w:val="24"/>
          <w:lang w:val="zh-CN"/>
        </w:rPr>
        <w:t>经信用中国（www.creditchina.gov.cn）、中国政府采购网（www.ccgp.gov.cn）等渠道查询后，列入失信被执行人或重大税收违法案件当事人名单或政府采购严重违法失信行为记录名单的，取消投标资格。（提供网站的查询截图）</w:t>
      </w:r>
      <w:r>
        <w:rPr>
          <w:rFonts w:hint="eastAsia" w:ascii="宋体" w:hAnsi="宋体"/>
          <w:color w:val="auto"/>
          <w:kern w:val="0"/>
          <w:sz w:val="24"/>
        </w:rPr>
        <w:t>；</w:t>
      </w:r>
    </w:p>
    <w:p>
      <w:pPr>
        <w:numPr>
          <w:ilvl w:val="0"/>
          <w:numId w:val="7"/>
        </w:numPr>
        <w:spacing w:line="360" w:lineRule="auto"/>
        <w:rPr>
          <w:rFonts w:ascii="宋体" w:hAnsi="宋体"/>
          <w:color w:val="auto"/>
          <w:kern w:val="0"/>
          <w:sz w:val="24"/>
        </w:rPr>
      </w:pPr>
      <w:r>
        <w:rPr>
          <w:rFonts w:hint="eastAsia" w:ascii="宋体" w:hAnsi="宋体" w:cs="宋体"/>
          <w:color w:val="auto"/>
          <w:kern w:val="0"/>
          <w:sz w:val="24"/>
          <w:lang w:val="zh-CN"/>
        </w:rPr>
        <w:t>本项目不接受磋商人以联合体方式进行投标</w:t>
      </w:r>
      <w:r>
        <w:rPr>
          <w:rFonts w:hint="eastAsia" w:ascii="宋体" w:hAnsi="宋体"/>
          <w:color w:val="auto"/>
          <w:kern w:val="0"/>
          <w:sz w:val="24"/>
        </w:rPr>
        <w:t>。</w:t>
      </w:r>
    </w:p>
    <w:p>
      <w:pPr>
        <w:numPr>
          <w:ilvl w:val="0"/>
          <w:numId w:val="7"/>
        </w:numPr>
        <w:spacing w:line="360" w:lineRule="auto"/>
        <w:rPr>
          <w:rFonts w:ascii="宋体" w:hAnsi="宋体"/>
          <w:color w:val="auto"/>
          <w:kern w:val="0"/>
          <w:sz w:val="24"/>
        </w:rPr>
      </w:pPr>
      <w:r>
        <w:rPr>
          <w:rFonts w:hint="eastAsia" w:ascii="宋体" w:hAnsi="宋体" w:eastAsia="宋体" w:cs="宋体"/>
          <w:bCs/>
          <w:color w:val="auto"/>
          <w:kern w:val="0"/>
          <w:sz w:val="24"/>
          <w:lang w:val="zh-CN"/>
        </w:rPr>
        <w:t>本次采购要求投标人为生产商的，须具备有效的医疗器械生产许可证和所投产品的医疗器械注册证；投标人为代理商的，具备有效的医疗器械经营许可证及所投产品的医疗器械注册证；</w:t>
      </w:r>
    </w:p>
    <w:p>
      <w:pPr>
        <w:pStyle w:val="5"/>
        <w:numPr>
          <w:ilvl w:val="0"/>
          <w:numId w:val="5"/>
        </w:numPr>
        <w:spacing w:before="0" w:after="0" w:line="360" w:lineRule="auto"/>
        <w:rPr>
          <w:rFonts w:ascii="宋体" w:hAnsi="宋体"/>
          <w:b w:val="0"/>
          <w:color w:val="auto"/>
          <w:sz w:val="24"/>
          <w:szCs w:val="24"/>
        </w:rPr>
      </w:pPr>
      <w:bookmarkStart w:id="20" w:name="_Toc109133085"/>
      <w:bookmarkStart w:id="21" w:name="_Toc488673615"/>
      <w:r>
        <w:rPr>
          <w:rFonts w:hint="eastAsia" w:ascii="宋体" w:hAnsi="宋体"/>
          <w:b w:val="0"/>
          <w:color w:val="auto"/>
          <w:sz w:val="24"/>
          <w:szCs w:val="24"/>
        </w:rPr>
        <w:t>磋商费用</w:t>
      </w:r>
      <w:bookmarkEnd w:id="20"/>
      <w:bookmarkEnd w:id="21"/>
    </w:p>
    <w:p>
      <w:pPr>
        <w:pStyle w:val="16"/>
        <w:spacing w:line="360" w:lineRule="auto"/>
        <w:ind w:firstLine="480" w:firstLineChars="200"/>
        <w:rPr>
          <w:rFonts w:hAnsi="宋体"/>
          <w:b/>
          <w:color w:val="auto"/>
          <w:sz w:val="24"/>
          <w:szCs w:val="24"/>
        </w:rPr>
      </w:pPr>
      <w:r>
        <w:rPr>
          <w:rFonts w:hint="eastAsia" w:hAnsi="宋体"/>
          <w:color w:val="auto"/>
          <w:sz w:val="24"/>
          <w:szCs w:val="24"/>
        </w:rPr>
        <w:t>磋商供应商应自愿承担与参加本次磋商有关的费用。采购代理机构对磋商供应商发生的费用不承担任何责任。</w:t>
      </w:r>
    </w:p>
    <w:p>
      <w:pPr>
        <w:pStyle w:val="4"/>
        <w:ind w:left="709"/>
        <w:rPr>
          <w:rFonts w:hAnsi="宋体"/>
          <w:b/>
          <w:color w:val="auto"/>
          <w:sz w:val="24"/>
          <w:szCs w:val="24"/>
        </w:rPr>
      </w:pPr>
      <w:bookmarkStart w:id="22" w:name="_Toc109133086"/>
      <w:r>
        <w:rPr>
          <w:rFonts w:hint="eastAsia" w:hAnsi="宋体"/>
          <w:b/>
          <w:color w:val="auto"/>
          <w:sz w:val="24"/>
          <w:szCs w:val="24"/>
        </w:rPr>
        <w:t>磋商文件说明</w:t>
      </w:r>
      <w:bookmarkEnd w:id="22"/>
    </w:p>
    <w:p>
      <w:pPr>
        <w:pStyle w:val="5"/>
        <w:numPr>
          <w:ilvl w:val="0"/>
          <w:numId w:val="5"/>
        </w:numPr>
        <w:spacing w:before="0" w:after="0" w:line="360" w:lineRule="auto"/>
        <w:rPr>
          <w:rFonts w:ascii="宋体" w:hAnsi="宋体"/>
          <w:b w:val="0"/>
          <w:color w:val="auto"/>
          <w:sz w:val="24"/>
          <w:szCs w:val="24"/>
        </w:rPr>
      </w:pPr>
      <w:bookmarkStart w:id="23" w:name="_Toc488673617"/>
      <w:bookmarkStart w:id="24" w:name="_Toc109133087"/>
      <w:r>
        <w:rPr>
          <w:rFonts w:hint="eastAsia" w:ascii="宋体" w:hAnsi="宋体"/>
          <w:b w:val="0"/>
          <w:color w:val="auto"/>
          <w:sz w:val="24"/>
          <w:szCs w:val="24"/>
        </w:rPr>
        <w:t>磋商文件的构成</w:t>
      </w:r>
      <w:bookmarkEnd w:id="23"/>
      <w:bookmarkEnd w:id="24"/>
    </w:p>
    <w:p>
      <w:pPr>
        <w:pStyle w:val="16"/>
        <w:numPr>
          <w:ilvl w:val="1"/>
          <w:numId w:val="9"/>
        </w:numPr>
        <w:spacing w:line="360" w:lineRule="auto"/>
        <w:rPr>
          <w:rFonts w:hAnsi="宋体"/>
          <w:color w:val="auto"/>
          <w:sz w:val="24"/>
          <w:szCs w:val="24"/>
        </w:rPr>
      </w:pPr>
      <w:r>
        <w:rPr>
          <w:rFonts w:hint="eastAsia" w:hAnsi="宋体"/>
          <w:color w:val="auto"/>
          <w:sz w:val="24"/>
          <w:szCs w:val="24"/>
        </w:rPr>
        <w:t>磋商文件包括：</w:t>
      </w:r>
    </w:p>
    <w:p>
      <w:pPr>
        <w:pStyle w:val="16"/>
        <w:numPr>
          <w:ilvl w:val="0"/>
          <w:numId w:val="10"/>
        </w:numPr>
        <w:spacing w:line="360" w:lineRule="auto"/>
        <w:rPr>
          <w:rFonts w:hAnsi="宋体" w:cs="Arial"/>
          <w:color w:val="auto"/>
          <w:sz w:val="24"/>
          <w:szCs w:val="24"/>
        </w:rPr>
      </w:pPr>
      <w:r>
        <w:rPr>
          <w:rFonts w:hint="eastAsia" w:hAnsi="宋体" w:cs="Arial"/>
          <w:color w:val="auto"/>
          <w:sz w:val="24"/>
          <w:szCs w:val="24"/>
        </w:rPr>
        <w:t>磋商邀请；</w:t>
      </w:r>
    </w:p>
    <w:p>
      <w:pPr>
        <w:pStyle w:val="16"/>
        <w:numPr>
          <w:ilvl w:val="0"/>
          <w:numId w:val="10"/>
        </w:numPr>
        <w:spacing w:line="360" w:lineRule="auto"/>
        <w:rPr>
          <w:rFonts w:hAnsi="宋体" w:cs="Arial"/>
          <w:color w:val="auto"/>
          <w:sz w:val="24"/>
          <w:szCs w:val="24"/>
        </w:rPr>
      </w:pPr>
      <w:r>
        <w:rPr>
          <w:rFonts w:hint="eastAsia" w:hAnsi="宋体" w:cs="Arial"/>
          <w:color w:val="auto"/>
          <w:sz w:val="24"/>
          <w:szCs w:val="24"/>
        </w:rPr>
        <w:t>磋商供应商须知前附表；</w:t>
      </w:r>
    </w:p>
    <w:p>
      <w:pPr>
        <w:pStyle w:val="16"/>
        <w:numPr>
          <w:ilvl w:val="0"/>
          <w:numId w:val="10"/>
        </w:numPr>
        <w:spacing w:line="360" w:lineRule="auto"/>
        <w:rPr>
          <w:rFonts w:hAnsi="宋体" w:cs="Arial"/>
          <w:color w:val="auto"/>
          <w:sz w:val="24"/>
          <w:szCs w:val="24"/>
        </w:rPr>
      </w:pPr>
      <w:r>
        <w:rPr>
          <w:rFonts w:hint="eastAsia" w:hAnsi="宋体" w:cs="Arial"/>
          <w:color w:val="auto"/>
          <w:sz w:val="24"/>
          <w:szCs w:val="24"/>
        </w:rPr>
        <w:t>磋商供应商须知；</w:t>
      </w:r>
    </w:p>
    <w:p>
      <w:pPr>
        <w:pStyle w:val="16"/>
        <w:numPr>
          <w:ilvl w:val="0"/>
          <w:numId w:val="10"/>
        </w:numPr>
        <w:spacing w:line="360" w:lineRule="auto"/>
        <w:rPr>
          <w:rFonts w:hAnsi="宋体" w:cs="Arial"/>
          <w:color w:val="auto"/>
          <w:sz w:val="24"/>
          <w:szCs w:val="24"/>
        </w:rPr>
      </w:pPr>
      <w:r>
        <w:rPr>
          <w:rFonts w:hint="eastAsia" w:hAnsi="宋体" w:cs="Arial"/>
          <w:color w:val="auto"/>
          <w:sz w:val="24"/>
          <w:szCs w:val="24"/>
        </w:rPr>
        <w:t>青海省政府采购合同文本样式；</w:t>
      </w:r>
    </w:p>
    <w:p>
      <w:pPr>
        <w:pStyle w:val="16"/>
        <w:numPr>
          <w:ilvl w:val="0"/>
          <w:numId w:val="10"/>
        </w:numPr>
        <w:spacing w:line="360" w:lineRule="auto"/>
        <w:rPr>
          <w:rFonts w:hAnsi="宋体" w:cs="Arial"/>
          <w:color w:val="auto"/>
          <w:sz w:val="24"/>
          <w:szCs w:val="24"/>
        </w:rPr>
      </w:pPr>
      <w:r>
        <w:rPr>
          <w:rFonts w:hint="eastAsia" w:hAnsi="宋体" w:cs="Arial"/>
          <w:color w:val="auto"/>
          <w:sz w:val="24"/>
          <w:szCs w:val="24"/>
        </w:rPr>
        <w:t>磋商响应文件格式；</w:t>
      </w:r>
    </w:p>
    <w:p>
      <w:pPr>
        <w:pStyle w:val="16"/>
        <w:numPr>
          <w:ilvl w:val="0"/>
          <w:numId w:val="10"/>
        </w:numPr>
        <w:spacing w:line="360" w:lineRule="auto"/>
        <w:rPr>
          <w:rFonts w:hAnsi="宋体" w:cs="Arial"/>
          <w:color w:val="auto"/>
          <w:sz w:val="24"/>
          <w:szCs w:val="24"/>
        </w:rPr>
      </w:pPr>
      <w:r>
        <w:rPr>
          <w:rFonts w:hint="eastAsia" w:hAnsi="宋体" w:cs="Arial"/>
          <w:color w:val="auto"/>
          <w:sz w:val="24"/>
          <w:szCs w:val="24"/>
        </w:rPr>
        <w:t>采购项目要求及技术参数；</w:t>
      </w:r>
    </w:p>
    <w:p>
      <w:pPr>
        <w:pStyle w:val="16"/>
        <w:numPr>
          <w:ilvl w:val="0"/>
          <w:numId w:val="10"/>
        </w:numPr>
        <w:spacing w:line="360" w:lineRule="auto"/>
        <w:rPr>
          <w:rFonts w:hAnsi="宋体" w:cs="Arial"/>
          <w:color w:val="auto"/>
          <w:sz w:val="24"/>
          <w:szCs w:val="24"/>
        </w:rPr>
      </w:pPr>
      <w:r>
        <w:rPr>
          <w:rFonts w:hint="eastAsia" w:hAnsi="宋体" w:cs="Arial"/>
          <w:color w:val="auto"/>
          <w:sz w:val="24"/>
          <w:szCs w:val="24"/>
        </w:rPr>
        <w:t>采购过程中发生的澄清、变更和补充文件；</w:t>
      </w:r>
    </w:p>
    <w:p>
      <w:pPr>
        <w:pStyle w:val="16"/>
        <w:numPr>
          <w:ilvl w:val="1"/>
          <w:numId w:val="9"/>
        </w:numPr>
        <w:spacing w:line="360" w:lineRule="auto"/>
        <w:rPr>
          <w:rFonts w:hAnsi="宋体"/>
          <w:color w:val="auto"/>
          <w:sz w:val="24"/>
          <w:szCs w:val="24"/>
        </w:rPr>
      </w:pPr>
      <w:r>
        <w:rPr>
          <w:rFonts w:hint="eastAsia" w:hAnsi="宋体"/>
          <w:color w:val="auto"/>
          <w:sz w:val="24"/>
          <w:szCs w:val="24"/>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pPr>
        <w:pStyle w:val="5"/>
        <w:numPr>
          <w:ilvl w:val="0"/>
          <w:numId w:val="5"/>
        </w:numPr>
        <w:spacing w:before="0" w:after="0" w:line="360" w:lineRule="auto"/>
        <w:rPr>
          <w:rFonts w:ascii="宋体" w:hAnsi="宋体"/>
          <w:b w:val="0"/>
          <w:color w:val="auto"/>
          <w:sz w:val="24"/>
          <w:szCs w:val="24"/>
        </w:rPr>
      </w:pPr>
      <w:bookmarkStart w:id="25" w:name="_Toc109133088"/>
      <w:bookmarkStart w:id="26" w:name="_Toc488673618"/>
      <w:r>
        <w:rPr>
          <w:rFonts w:hint="eastAsia" w:ascii="宋体" w:hAnsi="宋体"/>
          <w:b w:val="0"/>
          <w:color w:val="auto"/>
          <w:sz w:val="24"/>
          <w:szCs w:val="24"/>
        </w:rPr>
        <w:t>磋商文件、磋商活动和成交结果的质疑</w:t>
      </w:r>
      <w:bookmarkEnd w:id="25"/>
      <w:bookmarkEnd w:id="26"/>
    </w:p>
    <w:p>
      <w:pPr>
        <w:pStyle w:val="16"/>
        <w:numPr>
          <w:ilvl w:val="1"/>
          <w:numId w:val="11"/>
        </w:numPr>
        <w:spacing w:line="360" w:lineRule="auto"/>
        <w:rPr>
          <w:rFonts w:hAnsi="宋体"/>
          <w:color w:val="auto"/>
          <w:sz w:val="24"/>
          <w:szCs w:val="24"/>
        </w:rPr>
      </w:pPr>
      <w:r>
        <w:rPr>
          <w:rFonts w:hint="eastAsia" w:hAnsi="宋体"/>
          <w:color w:val="auto"/>
          <w:sz w:val="24"/>
          <w:szCs w:val="24"/>
        </w:rPr>
        <w:t>参加磋商的磋商供应商认为磋商文件、磋商活动和成交、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pPr>
        <w:pStyle w:val="16"/>
        <w:numPr>
          <w:ilvl w:val="1"/>
          <w:numId w:val="11"/>
        </w:numPr>
        <w:spacing w:line="360" w:lineRule="auto"/>
        <w:rPr>
          <w:rFonts w:hAnsi="宋体"/>
          <w:color w:val="auto"/>
          <w:sz w:val="24"/>
          <w:szCs w:val="24"/>
        </w:rPr>
      </w:pPr>
      <w:r>
        <w:rPr>
          <w:rFonts w:hint="eastAsia" w:hAnsi="宋体"/>
          <w:color w:val="auto"/>
          <w:sz w:val="24"/>
          <w:szCs w:val="2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pPr>
        <w:pStyle w:val="16"/>
        <w:numPr>
          <w:ilvl w:val="1"/>
          <w:numId w:val="11"/>
        </w:numPr>
        <w:spacing w:line="360" w:lineRule="auto"/>
        <w:rPr>
          <w:rFonts w:hAnsi="宋体"/>
          <w:color w:val="auto"/>
          <w:sz w:val="24"/>
          <w:szCs w:val="24"/>
        </w:rPr>
      </w:pPr>
      <w:r>
        <w:rPr>
          <w:rFonts w:hint="eastAsia" w:hAnsi="宋体"/>
          <w:color w:val="auto"/>
          <w:sz w:val="24"/>
          <w:szCs w:val="24"/>
        </w:rPr>
        <w:t>质疑时效期间的计算</w:t>
      </w:r>
    </w:p>
    <w:p>
      <w:pPr>
        <w:pStyle w:val="16"/>
        <w:numPr>
          <w:ilvl w:val="0"/>
          <w:numId w:val="12"/>
        </w:numPr>
        <w:spacing w:line="360" w:lineRule="auto"/>
        <w:rPr>
          <w:rFonts w:hAnsi="宋体" w:cs="Arial"/>
          <w:color w:val="auto"/>
          <w:sz w:val="24"/>
          <w:szCs w:val="24"/>
        </w:rPr>
      </w:pPr>
      <w:r>
        <w:rPr>
          <w:rFonts w:hint="eastAsia" w:hAnsi="宋体" w:cs="Arial"/>
          <w:color w:val="auto"/>
          <w:sz w:val="24"/>
          <w:szCs w:val="24"/>
        </w:rPr>
        <w:t>对可以质疑的磋商文件提出质疑的，为收到磋商文件之日或磋商文件公告期限届满之日；</w:t>
      </w:r>
    </w:p>
    <w:p>
      <w:pPr>
        <w:pStyle w:val="16"/>
        <w:numPr>
          <w:ilvl w:val="0"/>
          <w:numId w:val="12"/>
        </w:numPr>
        <w:spacing w:line="360" w:lineRule="auto"/>
        <w:rPr>
          <w:rFonts w:hAnsi="宋体" w:cs="Arial"/>
          <w:color w:val="auto"/>
          <w:sz w:val="24"/>
          <w:szCs w:val="24"/>
        </w:rPr>
      </w:pPr>
      <w:r>
        <w:rPr>
          <w:rFonts w:hint="eastAsia" w:hAnsi="宋体" w:cs="Arial"/>
          <w:color w:val="auto"/>
          <w:sz w:val="24"/>
          <w:szCs w:val="24"/>
        </w:rPr>
        <w:t>对磋商过程提出质疑的，为磋商程序各环节结束之日；</w:t>
      </w:r>
    </w:p>
    <w:p>
      <w:pPr>
        <w:pStyle w:val="16"/>
        <w:numPr>
          <w:ilvl w:val="0"/>
          <w:numId w:val="12"/>
        </w:numPr>
        <w:spacing w:line="360" w:lineRule="auto"/>
        <w:rPr>
          <w:rFonts w:hAnsi="宋体" w:cs="Arial"/>
          <w:color w:val="auto"/>
          <w:sz w:val="24"/>
          <w:szCs w:val="24"/>
        </w:rPr>
      </w:pPr>
      <w:r>
        <w:rPr>
          <w:rFonts w:hint="eastAsia" w:hAnsi="宋体" w:cs="Arial"/>
          <w:color w:val="auto"/>
          <w:sz w:val="24"/>
          <w:szCs w:val="24"/>
        </w:rPr>
        <w:t>对成交结果提出质疑的，为成交公告期限届满之日。</w:t>
      </w:r>
    </w:p>
    <w:p>
      <w:pPr>
        <w:pStyle w:val="5"/>
        <w:numPr>
          <w:ilvl w:val="0"/>
          <w:numId w:val="5"/>
        </w:numPr>
        <w:spacing w:before="0" w:after="0" w:line="360" w:lineRule="auto"/>
        <w:rPr>
          <w:rFonts w:ascii="宋体" w:hAnsi="宋体"/>
          <w:b w:val="0"/>
          <w:color w:val="auto"/>
          <w:sz w:val="24"/>
          <w:szCs w:val="24"/>
        </w:rPr>
      </w:pPr>
      <w:bookmarkStart w:id="27" w:name="_Toc109133089"/>
      <w:bookmarkStart w:id="28" w:name="_Toc488673619"/>
      <w:r>
        <w:rPr>
          <w:rFonts w:hint="eastAsia" w:ascii="宋体" w:hAnsi="宋体"/>
          <w:b w:val="0"/>
          <w:color w:val="auto"/>
          <w:sz w:val="24"/>
          <w:szCs w:val="24"/>
        </w:rPr>
        <w:t>磋商文件的修改</w:t>
      </w:r>
      <w:bookmarkEnd w:id="27"/>
      <w:bookmarkEnd w:id="28"/>
    </w:p>
    <w:p>
      <w:pPr>
        <w:pStyle w:val="16"/>
        <w:numPr>
          <w:ilvl w:val="1"/>
          <w:numId w:val="13"/>
        </w:numPr>
        <w:spacing w:line="360" w:lineRule="auto"/>
        <w:rPr>
          <w:rFonts w:hAnsi="宋体"/>
          <w:color w:val="auto"/>
          <w:sz w:val="24"/>
          <w:szCs w:val="24"/>
        </w:rPr>
      </w:pPr>
      <w:r>
        <w:rPr>
          <w:rFonts w:hint="eastAsia" w:hAnsi="宋体"/>
          <w:color w:val="auto"/>
          <w:sz w:val="24"/>
          <w:szCs w:val="24"/>
        </w:rPr>
        <w:t>在磋商截止期前，采购单位或采购代理机构可对磋商文件进行必要的修改或者澄清；</w:t>
      </w:r>
    </w:p>
    <w:p>
      <w:pPr>
        <w:pStyle w:val="16"/>
        <w:numPr>
          <w:ilvl w:val="1"/>
          <w:numId w:val="13"/>
        </w:numPr>
        <w:spacing w:line="360" w:lineRule="auto"/>
        <w:rPr>
          <w:rFonts w:hAnsi="宋体"/>
          <w:color w:val="auto"/>
          <w:sz w:val="24"/>
          <w:szCs w:val="24"/>
        </w:rPr>
      </w:pPr>
      <w:r>
        <w:rPr>
          <w:rFonts w:hint="eastAsia" w:hAnsi="宋体"/>
          <w:color w:val="auto"/>
          <w:sz w:val="24"/>
          <w:szCs w:val="24"/>
        </w:rPr>
        <w:t>采购代理机构对已发出的磋商文件进行必要的澄清或者修改的，澄清或者修改的内容可能影响磋商响应文件编制的，在磋商文件要求提交磋商响应文件截止时间</w:t>
      </w:r>
      <w:r>
        <w:rPr>
          <w:rFonts w:hAnsi="宋体"/>
          <w:color w:val="auto"/>
          <w:sz w:val="24"/>
          <w:szCs w:val="24"/>
        </w:rPr>
        <w:t>5</w:t>
      </w:r>
      <w:r>
        <w:rPr>
          <w:rFonts w:hint="eastAsia" w:hAnsi="宋体"/>
          <w:color w:val="auto"/>
          <w:sz w:val="24"/>
          <w:szCs w:val="24"/>
        </w:rPr>
        <w:t>日前，在青海政府采购网、青海项目信息网等媒体上发布公告。不足</w:t>
      </w:r>
      <w:r>
        <w:rPr>
          <w:rFonts w:hAnsi="宋体"/>
          <w:color w:val="auto"/>
          <w:sz w:val="24"/>
          <w:szCs w:val="24"/>
        </w:rPr>
        <w:t>5</w:t>
      </w:r>
      <w:r>
        <w:rPr>
          <w:rFonts w:hint="eastAsia" w:hAnsi="宋体"/>
          <w:color w:val="auto"/>
          <w:sz w:val="24"/>
          <w:szCs w:val="24"/>
        </w:rPr>
        <w:t>日的，顺延提交磋商响应文件的截止时间。该澄清或者修改的内容为磋商文件的组成部分；</w:t>
      </w:r>
    </w:p>
    <w:p>
      <w:pPr>
        <w:pStyle w:val="16"/>
        <w:numPr>
          <w:ilvl w:val="1"/>
          <w:numId w:val="13"/>
        </w:numPr>
        <w:spacing w:line="360" w:lineRule="auto"/>
        <w:rPr>
          <w:rFonts w:hAnsi="宋体"/>
          <w:color w:val="auto"/>
          <w:sz w:val="24"/>
          <w:szCs w:val="24"/>
        </w:rPr>
      </w:pPr>
      <w:r>
        <w:rPr>
          <w:rFonts w:hint="eastAsia" w:hAnsi="宋体"/>
          <w:color w:val="auto"/>
          <w:sz w:val="24"/>
          <w:szCs w:val="24"/>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pPr>
        <w:pStyle w:val="4"/>
        <w:ind w:left="709"/>
        <w:rPr>
          <w:rFonts w:hAnsi="宋体"/>
          <w:b/>
          <w:color w:val="auto"/>
          <w:sz w:val="24"/>
          <w:szCs w:val="24"/>
        </w:rPr>
      </w:pPr>
      <w:bookmarkStart w:id="29" w:name="_Toc109133090"/>
      <w:r>
        <w:rPr>
          <w:rFonts w:hint="eastAsia" w:hAnsi="宋体"/>
          <w:b/>
          <w:color w:val="auto"/>
          <w:sz w:val="24"/>
          <w:szCs w:val="24"/>
        </w:rPr>
        <w:t>磋商响应文件的编写</w:t>
      </w:r>
      <w:bookmarkEnd w:id="29"/>
    </w:p>
    <w:p>
      <w:pPr>
        <w:pStyle w:val="5"/>
        <w:numPr>
          <w:ilvl w:val="0"/>
          <w:numId w:val="5"/>
        </w:numPr>
        <w:spacing w:before="0" w:after="0" w:line="360" w:lineRule="auto"/>
        <w:rPr>
          <w:rFonts w:ascii="宋体" w:hAnsi="宋体"/>
          <w:b w:val="0"/>
          <w:color w:val="auto"/>
          <w:sz w:val="24"/>
          <w:szCs w:val="24"/>
        </w:rPr>
      </w:pPr>
      <w:bookmarkStart w:id="30" w:name="_Toc488673621"/>
      <w:bookmarkStart w:id="31" w:name="_Toc109133091"/>
      <w:r>
        <w:rPr>
          <w:rFonts w:hint="eastAsia" w:ascii="宋体" w:hAnsi="宋体"/>
          <w:b w:val="0"/>
          <w:color w:val="auto"/>
          <w:sz w:val="24"/>
          <w:szCs w:val="24"/>
        </w:rPr>
        <w:t>磋商响应文件的语言及度量衡单位</w:t>
      </w:r>
      <w:bookmarkEnd w:id="30"/>
      <w:bookmarkEnd w:id="31"/>
    </w:p>
    <w:p>
      <w:pPr>
        <w:pStyle w:val="16"/>
        <w:numPr>
          <w:ilvl w:val="1"/>
          <w:numId w:val="14"/>
        </w:numPr>
        <w:spacing w:line="360" w:lineRule="auto"/>
        <w:rPr>
          <w:rFonts w:hAnsi="宋体"/>
          <w:color w:val="auto"/>
          <w:sz w:val="24"/>
          <w:szCs w:val="24"/>
        </w:rPr>
      </w:pPr>
      <w:r>
        <w:rPr>
          <w:rFonts w:hint="eastAsia" w:hAnsi="宋体"/>
          <w:color w:val="auto"/>
          <w:sz w:val="24"/>
          <w:szCs w:val="24"/>
        </w:rPr>
        <w:t>磋商供应商提交的磋商响应文件以及磋商供应商与采购代理机构就此磋商发生的所有来往函电均应使用简体中文；</w:t>
      </w:r>
    </w:p>
    <w:p>
      <w:pPr>
        <w:pStyle w:val="16"/>
        <w:numPr>
          <w:ilvl w:val="1"/>
          <w:numId w:val="14"/>
        </w:numPr>
        <w:spacing w:line="360" w:lineRule="auto"/>
        <w:rPr>
          <w:rFonts w:hAnsi="宋体"/>
          <w:color w:val="auto"/>
          <w:sz w:val="24"/>
          <w:szCs w:val="24"/>
        </w:rPr>
      </w:pPr>
      <w:r>
        <w:rPr>
          <w:rFonts w:hint="eastAsia" w:hAnsi="宋体"/>
          <w:color w:val="auto"/>
          <w:sz w:val="24"/>
          <w:szCs w:val="24"/>
        </w:rPr>
        <w:t>除磋商文件中另有规定外，磋商文件所使用的度量衡单位，均须采用国家法定计量单位；</w:t>
      </w:r>
    </w:p>
    <w:p>
      <w:pPr>
        <w:pStyle w:val="16"/>
        <w:numPr>
          <w:ilvl w:val="1"/>
          <w:numId w:val="14"/>
        </w:numPr>
        <w:spacing w:line="360" w:lineRule="auto"/>
        <w:rPr>
          <w:rFonts w:hAnsi="宋体"/>
          <w:color w:val="auto"/>
          <w:sz w:val="24"/>
          <w:szCs w:val="24"/>
        </w:rPr>
      </w:pPr>
      <w:r>
        <w:rPr>
          <w:rFonts w:hint="eastAsia" w:hAnsi="宋体"/>
          <w:color w:val="auto"/>
          <w:sz w:val="24"/>
          <w:szCs w:val="24"/>
        </w:rPr>
        <w:t>附有外文资料的须翻译成中文，并加盖磋商供应商公章，如果翻译的中文资料与外文资料出现差异与矛盾时，以中文为准，其准确性由磋商供应商负责。</w:t>
      </w:r>
    </w:p>
    <w:p>
      <w:pPr>
        <w:pStyle w:val="5"/>
        <w:numPr>
          <w:ilvl w:val="0"/>
          <w:numId w:val="5"/>
        </w:numPr>
        <w:spacing w:before="0" w:after="0" w:line="360" w:lineRule="auto"/>
        <w:rPr>
          <w:rFonts w:ascii="宋体" w:hAnsi="宋体"/>
          <w:b w:val="0"/>
          <w:color w:val="auto"/>
          <w:sz w:val="24"/>
          <w:szCs w:val="24"/>
        </w:rPr>
      </w:pPr>
      <w:bookmarkStart w:id="32" w:name="_Toc109133092"/>
      <w:bookmarkStart w:id="33" w:name="_Toc488673622"/>
      <w:r>
        <w:rPr>
          <w:rFonts w:hint="eastAsia" w:ascii="宋体" w:hAnsi="宋体"/>
          <w:b w:val="0"/>
          <w:color w:val="auto"/>
          <w:sz w:val="24"/>
          <w:szCs w:val="24"/>
        </w:rPr>
        <w:t>磋商报价及币种</w:t>
      </w:r>
      <w:bookmarkEnd w:id="32"/>
      <w:bookmarkEnd w:id="33"/>
    </w:p>
    <w:p>
      <w:pPr>
        <w:pStyle w:val="16"/>
        <w:numPr>
          <w:ilvl w:val="1"/>
          <w:numId w:val="15"/>
        </w:numPr>
        <w:spacing w:line="360" w:lineRule="auto"/>
        <w:rPr>
          <w:rFonts w:hAnsi="宋体"/>
          <w:color w:val="auto"/>
          <w:sz w:val="24"/>
          <w:szCs w:val="24"/>
        </w:rPr>
      </w:pPr>
      <w:r>
        <w:rPr>
          <w:rFonts w:hint="eastAsia" w:hAnsi="宋体"/>
          <w:color w:val="auto"/>
          <w:sz w:val="24"/>
          <w:szCs w:val="24"/>
        </w:rPr>
        <w:t>磋商报价为磋商总价。磋商报价必须包括：</w:t>
      </w:r>
      <w:bookmarkStart w:id="34" w:name="_Hlk497466989"/>
      <w:r>
        <w:rPr>
          <w:rFonts w:hint="eastAsia" w:hAnsi="宋体"/>
          <w:color w:val="auto"/>
          <w:sz w:val="24"/>
        </w:rPr>
        <w:t>产品费、维护费、检验费、手续费、保险费、售后服务费、税金、招标代理费以及其他不可预见费等全部费用</w:t>
      </w:r>
      <w:r>
        <w:rPr>
          <w:rFonts w:hint="eastAsia" w:hAnsi="宋体"/>
          <w:color w:val="auto"/>
          <w:sz w:val="24"/>
          <w:szCs w:val="24"/>
        </w:rPr>
        <w:t>。（说明：具体内容应根据项目特点实事求是的填写）</w:t>
      </w:r>
      <w:bookmarkEnd w:id="34"/>
    </w:p>
    <w:p>
      <w:pPr>
        <w:pStyle w:val="16"/>
        <w:numPr>
          <w:ilvl w:val="1"/>
          <w:numId w:val="15"/>
        </w:numPr>
        <w:spacing w:line="360" w:lineRule="auto"/>
        <w:rPr>
          <w:rFonts w:hAnsi="宋体"/>
          <w:color w:val="auto"/>
          <w:sz w:val="24"/>
          <w:szCs w:val="24"/>
        </w:rPr>
      </w:pPr>
      <w:r>
        <w:rPr>
          <w:rFonts w:hint="eastAsia" w:hAnsi="宋体"/>
          <w:color w:val="auto"/>
          <w:sz w:val="24"/>
          <w:szCs w:val="24"/>
        </w:rPr>
        <w:t>磋商报价应注明有效期，有效期应与磋商有效期一致；</w:t>
      </w:r>
    </w:p>
    <w:p>
      <w:pPr>
        <w:pStyle w:val="16"/>
        <w:numPr>
          <w:ilvl w:val="1"/>
          <w:numId w:val="15"/>
        </w:numPr>
        <w:spacing w:line="360" w:lineRule="auto"/>
        <w:rPr>
          <w:rFonts w:hAnsi="宋体"/>
          <w:color w:val="auto"/>
          <w:sz w:val="24"/>
          <w:szCs w:val="24"/>
        </w:rPr>
      </w:pPr>
      <w:r>
        <w:rPr>
          <w:rFonts w:hint="eastAsia" w:hAnsi="宋体"/>
          <w:color w:val="auto"/>
          <w:sz w:val="24"/>
          <w:szCs w:val="24"/>
        </w:rPr>
        <w:t>磋商供应商应根据磋商文件规定的格式完整填写所有内容，并保证所提供的全部资料真实可靠，自愿承担相应责任；</w:t>
      </w:r>
    </w:p>
    <w:p>
      <w:pPr>
        <w:pStyle w:val="16"/>
        <w:numPr>
          <w:ilvl w:val="1"/>
          <w:numId w:val="15"/>
        </w:numPr>
        <w:spacing w:line="360" w:lineRule="auto"/>
        <w:rPr>
          <w:rFonts w:hAnsi="宋体"/>
          <w:color w:val="auto"/>
          <w:sz w:val="24"/>
          <w:szCs w:val="24"/>
        </w:rPr>
      </w:pPr>
      <w:r>
        <w:rPr>
          <w:rFonts w:hint="eastAsia" w:hAnsi="宋体"/>
          <w:color w:val="auto"/>
          <w:sz w:val="24"/>
          <w:szCs w:val="24"/>
        </w:rPr>
        <w:t>磋商报价为闭口价，即成交后在合同有效期内价格不变；</w:t>
      </w:r>
    </w:p>
    <w:p>
      <w:pPr>
        <w:pStyle w:val="16"/>
        <w:numPr>
          <w:ilvl w:val="1"/>
          <w:numId w:val="15"/>
        </w:numPr>
        <w:spacing w:line="360" w:lineRule="auto"/>
        <w:rPr>
          <w:rFonts w:hAnsi="宋体"/>
          <w:color w:val="auto"/>
          <w:sz w:val="24"/>
          <w:szCs w:val="24"/>
        </w:rPr>
      </w:pPr>
      <w:r>
        <w:rPr>
          <w:rFonts w:hint="eastAsia" w:hAnsi="宋体"/>
          <w:color w:val="auto"/>
          <w:sz w:val="24"/>
          <w:szCs w:val="24"/>
        </w:rPr>
        <w:t>磋商币种为人民币。</w:t>
      </w:r>
    </w:p>
    <w:p>
      <w:pPr>
        <w:pStyle w:val="5"/>
        <w:numPr>
          <w:ilvl w:val="0"/>
          <w:numId w:val="5"/>
        </w:numPr>
        <w:spacing w:before="0" w:after="0" w:line="360" w:lineRule="auto"/>
        <w:rPr>
          <w:rFonts w:ascii="宋体" w:hAnsi="宋体"/>
          <w:b w:val="0"/>
          <w:color w:val="auto"/>
          <w:sz w:val="24"/>
          <w:szCs w:val="24"/>
        </w:rPr>
      </w:pPr>
      <w:bookmarkStart w:id="35" w:name="_Toc109133093"/>
      <w:bookmarkStart w:id="36" w:name="_Toc488673623"/>
      <w:r>
        <w:rPr>
          <w:rFonts w:hint="eastAsia" w:ascii="宋体" w:hAnsi="宋体"/>
          <w:b w:val="0"/>
          <w:color w:val="auto"/>
          <w:sz w:val="24"/>
          <w:szCs w:val="24"/>
        </w:rPr>
        <w:t>磋商保证金</w:t>
      </w:r>
      <w:bookmarkEnd w:id="35"/>
      <w:bookmarkEnd w:id="36"/>
    </w:p>
    <w:p>
      <w:pPr>
        <w:pStyle w:val="16"/>
        <w:numPr>
          <w:ilvl w:val="1"/>
          <w:numId w:val="16"/>
        </w:numPr>
        <w:spacing w:line="360" w:lineRule="auto"/>
        <w:rPr>
          <w:rFonts w:hAnsi="宋体"/>
          <w:color w:val="auto"/>
          <w:sz w:val="24"/>
          <w:szCs w:val="24"/>
        </w:rPr>
      </w:pPr>
      <w:r>
        <w:rPr>
          <w:rFonts w:hint="eastAsia" w:hAnsi="宋体"/>
          <w:color w:val="auto"/>
          <w:sz w:val="24"/>
          <w:szCs w:val="24"/>
        </w:rPr>
        <w:t>磋商供应商应将磋商保证金缴纳证明作为磋商响应文件的内容一并提供。缴纳的磋商保证金用于因磋商供应商的行为使本次磋商活动受到损失的抵项；</w:t>
      </w:r>
    </w:p>
    <w:p>
      <w:pPr>
        <w:pStyle w:val="16"/>
        <w:numPr>
          <w:ilvl w:val="1"/>
          <w:numId w:val="16"/>
        </w:numPr>
        <w:spacing w:line="360" w:lineRule="auto"/>
        <w:rPr>
          <w:rFonts w:hAnsi="宋体"/>
          <w:color w:val="auto"/>
          <w:sz w:val="24"/>
          <w:szCs w:val="24"/>
        </w:rPr>
      </w:pPr>
      <w:r>
        <w:rPr>
          <w:rFonts w:hint="eastAsia" w:hAnsi="宋体"/>
          <w:color w:val="auto"/>
          <w:sz w:val="24"/>
          <w:szCs w:val="24"/>
        </w:rPr>
        <w:t>磋商人须在投标截止期前按以下要求交纳投标保证金：</w:t>
      </w:r>
    </w:p>
    <w:p>
      <w:pPr>
        <w:adjustRightInd w:val="0"/>
        <w:snapToGrid w:val="0"/>
        <w:spacing w:line="360" w:lineRule="auto"/>
        <w:ind w:firstLine="480" w:firstLineChars="200"/>
        <w:rPr>
          <w:rFonts w:ascii="宋体" w:hAnsi="宋体" w:cs="Arial"/>
          <w:color w:val="auto"/>
          <w:sz w:val="24"/>
        </w:rPr>
      </w:pPr>
      <w:r>
        <w:rPr>
          <w:rFonts w:hint="eastAsia" w:ascii="宋体" w:hAnsi="宋体" w:cs="Arial"/>
          <w:color w:val="auto"/>
          <w:kern w:val="0"/>
          <w:sz w:val="24"/>
        </w:rPr>
        <w:t>磋商</w:t>
      </w:r>
      <w:r>
        <w:rPr>
          <w:rFonts w:ascii="宋体" w:hAnsi="宋体" w:cs="Arial"/>
          <w:color w:val="auto"/>
          <w:sz w:val="24"/>
        </w:rPr>
        <w:t>保证金的金额（人民币）</w:t>
      </w:r>
      <w:bookmarkStart w:id="37" w:name="_Toc421873480"/>
      <w:r>
        <w:rPr>
          <w:rFonts w:hint="eastAsia" w:ascii="宋体" w:hAnsi="宋体" w:cs="Arial"/>
          <w:color w:val="auto"/>
          <w:sz w:val="24"/>
        </w:rPr>
        <w:t>：</w:t>
      </w:r>
    </w:p>
    <w:bookmarkEnd w:id="37"/>
    <w:p>
      <w:pPr>
        <w:pStyle w:val="51"/>
        <w:spacing w:line="360" w:lineRule="auto"/>
        <w:ind w:firstLine="480" w:firstLineChars="200"/>
        <w:rPr>
          <w:rFonts w:ascii="宋体" w:hAnsi="宋体" w:cs="宋体"/>
          <w:bCs/>
          <w:color w:val="auto"/>
          <w:kern w:val="0"/>
          <w:sz w:val="24"/>
          <w:lang w:val="zh-CN"/>
        </w:rPr>
      </w:pPr>
      <w:bookmarkStart w:id="38" w:name="_Toc421873483"/>
      <w:r>
        <w:rPr>
          <w:rFonts w:hint="eastAsia" w:ascii="宋体" w:hAnsi="宋体" w:cs="宋体"/>
          <w:bCs/>
          <w:color w:val="auto"/>
          <w:kern w:val="0"/>
          <w:sz w:val="24"/>
          <w:lang w:val="zh-CN"/>
        </w:rPr>
        <w:t>小写：￥</w:t>
      </w:r>
      <w:r>
        <w:rPr>
          <w:rFonts w:hint="eastAsia" w:ascii="宋体" w:hAnsi="宋体" w:cs="宋体"/>
          <w:bCs/>
          <w:color w:val="auto"/>
          <w:kern w:val="0"/>
          <w:sz w:val="24"/>
          <w:lang w:val="en-US" w:eastAsia="zh-CN"/>
        </w:rPr>
        <w:t>20</w:t>
      </w:r>
      <w:r>
        <w:rPr>
          <w:rFonts w:hint="eastAsia" w:ascii="宋体" w:hAnsi="宋体" w:cs="宋体"/>
          <w:bCs/>
          <w:color w:val="auto"/>
          <w:kern w:val="0"/>
          <w:sz w:val="24"/>
          <w:lang w:val="zh-CN"/>
        </w:rPr>
        <w:t>,000.00元整；大写：</w:t>
      </w:r>
      <w:r>
        <w:rPr>
          <w:rFonts w:hint="eastAsia" w:ascii="宋体" w:hAnsi="宋体" w:cs="宋体"/>
          <w:bCs/>
          <w:color w:val="auto"/>
          <w:kern w:val="0"/>
          <w:sz w:val="24"/>
          <w:lang w:val="en-US" w:eastAsia="zh-CN"/>
        </w:rPr>
        <w:t>贰万</w:t>
      </w:r>
      <w:r>
        <w:rPr>
          <w:rFonts w:hint="eastAsia" w:ascii="宋体" w:hAnsi="宋体" w:cs="宋体"/>
          <w:bCs/>
          <w:color w:val="auto"/>
          <w:kern w:val="0"/>
          <w:sz w:val="24"/>
          <w:lang w:val="zh-CN"/>
        </w:rPr>
        <w:t>元整；</w:t>
      </w:r>
    </w:p>
    <w:p>
      <w:pPr>
        <w:adjustRightInd w:val="0"/>
        <w:snapToGrid w:val="0"/>
        <w:spacing w:line="360" w:lineRule="auto"/>
        <w:ind w:firstLine="480" w:firstLineChars="200"/>
        <w:rPr>
          <w:rFonts w:ascii="宋体" w:hAnsi="宋体" w:cs="Arial"/>
          <w:color w:val="auto"/>
          <w:kern w:val="0"/>
          <w:sz w:val="24"/>
        </w:rPr>
      </w:pPr>
      <w:r>
        <w:rPr>
          <w:rFonts w:ascii="宋体" w:hAnsi="宋体" w:cs="Arial"/>
          <w:color w:val="auto"/>
          <w:kern w:val="0"/>
          <w:sz w:val="24"/>
        </w:rPr>
        <w:t>磋商人可以采用现金支票、银行汇票、银行保函等非现金形式交纳</w:t>
      </w:r>
      <w:r>
        <w:rPr>
          <w:rFonts w:hint="eastAsia" w:ascii="宋体" w:hAnsi="宋体" w:cs="Arial"/>
          <w:color w:val="auto"/>
          <w:kern w:val="0"/>
          <w:sz w:val="24"/>
        </w:rPr>
        <w:t>磋商</w:t>
      </w:r>
      <w:r>
        <w:rPr>
          <w:rFonts w:ascii="宋体" w:hAnsi="宋体" w:cs="Arial"/>
          <w:color w:val="auto"/>
          <w:kern w:val="0"/>
          <w:sz w:val="24"/>
        </w:rPr>
        <w:t>保证金（注明此次项目磋商文件编号，例：</w:t>
      </w:r>
      <w:r>
        <w:rPr>
          <w:rFonts w:hint="eastAsia" w:ascii="宋体" w:hAnsi="宋体" w:cs="Arial"/>
          <w:color w:val="auto"/>
          <w:kern w:val="0"/>
          <w:sz w:val="24"/>
          <w:lang w:eastAsia="zh-CN"/>
        </w:rPr>
        <w:t>青海国焱竞磋（货物）2024-183号</w:t>
      </w:r>
      <w:r>
        <w:rPr>
          <w:rFonts w:ascii="宋体" w:hAnsi="宋体" w:cs="Arial"/>
          <w:color w:val="auto"/>
          <w:kern w:val="0"/>
          <w:sz w:val="24"/>
        </w:rPr>
        <w:t>）；</w:t>
      </w:r>
    </w:p>
    <w:p>
      <w:pPr>
        <w:adjustRightInd w:val="0"/>
        <w:snapToGrid w:val="0"/>
        <w:spacing w:line="360" w:lineRule="auto"/>
        <w:ind w:firstLine="480" w:firstLineChars="200"/>
        <w:rPr>
          <w:rFonts w:ascii="宋体" w:hAnsi="宋体" w:cs="Arial"/>
          <w:color w:val="auto"/>
          <w:kern w:val="0"/>
          <w:sz w:val="24"/>
        </w:rPr>
      </w:pPr>
      <w:r>
        <w:rPr>
          <w:rFonts w:ascii="宋体" w:hAnsi="宋体" w:cs="Arial"/>
          <w:color w:val="auto"/>
          <w:kern w:val="0"/>
          <w:sz w:val="24"/>
        </w:rPr>
        <w:t>提交账号如下：</w:t>
      </w:r>
      <w:bookmarkEnd w:id="38"/>
    </w:p>
    <w:p>
      <w:pPr>
        <w:adjustRightInd w:val="0"/>
        <w:snapToGrid w:val="0"/>
        <w:spacing w:line="360" w:lineRule="auto"/>
        <w:ind w:firstLine="480" w:firstLineChars="200"/>
        <w:rPr>
          <w:rFonts w:ascii="宋体" w:hAnsi="宋体" w:cs="Arial"/>
          <w:color w:val="auto"/>
          <w:kern w:val="0"/>
          <w:sz w:val="24"/>
        </w:rPr>
      </w:pPr>
      <w:r>
        <w:rPr>
          <w:rFonts w:hint="eastAsia" w:ascii="宋体" w:hAnsi="宋体" w:cs="Arial"/>
          <w:color w:val="auto"/>
          <w:kern w:val="0"/>
          <w:sz w:val="24"/>
        </w:rPr>
        <w:t>开户行：中国工商银行股份有限公司西宁五四大街支行</w:t>
      </w:r>
    </w:p>
    <w:p>
      <w:pPr>
        <w:adjustRightInd w:val="0"/>
        <w:snapToGrid w:val="0"/>
        <w:spacing w:line="360" w:lineRule="auto"/>
        <w:ind w:firstLine="480" w:firstLineChars="200"/>
        <w:rPr>
          <w:rFonts w:ascii="宋体" w:hAnsi="宋体" w:cs="Arial"/>
          <w:color w:val="auto"/>
          <w:kern w:val="0"/>
          <w:sz w:val="24"/>
        </w:rPr>
      </w:pPr>
      <w:r>
        <w:rPr>
          <w:rFonts w:hint="eastAsia" w:ascii="宋体" w:hAnsi="宋体" w:cs="Arial"/>
          <w:color w:val="auto"/>
          <w:kern w:val="0"/>
          <w:sz w:val="24"/>
        </w:rPr>
        <w:t>账户名：青海国焱工程项目管理有限公司</w:t>
      </w:r>
    </w:p>
    <w:p>
      <w:pPr>
        <w:adjustRightInd w:val="0"/>
        <w:snapToGrid w:val="0"/>
        <w:spacing w:line="360" w:lineRule="auto"/>
        <w:ind w:firstLine="480" w:firstLineChars="200"/>
        <w:rPr>
          <w:rFonts w:ascii="宋体" w:hAnsi="宋体" w:cs="Arial"/>
          <w:color w:val="auto"/>
          <w:kern w:val="0"/>
          <w:sz w:val="24"/>
        </w:rPr>
      </w:pPr>
      <w:r>
        <w:rPr>
          <w:rFonts w:hint="eastAsia" w:ascii="宋体" w:hAnsi="宋体" w:cs="Arial"/>
          <w:color w:val="auto"/>
          <w:kern w:val="0"/>
          <w:sz w:val="24"/>
        </w:rPr>
        <w:t>账号：2806001309000043259（开户行号：102851000139）</w:t>
      </w:r>
    </w:p>
    <w:p>
      <w:pPr>
        <w:pStyle w:val="16"/>
        <w:spacing w:line="360" w:lineRule="auto"/>
        <w:ind w:left="141" w:leftChars="67" w:firstLine="354" w:firstLineChars="147"/>
        <w:rPr>
          <w:rFonts w:hAnsi="宋体"/>
          <w:color w:val="auto"/>
          <w:sz w:val="24"/>
          <w:szCs w:val="24"/>
        </w:rPr>
      </w:pPr>
      <w:r>
        <w:rPr>
          <w:rFonts w:hAnsi="宋体" w:cs="Arial"/>
          <w:b/>
          <w:color w:val="auto"/>
          <w:sz w:val="24"/>
          <w:szCs w:val="24"/>
        </w:rPr>
        <w:t>缴纳截止时间</w:t>
      </w:r>
      <w:r>
        <w:rPr>
          <w:rFonts w:hint="eastAsia" w:hAnsi="宋体" w:cs="Arial"/>
          <w:b/>
          <w:color w:val="auto"/>
          <w:sz w:val="24"/>
          <w:szCs w:val="24"/>
        </w:rPr>
        <w:t>：磋商截止时间前，以银行到账时间为准。</w:t>
      </w:r>
    </w:p>
    <w:p>
      <w:pPr>
        <w:pStyle w:val="16"/>
        <w:numPr>
          <w:ilvl w:val="1"/>
          <w:numId w:val="16"/>
        </w:numPr>
        <w:spacing w:line="360" w:lineRule="auto"/>
        <w:rPr>
          <w:rFonts w:hAnsi="宋体"/>
          <w:color w:val="auto"/>
          <w:sz w:val="24"/>
          <w:szCs w:val="24"/>
        </w:rPr>
      </w:pPr>
      <w:r>
        <w:rPr>
          <w:rFonts w:hint="eastAsia" w:hAnsi="宋体"/>
          <w:color w:val="auto"/>
          <w:sz w:val="24"/>
          <w:szCs w:val="24"/>
        </w:rPr>
        <w:t>磋商供应商应在磋商截止时间前将磋商保证金缴纳到采购代理机构账户，以银行到账时间为准；</w:t>
      </w:r>
    </w:p>
    <w:p>
      <w:pPr>
        <w:pStyle w:val="16"/>
        <w:numPr>
          <w:ilvl w:val="1"/>
          <w:numId w:val="16"/>
        </w:numPr>
        <w:spacing w:line="360" w:lineRule="auto"/>
        <w:rPr>
          <w:rFonts w:hAnsi="宋体"/>
          <w:color w:val="auto"/>
          <w:sz w:val="24"/>
          <w:szCs w:val="24"/>
        </w:rPr>
      </w:pPr>
      <w:r>
        <w:rPr>
          <w:rFonts w:hint="eastAsia" w:hAnsi="宋体"/>
          <w:color w:val="auto"/>
          <w:sz w:val="24"/>
          <w:szCs w:val="24"/>
        </w:rPr>
        <w:t>磋商保证金应当以电汇、支票、汇票、本票或者金融机构、担保机构出具的保函等非现金形式提交，通过银行转账的，必须从磋商供应商基本账户直接汇（转）入采购代理机构指定账户；</w:t>
      </w:r>
    </w:p>
    <w:p>
      <w:pPr>
        <w:pStyle w:val="16"/>
        <w:numPr>
          <w:ilvl w:val="1"/>
          <w:numId w:val="16"/>
        </w:numPr>
        <w:spacing w:line="360" w:lineRule="auto"/>
        <w:rPr>
          <w:rFonts w:hAnsi="宋体"/>
          <w:color w:val="auto"/>
          <w:sz w:val="24"/>
          <w:szCs w:val="24"/>
        </w:rPr>
      </w:pPr>
      <w:r>
        <w:rPr>
          <w:rFonts w:hint="eastAsia" w:hAnsi="宋体"/>
          <w:color w:val="auto"/>
          <w:sz w:val="24"/>
          <w:szCs w:val="24"/>
        </w:rPr>
        <w:t>未按磋商文件要求在规定时间前交纳规定数额磋商保证金的磋商将被拒绝；</w:t>
      </w:r>
    </w:p>
    <w:p>
      <w:pPr>
        <w:pStyle w:val="16"/>
        <w:numPr>
          <w:ilvl w:val="1"/>
          <w:numId w:val="16"/>
        </w:numPr>
        <w:spacing w:line="360" w:lineRule="auto"/>
        <w:rPr>
          <w:rFonts w:hAnsi="宋体"/>
          <w:color w:val="auto"/>
          <w:sz w:val="24"/>
          <w:szCs w:val="24"/>
        </w:rPr>
      </w:pPr>
      <w:r>
        <w:rPr>
          <w:rFonts w:hint="eastAsia" w:hAnsi="宋体"/>
          <w:color w:val="auto"/>
          <w:sz w:val="24"/>
          <w:szCs w:val="24"/>
        </w:rPr>
        <w:t>未成交磋商供应商的磋商保证金自成交通知书发出之日起5个工作日内全额无息退还（不退现金）；成交磋商供应商的磋商保证金，自政府采购合同签订之日起5个工作日内全额无息退还（不退现金）；</w:t>
      </w:r>
    </w:p>
    <w:p>
      <w:pPr>
        <w:pStyle w:val="16"/>
        <w:numPr>
          <w:ilvl w:val="1"/>
          <w:numId w:val="16"/>
        </w:numPr>
        <w:spacing w:line="360" w:lineRule="auto"/>
        <w:rPr>
          <w:rFonts w:hAnsi="宋体"/>
          <w:color w:val="auto"/>
          <w:sz w:val="24"/>
          <w:szCs w:val="24"/>
        </w:rPr>
      </w:pPr>
      <w:r>
        <w:rPr>
          <w:rFonts w:hint="eastAsia" w:hAnsi="宋体"/>
          <w:color w:val="auto"/>
          <w:sz w:val="24"/>
          <w:szCs w:val="24"/>
        </w:rPr>
        <w:t>下列任何情况发生时，磋商保证金将不予退还：</w:t>
      </w:r>
    </w:p>
    <w:p>
      <w:pPr>
        <w:pStyle w:val="16"/>
        <w:numPr>
          <w:ilvl w:val="0"/>
          <w:numId w:val="17"/>
        </w:numPr>
        <w:spacing w:line="360" w:lineRule="auto"/>
        <w:rPr>
          <w:rFonts w:hAnsi="宋体" w:cs="Arial"/>
          <w:color w:val="auto"/>
          <w:sz w:val="24"/>
          <w:szCs w:val="24"/>
        </w:rPr>
      </w:pPr>
      <w:r>
        <w:rPr>
          <w:rFonts w:hint="eastAsia" w:hAnsi="宋体" w:cs="Arial"/>
          <w:color w:val="auto"/>
          <w:sz w:val="24"/>
          <w:szCs w:val="24"/>
        </w:rPr>
        <w:t>磋商供应商在递交磋商响应文件的截止时间前未到达现场并且没有以书面形式如信函、传真等告知采购代理机构要撤其磋商的；</w:t>
      </w:r>
    </w:p>
    <w:p>
      <w:pPr>
        <w:pStyle w:val="16"/>
        <w:numPr>
          <w:ilvl w:val="0"/>
          <w:numId w:val="17"/>
        </w:numPr>
        <w:spacing w:line="360" w:lineRule="auto"/>
        <w:rPr>
          <w:rFonts w:hAnsi="宋体" w:cs="Arial"/>
          <w:color w:val="auto"/>
          <w:sz w:val="24"/>
          <w:szCs w:val="24"/>
        </w:rPr>
      </w:pPr>
      <w:r>
        <w:rPr>
          <w:rFonts w:hint="eastAsia" w:hAnsi="宋体" w:cs="Arial"/>
          <w:color w:val="auto"/>
          <w:sz w:val="24"/>
          <w:szCs w:val="24"/>
        </w:rPr>
        <w:t>成交磋商供应商在规定期限内未能按规定签订合同或未按规定缴纳成交服务费；</w:t>
      </w:r>
    </w:p>
    <w:p>
      <w:pPr>
        <w:pStyle w:val="16"/>
        <w:numPr>
          <w:ilvl w:val="0"/>
          <w:numId w:val="17"/>
        </w:numPr>
        <w:spacing w:line="360" w:lineRule="auto"/>
        <w:rPr>
          <w:rFonts w:hAnsi="宋体" w:cs="Arial"/>
          <w:color w:val="auto"/>
          <w:sz w:val="24"/>
          <w:szCs w:val="24"/>
        </w:rPr>
      </w:pPr>
      <w:r>
        <w:rPr>
          <w:rFonts w:hint="eastAsia" w:hAnsi="宋体" w:cs="Arial"/>
          <w:color w:val="auto"/>
          <w:sz w:val="24"/>
          <w:szCs w:val="24"/>
        </w:rPr>
        <w:t>提供虚假材料谋取成交的；</w:t>
      </w:r>
    </w:p>
    <w:p>
      <w:pPr>
        <w:pStyle w:val="16"/>
        <w:numPr>
          <w:ilvl w:val="0"/>
          <w:numId w:val="17"/>
        </w:numPr>
        <w:spacing w:line="360" w:lineRule="auto"/>
        <w:rPr>
          <w:rFonts w:hAnsi="宋体" w:cs="Arial"/>
          <w:color w:val="auto"/>
          <w:sz w:val="24"/>
          <w:szCs w:val="24"/>
        </w:rPr>
      </w:pPr>
      <w:r>
        <w:rPr>
          <w:rFonts w:hint="eastAsia" w:hAnsi="宋体" w:cs="Arial"/>
          <w:color w:val="auto"/>
          <w:sz w:val="24"/>
          <w:szCs w:val="24"/>
        </w:rPr>
        <w:t>将成交项目转让给他人，或者在磋商响应文件中未说明，将成交项目分包给他人的；</w:t>
      </w:r>
    </w:p>
    <w:p>
      <w:pPr>
        <w:pStyle w:val="16"/>
        <w:numPr>
          <w:ilvl w:val="0"/>
          <w:numId w:val="17"/>
        </w:numPr>
        <w:spacing w:line="360" w:lineRule="auto"/>
        <w:rPr>
          <w:rFonts w:hAnsi="宋体" w:cs="Arial"/>
          <w:color w:val="auto"/>
          <w:sz w:val="24"/>
          <w:szCs w:val="24"/>
        </w:rPr>
      </w:pPr>
      <w:r>
        <w:rPr>
          <w:rFonts w:hint="eastAsia" w:hAnsi="宋体" w:cs="Arial"/>
          <w:color w:val="auto"/>
          <w:sz w:val="24"/>
          <w:szCs w:val="24"/>
        </w:rPr>
        <w:t>拒绝履行合同义务的；</w:t>
      </w:r>
    </w:p>
    <w:p>
      <w:pPr>
        <w:pStyle w:val="16"/>
        <w:numPr>
          <w:ilvl w:val="0"/>
          <w:numId w:val="17"/>
        </w:numPr>
        <w:spacing w:line="360" w:lineRule="auto"/>
        <w:rPr>
          <w:rFonts w:hAnsi="宋体" w:cs="Arial"/>
          <w:color w:val="auto"/>
          <w:sz w:val="24"/>
          <w:szCs w:val="24"/>
        </w:rPr>
      </w:pPr>
      <w:r>
        <w:rPr>
          <w:rFonts w:hint="eastAsia" w:hAnsi="宋体" w:cs="Arial"/>
          <w:color w:val="auto"/>
          <w:sz w:val="24"/>
          <w:szCs w:val="24"/>
        </w:rPr>
        <w:t>法律、法规规定的其他情形。</w:t>
      </w:r>
    </w:p>
    <w:p>
      <w:pPr>
        <w:pStyle w:val="5"/>
        <w:numPr>
          <w:ilvl w:val="0"/>
          <w:numId w:val="5"/>
        </w:numPr>
        <w:spacing w:before="0" w:after="0" w:line="360" w:lineRule="auto"/>
        <w:rPr>
          <w:rFonts w:ascii="宋体" w:hAnsi="宋体"/>
          <w:b w:val="0"/>
          <w:color w:val="auto"/>
          <w:sz w:val="24"/>
          <w:szCs w:val="24"/>
        </w:rPr>
      </w:pPr>
      <w:bookmarkStart w:id="39" w:name="_Toc488673624"/>
      <w:bookmarkStart w:id="40" w:name="_Toc109133094"/>
      <w:r>
        <w:rPr>
          <w:rFonts w:ascii="宋体" w:hAnsi="宋体"/>
          <w:b w:val="0"/>
          <w:color w:val="auto"/>
          <w:sz w:val="24"/>
          <w:szCs w:val="24"/>
        </w:rPr>
        <w:t>磋商有效期</w:t>
      </w:r>
      <w:bookmarkEnd w:id="39"/>
      <w:bookmarkEnd w:id="40"/>
    </w:p>
    <w:p>
      <w:pPr>
        <w:pStyle w:val="16"/>
        <w:spacing w:line="360" w:lineRule="auto"/>
        <w:ind w:firstLine="480" w:firstLineChars="200"/>
        <w:rPr>
          <w:rFonts w:hAnsi="宋体"/>
          <w:b/>
          <w:color w:val="auto"/>
          <w:sz w:val="24"/>
          <w:szCs w:val="24"/>
        </w:rPr>
      </w:pPr>
      <w:r>
        <w:rPr>
          <w:rFonts w:hAnsi="宋体" w:cs="Arial"/>
          <w:color w:val="auto"/>
          <w:sz w:val="24"/>
          <w:szCs w:val="24"/>
        </w:rPr>
        <w:t>本次磋商有效期为自</w:t>
      </w:r>
      <w:r>
        <w:rPr>
          <w:rFonts w:hint="eastAsia" w:hAnsi="宋体" w:cs="Arial"/>
          <w:color w:val="auto"/>
          <w:sz w:val="24"/>
          <w:szCs w:val="24"/>
        </w:rPr>
        <w:t>磋商</w:t>
      </w:r>
      <w:r>
        <w:rPr>
          <w:rFonts w:hAnsi="宋体" w:cs="Arial"/>
          <w:color w:val="auto"/>
          <w:sz w:val="24"/>
          <w:szCs w:val="24"/>
        </w:rPr>
        <w:t>之日起</w:t>
      </w:r>
      <w:r>
        <w:rPr>
          <w:rFonts w:hint="eastAsia" w:hAnsi="宋体" w:cs="Arial"/>
          <w:color w:val="auto"/>
          <w:sz w:val="24"/>
          <w:szCs w:val="24"/>
        </w:rPr>
        <w:t>60</w:t>
      </w:r>
      <w:r>
        <w:rPr>
          <w:rFonts w:hAnsi="宋体" w:cs="Arial"/>
          <w:color w:val="auto"/>
          <w:sz w:val="24"/>
          <w:szCs w:val="24"/>
        </w:rPr>
        <w:t>个</w:t>
      </w:r>
      <w:r>
        <w:rPr>
          <w:rFonts w:hint="eastAsia" w:hAnsi="宋体" w:cs="Arial"/>
          <w:color w:val="auto"/>
          <w:sz w:val="24"/>
          <w:szCs w:val="24"/>
        </w:rPr>
        <w:t>日历日。</w:t>
      </w:r>
    </w:p>
    <w:p>
      <w:pPr>
        <w:pStyle w:val="5"/>
        <w:numPr>
          <w:ilvl w:val="0"/>
          <w:numId w:val="5"/>
        </w:numPr>
        <w:spacing w:before="0" w:after="0" w:line="360" w:lineRule="auto"/>
        <w:rPr>
          <w:rFonts w:ascii="宋体" w:hAnsi="宋体"/>
          <w:b w:val="0"/>
          <w:color w:val="auto"/>
          <w:sz w:val="24"/>
          <w:szCs w:val="24"/>
        </w:rPr>
      </w:pPr>
      <w:bookmarkStart w:id="41" w:name="_Toc109133095"/>
      <w:bookmarkStart w:id="42" w:name="_Toc488673625"/>
      <w:r>
        <w:rPr>
          <w:rFonts w:hint="eastAsia" w:ascii="宋体" w:hAnsi="宋体"/>
          <w:b w:val="0"/>
          <w:color w:val="auto"/>
          <w:sz w:val="24"/>
          <w:szCs w:val="24"/>
        </w:rPr>
        <w:t>磋商响应文件的构成</w:t>
      </w:r>
      <w:bookmarkEnd w:id="41"/>
      <w:bookmarkEnd w:id="42"/>
    </w:p>
    <w:p>
      <w:pPr>
        <w:pStyle w:val="16"/>
        <w:spacing w:line="360" w:lineRule="auto"/>
        <w:ind w:firstLine="600" w:firstLineChars="250"/>
        <w:rPr>
          <w:rFonts w:hAnsi="宋体"/>
          <w:color w:val="auto"/>
          <w:sz w:val="24"/>
          <w:szCs w:val="24"/>
        </w:rPr>
      </w:pPr>
      <w:r>
        <w:rPr>
          <w:rFonts w:hint="eastAsia" w:hAnsi="宋体"/>
          <w:color w:val="auto"/>
          <w:sz w:val="24"/>
          <w:szCs w:val="24"/>
        </w:rPr>
        <w:t>磋商供应商应提交相关证明材料，作为其参加磋商和成交后有能力履行合同的证明。编写的磋商响应文件须包括以下内容（格式见磋商文件“第五部分 磋商响应文件格式”）：</w:t>
      </w:r>
    </w:p>
    <w:p>
      <w:pPr>
        <w:autoSpaceDE w:val="0"/>
        <w:autoSpaceDN w:val="0"/>
        <w:spacing w:line="360" w:lineRule="auto"/>
        <w:ind w:left="426"/>
        <w:rPr>
          <w:rFonts w:ascii="宋体" w:hAnsi="宋体"/>
          <w:color w:val="auto"/>
          <w:kern w:val="0"/>
          <w:sz w:val="24"/>
          <w:lang w:val="zh-CN"/>
        </w:rPr>
      </w:pPr>
      <w:r>
        <w:rPr>
          <w:rFonts w:hint="eastAsia" w:ascii="宋体" w:hAnsi="宋体"/>
          <w:color w:val="auto"/>
          <w:kern w:val="0"/>
          <w:sz w:val="24"/>
          <w:lang w:val="zh-CN"/>
        </w:rPr>
        <w:t>11.1 磋商响应</w:t>
      </w:r>
      <w:r>
        <w:rPr>
          <w:rFonts w:ascii="宋体" w:hAnsi="宋体"/>
          <w:color w:val="auto"/>
          <w:kern w:val="0"/>
          <w:sz w:val="24"/>
          <w:lang w:val="zh-CN"/>
        </w:rPr>
        <w:t>文件</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磋商函；</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法定代表人证明书；</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法定代表人授权书；</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磋商供应商承诺书；</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供应商诚信承诺书；</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资格证明材料；</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财务状况、缴纳税收和社会保障资金证明；</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具备履行合同所必须的设备和专业技术能力证明；</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无重大违法记录声明；</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磋商保证金证明；</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竞争性磋商首次报价表；</w:t>
      </w:r>
    </w:p>
    <w:p>
      <w:pPr>
        <w:pStyle w:val="16"/>
        <w:numPr>
          <w:ilvl w:val="0"/>
          <w:numId w:val="18"/>
        </w:numPr>
        <w:spacing w:line="360" w:lineRule="auto"/>
        <w:rPr>
          <w:rFonts w:hAnsi="宋体" w:cs="Arial"/>
          <w:color w:val="auto"/>
          <w:sz w:val="24"/>
          <w:szCs w:val="24"/>
        </w:rPr>
      </w:pPr>
      <w:r>
        <w:rPr>
          <w:rFonts w:hAnsi="宋体" w:cs="Arial"/>
          <w:color w:val="auto"/>
          <w:sz w:val="24"/>
          <w:szCs w:val="24"/>
        </w:rPr>
        <w:t>分项报价表</w:t>
      </w:r>
      <w:r>
        <w:rPr>
          <w:rFonts w:hint="eastAsia" w:hAnsi="宋体" w:cs="Arial"/>
          <w:color w:val="auto"/>
          <w:sz w:val="24"/>
          <w:szCs w:val="24"/>
        </w:rPr>
        <w:t>；</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技术规格响应表；</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磋商产品相关资料；</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磋商供应商的类似业绩证明材料；</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享受政府采购政策优惠的证明资料；</w:t>
      </w:r>
    </w:p>
    <w:p>
      <w:pPr>
        <w:pStyle w:val="16"/>
        <w:numPr>
          <w:ilvl w:val="0"/>
          <w:numId w:val="18"/>
        </w:numPr>
        <w:spacing w:line="360" w:lineRule="auto"/>
        <w:rPr>
          <w:rFonts w:hAnsi="宋体" w:cs="Arial"/>
          <w:color w:val="auto"/>
          <w:sz w:val="24"/>
          <w:szCs w:val="24"/>
        </w:rPr>
      </w:pPr>
      <w:r>
        <w:rPr>
          <w:rFonts w:hint="eastAsia" w:hAnsi="宋体" w:cs="Arial"/>
          <w:color w:val="auto"/>
          <w:sz w:val="24"/>
          <w:szCs w:val="24"/>
        </w:rPr>
        <w:t>磋商供应商认为在其他方面有必要说明的事项；</w:t>
      </w:r>
    </w:p>
    <w:p>
      <w:pPr>
        <w:pStyle w:val="16"/>
        <w:spacing w:line="360" w:lineRule="auto"/>
        <w:ind w:left="845"/>
        <w:rPr>
          <w:rFonts w:hAnsi="宋体" w:cs="Arial"/>
          <w:color w:val="auto"/>
          <w:sz w:val="24"/>
          <w:szCs w:val="24"/>
        </w:rPr>
      </w:pPr>
      <w:r>
        <w:rPr>
          <w:rFonts w:hint="eastAsia" w:hAnsi="宋体" w:cs="Arial"/>
          <w:color w:val="auto"/>
          <w:sz w:val="24"/>
          <w:szCs w:val="24"/>
        </w:rPr>
        <w:t>注：磋商人须按上述内容、顺序和格式编制磋商响应文件，并按要求编制目录、页码，并保证所提供的全部资料真实可信，自愿承担相应责任。</w:t>
      </w:r>
    </w:p>
    <w:p>
      <w:pPr>
        <w:pStyle w:val="5"/>
        <w:numPr>
          <w:ilvl w:val="0"/>
          <w:numId w:val="5"/>
        </w:numPr>
        <w:spacing w:before="0" w:after="0" w:line="360" w:lineRule="auto"/>
        <w:rPr>
          <w:rFonts w:ascii="宋体" w:hAnsi="宋体"/>
          <w:b w:val="0"/>
          <w:color w:val="auto"/>
          <w:sz w:val="24"/>
          <w:szCs w:val="24"/>
        </w:rPr>
      </w:pPr>
      <w:bookmarkStart w:id="43" w:name="_Toc109133096"/>
      <w:bookmarkStart w:id="44" w:name="_Toc488673626"/>
      <w:r>
        <w:rPr>
          <w:rFonts w:hint="eastAsia" w:ascii="宋体" w:hAnsi="宋体"/>
          <w:b w:val="0"/>
          <w:color w:val="auto"/>
          <w:sz w:val="24"/>
          <w:szCs w:val="24"/>
        </w:rPr>
        <w:t>磋商响应文件的编制要求</w:t>
      </w:r>
      <w:bookmarkEnd w:id="43"/>
      <w:bookmarkEnd w:id="44"/>
    </w:p>
    <w:p>
      <w:pPr>
        <w:pStyle w:val="16"/>
        <w:spacing w:line="360" w:lineRule="auto"/>
        <w:ind w:firstLine="480" w:firstLineChars="200"/>
        <w:rPr>
          <w:rFonts w:hAnsi="宋体"/>
          <w:color w:val="auto"/>
          <w:sz w:val="24"/>
          <w:szCs w:val="24"/>
        </w:rPr>
      </w:pPr>
      <w:r>
        <w:rPr>
          <w:rFonts w:hint="eastAsia" w:hAnsi="宋体" w:cs="宋体"/>
          <w:color w:val="auto"/>
          <w:sz w:val="24"/>
          <w:szCs w:val="24"/>
          <w:lang w:val="zh-CN"/>
        </w:rPr>
        <w:t>磋商供应商应按照磋商文件所提供的磋商响应文件格式，分别填写磋商文件第五部分的内容，应分别注明所提供产品的名称、技术配置及参数、数量和价格等内容；磋商响应文件要求签字、盖章的地方必须由磋商人的法定代表人或委托代理人按要求签字、盖章。</w:t>
      </w:r>
    </w:p>
    <w:p>
      <w:pPr>
        <w:pStyle w:val="4"/>
        <w:ind w:left="709"/>
        <w:rPr>
          <w:rFonts w:hAnsi="宋体"/>
          <w:b/>
          <w:color w:val="auto"/>
          <w:sz w:val="24"/>
          <w:szCs w:val="24"/>
        </w:rPr>
      </w:pPr>
      <w:bookmarkStart w:id="45" w:name="_Toc109133097"/>
      <w:r>
        <w:rPr>
          <w:rFonts w:hint="eastAsia" w:hAnsi="宋体"/>
          <w:b/>
          <w:color w:val="auto"/>
          <w:sz w:val="24"/>
          <w:szCs w:val="24"/>
        </w:rPr>
        <w:t>磋商响应文件的递交</w:t>
      </w:r>
      <w:bookmarkEnd w:id="45"/>
    </w:p>
    <w:p>
      <w:pPr>
        <w:pStyle w:val="16"/>
        <w:tabs>
          <w:tab w:val="left" w:pos="312"/>
        </w:tabs>
        <w:spacing w:line="360" w:lineRule="auto"/>
        <w:ind w:firstLine="480" w:firstLineChars="200"/>
        <w:rPr>
          <w:rFonts w:hAnsi="宋体" w:cs="宋体"/>
          <w:color w:val="auto"/>
          <w:sz w:val="24"/>
        </w:rPr>
      </w:pPr>
      <w:r>
        <w:rPr>
          <w:rFonts w:hint="eastAsia" w:hAnsi="宋体"/>
          <w:bCs/>
          <w:color w:val="auto"/>
          <w:sz w:val="24"/>
          <w:szCs w:val="24"/>
        </w:rPr>
        <w:t>本次招标采用线上提交投标文件的方式进行采购，投标文件必须在投标文件递交截止时间前上传平台。</w:t>
      </w:r>
    </w:p>
    <w:p>
      <w:pPr>
        <w:pStyle w:val="4"/>
        <w:ind w:left="709"/>
        <w:rPr>
          <w:rFonts w:hAnsi="宋体"/>
          <w:b/>
          <w:color w:val="auto"/>
          <w:sz w:val="24"/>
          <w:szCs w:val="24"/>
        </w:rPr>
      </w:pPr>
      <w:bookmarkStart w:id="46" w:name="_Toc109133098"/>
      <w:r>
        <w:rPr>
          <w:rFonts w:hint="eastAsia" w:hAnsi="宋体"/>
          <w:b/>
          <w:color w:val="auto"/>
          <w:sz w:val="24"/>
          <w:szCs w:val="24"/>
        </w:rPr>
        <w:t>磋商过程</w:t>
      </w:r>
      <w:bookmarkEnd w:id="46"/>
    </w:p>
    <w:p>
      <w:pPr>
        <w:pStyle w:val="91"/>
        <w:numPr>
          <w:ilvl w:val="0"/>
          <w:numId w:val="19"/>
        </w:numPr>
        <w:spacing w:line="360" w:lineRule="auto"/>
        <w:ind w:firstLineChars="0"/>
        <w:rPr>
          <w:rFonts w:ascii="宋体" w:hAnsi="宋体" w:cs="宋体"/>
          <w:color w:val="auto"/>
          <w:sz w:val="24"/>
        </w:rPr>
      </w:pPr>
      <w:r>
        <w:rPr>
          <w:rFonts w:hint="eastAsia" w:ascii="宋体" w:hAnsi="宋体" w:cs="宋体"/>
          <w:color w:val="auto"/>
          <w:sz w:val="24"/>
        </w:rPr>
        <w:t>采购代理机构按本磋商文件中确定的时间和地点组织本项目的磋商活动。供应商应由其委托代理人参加。</w:t>
      </w:r>
    </w:p>
    <w:p>
      <w:pPr>
        <w:pStyle w:val="91"/>
        <w:numPr>
          <w:ilvl w:val="0"/>
          <w:numId w:val="19"/>
        </w:numPr>
        <w:spacing w:line="360" w:lineRule="auto"/>
        <w:ind w:firstLineChars="0"/>
        <w:rPr>
          <w:rFonts w:ascii="宋体" w:hAnsi="宋体" w:cs="宋体"/>
          <w:color w:val="auto"/>
          <w:sz w:val="24"/>
        </w:rPr>
      </w:pPr>
      <w:r>
        <w:rPr>
          <w:rFonts w:hint="eastAsia" w:ascii="宋体" w:hAnsi="宋体" w:cs="宋体"/>
          <w:color w:val="auto"/>
          <w:sz w:val="24"/>
        </w:rPr>
        <w:t>磋商时，对不同文字文本响应文件的解释发生异议的，以中文文本为准。</w:t>
      </w:r>
    </w:p>
    <w:p>
      <w:pPr>
        <w:pStyle w:val="91"/>
        <w:numPr>
          <w:ilvl w:val="0"/>
          <w:numId w:val="19"/>
        </w:numPr>
        <w:spacing w:line="360" w:lineRule="auto"/>
        <w:ind w:firstLineChars="0"/>
        <w:rPr>
          <w:rFonts w:ascii="宋体" w:hAnsi="宋体" w:cs="宋体"/>
          <w:color w:val="auto"/>
          <w:sz w:val="24"/>
        </w:rPr>
      </w:pPr>
      <w:r>
        <w:rPr>
          <w:rFonts w:hint="eastAsia" w:ascii="宋体" w:hAnsi="宋体" w:cs="宋体"/>
          <w:color w:val="auto"/>
          <w:sz w:val="24"/>
        </w:rPr>
        <w:t>磋商工作由采购代理机构组织，采购单位、采购监管、纪检监察等有关方面代表可根据采购项目的具体情况列席。</w:t>
      </w:r>
    </w:p>
    <w:p>
      <w:pPr>
        <w:pStyle w:val="91"/>
        <w:numPr>
          <w:ilvl w:val="0"/>
          <w:numId w:val="19"/>
        </w:numPr>
        <w:spacing w:line="360" w:lineRule="auto"/>
        <w:ind w:firstLineChars="0"/>
        <w:rPr>
          <w:rFonts w:ascii="宋体" w:hAnsi="宋体" w:cs="宋体"/>
          <w:color w:val="auto"/>
          <w:sz w:val="24"/>
        </w:rPr>
      </w:pPr>
      <w:r>
        <w:rPr>
          <w:rFonts w:hint="eastAsia" w:ascii="宋体" w:hAnsi="宋体" w:cs="宋体"/>
          <w:color w:val="auto"/>
          <w:sz w:val="24"/>
        </w:rPr>
        <w:t>磋商过程有专人记录，并存档备查。</w:t>
      </w:r>
    </w:p>
    <w:p>
      <w:pPr>
        <w:pStyle w:val="4"/>
        <w:ind w:left="709"/>
        <w:rPr>
          <w:rFonts w:hAnsi="宋体"/>
          <w:b/>
          <w:color w:val="auto"/>
          <w:sz w:val="24"/>
          <w:szCs w:val="24"/>
        </w:rPr>
      </w:pPr>
      <w:bookmarkStart w:id="47" w:name="_Toc109133099"/>
      <w:r>
        <w:rPr>
          <w:rFonts w:hint="eastAsia" w:hAnsi="宋体"/>
          <w:b/>
          <w:color w:val="auto"/>
          <w:sz w:val="24"/>
          <w:szCs w:val="24"/>
        </w:rPr>
        <w:t>资格审查</w:t>
      </w:r>
      <w:bookmarkEnd w:id="47"/>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1、合格投标人不足3家的，不得评标。</w:t>
      </w:r>
    </w:p>
    <w:p>
      <w:pPr>
        <w:autoSpaceDE w:val="0"/>
        <w:autoSpaceDN w:val="0"/>
        <w:spacing w:line="360" w:lineRule="auto"/>
        <w:ind w:firstLine="480" w:firstLineChars="200"/>
        <w:rPr>
          <w:rFonts w:ascii="宋体" w:hAnsi="宋体" w:cs="宋体"/>
          <w:color w:val="auto"/>
          <w:sz w:val="24"/>
        </w:rPr>
      </w:pPr>
      <w:bookmarkStart w:id="48" w:name="_Toc497503449"/>
      <w:bookmarkStart w:id="49" w:name="_Toc30809"/>
      <w:bookmarkStart w:id="50" w:name="_Toc497503315"/>
      <w:bookmarkStart w:id="51" w:name="_Toc497503249"/>
      <w:bookmarkStart w:id="52" w:name="_Toc497503516"/>
      <w:r>
        <w:rPr>
          <w:rFonts w:hint="eastAsia" w:ascii="宋体" w:hAnsi="宋体" w:cs="宋体"/>
          <w:color w:val="auto"/>
          <w:kern w:val="0"/>
          <w:sz w:val="24"/>
        </w:rPr>
        <w:t>2、资格审查时，投标人存在下列情况之一的，按无效投标处理：</w:t>
      </w:r>
      <w:bookmarkEnd w:id="48"/>
      <w:bookmarkEnd w:id="49"/>
      <w:bookmarkEnd w:id="50"/>
      <w:bookmarkEnd w:id="51"/>
      <w:bookmarkEnd w:id="52"/>
    </w:p>
    <w:p>
      <w:pPr>
        <w:numPr>
          <w:ilvl w:val="0"/>
          <w:numId w:val="20"/>
        </w:numPr>
        <w:tabs>
          <w:tab w:val="left" w:pos="960"/>
        </w:tabs>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sz w:val="24"/>
          <w:shd w:val="clear" w:color="auto" w:fill="FFFFFF"/>
        </w:rPr>
        <w:t>不具备</w:t>
      </w:r>
      <w:r>
        <w:rPr>
          <w:rFonts w:hint="eastAsia" w:ascii="宋体" w:hAnsi="宋体" w:cs="宋体"/>
          <w:color w:val="auto"/>
          <w:kern w:val="0"/>
          <w:sz w:val="24"/>
          <w:lang w:val="zh-CN"/>
        </w:rPr>
        <w:t>第2.2款“合格的投标人”</w:t>
      </w:r>
      <w:r>
        <w:rPr>
          <w:rFonts w:hint="eastAsia" w:ascii="宋体" w:hAnsi="宋体" w:cs="宋体"/>
          <w:color w:val="auto"/>
          <w:sz w:val="24"/>
          <w:shd w:val="clear" w:color="auto" w:fill="FFFFFF"/>
        </w:rPr>
        <w:t>规定的资格要求的；</w:t>
      </w:r>
    </w:p>
    <w:p>
      <w:pPr>
        <w:numPr>
          <w:ilvl w:val="0"/>
          <w:numId w:val="20"/>
        </w:numPr>
        <w:tabs>
          <w:tab w:val="left" w:pos="960"/>
        </w:tabs>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未按招标文件要求交纳或未足额交纳投标保证金的；</w:t>
      </w:r>
    </w:p>
    <w:p>
      <w:pPr>
        <w:widowControl w:val="0"/>
        <w:numPr>
          <w:ilvl w:val="0"/>
          <w:numId w:val="20"/>
        </w:numPr>
        <w:tabs>
          <w:tab w:val="left" w:pos="960"/>
        </w:tabs>
        <w:autoSpaceDE w:val="0"/>
        <w:autoSpaceDN w:val="0"/>
        <w:spacing w:line="360" w:lineRule="auto"/>
        <w:ind w:firstLine="480" w:firstLineChars="200"/>
        <w:jc w:val="both"/>
        <w:rPr>
          <w:rFonts w:ascii="宋体" w:hAnsi="宋体" w:cs="宋体"/>
          <w:color w:val="auto"/>
          <w:sz w:val="24"/>
          <w:shd w:val="clear" w:color="auto" w:fill="FFFFFF"/>
        </w:rPr>
      </w:pPr>
      <w:r>
        <w:rPr>
          <w:rFonts w:hint="eastAsia" w:ascii="宋体" w:hAnsi="宋体" w:cs="宋体"/>
          <w:color w:val="auto"/>
          <w:kern w:val="0"/>
          <w:sz w:val="24"/>
        </w:rPr>
        <w:t>未按第11.1</w:t>
      </w:r>
      <w:r>
        <w:rPr>
          <w:rFonts w:hint="eastAsia" w:ascii="宋体" w:hAnsi="宋体" w:cs="宋体"/>
          <w:color w:val="auto"/>
          <w:kern w:val="0"/>
          <w:sz w:val="24"/>
          <w:lang w:val="zh-CN"/>
        </w:rPr>
        <w:t>款</w:t>
      </w: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）-（1</w:t>
      </w:r>
      <w:r>
        <w:rPr>
          <w:rFonts w:hint="eastAsia" w:ascii="宋体" w:hAnsi="宋体" w:cs="宋体"/>
          <w:color w:val="auto"/>
          <w:kern w:val="0"/>
          <w:sz w:val="24"/>
          <w:lang w:val="en-US" w:eastAsia="zh-CN"/>
        </w:rPr>
        <w:t>3</w:t>
      </w:r>
      <w:r>
        <w:rPr>
          <w:rFonts w:hint="eastAsia" w:ascii="宋体" w:hAnsi="宋体" w:cs="宋体"/>
          <w:color w:val="auto"/>
          <w:kern w:val="0"/>
          <w:sz w:val="24"/>
        </w:rPr>
        <w:t>）要求提供相关资料的</w:t>
      </w:r>
      <w:r>
        <w:rPr>
          <w:rFonts w:hint="eastAsia" w:ascii="宋体" w:hAnsi="宋体" w:cs="宋体"/>
          <w:color w:val="auto"/>
          <w:sz w:val="24"/>
          <w:shd w:val="clear" w:color="auto" w:fill="FFFFFF"/>
        </w:rPr>
        <w:t>；</w:t>
      </w:r>
    </w:p>
    <w:p>
      <w:pPr>
        <w:numPr>
          <w:ilvl w:val="0"/>
          <w:numId w:val="20"/>
        </w:numPr>
        <w:tabs>
          <w:tab w:val="left" w:pos="960"/>
        </w:tabs>
        <w:autoSpaceDE w:val="0"/>
        <w:autoSpaceDN w:val="0"/>
        <w:spacing w:line="360" w:lineRule="auto"/>
        <w:ind w:firstLine="480" w:firstLineChars="200"/>
        <w:rPr>
          <w:rFonts w:ascii="宋体" w:hAnsi="宋体" w:cs="宋体"/>
          <w:color w:val="auto"/>
          <w:sz w:val="24"/>
          <w:shd w:val="clear" w:color="auto" w:fill="FFFFFF"/>
        </w:rPr>
      </w:pPr>
      <w:r>
        <w:rPr>
          <w:rFonts w:hint="eastAsia" w:ascii="宋体" w:hAnsi="宋体" w:cs="宋体"/>
          <w:color w:val="auto"/>
          <w:kern w:val="0"/>
          <w:sz w:val="24"/>
        </w:rPr>
        <w:t>资格性审查文件未按招标文件规定和要求签字、盖章的；</w:t>
      </w:r>
    </w:p>
    <w:p>
      <w:pPr>
        <w:numPr>
          <w:ilvl w:val="0"/>
          <w:numId w:val="20"/>
        </w:numPr>
        <w:tabs>
          <w:tab w:val="left" w:pos="960"/>
        </w:tabs>
        <w:autoSpaceDE w:val="0"/>
        <w:autoSpaceDN w:val="0"/>
        <w:spacing w:line="360" w:lineRule="auto"/>
        <w:ind w:firstLine="480" w:firstLineChars="200"/>
        <w:rPr>
          <w:rFonts w:ascii="宋体" w:hAnsi="宋体" w:cs="宋体"/>
          <w:color w:val="auto"/>
          <w:sz w:val="24"/>
          <w:shd w:val="clear" w:color="auto" w:fill="FFFFFF"/>
        </w:rPr>
      </w:pPr>
      <w:r>
        <w:rPr>
          <w:rFonts w:hint="eastAsia" w:ascii="宋体" w:hAnsi="宋体" w:cs="宋体"/>
          <w:color w:val="auto"/>
          <w:sz w:val="24"/>
          <w:shd w:val="clear" w:color="auto" w:fill="FFFFFF"/>
        </w:rPr>
        <w:t>报价超过招标文件中规定的预算金额或者最高限价的；</w:t>
      </w:r>
    </w:p>
    <w:p>
      <w:pPr>
        <w:numPr>
          <w:ilvl w:val="0"/>
          <w:numId w:val="20"/>
        </w:numPr>
        <w:tabs>
          <w:tab w:val="left" w:pos="960"/>
        </w:tabs>
        <w:autoSpaceDE w:val="0"/>
        <w:autoSpaceDN w:val="0"/>
        <w:spacing w:line="360" w:lineRule="auto"/>
        <w:ind w:firstLine="480" w:firstLineChars="200"/>
        <w:rPr>
          <w:rFonts w:ascii="宋体" w:hAnsi="宋体" w:cs="宋体"/>
          <w:color w:val="auto"/>
          <w:sz w:val="24"/>
          <w:shd w:val="clear" w:color="auto" w:fill="FFFFFF"/>
        </w:rPr>
      </w:pPr>
      <w:r>
        <w:rPr>
          <w:rFonts w:hint="eastAsia" w:ascii="宋体" w:hAnsi="宋体" w:cs="宋体"/>
          <w:color w:val="auto"/>
          <w:kern w:val="0"/>
          <w:sz w:val="24"/>
          <w:lang w:val="zh-CN"/>
        </w:rPr>
        <w:t>投标有效期不能满足招标文件要求的；</w:t>
      </w:r>
    </w:p>
    <w:p>
      <w:pPr>
        <w:pStyle w:val="4"/>
        <w:ind w:left="709"/>
        <w:rPr>
          <w:rFonts w:hAnsi="宋体"/>
          <w:b/>
          <w:color w:val="auto"/>
          <w:sz w:val="24"/>
          <w:szCs w:val="24"/>
        </w:rPr>
      </w:pPr>
      <w:bookmarkStart w:id="53" w:name="_Toc109133100"/>
      <w:r>
        <w:rPr>
          <w:rFonts w:hint="eastAsia" w:hAnsi="宋体"/>
          <w:b/>
          <w:color w:val="auto"/>
          <w:sz w:val="24"/>
          <w:szCs w:val="24"/>
        </w:rPr>
        <w:t>评审程序及方法</w:t>
      </w:r>
      <w:bookmarkEnd w:id="53"/>
    </w:p>
    <w:p>
      <w:pPr>
        <w:pStyle w:val="5"/>
        <w:numPr>
          <w:ilvl w:val="0"/>
          <w:numId w:val="5"/>
        </w:numPr>
        <w:spacing w:before="0" w:after="0" w:line="360" w:lineRule="auto"/>
        <w:rPr>
          <w:rFonts w:ascii="宋体" w:hAnsi="宋体"/>
          <w:b w:val="0"/>
          <w:color w:val="auto"/>
          <w:sz w:val="24"/>
          <w:szCs w:val="24"/>
        </w:rPr>
      </w:pPr>
      <w:bookmarkStart w:id="54" w:name="_Toc488673633"/>
      <w:bookmarkStart w:id="55" w:name="_Toc109133101"/>
      <w:r>
        <w:rPr>
          <w:rFonts w:hint="eastAsia" w:ascii="宋体" w:hAnsi="宋体"/>
          <w:b w:val="0"/>
          <w:color w:val="auto"/>
          <w:sz w:val="24"/>
          <w:szCs w:val="24"/>
        </w:rPr>
        <w:t>评标委员会</w:t>
      </w:r>
      <w:bookmarkEnd w:id="54"/>
      <w:bookmarkEnd w:id="55"/>
    </w:p>
    <w:p>
      <w:pPr>
        <w:pStyle w:val="16"/>
        <w:numPr>
          <w:ilvl w:val="1"/>
          <w:numId w:val="21"/>
        </w:numPr>
        <w:spacing w:line="360" w:lineRule="auto"/>
        <w:rPr>
          <w:rFonts w:hAnsi="宋体"/>
          <w:color w:val="auto"/>
          <w:sz w:val="24"/>
          <w:szCs w:val="24"/>
        </w:rPr>
      </w:pPr>
      <w:r>
        <w:rPr>
          <w:rFonts w:hint="eastAsia" w:hAnsi="宋体" w:cs="宋体"/>
          <w:color w:val="auto"/>
          <w:sz w:val="24"/>
          <w:szCs w:val="24"/>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pPr>
        <w:autoSpaceDE w:val="0"/>
        <w:autoSpaceDN w:val="0"/>
        <w:spacing w:line="360" w:lineRule="auto"/>
        <w:ind w:left="481" w:leftChars="229" w:firstLine="480" w:firstLineChars="200"/>
        <w:rPr>
          <w:rFonts w:ascii="宋体" w:hAnsi="宋体" w:cs="宋体"/>
          <w:color w:val="auto"/>
          <w:kern w:val="0"/>
          <w:sz w:val="24"/>
        </w:rPr>
      </w:pPr>
      <w:r>
        <w:rPr>
          <w:rFonts w:hint="eastAsia" w:ascii="宋体" w:hAnsi="宋体" w:cs="宋体"/>
          <w:color w:val="auto"/>
          <w:kern w:val="0"/>
          <w:sz w:val="24"/>
        </w:rPr>
        <w:t>评审专家对本单位的采购项目只能作为采购人代表参与评标。采购代理机构工作人员不得参加由本机构代理的政府采购项目的评标。</w:t>
      </w:r>
    </w:p>
    <w:p>
      <w:pPr>
        <w:pStyle w:val="16"/>
        <w:spacing w:line="360" w:lineRule="auto"/>
        <w:ind w:firstLine="960" w:firstLineChars="400"/>
        <w:rPr>
          <w:rFonts w:hAnsi="宋体" w:cs="宋体"/>
          <w:color w:val="auto"/>
          <w:sz w:val="24"/>
          <w:szCs w:val="24"/>
        </w:rPr>
      </w:pPr>
      <w:r>
        <w:rPr>
          <w:rFonts w:hint="eastAsia" w:hAnsi="宋体" w:cs="宋体"/>
          <w:color w:val="auto"/>
          <w:sz w:val="24"/>
          <w:szCs w:val="24"/>
        </w:rPr>
        <w:t>评标委员会成员名单在评标结果公告前应当保密。</w:t>
      </w:r>
    </w:p>
    <w:p>
      <w:pPr>
        <w:pStyle w:val="16"/>
        <w:numPr>
          <w:ilvl w:val="1"/>
          <w:numId w:val="21"/>
        </w:numPr>
        <w:spacing w:line="360" w:lineRule="auto"/>
        <w:rPr>
          <w:rFonts w:hAnsi="宋体" w:cs="宋体"/>
          <w:color w:val="auto"/>
          <w:sz w:val="24"/>
          <w:szCs w:val="24"/>
        </w:rPr>
      </w:pPr>
      <w:r>
        <w:rPr>
          <w:rFonts w:hint="eastAsia" w:hAnsi="宋体" w:cs="宋体"/>
          <w:color w:val="auto"/>
          <w:sz w:val="24"/>
          <w:szCs w:val="24"/>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16"/>
        <w:numPr>
          <w:ilvl w:val="1"/>
          <w:numId w:val="21"/>
        </w:numPr>
        <w:spacing w:line="360" w:lineRule="auto"/>
        <w:rPr>
          <w:rFonts w:hAnsi="宋体" w:cs="宋体"/>
          <w:color w:val="auto"/>
          <w:sz w:val="24"/>
          <w:szCs w:val="24"/>
        </w:rPr>
      </w:pPr>
      <w:r>
        <w:rPr>
          <w:rFonts w:hint="eastAsia" w:hAnsi="宋体" w:cs="宋体"/>
          <w:color w:val="auto"/>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pPr>
        <w:pStyle w:val="16"/>
        <w:spacing w:line="360" w:lineRule="auto"/>
        <w:ind w:left="622" w:leftChars="296" w:firstLine="480" w:firstLineChars="200"/>
        <w:rPr>
          <w:rFonts w:hAnsi="宋体" w:cs="宋体"/>
          <w:color w:val="auto"/>
          <w:sz w:val="24"/>
          <w:szCs w:val="24"/>
        </w:rPr>
      </w:pPr>
      <w:r>
        <w:rPr>
          <w:rFonts w:hint="eastAsia" w:hAnsi="宋体" w:cs="宋体"/>
          <w:color w:val="auto"/>
          <w:sz w:val="24"/>
          <w:szCs w:val="24"/>
          <w:lang w:val="zh-CN"/>
        </w:rPr>
        <w:t>采购人或采购代理机构</w:t>
      </w:r>
      <w:r>
        <w:rPr>
          <w:rFonts w:hint="eastAsia" w:hAnsi="宋体" w:cs="宋体"/>
          <w:color w:val="auto"/>
          <w:sz w:val="24"/>
          <w:szCs w:val="24"/>
        </w:rPr>
        <w:t>应当将变更、重新组建评标委员会的情况予以记录，并随磋商文件一并存档。</w:t>
      </w:r>
    </w:p>
    <w:p>
      <w:pPr>
        <w:pStyle w:val="16"/>
        <w:numPr>
          <w:ilvl w:val="1"/>
          <w:numId w:val="21"/>
        </w:numPr>
        <w:spacing w:line="360" w:lineRule="auto"/>
        <w:rPr>
          <w:rFonts w:hAnsi="宋体" w:cs="宋体"/>
          <w:color w:val="auto"/>
          <w:sz w:val="24"/>
          <w:szCs w:val="24"/>
        </w:rPr>
      </w:pPr>
      <w:r>
        <w:rPr>
          <w:rFonts w:hint="eastAsia" w:hAnsi="宋体" w:cs="宋体"/>
          <w:color w:val="auto"/>
          <w:sz w:val="24"/>
          <w:szCs w:val="24"/>
        </w:rPr>
        <w:t>采购人、采购代理机构应当采取必要措施，保证评标在严格保密的情况下进行。除采购人代表、评标现场组织人员外，采购人的其他工作人员以及与评标工作无关的人员不得进入评标现场。</w:t>
      </w:r>
    </w:p>
    <w:p>
      <w:pPr>
        <w:pStyle w:val="16"/>
        <w:spacing w:line="360" w:lineRule="auto"/>
        <w:ind w:left="621"/>
        <w:rPr>
          <w:rFonts w:hAnsi="宋体" w:cs="宋体"/>
          <w:color w:val="auto"/>
          <w:sz w:val="24"/>
          <w:szCs w:val="24"/>
        </w:rPr>
      </w:pPr>
      <w:r>
        <w:rPr>
          <w:rFonts w:hint="eastAsia" w:hAnsi="宋体" w:cs="宋体"/>
          <w:color w:val="auto"/>
          <w:sz w:val="24"/>
          <w:szCs w:val="24"/>
        </w:rPr>
        <w:t>有关人员对评标情况以及在评标过程中获悉的国家秘密、商业秘密负有保密责任。</w:t>
      </w:r>
    </w:p>
    <w:p>
      <w:pPr>
        <w:pStyle w:val="16"/>
        <w:numPr>
          <w:ilvl w:val="1"/>
          <w:numId w:val="21"/>
        </w:numPr>
        <w:spacing w:line="360" w:lineRule="auto"/>
        <w:rPr>
          <w:rFonts w:hAnsi="宋体"/>
          <w:color w:val="auto"/>
          <w:sz w:val="24"/>
          <w:szCs w:val="24"/>
        </w:rPr>
      </w:pPr>
      <w:r>
        <w:rPr>
          <w:rFonts w:hint="eastAsia" w:hAnsi="宋体" w:cs="宋体"/>
          <w:color w:val="auto"/>
          <w:sz w:val="24"/>
          <w:szCs w:val="24"/>
        </w:rPr>
        <w:t>磋商由采购代理机构负责组织，具体磋商事务由依法组建的磋商小组负责，并独立履行下列职责：</w:t>
      </w:r>
    </w:p>
    <w:p>
      <w:pPr>
        <w:numPr>
          <w:ilvl w:val="0"/>
          <w:numId w:val="22"/>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核对评审专家身份和采购人代表授权函，对评审专家在政府采购活动中的职责履行情况予以记录，并及时将有关违法违规行为向财政部门报告；</w:t>
      </w:r>
    </w:p>
    <w:p>
      <w:pPr>
        <w:numPr>
          <w:ilvl w:val="0"/>
          <w:numId w:val="22"/>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宣布评标纪律；</w:t>
      </w:r>
    </w:p>
    <w:p>
      <w:pPr>
        <w:numPr>
          <w:ilvl w:val="0"/>
          <w:numId w:val="22"/>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公布磋商人名单，告知评审专家应当回避的情形；</w:t>
      </w:r>
    </w:p>
    <w:p>
      <w:pPr>
        <w:numPr>
          <w:ilvl w:val="0"/>
          <w:numId w:val="22"/>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组织评标委员会推选评标组长，采购人代表不得担任组长；</w:t>
      </w:r>
    </w:p>
    <w:p>
      <w:pPr>
        <w:numPr>
          <w:ilvl w:val="0"/>
          <w:numId w:val="22"/>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在评标期间采取必要的通讯管理措施，保证评标活动不受外界干扰；</w:t>
      </w:r>
    </w:p>
    <w:p>
      <w:pPr>
        <w:numPr>
          <w:ilvl w:val="0"/>
          <w:numId w:val="22"/>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根据评标委员会的要求介绍政府采购相关政策法规、磋商文件；</w:t>
      </w:r>
    </w:p>
    <w:p>
      <w:pPr>
        <w:numPr>
          <w:ilvl w:val="0"/>
          <w:numId w:val="22"/>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维护评标秩序，监督评标委员会依照磋商文件规定的评标程序、方法和标准进行独立评审，及时制止和纠正采购人代表、评审专家的倾向性言论或者违法违规行为；</w:t>
      </w:r>
    </w:p>
    <w:p>
      <w:pPr>
        <w:numPr>
          <w:ilvl w:val="0"/>
          <w:numId w:val="22"/>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评审工作完成后，按照规定由采购人向评审专家支付劳务报酬和异地评审差旅费，不得向评审专家以外的其他人员支付评审劳务报酬；</w:t>
      </w:r>
    </w:p>
    <w:p>
      <w:pPr>
        <w:numPr>
          <w:ilvl w:val="0"/>
          <w:numId w:val="22"/>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处理与评标有关的其他事项。</w:t>
      </w:r>
    </w:p>
    <w:p>
      <w:pPr>
        <w:pStyle w:val="16"/>
        <w:spacing w:line="360" w:lineRule="auto"/>
        <w:ind w:left="480"/>
        <w:rPr>
          <w:rFonts w:hAnsi="宋体"/>
          <w:color w:val="auto"/>
          <w:sz w:val="24"/>
          <w:szCs w:val="24"/>
        </w:rPr>
      </w:pPr>
      <w:r>
        <w:rPr>
          <w:rFonts w:hint="eastAsia" w:hAnsi="宋体" w:cs="宋体"/>
          <w:color w:val="auto"/>
          <w:sz w:val="24"/>
          <w:szCs w:val="24"/>
          <w:lang w:val="zh-CN"/>
        </w:rPr>
        <w:t>采购人可以在评标前说明项目背景和采购需求，说明内容不得含有歧视性、倾向性意见，不得超出磋商文件所述范围。说明应当提交书面材料，并随磋商文件一并存档。</w:t>
      </w:r>
    </w:p>
    <w:p>
      <w:pPr>
        <w:pStyle w:val="16"/>
        <w:numPr>
          <w:ilvl w:val="1"/>
          <w:numId w:val="21"/>
        </w:numPr>
        <w:spacing w:line="360" w:lineRule="auto"/>
        <w:rPr>
          <w:rFonts w:hAnsi="宋体"/>
          <w:color w:val="auto"/>
          <w:sz w:val="24"/>
          <w:szCs w:val="24"/>
        </w:rPr>
      </w:pPr>
      <w:r>
        <w:rPr>
          <w:rFonts w:hint="eastAsia" w:hAnsi="宋体" w:cs="宋体"/>
          <w:color w:val="auto"/>
          <w:sz w:val="24"/>
          <w:szCs w:val="24"/>
        </w:rPr>
        <w:t>磋商小组应遵守并履行下列义务</w:t>
      </w:r>
      <w:r>
        <w:rPr>
          <w:rFonts w:hint="eastAsia" w:hAnsi="宋体"/>
          <w:color w:val="auto"/>
          <w:sz w:val="24"/>
          <w:szCs w:val="24"/>
        </w:rPr>
        <w:t>：</w:t>
      </w:r>
    </w:p>
    <w:p>
      <w:pPr>
        <w:numPr>
          <w:ilvl w:val="0"/>
          <w:numId w:val="23"/>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审查、评价磋商响应文件是否符合磋商文件的商务、技术等实质性要求；</w:t>
      </w:r>
    </w:p>
    <w:p>
      <w:pPr>
        <w:numPr>
          <w:ilvl w:val="0"/>
          <w:numId w:val="23"/>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要求磋商人对磋商响应文件有关事项作出澄清或者说明；</w:t>
      </w:r>
    </w:p>
    <w:p>
      <w:pPr>
        <w:numPr>
          <w:ilvl w:val="0"/>
          <w:numId w:val="23"/>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对磋商响应文件进行比较和评价；</w:t>
      </w:r>
    </w:p>
    <w:p>
      <w:pPr>
        <w:numPr>
          <w:ilvl w:val="0"/>
          <w:numId w:val="23"/>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确定成交候选人名单，以及根据采购人委托直接确定成交人；</w:t>
      </w:r>
    </w:p>
    <w:p>
      <w:pPr>
        <w:numPr>
          <w:ilvl w:val="0"/>
          <w:numId w:val="23"/>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rPr>
        <w:t>向采购人、采购代理机构或者有关部门报告评标中发现的违法行为。</w:t>
      </w:r>
    </w:p>
    <w:p>
      <w:pPr>
        <w:pStyle w:val="16"/>
        <w:numPr>
          <w:ilvl w:val="1"/>
          <w:numId w:val="21"/>
        </w:numPr>
        <w:spacing w:line="360" w:lineRule="auto"/>
        <w:rPr>
          <w:rFonts w:hAnsi="宋体"/>
          <w:color w:val="auto"/>
          <w:sz w:val="24"/>
          <w:szCs w:val="24"/>
        </w:rPr>
      </w:pPr>
      <w:r>
        <w:rPr>
          <w:rFonts w:hint="eastAsia" w:hAnsi="宋体"/>
          <w:color w:val="auto"/>
          <w:sz w:val="24"/>
          <w:szCs w:val="24"/>
        </w:rPr>
        <w:t>评审工作在有关部门的监督下依法开展，任何单位和个人不得非法干预、影响评审工作和评审结果。</w:t>
      </w:r>
    </w:p>
    <w:p>
      <w:pPr>
        <w:pStyle w:val="5"/>
        <w:numPr>
          <w:ilvl w:val="0"/>
          <w:numId w:val="5"/>
        </w:numPr>
        <w:spacing w:before="0" w:after="0" w:line="360" w:lineRule="auto"/>
        <w:rPr>
          <w:rFonts w:ascii="宋体" w:hAnsi="宋体"/>
          <w:b w:val="0"/>
          <w:color w:val="auto"/>
          <w:sz w:val="24"/>
          <w:szCs w:val="24"/>
        </w:rPr>
      </w:pPr>
      <w:bookmarkStart w:id="56" w:name="_Toc109133102"/>
      <w:bookmarkStart w:id="57" w:name="_Toc488673634"/>
      <w:r>
        <w:rPr>
          <w:rFonts w:hint="eastAsia" w:ascii="宋体" w:hAnsi="宋体"/>
          <w:b w:val="0"/>
          <w:color w:val="auto"/>
          <w:sz w:val="24"/>
          <w:szCs w:val="24"/>
        </w:rPr>
        <w:t>磋商程序</w:t>
      </w:r>
      <w:bookmarkEnd w:id="56"/>
      <w:bookmarkEnd w:id="57"/>
    </w:p>
    <w:p>
      <w:pPr>
        <w:pStyle w:val="16"/>
        <w:numPr>
          <w:ilvl w:val="1"/>
          <w:numId w:val="24"/>
        </w:numPr>
        <w:spacing w:line="360" w:lineRule="auto"/>
        <w:rPr>
          <w:rFonts w:hAnsi="宋体"/>
          <w:color w:val="auto"/>
          <w:sz w:val="24"/>
          <w:szCs w:val="24"/>
        </w:rPr>
      </w:pPr>
      <w:r>
        <w:rPr>
          <w:rFonts w:hint="eastAsia" w:hAnsi="宋体" w:cs="宋体"/>
          <w:color w:val="auto"/>
          <w:sz w:val="24"/>
          <w:szCs w:val="24"/>
          <w:lang w:val="zh-CN"/>
        </w:rPr>
        <w:t>评标委员会应当对符合资格的磋商人的磋商响应文件进行符合性审查，以确定其是否满足磋商文件的实质性要求。</w:t>
      </w:r>
    </w:p>
    <w:p>
      <w:pPr>
        <w:pStyle w:val="16"/>
        <w:numPr>
          <w:ilvl w:val="0"/>
          <w:numId w:val="25"/>
        </w:numPr>
        <w:spacing w:line="360" w:lineRule="auto"/>
        <w:rPr>
          <w:rFonts w:hAnsi="宋体" w:cs="Arial"/>
          <w:color w:val="auto"/>
          <w:sz w:val="24"/>
          <w:szCs w:val="24"/>
        </w:rPr>
      </w:pPr>
      <w:r>
        <w:rPr>
          <w:rFonts w:hint="eastAsia" w:hAnsi="宋体" w:cs="Arial"/>
          <w:color w:val="auto"/>
          <w:sz w:val="24"/>
          <w:szCs w:val="24"/>
        </w:rPr>
        <w:t>本次综合评分的主要因素是：磋商报价、</w:t>
      </w:r>
      <w:r>
        <w:rPr>
          <w:rFonts w:hAnsi="宋体" w:cs="Arial"/>
          <w:color w:val="auto"/>
          <w:sz w:val="24"/>
          <w:szCs w:val="24"/>
        </w:rPr>
        <w:t>技术</w:t>
      </w:r>
      <w:r>
        <w:rPr>
          <w:rFonts w:hint="eastAsia" w:hAnsi="宋体" w:cs="Arial"/>
          <w:color w:val="auto"/>
          <w:sz w:val="24"/>
          <w:szCs w:val="24"/>
        </w:rPr>
        <w:t>水平、履约能力、</w:t>
      </w:r>
      <w:r>
        <w:rPr>
          <w:rFonts w:hAnsi="宋体" w:cs="Arial"/>
          <w:color w:val="auto"/>
          <w:sz w:val="24"/>
          <w:szCs w:val="24"/>
        </w:rPr>
        <w:t>售后服务</w:t>
      </w:r>
      <w:r>
        <w:rPr>
          <w:rFonts w:hint="eastAsia" w:hAnsi="宋体" w:cs="Arial"/>
          <w:color w:val="auto"/>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16"/>
        <w:spacing w:line="360" w:lineRule="auto"/>
        <w:ind w:left="840" w:leftChars="400" w:firstLine="480" w:firstLineChars="200"/>
        <w:rPr>
          <w:rFonts w:hAnsi="宋体" w:cs="宋体"/>
          <w:color w:val="auto"/>
          <w:sz w:val="24"/>
          <w:szCs w:val="24"/>
          <w:lang w:val="zh-CN"/>
        </w:rPr>
      </w:pPr>
      <w:r>
        <w:rPr>
          <w:rFonts w:hint="eastAsia" w:hAnsi="宋体" w:cs="宋体"/>
          <w:color w:val="auto"/>
          <w:sz w:val="24"/>
          <w:szCs w:val="24"/>
          <w:lang w:val="zh-CN"/>
        </w:rPr>
        <w:t>供应商为小型、微型企业，且提供本企业生产的货物或者提供其他小型、微型企业生产的货物，价格按相关规定给予</w:t>
      </w:r>
      <w:r>
        <w:rPr>
          <w:rFonts w:hAnsi="宋体" w:cs="宋体"/>
          <w:color w:val="auto"/>
          <w:sz w:val="24"/>
          <w:szCs w:val="24"/>
          <w:lang w:val="zh-CN"/>
        </w:rPr>
        <w:t>10</w:t>
      </w:r>
      <w:r>
        <w:rPr>
          <w:rFonts w:hint="eastAsia" w:hAnsi="宋体" w:cs="宋体"/>
          <w:color w:val="auto"/>
          <w:sz w:val="24"/>
          <w:szCs w:val="24"/>
          <w:lang w:val="zh-CN"/>
        </w:rPr>
        <w:t>%-</w:t>
      </w:r>
      <w:r>
        <w:rPr>
          <w:rFonts w:hAnsi="宋体" w:cs="宋体"/>
          <w:color w:val="auto"/>
          <w:sz w:val="24"/>
          <w:szCs w:val="24"/>
          <w:lang w:val="zh-CN"/>
        </w:rPr>
        <w:t>2</w:t>
      </w:r>
      <w:r>
        <w:rPr>
          <w:rFonts w:hint="eastAsia" w:hAnsi="宋体" w:cs="宋体"/>
          <w:color w:val="auto"/>
          <w:sz w:val="24"/>
          <w:szCs w:val="24"/>
          <w:lang w:val="zh-CN"/>
        </w:rPr>
        <w:t>0%的价格折扣，用扣除后的价格参与评审。本项所称货物不包括使用大型企业注册商标的货物；</w:t>
      </w:r>
    </w:p>
    <w:p>
      <w:pPr>
        <w:pStyle w:val="16"/>
        <w:spacing w:line="360" w:lineRule="auto"/>
        <w:ind w:left="840" w:leftChars="400" w:firstLine="480" w:firstLineChars="200"/>
        <w:rPr>
          <w:rFonts w:hAnsi="宋体" w:cs="宋体"/>
          <w:color w:val="auto"/>
          <w:sz w:val="24"/>
          <w:szCs w:val="24"/>
          <w:lang w:val="zh-CN"/>
        </w:rPr>
      </w:pPr>
      <w:r>
        <w:rPr>
          <w:rFonts w:hint="eastAsia" w:hAnsi="宋体" w:cs="宋体"/>
          <w:color w:val="auto"/>
          <w:sz w:val="24"/>
          <w:szCs w:val="24"/>
          <w:lang w:val="zh-CN"/>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4%-6%的扣除，用扣除后的价格参加评审；</w:t>
      </w:r>
    </w:p>
    <w:p>
      <w:pPr>
        <w:pStyle w:val="16"/>
        <w:spacing w:line="360" w:lineRule="auto"/>
        <w:ind w:left="840" w:leftChars="400" w:firstLine="480" w:firstLineChars="200"/>
        <w:rPr>
          <w:rFonts w:hAnsi="宋体" w:cs="宋体"/>
          <w:color w:val="auto"/>
          <w:sz w:val="24"/>
          <w:szCs w:val="24"/>
          <w:lang w:val="zh-CN"/>
        </w:rPr>
      </w:pPr>
      <w:r>
        <w:rPr>
          <w:rFonts w:hint="eastAsia" w:hAnsi="宋体" w:cs="宋体"/>
          <w:color w:val="auto"/>
          <w:sz w:val="24"/>
          <w:szCs w:val="24"/>
          <w:lang w:val="zh-CN"/>
        </w:rPr>
        <w:t>监狱企业、残疾人福利性单位视同小型、微型企业，享受评审中价格扣除等促进中小企业发展的政府采购政策。</w:t>
      </w:r>
    </w:p>
    <w:p>
      <w:pPr>
        <w:pStyle w:val="16"/>
        <w:spacing w:line="360" w:lineRule="auto"/>
        <w:ind w:left="840" w:leftChars="400" w:firstLine="480" w:firstLineChars="200"/>
        <w:rPr>
          <w:rFonts w:hAnsi="宋体" w:cs="宋体"/>
          <w:color w:val="auto"/>
          <w:sz w:val="24"/>
          <w:szCs w:val="24"/>
          <w:lang w:val="zh-CN"/>
        </w:rPr>
      </w:pPr>
      <w:r>
        <w:rPr>
          <w:rFonts w:hint="eastAsia" w:hAnsi="宋体" w:cs="宋体"/>
          <w:color w:val="auto"/>
          <w:sz w:val="24"/>
          <w:szCs w:val="24"/>
          <w:lang w:val="zh-CN"/>
        </w:rPr>
        <w:t>供应商同时符合小型、微型企业及监狱企业、残疾人福利性单位要求的，评审时只有一种类型享受价格评审优惠政策；</w:t>
      </w:r>
    </w:p>
    <w:p>
      <w:pPr>
        <w:pStyle w:val="16"/>
        <w:spacing w:line="360" w:lineRule="auto"/>
        <w:ind w:left="840" w:leftChars="400" w:firstLine="480" w:firstLineChars="200"/>
        <w:rPr>
          <w:rFonts w:hAnsi="宋体" w:cs="Arial"/>
          <w:color w:val="auto"/>
          <w:sz w:val="24"/>
          <w:szCs w:val="24"/>
        </w:rPr>
      </w:pPr>
      <w:r>
        <w:rPr>
          <w:rFonts w:hint="eastAsia" w:hAnsi="宋体" w:cs="宋体"/>
          <w:color w:val="auto"/>
          <w:sz w:val="24"/>
          <w:szCs w:val="24"/>
          <w:lang w:val="zh-CN"/>
        </w:rPr>
        <w:t>投标文件符合本章前款规定的，供应商应提供相关证明资料，且所提供资料必须真实可信。如有虚假，将依法承担相应责任。</w:t>
      </w:r>
    </w:p>
    <w:p>
      <w:pPr>
        <w:pStyle w:val="16"/>
        <w:numPr>
          <w:ilvl w:val="0"/>
          <w:numId w:val="25"/>
        </w:numPr>
        <w:spacing w:line="360" w:lineRule="auto"/>
        <w:rPr>
          <w:rFonts w:hAnsi="宋体" w:cs="Arial"/>
          <w:color w:val="auto"/>
          <w:sz w:val="24"/>
          <w:szCs w:val="24"/>
        </w:rPr>
      </w:pPr>
      <w:r>
        <w:rPr>
          <w:rFonts w:hint="eastAsia" w:hAnsi="宋体" w:cs="Arial"/>
          <w:color w:val="auto"/>
          <w:sz w:val="24"/>
          <w:szCs w:val="24"/>
        </w:rPr>
        <w:t>除磋商价格因素外，评标委员会应依据磋商文件规定的评审方法和评审标准对其他因素进行客观评审；</w:t>
      </w:r>
    </w:p>
    <w:p>
      <w:pPr>
        <w:pStyle w:val="16"/>
        <w:numPr>
          <w:ilvl w:val="1"/>
          <w:numId w:val="24"/>
        </w:numPr>
        <w:spacing w:line="360" w:lineRule="auto"/>
        <w:rPr>
          <w:rFonts w:hAnsi="宋体"/>
          <w:color w:val="auto"/>
          <w:sz w:val="24"/>
          <w:szCs w:val="24"/>
        </w:rPr>
      </w:pPr>
      <w:r>
        <w:rPr>
          <w:rFonts w:hint="eastAsia" w:hAnsi="宋体" w:cs="宋体"/>
          <w:color w:val="auto"/>
          <w:sz w:val="24"/>
          <w:szCs w:val="24"/>
          <w:lang w:val="zh-CN"/>
        </w:rPr>
        <w:t>磋商响应文件中含义不明确、同类问题表述不一致或者有明显文字和计算错误的内容，评标委员会应当以书面形式要求磋商人作出必要的澄清、说明或者补正。</w:t>
      </w:r>
    </w:p>
    <w:p>
      <w:pPr>
        <w:pStyle w:val="16"/>
        <w:spacing w:line="360" w:lineRule="auto"/>
        <w:ind w:left="621"/>
        <w:rPr>
          <w:rFonts w:hAnsi="宋体"/>
          <w:color w:val="auto"/>
          <w:sz w:val="24"/>
          <w:szCs w:val="24"/>
        </w:rPr>
      </w:pPr>
      <w:r>
        <w:rPr>
          <w:rFonts w:hint="eastAsia" w:hAnsi="宋体" w:cs="宋体"/>
          <w:color w:val="auto"/>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pPr>
        <w:pStyle w:val="16"/>
        <w:numPr>
          <w:ilvl w:val="0"/>
          <w:numId w:val="26"/>
        </w:numPr>
        <w:spacing w:line="360" w:lineRule="auto"/>
        <w:rPr>
          <w:rFonts w:hAnsi="宋体" w:cs="Arial"/>
          <w:color w:val="auto"/>
          <w:sz w:val="24"/>
          <w:szCs w:val="24"/>
        </w:rPr>
      </w:pPr>
      <w:r>
        <w:rPr>
          <w:rFonts w:hint="eastAsia" w:hAnsi="宋体" w:cs="Arial"/>
          <w:color w:val="auto"/>
          <w:sz w:val="24"/>
          <w:szCs w:val="24"/>
        </w:rPr>
        <w:t>磋商人存在下列情况之一的，按无效磋商处理：</w:t>
      </w:r>
    </w:p>
    <w:p>
      <w:pPr>
        <w:pStyle w:val="16"/>
        <w:numPr>
          <w:ilvl w:val="0"/>
          <w:numId w:val="27"/>
        </w:numPr>
        <w:spacing w:line="360" w:lineRule="auto"/>
        <w:rPr>
          <w:rFonts w:hAnsi="宋体" w:cs="Arial"/>
          <w:color w:val="auto"/>
          <w:sz w:val="24"/>
          <w:szCs w:val="24"/>
        </w:rPr>
      </w:pPr>
      <w:r>
        <w:rPr>
          <w:rFonts w:hint="eastAsia" w:hAnsi="宋体" w:cs="宋体"/>
          <w:color w:val="auto"/>
          <w:sz w:val="24"/>
          <w:szCs w:val="24"/>
          <w:lang w:val="zh-CN"/>
        </w:rPr>
        <w:t>符合性审查文件未按招标文件要求签署、盖章的；</w:t>
      </w:r>
    </w:p>
    <w:p>
      <w:pPr>
        <w:pStyle w:val="16"/>
        <w:numPr>
          <w:ilvl w:val="0"/>
          <w:numId w:val="27"/>
        </w:numPr>
        <w:spacing w:line="360" w:lineRule="auto"/>
        <w:rPr>
          <w:rFonts w:hAnsi="宋体" w:cs="Arial"/>
          <w:color w:val="auto"/>
          <w:sz w:val="24"/>
          <w:szCs w:val="24"/>
        </w:rPr>
      </w:pPr>
      <w:r>
        <w:rPr>
          <w:rFonts w:hint="eastAsia" w:hAnsi="宋体" w:cs="Arial"/>
          <w:color w:val="auto"/>
          <w:sz w:val="24"/>
          <w:szCs w:val="24"/>
        </w:rPr>
        <w:t>报价超过磋商文件中规定的预算金额或者最高限价的；</w:t>
      </w:r>
    </w:p>
    <w:p>
      <w:pPr>
        <w:pStyle w:val="16"/>
        <w:numPr>
          <w:ilvl w:val="0"/>
          <w:numId w:val="27"/>
        </w:numPr>
        <w:spacing w:line="360" w:lineRule="auto"/>
        <w:rPr>
          <w:rFonts w:hAnsi="宋体" w:cs="Arial"/>
          <w:color w:val="auto"/>
          <w:sz w:val="24"/>
          <w:szCs w:val="24"/>
        </w:rPr>
      </w:pPr>
      <w:r>
        <w:rPr>
          <w:rFonts w:hint="eastAsia" w:hAnsi="宋体" w:cs="Arial"/>
          <w:color w:val="auto"/>
          <w:sz w:val="24"/>
          <w:szCs w:val="24"/>
        </w:rPr>
        <w:t>产品交货期、磋商有效期不能满足磋商文件要求的；</w:t>
      </w:r>
    </w:p>
    <w:p>
      <w:pPr>
        <w:pStyle w:val="16"/>
        <w:numPr>
          <w:ilvl w:val="0"/>
          <w:numId w:val="27"/>
        </w:numPr>
        <w:spacing w:line="360" w:lineRule="auto"/>
        <w:rPr>
          <w:rFonts w:hAnsi="宋体" w:cs="Arial"/>
          <w:color w:val="auto"/>
          <w:sz w:val="24"/>
          <w:szCs w:val="24"/>
        </w:rPr>
      </w:pPr>
      <w:r>
        <w:rPr>
          <w:rFonts w:hint="eastAsia" w:hAnsi="宋体" w:cs="Arial"/>
          <w:color w:val="auto"/>
          <w:sz w:val="24"/>
          <w:szCs w:val="24"/>
        </w:rPr>
        <w:t>磋商响应文件中含有采购单位不能接受的条件的；</w:t>
      </w:r>
    </w:p>
    <w:p>
      <w:pPr>
        <w:pStyle w:val="16"/>
        <w:numPr>
          <w:ilvl w:val="0"/>
          <w:numId w:val="27"/>
        </w:numPr>
        <w:spacing w:line="360" w:lineRule="auto"/>
        <w:rPr>
          <w:rFonts w:hAnsi="宋体" w:cs="Arial"/>
          <w:color w:val="auto"/>
          <w:sz w:val="24"/>
          <w:szCs w:val="24"/>
        </w:rPr>
      </w:pPr>
      <w:r>
        <w:rPr>
          <w:rFonts w:hint="eastAsia" w:hAnsi="宋体" w:cs="宋体"/>
          <w:color w:val="auto"/>
          <w:sz w:val="24"/>
          <w:szCs w:val="24"/>
          <w:lang w:val="zh-CN"/>
        </w:rPr>
        <w:t>存在串通投标行为；</w:t>
      </w:r>
    </w:p>
    <w:p>
      <w:pPr>
        <w:pStyle w:val="16"/>
        <w:numPr>
          <w:ilvl w:val="0"/>
          <w:numId w:val="27"/>
        </w:numPr>
        <w:spacing w:line="360" w:lineRule="auto"/>
        <w:rPr>
          <w:rFonts w:hAnsi="宋体" w:cs="Arial"/>
          <w:color w:val="auto"/>
          <w:sz w:val="24"/>
          <w:szCs w:val="24"/>
        </w:rPr>
      </w:pPr>
      <w:r>
        <w:rPr>
          <w:rFonts w:hint="eastAsia" w:hAnsi="宋体" w:cs="Arial"/>
          <w:color w:val="auto"/>
          <w:sz w:val="24"/>
          <w:szCs w:val="24"/>
        </w:rPr>
        <w:t>法律、法规和磋商文件规定的其他无效情形。</w:t>
      </w:r>
    </w:p>
    <w:p>
      <w:pPr>
        <w:pStyle w:val="16"/>
        <w:numPr>
          <w:ilvl w:val="0"/>
          <w:numId w:val="26"/>
        </w:numPr>
        <w:spacing w:line="360" w:lineRule="auto"/>
        <w:rPr>
          <w:rFonts w:hAnsi="宋体" w:cs="Arial"/>
          <w:color w:val="auto"/>
          <w:sz w:val="24"/>
          <w:szCs w:val="24"/>
        </w:rPr>
      </w:pPr>
      <w:r>
        <w:rPr>
          <w:rFonts w:hint="eastAsia" w:hAnsi="宋体" w:cs="Arial"/>
          <w:color w:val="auto"/>
          <w:sz w:val="24"/>
          <w:szCs w:val="24"/>
        </w:rPr>
        <w:t>磋商响应文件报价出现前后不一致的，按照下列规定修正：</w:t>
      </w:r>
    </w:p>
    <w:p>
      <w:pPr>
        <w:pStyle w:val="16"/>
        <w:numPr>
          <w:ilvl w:val="0"/>
          <w:numId w:val="28"/>
        </w:numPr>
        <w:spacing w:line="360" w:lineRule="auto"/>
        <w:rPr>
          <w:rFonts w:hAnsi="宋体" w:cs="Arial"/>
          <w:color w:val="auto"/>
          <w:sz w:val="24"/>
          <w:szCs w:val="24"/>
        </w:rPr>
      </w:pPr>
      <w:r>
        <w:rPr>
          <w:rFonts w:hint="eastAsia" w:hAnsi="宋体" w:cs="Arial"/>
          <w:color w:val="auto"/>
          <w:sz w:val="24"/>
          <w:szCs w:val="24"/>
        </w:rPr>
        <w:t>大写金额和小写金额不一致的，以大写金额为准；</w:t>
      </w:r>
    </w:p>
    <w:p>
      <w:pPr>
        <w:pStyle w:val="16"/>
        <w:numPr>
          <w:ilvl w:val="0"/>
          <w:numId w:val="28"/>
        </w:numPr>
        <w:spacing w:line="360" w:lineRule="auto"/>
        <w:rPr>
          <w:rFonts w:hAnsi="宋体" w:cs="Arial"/>
          <w:color w:val="auto"/>
          <w:sz w:val="24"/>
          <w:szCs w:val="24"/>
        </w:rPr>
      </w:pPr>
      <w:r>
        <w:rPr>
          <w:rFonts w:hint="eastAsia" w:hAnsi="宋体" w:cs="Arial"/>
          <w:color w:val="auto"/>
          <w:sz w:val="24"/>
          <w:szCs w:val="24"/>
        </w:rPr>
        <w:t>总价金额与按单价汇总金额不一致的，以单价金额计算结果为准。</w:t>
      </w:r>
    </w:p>
    <w:p>
      <w:pPr>
        <w:pStyle w:val="16"/>
        <w:numPr>
          <w:ilvl w:val="1"/>
          <w:numId w:val="24"/>
        </w:numPr>
        <w:spacing w:line="360" w:lineRule="auto"/>
        <w:rPr>
          <w:rFonts w:hAnsi="宋体" w:cs="Arial"/>
          <w:color w:val="auto"/>
          <w:sz w:val="24"/>
          <w:szCs w:val="24"/>
        </w:rPr>
      </w:pPr>
      <w:r>
        <w:rPr>
          <w:rFonts w:hint="eastAsia" w:hAnsi="宋体" w:cs="宋体"/>
          <w:color w:val="auto"/>
          <w:sz w:val="24"/>
          <w:szCs w:val="24"/>
          <w:shd w:val="clear" w:color="auto" w:fill="FFFFFF"/>
        </w:rPr>
        <w:t>评标委员会应当按照磋商文件中规定的评标方法和标准，对符合性审查合格的磋商响应文件进行商务和技术评估，综合比较与评价。</w:t>
      </w:r>
    </w:p>
    <w:p>
      <w:pPr>
        <w:pStyle w:val="16"/>
        <w:numPr>
          <w:ilvl w:val="1"/>
          <w:numId w:val="24"/>
        </w:numPr>
        <w:spacing w:line="360" w:lineRule="auto"/>
        <w:rPr>
          <w:rFonts w:hAnsi="宋体" w:cs="Arial"/>
          <w:color w:val="auto"/>
          <w:sz w:val="24"/>
          <w:szCs w:val="24"/>
        </w:rPr>
      </w:pPr>
      <w:r>
        <w:rPr>
          <w:rFonts w:hint="eastAsia" w:hAnsi="宋体" w:cs="宋体"/>
          <w:color w:val="auto"/>
          <w:sz w:val="24"/>
          <w:szCs w:val="24"/>
          <w:shd w:val="clear" w:color="auto" w:fill="FFFFFF"/>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pPr>
        <w:pStyle w:val="5"/>
        <w:numPr>
          <w:ilvl w:val="0"/>
          <w:numId w:val="5"/>
        </w:numPr>
        <w:spacing w:before="0" w:after="0" w:line="360" w:lineRule="auto"/>
        <w:rPr>
          <w:rFonts w:ascii="宋体" w:hAnsi="宋体"/>
          <w:b w:val="0"/>
          <w:color w:val="auto"/>
          <w:sz w:val="24"/>
          <w:szCs w:val="24"/>
        </w:rPr>
      </w:pPr>
      <w:bookmarkStart w:id="58" w:name="_Toc109133103"/>
      <w:bookmarkStart w:id="59" w:name="_Toc488673635"/>
      <w:r>
        <w:rPr>
          <w:rFonts w:hint="eastAsia" w:ascii="宋体" w:hAnsi="宋体"/>
          <w:b w:val="0"/>
          <w:color w:val="auto"/>
          <w:sz w:val="24"/>
          <w:szCs w:val="24"/>
        </w:rPr>
        <w:t>评审办法</w:t>
      </w:r>
      <w:bookmarkEnd w:id="58"/>
      <w:bookmarkEnd w:id="59"/>
    </w:p>
    <w:p>
      <w:pPr>
        <w:pStyle w:val="16"/>
        <w:numPr>
          <w:ilvl w:val="1"/>
          <w:numId w:val="29"/>
        </w:numPr>
        <w:spacing w:line="360" w:lineRule="auto"/>
        <w:rPr>
          <w:rFonts w:hAnsi="宋体"/>
          <w:color w:val="auto"/>
          <w:sz w:val="24"/>
          <w:szCs w:val="24"/>
        </w:rPr>
      </w:pPr>
      <w:r>
        <w:rPr>
          <w:rFonts w:hint="eastAsia" w:hAnsi="宋体"/>
          <w:color w:val="auto"/>
          <w:sz w:val="24"/>
          <w:szCs w:val="24"/>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pPr>
        <w:pStyle w:val="16"/>
        <w:numPr>
          <w:ilvl w:val="1"/>
          <w:numId w:val="29"/>
        </w:numPr>
        <w:spacing w:line="360" w:lineRule="auto"/>
        <w:rPr>
          <w:rFonts w:hAnsi="宋体"/>
          <w:color w:val="auto"/>
          <w:sz w:val="24"/>
          <w:szCs w:val="24"/>
        </w:rPr>
      </w:pPr>
      <w:r>
        <w:rPr>
          <w:rFonts w:hint="eastAsia" w:hAnsi="宋体" w:cs="宋体"/>
          <w:color w:val="auto"/>
          <w:sz w:val="24"/>
          <w:szCs w:val="24"/>
          <w:lang w:val="zh-CN"/>
        </w:rPr>
        <w:t>本次评审方法采用综合评分法</w:t>
      </w:r>
      <w:r>
        <w:rPr>
          <w:rFonts w:hint="eastAsia" w:hAnsi="宋体" w:cs="宋体"/>
          <w:color w:val="auto"/>
          <w:sz w:val="24"/>
          <w:szCs w:val="24"/>
        </w:rPr>
        <w:t>。</w:t>
      </w:r>
    </w:p>
    <w:p>
      <w:pPr>
        <w:pStyle w:val="16"/>
        <w:numPr>
          <w:ilvl w:val="1"/>
          <w:numId w:val="29"/>
        </w:numPr>
        <w:spacing w:line="360" w:lineRule="auto"/>
        <w:rPr>
          <w:rFonts w:hAnsi="宋体"/>
          <w:color w:val="auto"/>
          <w:sz w:val="24"/>
          <w:szCs w:val="24"/>
        </w:rPr>
      </w:pPr>
      <w:r>
        <w:rPr>
          <w:rFonts w:hAnsi="宋体" w:cs="Arial"/>
          <w:color w:val="auto"/>
          <w:sz w:val="24"/>
          <w:szCs w:val="24"/>
        </w:rPr>
        <w:t>评审标准和分值分配</w:t>
      </w:r>
      <w:r>
        <w:rPr>
          <w:rFonts w:hint="eastAsia" w:hAnsi="宋体" w:cs="Arial"/>
          <w:color w:val="auto"/>
          <w:sz w:val="24"/>
          <w:szCs w:val="24"/>
        </w:rPr>
        <w:t>：</w:t>
      </w:r>
    </w:p>
    <w:p>
      <w:pPr>
        <w:spacing w:line="300" w:lineRule="exact"/>
        <w:jc w:val="left"/>
        <w:rPr>
          <w:rFonts w:hint="eastAsia" w:hAnsi="宋体"/>
          <w:b/>
          <w:color w:val="auto"/>
          <w:sz w:val="24"/>
          <w:szCs w:val="24"/>
        </w:rPr>
      </w:pPr>
      <w:bookmarkStart w:id="60" w:name="_Hlk497723873"/>
      <w:r>
        <w:rPr>
          <w:rFonts w:hint="eastAsia" w:hAnsi="宋体"/>
          <w:b/>
          <w:color w:val="auto"/>
          <w:sz w:val="24"/>
          <w:szCs w:val="24"/>
        </w:rPr>
        <w:t>具体项目及评分细则：</w:t>
      </w:r>
      <w:bookmarkEnd w:id="60"/>
      <w:bookmarkStart w:id="61" w:name="_Toc109133104"/>
    </w:p>
    <w:tbl>
      <w:tblPr>
        <w:tblStyle w:val="32"/>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668"/>
        <w:gridCol w:w="770"/>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802" w:type="dxa"/>
            <w:gridSpan w:val="2"/>
            <w:shd w:val="clear" w:color="000000" w:fill="FFFFFF"/>
            <w:noWrap w:val="0"/>
            <w:vAlign w:val="center"/>
          </w:tcPr>
          <w:p>
            <w:pPr>
              <w:autoSpaceDE w:val="0"/>
              <w:autoSpaceDN w:val="0"/>
              <w:snapToGrid w:val="0"/>
              <w:spacing w:line="360" w:lineRule="auto"/>
              <w:jc w:val="center"/>
              <w:rPr>
                <w:rFonts w:ascii="宋体" w:hAnsi="宋体" w:cs="宋体"/>
                <w:sz w:val="24"/>
                <w:lang w:val="zh-CN"/>
              </w:rPr>
            </w:pPr>
            <w:r>
              <w:rPr>
                <w:rFonts w:hint="eastAsia" w:ascii="宋体" w:hAnsi="宋体" w:cs="宋体"/>
                <w:sz w:val="24"/>
              </w:rPr>
              <w:t>评审因素</w:t>
            </w:r>
          </w:p>
        </w:tc>
        <w:tc>
          <w:tcPr>
            <w:tcW w:w="770" w:type="dxa"/>
            <w:shd w:val="clear" w:color="000000" w:fill="FFFFFF"/>
            <w:noWrap w:val="0"/>
            <w:vAlign w:val="center"/>
          </w:tcPr>
          <w:p>
            <w:pPr>
              <w:autoSpaceDE w:val="0"/>
              <w:autoSpaceDN w:val="0"/>
              <w:snapToGrid w:val="0"/>
              <w:spacing w:line="360" w:lineRule="auto"/>
              <w:jc w:val="center"/>
              <w:rPr>
                <w:rFonts w:ascii="宋体" w:hAnsi="宋体" w:cs="宋体"/>
                <w:sz w:val="24"/>
              </w:rPr>
            </w:pPr>
            <w:r>
              <w:rPr>
                <w:rFonts w:hint="eastAsia" w:ascii="宋体" w:hAnsi="宋体" w:cs="宋体"/>
                <w:sz w:val="24"/>
              </w:rPr>
              <w:t>评审分数</w:t>
            </w:r>
          </w:p>
        </w:tc>
        <w:tc>
          <w:tcPr>
            <w:tcW w:w="6269" w:type="dxa"/>
            <w:shd w:val="clear" w:color="000000" w:fill="FFFFFF"/>
            <w:noWrap w:val="0"/>
            <w:vAlign w:val="center"/>
          </w:tcPr>
          <w:p>
            <w:pPr>
              <w:autoSpaceDE w:val="0"/>
              <w:autoSpaceDN w:val="0"/>
              <w:snapToGrid w:val="0"/>
              <w:spacing w:line="360" w:lineRule="auto"/>
              <w:jc w:val="center"/>
              <w:rPr>
                <w:rFonts w:ascii="宋体" w:hAnsi="宋体" w:cs="宋体"/>
                <w:sz w:val="24"/>
              </w:rPr>
            </w:pPr>
            <w:r>
              <w:rPr>
                <w:rFonts w:hint="eastAsia" w:ascii="宋体" w:hAnsi="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shd w:val="clear" w:color="000000" w:fill="FFFFFF"/>
            <w:noWrap w:val="0"/>
            <w:vAlign w:val="center"/>
          </w:tcPr>
          <w:p>
            <w:pPr>
              <w:autoSpaceDE w:val="0"/>
              <w:autoSpaceDN w:val="0"/>
              <w:snapToGrid w:val="0"/>
              <w:spacing w:line="336" w:lineRule="auto"/>
              <w:jc w:val="center"/>
              <w:rPr>
                <w:rFonts w:ascii="宋体" w:hAnsi="宋体" w:cs="宋体"/>
                <w:sz w:val="24"/>
              </w:rPr>
            </w:pPr>
            <w:r>
              <w:rPr>
                <w:rFonts w:hint="eastAsia" w:ascii="宋体" w:hAnsi="宋体" w:cs="宋体"/>
                <w:sz w:val="24"/>
                <w:lang w:eastAsia="zh-CN"/>
              </w:rPr>
              <w:t>磋商</w:t>
            </w:r>
            <w:r>
              <w:rPr>
                <w:rFonts w:hint="eastAsia" w:ascii="宋体" w:hAnsi="宋体" w:cs="宋体"/>
                <w:sz w:val="24"/>
              </w:rPr>
              <w:t>报价</w:t>
            </w:r>
          </w:p>
          <w:p>
            <w:pPr>
              <w:autoSpaceDE w:val="0"/>
              <w:autoSpaceDN w:val="0"/>
              <w:snapToGrid w:val="0"/>
              <w:spacing w:line="336" w:lineRule="auto"/>
              <w:jc w:val="center"/>
              <w:rPr>
                <w:rFonts w:ascii="宋体" w:hAnsi="宋体" w:cs="宋体"/>
                <w:sz w:val="24"/>
              </w:rPr>
            </w:pPr>
            <w:r>
              <w:rPr>
                <w:rFonts w:hint="eastAsia" w:ascii="宋体" w:hAnsi="宋体" w:cs="宋体"/>
                <w:sz w:val="24"/>
              </w:rPr>
              <w:t>30分</w:t>
            </w:r>
          </w:p>
        </w:tc>
        <w:tc>
          <w:tcPr>
            <w:tcW w:w="1668" w:type="dxa"/>
            <w:shd w:val="clear" w:color="000000" w:fill="FFFFFF"/>
            <w:noWrap w:val="0"/>
            <w:vAlign w:val="center"/>
          </w:tcPr>
          <w:p>
            <w:pPr>
              <w:autoSpaceDE w:val="0"/>
              <w:autoSpaceDN w:val="0"/>
              <w:snapToGrid w:val="0"/>
              <w:spacing w:line="336" w:lineRule="auto"/>
              <w:jc w:val="center"/>
              <w:rPr>
                <w:rFonts w:ascii="宋体" w:hAnsi="宋体" w:cs="宋体"/>
                <w:sz w:val="24"/>
                <w:lang w:val="zh-CN"/>
              </w:rPr>
            </w:pPr>
            <w:r>
              <w:rPr>
                <w:rFonts w:hint="eastAsia" w:ascii="宋体" w:hAnsi="宋体" w:cs="宋体"/>
                <w:sz w:val="24"/>
                <w:lang w:val="zh-CN"/>
              </w:rPr>
              <w:t>报价分</w:t>
            </w:r>
          </w:p>
        </w:tc>
        <w:tc>
          <w:tcPr>
            <w:tcW w:w="770" w:type="dxa"/>
            <w:shd w:val="clear" w:color="000000" w:fill="FFFFFF"/>
            <w:noWrap w:val="0"/>
            <w:vAlign w:val="center"/>
          </w:tcPr>
          <w:p>
            <w:pPr>
              <w:autoSpaceDE w:val="0"/>
              <w:autoSpaceDN w:val="0"/>
              <w:snapToGrid w:val="0"/>
              <w:spacing w:line="336" w:lineRule="auto"/>
              <w:jc w:val="center"/>
              <w:rPr>
                <w:rFonts w:ascii="宋体" w:hAnsi="宋体" w:cs="宋体"/>
                <w:sz w:val="24"/>
              </w:rPr>
            </w:pPr>
            <w:r>
              <w:rPr>
                <w:rFonts w:hint="eastAsia" w:ascii="宋体" w:hAnsi="宋体" w:cs="宋体"/>
                <w:sz w:val="24"/>
              </w:rPr>
              <w:t>30</w:t>
            </w:r>
          </w:p>
        </w:tc>
        <w:tc>
          <w:tcPr>
            <w:tcW w:w="6269" w:type="dxa"/>
            <w:shd w:val="clear" w:color="000000" w:fill="FFFFFF"/>
            <w:noWrap w:val="0"/>
            <w:vAlign w:val="center"/>
          </w:tcPr>
          <w:p>
            <w:pPr>
              <w:autoSpaceDE w:val="0"/>
              <w:autoSpaceDN w:val="0"/>
              <w:snapToGrid w:val="0"/>
              <w:spacing w:line="336" w:lineRule="auto"/>
              <w:rPr>
                <w:rFonts w:ascii="宋体" w:hAnsi="宋体" w:cs="宋体"/>
                <w:sz w:val="24"/>
              </w:rPr>
            </w:pPr>
            <w:r>
              <w:rPr>
                <w:rFonts w:hint="eastAsia" w:ascii="宋体" w:hAnsi="宋体" w:cs="宋体"/>
                <w:sz w:val="24"/>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snapToGrid w:val="0"/>
              <w:spacing w:line="360" w:lineRule="auto"/>
              <w:rPr>
                <w:rFonts w:ascii="宋体" w:cs="宋体"/>
                <w:sz w:val="24"/>
              </w:rPr>
            </w:pPr>
            <w:r>
              <w:rPr>
                <w:rFonts w:hint="eastAsia" w:ascii="宋体" w:cs="宋体"/>
                <w:sz w:val="24"/>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pPr>
              <w:pStyle w:val="19"/>
              <w:spacing w:line="360" w:lineRule="auto"/>
              <w:rPr>
                <w:rFonts w:ascii="宋体" w:hAnsi="宋体"/>
                <w:sz w:val="24"/>
                <w:szCs w:val="24"/>
              </w:rPr>
            </w:pPr>
            <w:r>
              <w:rPr>
                <w:rFonts w:hint="eastAsia" w:ascii="宋体" w:cs="宋体"/>
                <w:sz w:val="24"/>
              </w:rPr>
              <w:t>2、监狱企业、残疾人福利性单位属于小型、微型企业的，不重复享受政策。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restart"/>
            <w:shd w:val="clear" w:color="000000" w:fill="FFFFFF"/>
            <w:noWrap w:val="0"/>
            <w:vAlign w:val="center"/>
          </w:tcPr>
          <w:p>
            <w:pPr>
              <w:autoSpaceDE w:val="0"/>
              <w:autoSpaceDN w:val="0"/>
              <w:snapToGrid w:val="0"/>
              <w:spacing w:line="336" w:lineRule="auto"/>
              <w:jc w:val="center"/>
              <w:rPr>
                <w:rFonts w:ascii="宋体" w:hAnsi="宋体" w:cs="宋体"/>
                <w:sz w:val="24"/>
                <w:lang w:val="zh-CN"/>
              </w:rPr>
            </w:pPr>
            <w:r>
              <w:rPr>
                <w:rFonts w:hint="eastAsia" w:ascii="宋体" w:hAnsi="宋体" w:cs="宋体"/>
                <w:sz w:val="24"/>
                <w:lang w:val="zh-CN"/>
              </w:rPr>
              <w:t>技术水平</w:t>
            </w:r>
          </w:p>
          <w:p>
            <w:pPr>
              <w:autoSpaceDE w:val="0"/>
              <w:autoSpaceDN w:val="0"/>
              <w:snapToGrid w:val="0"/>
              <w:spacing w:line="336" w:lineRule="auto"/>
              <w:jc w:val="center"/>
              <w:rPr>
                <w:rFonts w:ascii="宋体" w:hAnsi="宋体" w:cs="宋体"/>
                <w:sz w:val="24"/>
                <w:lang w:val="zh-CN"/>
              </w:rPr>
            </w:pPr>
            <w:r>
              <w:rPr>
                <w:rFonts w:hint="eastAsia" w:ascii="宋体" w:hAnsi="宋体" w:cs="宋体"/>
                <w:sz w:val="24"/>
              </w:rPr>
              <w:t>63</w:t>
            </w:r>
            <w:r>
              <w:rPr>
                <w:rFonts w:hint="eastAsia" w:ascii="宋体" w:hAnsi="宋体" w:cs="宋体"/>
                <w:sz w:val="24"/>
                <w:lang w:val="zh-CN"/>
              </w:rPr>
              <w:t>分</w:t>
            </w:r>
          </w:p>
        </w:tc>
        <w:tc>
          <w:tcPr>
            <w:tcW w:w="1668" w:type="dxa"/>
            <w:shd w:val="clear" w:color="000000" w:fill="FFFFFF"/>
            <w:noWrap w:val="0"/>
            <w:vAlign w:val="center"/>
          </w:tcPr>
          <w:p>
            <w:pPr>
              <w:autoSpaceDE w:val="0"/>
              <w:autoSpaceDN w:val="0"/>
              <w:snapToGrid w:val="0"/>
              <w:spacing w:line="336" w:lineRule="auto"/>
              <w:jc w:val="center"/>
              <w:rPr>
                <w:rFonts w:ascii="宋体" w:hAnsi="宋体" w:cs="宋体"/>
                <w:sz w:val="24"/>
              </w:rPr>
            </w:pPr>
            <w:r>
              <w:rPr>
                <w:rFonts w:hint="eastAsia" w:ascii="宋体" w:hAnsi="宋体" w:cs="宋体"/>
                <w:sz w:val="24"/>
              </w:rPr>
              <w:t>技术参数</w:t>
            </w:r>
          </w:p>
        </w:tc>
        <w:tc>
          <w:tcPr>
            <w:tcW w:w="770" w:type="dxa"/>
            <w:shd w:val="clear" w:color="000000" w:fill="FFFFFF"/>
            <w:noWrap w:val="0"/>
            <w:vAlign w:val="center"/>
          </w:tcPr>
          <w:p>
            <w:pPr>
              <w:autoSpaceDE w:val="0"/>
              <w:autoSpaceDN w:val="0"/>
              <w:snapToGrid w:val="0"/>
              <w:spacing w:line="336" w:lineRule="auto"/>
              <w:jc w:val="center"/>
              <w:rPr>
                <w:rFonts w:ascii="宋体" w:hAnsi="宋体" w:cs="宋体"/>
                <w:sz w:val="24"/>
              </w:rPr>
            </w:pPr>
            <w:r>
              <w:rPr>
                <w:rFonts w:hint="eastAsia" w:ascii="宋体" w:hAnsi="宋体" w:cs="宋体"/>
                <w:sz w:val="24"/>
              </w:rPr>
              <w:t>40</w:t>
            </w:r>
          </w:p>
        </w:tc>
        <w:tc>
          <w:tcPr>
            <w:tcW w:w="6269" w:type="dxa"/>
            <w:shd w:val="clear" w:color="000000" w:fill="FFFFFF"/>
            <w:noWrap w:val="0"/>
            <w:vAlign w:val="center"/>
          </w:tcPr>
          <w:p>
            <w:pPr>
              <w:autoSpaceDE w:val="0"/>
              <w:autoSpaceDN w:val="0"/>
              <w:snapToGrid w:val="0"/>
              <w:spacing w:line="360" w:lineRule="auto"/>
            </w:pPr>
            <w:r>
              <w:rPr>
                <w:rFonts w:hint="eastAsia" w:ascii="宋体" w:cs="宋体"/>
                <w:sz w:val="24"/>
              </w:rPr>
              <w:t>投标产品技术参数和配置完全满足或高于磋商文件要求</w:t>
            </w:r>
            <w:r>
              <w:rPr>
                <w:rFonts w:hint="eastAsia" w:ascii="宋体" w:hAnsi="Times New Roman" w:eastAsia="宋体" w:cs="宋体"/>
                <w:sz w:val="24"/>
              </w:rPr>
              <w:t>的，得40分；每有一项负偏离扣</w:t>
            </w:r>
            <w:r>
              <w:rPr>
                <w:rFonts w:hint="eastAsia" w:ascii="宋体" w:cs="宋体"/>
                <w:sz w:val="24"/>
                <w:lang w:val="en-US" w:eastAsia="zh-CN"/>
              </w:rPr>
              <w:t>2</w:t>
            </w:r>
            <w:r>
              <w:rPr>
                <w:rFonts w:hint="eastAsia" w:ascii="宋体" w:hAnsi="Times New Roman" w:eastAsia="宋体" w:cs="宋体"/>
                <w:sz w:val="24"/>
              </w:rPr>
              <w:t>分，直至扣完为止</w:t>
            </w:r>
            <w:r>
              <w:rPr>
                <w:rFonts w:hint="eastAsia" w:ascii="宋体" w:hAnsi="Times New Roman"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134" w:type="dxa"/>
            <w:vMerge w:val="continue"/>
            <w:shd w:val="clear" w:color="000000" w:fill="FFFFFF"/>
            <w:noWrap w:val="0"/>
            <w:vAlign w:val="center"/>
          </w:tcPr>
          <w:p>
            <w:pPr>
              <w:autoSpaceDE w:val="0"/>
              <w:autoSpaceDN w:val="0"/>
              <w:snapToGrid w:val="0"/>
              <w:spacing w:line="336" w:lineRule="auto"/>
              <w:jc w:val="center"/>
              <w:rPr>
                <w:rFonts w:ascii="宋体" w:hAnsi="宋体" w:cs="宋体"/>
                <w:sz w:val="24"/>
                <w:lang w:val="zh-CN"/>
              </w:rPr>
            </w:pPr>
          </w:p>
        </w:tc>
        <w:tc>
          <w:tcPr>
            <w:tcW w:w="1668" w:type="dxa"/>
            <w:shd w:val="clear" w:color="000000" w:fill="FFFFFF"/>
            <w:noWrap w:val="0"/>
            <w:vAlign w:val="center"/>
          </w:tcPr>
          <w:p>
            <w:pPr>
              <w:autoSpaceDE w:val="0"/>
              <w:autoSpaceDN w:val="0"/>
              <w:snapToGrid w:val="0"/>
              <w:spacing w:line="336" w:lineRule="auto"/>
              <w:jc w:val="center"/>
              <w:rPr>
                <w:rFonts w:ascii="宋体" w:hAnsi="宋体" w:cs="宋体"/>
                <w:sz w:val="24"/>
              </w:rPr>
            </w:pPr>
            <w:r>
              <w:rPr>
                <w:rFonts w:ascii="宋体" w:hAnsi="宋体" w:cs="宋体"/>
                <w:sz w:val="24"/>
              </w:rPr>
              <w:t>环保和节能</w:t>
            </w:r>
          </w:p>
        </w:tc>
        <w:tc>
          <w:tcPr>
            <w:tcW w:w="770" w:type="dxa"/>
            <w:shd w:val="clear" w:color="000000" w:fill="FFFFFF"/>
            <w:noWrap w:val="0"/>
            <w:vAlign w:val="center"/>
          </w:tcPr>
          <w:p>
            <w:pPr>
              <w:autoSpaceDE w:val="0"/>
              <w:autoSpaceDN w:val="0"/>
              <w:snapToGrid w:val="0"/>
              <w:spacing w:line="336" w:lineRule="auto"/>
              <w:jc w:val="center"/>
              <w:rPr>
                <w:rFonts w:ascii="宋体" w:hAnsi="宋体" w:cs="宋体"/>
                <w:sz w:val="24"/>
              </w:rPr>
            </w:pPr>
            <w:r>
              <w:rPr>
                <w:rFonts w:hint="eastAsia" w:ascii="宋体" w:hAnsi="宋体" w:cs="宋体"/>
                <w:sz w:val="24"/>
              </w:rPr>
              <w:t>2</w:t>
            </w:r>
          </w:p>
        </w:tc>
        <w:tc>
          <w:tcPr>
            <w:tcW w:w="6269" w:type="dxa"/>
            <w:shd w:val="clear" w:color="000000" w:fill="FFFFFF"/>
            <w:noWrap w:val="0"/>
            <w:vAlign w:val="center"/>
          </w:tcPr>
          <w:p>
            <w:pPr>
              <w:autoSpaceDE w:val="0"/>
              <w:autoSpaceDN w:val="0"/>
              <w:snapToGrid w:val="0"/>
              <w:spacing w:line="360" w:lineRule="auto"/>
              <w:rPr>
                <w:rFonts w:ascii="宋体" w:cs="宋体"/>
                <w:sz w:val="24"/>
              </w:rPr>
            </w:pPr>
            <w:r>
              <w:rPr>
                <w:rFonts w:hint="eastAsia" w:ascii="宋体" w:cs="宋体"/>
                <w:sz w:val="24"/>
              </w:rPr>
              <w:t>所投产品为节能产品，每提供1份得0.5分，满分1分；</w:t>
            </w:r>
          </w:p>
          <w:p>
            <w:pPr>
              <w:autoSpaceDE w:val="0"/>
              <w:autoSpaceDN w:val="0"/>
              <w:snapToGrid w:val="0"/>
              <w:spacing w:line="360" w:lineRule="auto"/>
              <w:rPr>
                <w:rFonts w:ascii="宋体" w:cs="宋体"/>
                <w:sz w:val="24"/>
              </w:rPr>
            </w:pPr>
            <w:r>
              <w:rPr>
                <w:rFonts w:hint="eastAsia" w:ascii="宋体" w:cs="宋体"/>
                <w:sz w:val="24"/>
              </w:rPr>
              <w:t>所投产品为环保产品，每提供1份得0.5分，满分1分；未提供不得分。该项得分的认定以《国家节能产品认证证书》、《中国环境标志产品认证证书》为准。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134" w:type="dxa"/>
            <w:vMerge w:val="continue"/>
            <w:shd w:val="clear" w:color="000000" w:fill="FFFFFF"/>
            <w:noWrap w:val="0"/>
            <w:vAlign w:val="center"/>
          </w:tcPr>
          <w:p>
            <w:pPr>
              <w:autoSpaceDE w:val="0"/>
              <w:autoSpaceDN w:val="0"/>
              <w:snapToGrid w:val="0"/>
              <w:spacing w:line="336" w:lineRule="auto"/>
              <w:jc w:val="center"/>
              <w:rPr>
                <w:rFonts w:ascii="宋体" w:hAnsi="宋体" w:cs="宋体"/>
                <w:sz w:val="24"/>
                <w:lang w:val="zh-CN"/>
              </w:rPr>
            </w:pPr>
          </w:p>
        </w:tc>
        <w:tc>
          <w:tcPr>
            <w:tcW w:w="1668" w:type="dxa"/>
            <w:shd w:val="clear" w:color="000000" w:fill="FFFFFF"/>
            <w:noWrap w:val="0"/>
            <w:vAlign w:val="center"/>
          </w:tcPr>
          <w:p>
            <w:pPr>
              <w:spacing w:line="336" w:lineRule="auto"/>
              <w:jc w:val="center"/>
              <w:rPr>
                <w:rFonts w:ascii="宋体" w:hAnsi="宋体" w:cs="宋体"/>
                <w:sz w:val="24"/>
              </w:rPr>
            </w:pPr>
            <w:r>
              <w:rPr>
                <w:rFonts w:hint="eastAsia" w:ascii="宋体" w:hAnsi="宋体" w:cs="宋体"/>
                <w:sz w:val="24"/>
              </w:rPr>
              <w:t>项目管理及实施方案</w:t>
            </w:r>
          </w:p>
        </w:tc>
        <w:tc>
          <w:tcPr>
            <w:tcW w:w="770" w:type="dxa"/>
            <w:shd w:val="clear" w:color="000000" w:fill="FFFFFF"/>
            <w:noWrap w:val="0"/>
            <w:vAlign w:val="center"/>
          </w:tcPr>
          <w:p>
            <w:pPr>
              <w:spacing w:line="336" w:lineRule="auto"/>
              <w:jc w:val="center"/>
              <w:rPr>
                <w:rFonts w:ascii="宋体" w:hAnsi="宋体" w:cs="宋体"/>
                <w:sz w:val="24"/>
              </w:rPr>
            </w:pPr>
            <w:r>
              <w:rPr>
                <w:rFonts w:hint="eastAsia" w:ascii="宋体" w:hAnsi="宋体" w:cs="宋体"/>
                <w:sz w:val="24"/>
              </w:rPr>
              <w:t>21</w:t>
            </w:r>
          </w:p>
        </w:tc>
        <w:tc>
          <w:tcPr>
            <w:tcW w:w="6269" w:type="dxa"/>
            <w:shd w:val="clear" w:color="000000" w:fill="FFFFFF"/>
            <w:noWrap w:val="0"/>
            <w:vAlign w:val="center"/>
          </w:tcPr>
          <w:p>
            <w:pPr>
              <w:autoSpaceDE w:val="0"/>
              <w:autoSpaceDN w:val="0"/>
              <w:snapToGrid w:val="0"/>
              <w:spacing w:line="360" w:lineRule="auto"/>
              <w:rPr>
                <w:rFonts w:ascii="宋体" w:cs="宋体"/>
                <w:sz w:val="24"/>
              </w:rPr>
            </w:pPr>
            <w:r>
              <w:rPr>
                <w:rFonts w:hint="eastAsia" w:ascii="宋体" w:cs="宋体"/>
                <w:sz w:val="24"/>
              </w:rPr>
              <w:t>1、磋商供应商制定方案须体现科学合理性、条理性、可行性、完善性、针对性。包含：①项目管理机构②项目管理措施及质量保障方案③培训方案④质量控制及保证措施。以上因素实质性响应并详尽合理的每一项得3分，满分12分；每有一项存在缺陷或不足的扣1分，未提供的不得分。</w:t>
            </w:r>
          </w:p>
          <w:p>
            <w:pPr>
              <w:autoSpaceDE w:val="0"/>
              <w:autoSpaceDN w:val="0"/>
              <w:snapToGrid w:val="0"/>
              <w:spacing w:line="360" w:lineRule="auto"/>
              <w:rPr>
                <w:rFonts w:ascii="宋体" w:cs="宋体"/>
                <w:sz w:val="24"/>
              </w:rPr>
            </w:pPr>
            <w:r>
              <w:rPr>
                <w:rFonts w:hint="eastAsia" w:ascii="宋体" w:cs="宋体"/>
                <w:sz w:val="24"/>
              </w:rPr>
              <w:t>2、磋商供应商针对本项目特点制定详细的货物供货及配送方案。包含：①完善的供货计划②完善的运输计划及运输配置、应急措施等③完善的供货保证措施。以上因素实质性响应并详尽合理的每一项得3分，满分9分；每有一项存在缺陷或不足的扣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1134" w:type="dxa"/>
            <w:shd w:val="clear" w:color="000000" w:fill="FFFFFF"/>
            <w:noWrap w:val="0"/>
            <w:vAlign w:val="center"/>
          </w:tcPr>
          <w:p>
            <w:pPr>
              <w:autoSpaceDE w:val="0"/>
              <w:autoSpaceDN w:val="0"/>
              <w:snapToGrid w:val="0"/>
              <w:spacing w:line="336" w:lineRule="auto"/>
              <w:jc w:val="center"/>
              <w:rPr>
                <w:rFonts w:ascii="宋体" w:hAnsi="宋体" w:cs="宋体"/>
                <w:sz w:val="24"/>
                <w:lang w:val="zh-CN"/>
              </w:rPr>
            </w:pPr>
            <w:r>
              <w:rPr>
                <w:rFonts w:hint="eastAsia" w:ascii="宋体" w:hAnsi="宋体" w:cs="宋体"/>
                <w:sz w:val="24"/>
                <w:lang w:val="zh-CN"/>
              </w:rPr>
              <w:t>履约能力</w:t>
            </w:r>
          </w:p>
          <w:p>
            <w:pPr>
              <w:autoSpaceDE w:val="0"/>
              <w:autoSpaceDN w:val="0"/>
              <w:snapToGrid w:val="0"/>
              <w:spacing w:line="336" w:lineRule="auto"/>
              <w:jc w:val="center"/>
              <w:rPr>
                <w:rFonts w:ascii="宋体" w:hAnsi="宋体" w:cs="宋体"/>
                <w:sz w:val="24"/>
              </w:rPr>
            </w:pPr>
            <w:r>
              <w:rPr>
                <w:rFonts w:hint="eastAsia" w:ascii="宋体" w:hAnsi="宋体" w:cs="宋体"/>
                <w:sz w:val="24"/>
              </w:rPr>
              <w:t>4分</w:t>
            </w:r>
          </w:p>
        </w:tc>
        <w:tc>
          <w:tcPr>
            <w:tcW w:w="1668" w:type="dxa"/>
            <w:shd w:val="clear" w:color="000000" w:fill="FFFFFF"/>
            <w:noWrap w:val="0"/>
            <w:vAlign w:val="center"/>
          </w:tcPr>
          <w:p>
            <w:pPr>
              <w:autoSpaceDE w:val="0"/>
              <w:autoSpaceDN w:val="0"/>
              <w:snapToGrid w:val="0"/>
              <w:spacing w:line="336" w:lineRule="auto"/>
              <w:jc w:val="center"/>
              <w:rPr>
                <w:rFonts w:hint="eastAsia" w:ascii="宋体" w:hAnsi="宋体" w:cs="宋体"/>
                <w:sz w:val="24"/>
              </w:rPr>
            </w:pPr>
            <w:r>
              <w:rPr>
                <w:rFonts w:hint="eastAsia" w:ascii="宋体" w:hAnsi="宋体" w:cs="宋体"/>
                <w:sz w:val="24"/>
              </w:rPr>
              <w:t>类似业绩情况</w:t>
            </w:r>
          </w:p>
          <w:p>
            <w:pPr>
              <w:autoSpaceDE w:val="0"/>
              <w:autoSpaceDN w:val="0"/>
              <w:snapToGrid w:val="0"/>
              <w:spacing w:line="336" w:lineRule="auto"/>
              <w:jc w:val="center"/>
              <w:rPr>
                <w:rFonts w:ascii="宋体" w:hAnsi="宋体" w:cs="宋体"/>
                <w:sz w:val="24"/>
              </w:rPr>
            </w:pPr>
          </w:p>
        </w:tc>
        <w:tc>
          <w:tcPr>
            <w:tcW w:w="770" w:type="dxa"/>
            <w:shd w:val="clear" w:color="000000" w:fill="FFFFFF"/>
            <w:noWrap w:val="0"/>
            <w:vAlign w:val="center"/>
          </w:tcPr>
          <w:p>
            <w:pPr>
              <w:autoSpaceDE w:val="0"/>
              <w:autoSpaceDN w:val="0"/>
              <w:snapToGrid w:val="0"/>
              <w:spacing w:line="336" w:lineRule="auto"/>
              <w:jc w:val="center"/>
              <w:rPr>
                <w:rFonts w:hint="eastAsia" w:ascii="宋体" w:hAnsi="宋体" w:cs="宋体"/>
                <w:sz w:val="24"/>
              </w:rPr>
            </w:pPr>
            <w:r>
              <w:rPr>
                <w:rFonts w:hint="eastAsia" w:ascii="宋体" w:hAnsi="宋体" w:cs="宋体"/>
                <w:sz w:val="24"/>
              </w:rPr>
              <w:t>4</w:t>
            </w:r>
          </w:p>
        </w:tc>
        <w:tc>
          <w:tcPr>
            <w:tcW w:w="6269" w:type="dxa"/>
            <w:shd w:val="clear" w:color="000000" w:fill="FFFFFF"/>
            <w:noWrap w:val="0"/>
            <w:vAlign w:val="center"/>
          </w:tcPr>
          <w:p>
            <w:pPr>
              <w:autoSpaceDE w:val="0"/>
              <w:autoSpaceDN w:val="0"/>
              <w:snapToGrid w:val="0"/>
              <w:spacing w:line="360" w:lineRule="auto"/>
              <w:rPr>
                <w:rFonts w:ascii="宋体" w:cs="宋体"/>
                <w:sz w:val="24"/>
              </w:rPr>
            </w:pPr>
            <w:r>
              <w:rPr>
                <w:rFonts w:hint="eastAsia" w:ascii="宋体" w:cs="宋体"/>
                <w:sz w:val="24"/>
              </w:rPr>
              <w:t>提供2021年1月1日以来的投标人类似业绩证明材料，需提供中标通知书、合同（包含合同首页、标的及金额所在页、交货合同签字盖章页的扫描（或复印）件）。每提供一项得2分，满分4分，不提供不得分。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34" w:type="dxa"/>
            <w:shd w:val="clear" w:color="000000" w:fill="FFFFFF"/>
            <w:noWrap w:val="0"/>
            <w:vAlign w:val="center"/>
          </w:tcPr>
          <w:p>
            <w:pPr>
              <w:autoSpaceDE w:val="0"/>
              <w:autoSpaceDN w:val="0"/>
              <w:snapToGrid w:val="0"/>
              <w:spacing w:line="336" w:lineRule="auto"/>
              <w:jc w:val="center"/>
              <w:rPr>
                <w:rFonts w:hint="eastAsia" w:ascii="宋体" w:hAnsi="宋体" w:cs="宋体"/>
                <w:sz w:val="24"/>
                <w:lang w:val="zh-CN"/>
              </w:rPr>
            </w:pPr>
            <w:r>
              <w:rPr>
                <w:rFonts w:hint="eastAsia" w:ascii="宋体" w:hAnsi="宋体" w:cs="宋体"/>
                <w:sz w:val="24"/>
                <w:lang w:val="zh-CN"/>
              </w:rPr>
              <w:t>售后服务</w:t>
            </w:r>
          </w:p>
          <w:p>
            <w:pPr>
              <w:autoSpaceDE w:val="0"/>
              <w:autoSpaceDN w:val="0"/>
              <w:snapToGrid w:val="0"/>
              <w:spacing w:line="336" w:lineRule="auto"/>
              <w:jc w:val="center"/>
              <w:rPr>
                <w:rFonts w:ascii="宋体" w:hAnsi="宋体" w:cs="宋体"/>
                <w:sz w:val="24"/>
                <w:lang w:val="zh-CN"/>
              </w:rPr>
            </w:pPr>
            <w:r>
              <w:rPr>
                <w:rFonts w:hint="eastAsia" w:ascii="宋体" w:hAnsi="宋体" w:cs="宋体"/>
                <w:sz w:val="24"/>
              </w:rPr>
              <w:t>3</w:t>
            </w:r>
            <w:r>
              <w:rPr>
                <w:rFonts w:hint="eastAsia" w:ascii="宋体" w:hAnsi="宋体" w:cs="宋体"/>
                <w:sz w:val="24"/>
                <w:lang w:val="zh-CN"/>
              </w:rPr>
              <w:t>分</w:t>
            </w:r>
          </w:p>
        </w:tc>
        <w:tc>
          <w:tcPr>
            <w:tcW w:w="1668" w:type="dxa"/>
            <w:shd w:val="clear" w:color="000000" w:fill="FFFFFF"/>
            <w:noWrap w:val="0"/>
            <w:vAlign w:val="center"/>
          </w:tcPr>
          <w:p>
            <w:pPr>
              <w:autoSpaceDE w:val="0"/>
              <w:autoSpaceDN w:val="0"/>
              <w:snapToGrid w:val="0"/>
              <w:spacing w:line="336" w:lineRule="auto"/>
              <w:jc w:val="center"/>
              <w:rPr>
                <w:rFonts w:ascii="宋体" w:hAnsi="宋体" w:cs="宋体"/>
                <w:sz w:val="24"/>
                <w:lang w:val="zh-CN"/>
              </w:rPr>
            </w:pPr>
            <w:r>
              <w:rPr>
                <w:rFonts w:hint="eastAsia" w:ascii="宋体" w:hAnsi="宋体" w:cs="宋体"/>
                <w:sz w:val="24"/>
                <w:lang w:val="zh-CN"/>
              </w:rPr>
              <w:t>售后服务</w:t>
            </w:r>
          </w:p>
        </w:tc>
        <w:tc>
          <w:tcPr>
            <w:tcW w:w="770" w:type="dxa"/>
            <w:shd w:val="clear" w:color="000000" w:fill="FFFFFF"/>
            <w:noWrap w:val="0"/>
            <w:vAlign w:val="center"/>
          </w:tcPr>
          <w:p>
            <w:pPr>
              <w:autoSpaceDE w:val="0"/>
              <w:autoSpaceDN w:val="0"/>
              <w:snapToGrid w:val="0"/>
              <w:spacing w:line="336" w:lineRule="auto"/>
              <w:jc w:val="center"/>
              <w:rPr>
                <w:rFonts w:hint="eastAsia" w:ascii="宋体" w:hAnsi="宋体" w:cs="宋体"/>
                <w:sz w:val="24"/>
              </w:rPr>
            </w:pPr>
            <w:r>
              <w:rPr>
                <w:rFonts w:hint="eastAsia" w:ascii="宋体" w:hAnsi="宋体" w:cs="宋体"/>
                <w:sz w:val="24"/>
              </w:rPr>
              <w:t>3</w:t>
            </w:r>
          </w:p>
        </w:tc>
        <w:tc>
          <w:tcPr>
            <w:tcW w:w="6269" w:type="dxa"/>
            <w:shd w:val="clear" w:color="000000" w:fill="FFFFFF"/>
            <w:noWrap w:val="0"/>
            <w:vAlign w:val="center"/>
          </w:tcPr>
          <w:p>
            <w:pPr>
              <w:autoSpaceDE w:val="0"/>
              <w:autoSpaceDN w:val="0"/>
              <w:snapToGrid w:val="0"/>
              <w:spacing w:line="360" w:lineRule="auto"/>
              <w:rPr>
                <w:rFonts w:ascii="宋体" w:cs="宋体"/>
                <w:sz w:val="24"/>
              </w:rPr>
            </w:pPr>
            <w:r>
              <w:rPr>
                <w:rFonts w:hint="eastAsia" w:ascii="宋体" w:cs="宋体"/>
                <w:sz w:val="24"/>
              </w:rPr>
              <w:t>针对该项目须有完善的售后服务体系。包含：①售后服务机构和人员、售后服务内容、流程和服务质量</w:t>
            </w:r>
            <w:r>
              <w:rPr>
                <w:rFonts w:ascii="Calibri" w:hAnsi="Calibri" w:cs="Calibri"/>
                <w:sz w:val="24"/>
              </w:rPr>
              <w:t>②</w:t>
            </w:r>
            <w:r>
              <w:rPr>
                <w:rFonts w:hint="eastAsia" w:ascii="宋体" w:cs="宋体"/>
                <w:sz w:val="24"/>
              </w:rPr>
              <w:t>售后服务中应包含人员定期回访、应急响应、在质量保证期内，对于产品质量问题造成的损坏，免费提供咨询、维修服务等</w:t>
            </w:r>
            <w:r>
              <w:rPr>
                <w:rFonts w:ascii="Calibri" w:hAnsi="Calibri" w:cs="Calibri"/>
                <w:sz w:val="24"/>
              </w:rPr>
              <w:t>③</w:t>
            </w:r>
            <w:r>
              <w:rPr>
                <w:rFonts w:hint="eastAsia" w:ascii="宋体" w:cs="宋体"/>
                <w:sz w:val="24"/>
              </w:rPr>
              <w:t>售后服务相关承诺。以上因素实质性响应并详尽合理的每一项得1分，满分3分；每有一项存在缺陷或不足的扣0.5分，未提供的不得分。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41" w:type="dxa"/>
            <w:gridSpan w:val="4"/>
            <w:shd w:val="clear" w:color="000000" w:fill="FFFFFF"/>
            <w:noWrap w:val="0"/>
            <w:vAlign w:val="center"/>
          </w:tcPr>
          <w:p>
            <w:pPr>
              <w:autoSpaceDE w:val="0"/>
              <w:autoSpaceDN w:val="0"/>
              <w:snapToGrid w:val="0"/>
              <w:spacing w:line="360" w:lineRule="auto"/>
              <w:rPr>
                <w:rFonts w:ascii="宋体" w:cs="宋体"/>
                <w:sz w:val="24"/>
              </w:rPr>
            </w:pPr>
            <w:r>
              <w:rPr>
                <w:rFonts w:hint="eastAsia" w:ascii="宋体" w:cs="宋体"/>
                <w:sz w:val="24"/>
              </w:rPr>
              <w:t>内容存在缺陷或不足是指：方案内容不切合行业实际、不符合行业政策；或存在项目名称错误、地点区域错误、内容与本项目需求无关、方案内容矛盾或表述前后不一致；或方案内容过于简单、不适用项目实际情况。</w:t>
            </w:r>
          </w:p>
        </w:tc>
      </w:tr>
    </w:tbl>
    <w:p>
      <w:pPr>
        <w:pStyle w:val="12"/>
      </w:pPr>
    </w:p>
    <w:p>
      <w:pPr>
        <w:pStyle w:val="4"/>
        <w:ind w:left="709"/>
        <w:rPr>
          <w:rFonts w:hAnsi="宋体"/>
          <w:b/>
          <w:color w:val="auto"/>
          <w:sz w:val="24"/>
          <w:szCs w:val="24"/>
        </w:rPr>
      </w:pPr>
      <w:r>
        <w:rPr>
          <w:rFonts w:hint="eastAsia" w:hAnsi="宋体"/>
          <w:b/>
          <w:color w:val="auto"/>
          <w:sz w:val="24"/>
          <w:szCs w:val="24"/>
        </w:rPr>
        <w:t>定标</w:t>
      </w:r>
      <w:bookmarkEnd w:id="61"/>
    </w:p>
    <w:p>
      <w:pPr>
        <w:pStyle w:val="5"/>
        <w:numPr>
          <w:ilvl w:val="0"/>
          <w:numId w:val="5"/>
        </w:numPr>
        <w:spacing w:before="0" w:after="0" w:line="360" w:lineRule="auto"/>
        <w:rPr>
          <w:rFonts w:ascii="宋体" w:hAnsi="宋体"/>
          <w:b w:val="0"/>
          <w:color w:val="auto"/>
          <w:sz w:val="24"/>
          <w:szCs w:val="24"/>
        </w:rPr>
      </w:pPr>
      <w:bookmarkStart w:id="62" w:name="_Toc109133105"/>
      <w:bookmarkStart w:id="63" w:name="_Toc488673637"/>
      <w:r>
        <w:rPr>
          <w:rFonts w:hint="eastAsia" w:ascii="宋体" w:hAnsi="宋体"/>
          <w:b w:val="0"/>
          <w:color w:val="auto"/>
          <w:sz w:val="24"/>
          <w:szCs w:val="24"/>
        </w:rPr>
        <w:t>推荐并确定成交磋商供应商</w:t>
      </w:r>
      <w:bookmarkEnd w:id="62"/>
      <w:bookmarkEnd w:id="63"/>
    </w:p>
    <w:p>
      <w:pPr>
        <w:pStyle w:val="16"/>
        <w:numPr>
          <w:ilvl w:val="1"/>
          <w:numId w:val="30"/>
        </w:numPr>
        <w:spacing w:line="360" w:lineRule="auto"/>
        <w:rPr>
          <w:rFonts w:hAnsi="宋体"/>
          <w:color w:val="auto"/>
          <w:sz w:val="24"/>
          <w:szCs w:val="24"/>
        </w:rPr>
      </w:pPr>
      <w:r>
        <w:rPr>
          <w:rFonts w:hint="eastAsia" w:hAnsi="宋体" w:cs="宋体"/>
          <w:b/>
          <w:bCs/>
          <w:color w:val="auto"/>
          <w:sz w:val="24"/>
          <w:szCs w:val="24"/>
        </w:rPr>
        <w:t>采用综合评分法的，</w:t>
      </w:r>
      <w:r>
        <w:rPr>
          <w:rFonts w:hint="eastAsia" w:hAnsi="宋体" w:cs="宋体"/>
          <w:color w:val="auto"/>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成交候选人。</w:t>
      </w:r>
    </w:p>
    <w:p>
      <w:pPr>
        <w:pStyle w:val="16"/>
        <w:numPr>
          <w:ilvl w:val="1"/>
          <w:numId w:val="30"/>
        </w:numPr>
        <w:spacing w:line="360" w:lineRule="auto"/>
        <w:rPr>
          <w:rFonts w:hAnsi="宋体"/>
          <w:color w:val="auto"/>
          <w:sz w:val="24"/>
          <w:szCs w:val="24"/>
        </w:rPr>
      </w:pPr>
      <w:r>
        <w:rPr>
          <w:rFonts w:hint="eastAsia" w:hAnsi="宋体"/>
          <w:color w:val="auto"/>
          <w:sz w:val="24"/>
          <w:szCs w:val="24"/>
        </w:rPr>
        <w:t>成交磋商供应商因不可抗力或自身原因不能履行合同时，采购单位可以按照评审报告推荐的预成交候选磋商供应商名单排序，确定下一候选磋商供应商为成交磋商供应商，也可重新开展政府采购活动。</w:t>
      </w:r>
    </w:p>
    <w:p>
      <w:pPr>
        <w:pStyle w:val="16"/>
        <w:numPr>
          <w:ilvl w:val="1"/>
          <w:numId w:val="30"/>
        </w:numPr>
        <w:spacing w:line="360" w:lineRule="auto"/>
        <w:rPr>
          <w:rFonts w:hAnsi="宋体"/>
          <w:color w:val="auto"/>
          <w:sz w:val="24"/>
          <w:szCs w:val="24"/>
        </w:rPr>
      </w:pPr>
      <w:r>
        <w:rPr>
          <w:rFonts w:hint="eastAsia" w:hAnsi="宋体" w:cs="宋体"/>
          <w:color w:val="auto"/>
          <w:sz w:val="24"/>
          <w:szCs w:val="24"/>
          <w:shd w:val="clear" w:color="auto" w:fill="FFFFFF"/>
        </w:rPr>
        <w:t>评标结果汇总完成后，除下列情形外，任何人不得修改评标结果：</w:t>
      </w:r>
    </w:p>
    <w:p>
      <w:pPr>
        <w:pStyle w:val="16"/>
        <w:numPr>
          <w:ilvl w:val="0"/>
          <w:numId w:val="31"/>
        </w:numPr>
        <w:spacing w:line="360" w:lineRule="auto"/>
        <w:rPr>
          <w:rFonts w:hAnsi="宋体"/>
          <w:color w:val="auto"/>
          <w:sz w:val="24"/>
          <w:szCs w:val="24"/>
        </w:rPr>
      </w:pPr>
      <w:r>
        <w:rPr>
          <w:rFonts w:hint="eastAsia" w:hAnsi="宋体" w:cs="宋体"/>
          <w:color w:val="auto"/>
          <w:sz w:val="24"/>
          <w:szCs w:val="24"/>
          <w:shd w:val="clear" w:color="auto" w:fill="FFFFFF"/>
        </w:rPr>
        <w:t>分值汇总计算错误的；</w:t>
      </w:r>
    </w:p>
    <w:p>
      <w:pPr>
        <w:pStyle w:val="16"/>
        <w:numPr>
          <w:ilvl w:val="0"/>
          <w:numId w:val="31"/>
        </w:numPr>
        <w:spacing w:line="360" w:lineRule="auto"/>
        <w:rPr>
          <w:rFonts w:hAnsi="宋体"/>
          <w:color w:val="auto"/>
          <w:sz w:val="24"/>
          <w:szCs w:val="24"/>
        </w:rPr>
      </w:pPr>
      <w:r>
        <w:rPr>
          <w:rFonts w:hint="eastAsia" w:hAnsi="宋体" w:cs="宋体"/>
          <w:color w:val="auto"/>
          <w:sz w:val="24"/>
          <w:szCs w:val="24"/>
          <w:shd w:val="clear" w:color="auto" w:fill="FFFFFF"/>
        </w:rPr>
        <w:t>分项评分超出评分标准范围的；</w:t>
      </w:r>
    </w:p>
    <w:p>
      <w:pPr>
        <w:pStyle w:val="16"/>
        <w:numPr>
          <w:ilvl w:val="0"/>
          <w:numId w:val="31"/>
        </w:numPr>
        <w:spacing w:line="360" w:lineRule="auto"/>
        <w:rPr>
          <w:rFonts w:hAnsi="宋体"/>
          <w:color w:val="auto"/>
          <w:sz w:val="24"/>
          <w:szCs w:val="24"/>
        </w:rPr>
      </w:pPr>
      <w:r>
        <w:rPr>
          <w:rFonts w:hint="eastAsia" w:hAnsi="宋体" w:cs="宋体"/>
          <w:color w:val="auto"/>
          <w:sz w:val="24"/>
          <w:szCs w:val="24"/>
          <w:shd w:val="clear" w:color="auto" w:fill="FFFFFF"/>
        </w:rPr>
        <w:t>评标委员会成员对客观评审因素评分不一致的；</w:t>
      </w:r>
    </w:p>
    <w:p>
      <w:pPr>
        <w:pStyle w:val="16"/>
        <w:numPr>
          <w:ilvl w:val="0"/>
          <w:numId w:val="31"/>
        </w:numPr>
        <w:spacing w:line="360" w:lineRule="auto"/>
        <w:rPr>
          <w:rFonts w:hAnsi="宋体"/>
          <w:color w:val="auto"/>
          <w:sz w:val="24"/>
          <w:szCs w:val="24"/>
        </w:rPr>
      </w:pPr>
      <w:r>
        <w:rPr>
          <w:rFonts w:hint="eastAsia" w:hAnsi="宋体" w:cs="宋体"/>
          <w:color w:val="auto"/>
          <w:sz w:val="24"/>
          <w:szCs w:val="24"/>
          <w:shd w:val="clear" w:color="auto" w:fill="FFFFFF"/>
        </w:rPr>
        <w:t>经评标委员会认定评分畸高、畸低的。</w:t>
      </w:r>
    </w:p>
    <w:p>
      <w:pPr>
        <w:autoSpaceDE w:val="0"/>
        <w:autoSpaceDN w:val="0"/>
        <w:spacing w:line="360" w:lineRule="auto"/>
        <w:ind w:left="1042" w:leftChars="496" w:firstLine="480" w:firstLineChars="200"/>
        <w:rPr>
          <w:rFonts w:ascii="宋体" w:hAnsi="宋体" w:cs="宋体"/>
          <w:color w:val="auto"/>
          <w:sz w:val="24"/>
          <w:shd w:val="clear" w:color="auto" w:fill="FFFFFF"/>
        </w:rPr>
      </w:pPr>
      <w:r>
        <w:rPr>
          <w:rFonts w:hint="eastAsia" w:ascii="宋体" w:hAnsi="宋体" w:cs="宋体"/>
          <w:color w:val="auto"/>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6"/>
        <w:spacing w:line="360" w:lineRule="auto"/>
        <w:ind w:left="1042" w:leftChars="496" w:firstLine="480" w:firstLineChars="200"/>
        <w:rPr>
          <w:rFonts w:hAnsi="宋体"/>
          <w:color w:val="auto"/>
          <w:sz w:val="24"/>
          <w:szCs w:val="24"/>
        </w:rPr>
      </w:pPr>
      <w:r>
        <w:rPr>
          <w:rFonts w:hint="eastAsia" w:hAnsi="宋体" w:cs="宋体"/>
          <w:color w:val="auto"/>
          <w:sz w:val="24"/>
          <w:szCs w:val="24"/>
          <w:shd w:val="clear" w:color="auto" w:fill="FFFFFF"/>
        </w:rPr>
        <w:t>磋商人对以上情形提出质疑的，采购人或者采购代理机构可以组织原评标委员会进行重新评审，重新评审改变评标结果的，应当书面报告本级财政部门。</w:t>
      </w:r>
    </w:p>
    <w:p>
      <w:pPr>
        <w:pStyle w:val="5"/>
        <w:numPr>
          <w:ilvl w:val="0"/>
          <w:numId w:val="5"/>
        </w:numPr>
        <w:spacing w:before="0" w:after="0" w:line="360" w:lineRule="auto"/>
        <w:rPr>
          <w:rFonts w:ascii="宋体" w:hAnsi="宋体"/>
          <w:b w:val="0"/>
          <w:color w:val="auto"/>
          <w:sz w:val="24"/>
          <w:szCs w:val="24"/>
        </w:rPr>
      </w:pPr>
      <w:bookmarkStart w:id="64" w:name="_Toc488673638"/>
      <w:bookmarkStart w:id="65" w:name="_Toc109133106"/>
      <w:r>
        <w:rPr>
          <w:rFonts w:hint="eastAsia" w:ascii="宋体" w:hAnsi="宋体"/>
          <w:b w:val="0"/>
          <w:color w:val="auto"/>
          <w:sz w:val="24"/>
          <w:szCs w:val="24"/>
        </w:rPr>
        <w:t>成交通知</w:t>
      </w:r>
      <w:bookmarkEnd w:id="64"/>
      <w:bookmarkEnd w:id="65"/>
    </w:p>
    <w:p>
      <w:pPr>
        <w:pStyle w:val="16"/>
        <w:numPr>
          <w:ilvl w:val="1"/>
          <w:numId w:val="32"/>
        </w:numPr>
        <w:spacing w:line="360" w:lineRule="auto"/>
        <w:rPr>
          <w:rFonts w:hAnsi="宋体"/>
          <w:b/>
          <w:bCs/>
          <w:color w:val="auto"/>
          <w:sz w:val="24"/>
          <w:szCs w:val="24"/>
        </w:rPr>
      </w:pPr>
      <w:r>
        <w:rPr>
          <w:rFonts w:hint="eastAsia" w:hAnsi="宋体" w:cs="宋体"/>
          <w:color w:val="auto"/>
          <w:sz w:val="24"/>
          <w:szCs w:val="24"/>
        </w:rPr>
        <w:t>采购代理机构应当在评标结束后2个工作日内将评标报告送采购人。采购人应当自收到评标报告之日起５个工作日内，在评标报告确定的成交候选人名单中按顺序确定成交人。成交候选人并列的，由采购人或者采购人委托评标委员会按照磋商文件规定的方式确定成交人；磋商文件未规定的，采取随机抽取的方式确定。</w:t>
      </w:r>
    </w:p>
    <w:p>
      <w:pPr>
        <w:pStyle w:val="16"/>
        <w:numPr>
          <w:ilvl w:val="1"/>
          <w:numId w:val="32"/>
        </w:numPr>
        <w:spacing w:line="360" w:lineRule="auto"/>
        <w:rPr>
          <w:rFonts w:hAnsi="宋体"/>
          <w:b/>
          <w:bCs/>
          <w:color w:val="auto"/>
          <w:sz w:val="24"/>
          <w:szCs w:val="24"/>
        </w:rPr>
      </w:pPr>
      <w:r>
        <w:rPr>
          <w:rFonts w:hint="eastAsia" w:hAnsi="宋体" w:cs="宋体"/>
          <w:color w:val="auto"/>
          <w:sz w:val="24"/>
          <w:szCs w:val="24"/>
        </w:rPr>
        <w:t>采购人在收到评标报告5个工作日内未按评标报告推荐的成交候选人顺序确定成交人，又不能说明合法理由的，视同按评标报告推荐的顺序确定排名第一的成交候选人为成交人。</w:t>
      </w:r>
    </w:p>
    <w:p>
      <w:pPr>
        <w:pStyle w:val="16"/>
        <w:numPr>
          <w:ilvl w:val="1"/>
          <w:numId w:val="32"/>
        </w:numPr>
        <w:spacing w:line="360" w:lineRule="auto"/>
        <w:rPr>
          <w:rFonts w:hAnsi="宋体"/>
          <w:b/>
          <w:bCs/>
          <w:color w:val="auto"/>
          <w:sz w:val="24"/>
          <w:szCs w:val="24"/>
        </w:rPr>
      </w:pPr>
      <w:r>
        <w:rPr>
          <w:rFonts w:hint="eastAsia" w:hAnsi="宋体"/>
          <w:color w:val="auto"/>
          <w:sz w:val="24"/>
          <w:szCs w:val="24"/>
        </w:rPr>
        <w:t>采购代理机构自成交磋商供应商确定之日起2个工作日内发出《成交通知书》，并在青海政府采购网</w:t>
      </w:r>
      <w:r>
        <w:rPr>
          <w:rFonts w:hint="eastAsia" w:hAnsi="宋体"/>
          <w:color w:val="auto"/>
          <w:sz w:val="24"/>
          <w:szCs w:val="28"/>
        </w:rPr>
        <w:t>、</w:t>
      </w:r>
      <w:r>
        <w:rPr>
          <w:rFonts w:hint="eastAsia" w:hAnsi="宋体"/>
          <w:color w:val="auto"/>
          <w:sz w:val="24"/>
          <w:szCs w:val="24"/>
        </w:rPr>
        <w:t>青海项目信息网等媒体上公告成交结果。</w:t>
      </w:r>
    </w:p>
    <w:p>
      <w:pPr>
        <w:pStyle w:val="16"/>
        <w:numPr>
          <w:ilvl w:val="1"/>
          <w:numId w:val="32"/>
        </w:numPr>
        <w:spacing w:line="360" w:lineRule="auto"/>
        <w:rPr>
          <w:rFonts w:hAnsi="宋体"/>
          <w:b/>
          <w:bCs/>
          <w:color w:val="auto"/>
          <w:sz w:val="24"/>
          <w:szCs w:val="24"/>
        </w:rPr>
      </w:pPr>
      <w:r>
        <w:rPr>
          <w:rFonts w:hint="eastAsia" w:hAnsi="宋体" w:cs="宋体"/>
          <w:color w:val="auto"/>
          <w:sz w:val="24"/>
          <w:szCs w:val="24"/>
        </w:rPr>
        <w:t>成交结果公告内容应当包括采购人及其委托的采购代理机构的名称、地址、联系方式，项目名称和项目编号，成交人名称、地址和成交金额，主要成交标的的名称、规格型号、数量、单价、服务要求，成交公告期限以及评审专家名单。</w:t>
      </w:r>
    </w:p>
    <w:p>
      <w:pPr>
        <w:pStyle w:val="16"/>
        <w:numPr>
          <w:ilvl w:val="1"/>
          <w:numId w:val="32"/>
        </w:numPr>
        <w:spacing w:line="360" w:lineRule="auto"/>
        <w:rPr>
          <w:rFonts w:hAnsi="宋体"/>
          <w:b/>
          <w:bCs/>
          <w:color w:val="auto"/>
          <w:sz w:val="24"/>
          <w:szCs w:val="24"/>
        </w:rPr>
      </w:pPr>
      <w:r>
        <w:rPr>
          <w:rFonts w:hint="eastAsia" w:hAnsi="宋体" w:cs="宋体"/>
          <w:color w:val="auto"/>
          <w:sz w:val="24"/>
          <w:szCs w:val="24"/>
        </w:rPr>
        <w:t>成交公告期限为1个工作日。</w:t>
      </w:r>
    </w:p>
    <w:p>
      <w:pPr>
        <w:pStyle w:val="16"/>
        <w:numPr>
          <w:ilvl w:val="1"/>
          <w:numId w:val="32"/>
        </w:numPr>
        <w:spacing w:line="360" w:lineRule="auto"/>
        <w:rPr>
          <w:rFonts w:hAnsi="宋体"/>
          <w:b/>
          <w:bCs/>
          <w:color w:val="auto"/>
          <w:sz w:val="24"/>
          <w:szCs w:val="24"/>
        </w:rPr>
      </w:pPr>
      <w:r>
        <w:rPr>
          <w:rFonts w:hint="eastAsia" w:hAnsi="宋体" w:cs="宋体"/>
          <w:color w:val="auto"/>
          <w:sz w:val="24"/>
          <w:szCs w:val="24"/>
        </w:rPr>
        <w:t>在公告成交结果的同时，</w:t>
      </w:r>
      <w:r>
        <w:rPr>
          <w:rFonts w:hint="eastAsia" w:hAnsi="宋体" w:cs="宋体"/>
          <w:color w:val="auto"/>
          <w:sz w:val="24"/>
          <w:szCs w:val="24"/>
          <w:shd w:val="clear" w:color="auto" w:fill="FFFFFF"/>
        </w:rPr>
        <w:t>采购人或者采购代理机构</w:t>
      </w:r>
      <w:r>
        <w:rPr>
          <w:rFonts w:hint="eastAsia" w:hAnsi="宋体" w:cs="宋体"/>
          <w:color w:val="auto"/>
          <w:sz w:val="24"/>
          <w:szCs w:val="24"/>
        </w:rPr>
        <w:t>应当向成交人发出成交通知书；采用综合评分法评审的，还应当告知未成交人本人的评审得分与排序。</w:t>
      </w:r>
    </w:p>
    <w:p>
      <w:pPr>
        <w:pStyle w:val="16"/>
        <w:numPr>
          <w:ilvl w:val="1"/>
          <w:numId w:val="32"/>
        </w:numPr>
        <w:spacing w:line="360" w:lineRule="auto"/>
        <w:rPr>
          <w:rFonts w:hAnsi="宋体"/>
          <w:b/>
          <w:bCs/>
          <w:color w:val="auto"/>
          <w:sz w:val="24"/>
          <w:szCs w:val="24"/>
        </w:rPr>
      </w:pPr>
      <w:r>
        <w:rPr>
          <w:rFonts w:hint="eastAsia" w:hAnsi="宋体" w:cs="宋体"/>
          <w:color w:val="auto"/>
          <w:sz w:val="24"/>
          <w:szCs w:val="24"/>
        </w:rPr>
        <w:t>成交通知书发出后，采购人不得违法改变成交结果，成交人无正当理由不得放弃成交。</w:t>
      </w:r>
    </w:p>
    <w:p>
      <w:pPr>
        <w:pStyle w:val="16"/>
        <w:numPr>
          <w:ilvl w:val="1"/>
          <w:numId w:val="32"/>
        </w:numPr>
        <w:spacing w:line="360" w:lineRule="auto"/>
        <w:rPr>
          <w:rFonts w:hAnsi="宋体"/>
          <w:b/>
          <w:bCs/>
          <w:color w:val="auto"/>
          <w:sz w:val="24"/>
          <w:szCs w:val="24"/>
        </w:rPr>
      </w:pPr>
      <w:r>
        <w:rPr>
          <w:rFonts w:hint="eastAsia" w:hAnsi="宋体"/>
          <w:color w:val="auto"/>
          <w:sz w:val="24"/>
          <w:szCs w:val="24"/>
        </w:rPr>
        <w:t>《成交通知书》对采购单位和成交磋商供应商具有同等效力，《成交通知书》发出后，采购单位改变成交结果的，或者成交磋商供应商无正当理由放弃成交项目的，依法承担法律责任。</w:t>
      </w:r>
    </w:p>
    <w:p>
      <w:pPr>
        <w:pStyle w:val="4"/>
        <w:ind w:left="709"/>
        <w:rPr>
          <w:rFonts w:hAnsi="宋体"/>
          <w:b/>
          <w:color w:val="auto"/>
          <w:sz w:val="24"/>
          <w:szCs w:val="24"/>
        </w:rPr>
      </w:pPr>
      <w:bookmarkStart w:id="66" w:name="_Toc109133107"/>
      <w:r>
        <w:rPr>
          <w:rFonts w:hint="eastAsia" w:hAnsi="宋体"/>
          <w:b/>
          <w:color w:val="auto"/>
          <w:sz w:val="24"/>
          <w:szCs w:val="24"/>
        </w:rPr>
        <w:t>授予合同</w:t>
      </w:r>
      <w:bookmarkEnd w:id="66"/>
    </w:p>
    <w:p>
      <w:pPr>
        <w:pStyle w:val="5"/>
        <w:numPr>
          <w:ilvl w:val="0"/>
          <w:numId w:val="5"/>
        </w:numPr>
        <w:spacing w:before="0" w:after="0" w:line="360" w:lineRule="auto"/>
        <w:rPr>
          <w:rFonts w:ascii="宋体" w:hAnsi="宋体"/>
          <w:b w:val="0"/>
          <w:color w:val="auto"/>
          <w:sz w:val="24"/>
          <w:szCs w:val="24"/>
        </w:rPr>
      </w:pPr>
      <w:bookmarkStart w:id="67" w:name="_Toc109133108"/>
      <w:bookmarkStart w:id="68" w:name="_Toc488673640"/>
      <w:r>
        <w:rPr>
          <w:rFonts w:hint="eastAsia" w:ascii="宋体" w:hAnsi="宋体"/>
          <w:b w:val="0"/>
          <w:color w:val="auto"/>
          <w:sz w:val="24"/>
          <w:szCs w:val="24"/>
        </w:rPr>
        <w:t>签订合同</w:t>
      </w:r>
      <w:bookmarkEnd w:id="67"/>
      <w:bookmarkEnd w:id="68"/>
    </w:p>
    <w:p>
      <w:pPr>
        <w:pStyle w:val="16"/>
        <w:numPr>
          <w:ilvl w:val="1"/>
          <w:numId w:val="33"/>
        </w:numPr>
        <w:spacing w:line="360" w:lineRule="auto"/>
        <w:rPr>
          <w:rFonts w:hAnsi="宋体"/>
          <w:color w:val="auto"/>
          <w:sz w:val="24"/>
          <w:szCs w:val="24"/>
        </w:rPr>
      </w:pPr>
      <w:r>
        <w:rPr>
          <w:rFonts w:hint="eastAsia" w:hAnsi="宋体"/>
          <w:color w:val="auto"/>
          <w:sz w:val="24"/>
          <w:szCs w:val="24"/>
        </w:rPr>
        <w:t>采购单位与成交磋商供应商双方应当自《成交通知书》发出之日起30日内，签订采购合同，送采购代理机构审核并备案；</w:t>
      </w:r>
    </w:p>
    <w:p>
      <w:pPr>
        <w:pStyle w:val="16"/>
        <w:numPr>
          <w:ilvl w:val="1"/>
          <w:numId w:val="33"/>
        </w:numPr>
        <w:spacing w:line="360" w:lineRule="auto"/>
        <w:rPr>
          <w:rFonts w:hAnsi="宋体"/>
          <w:color w:val="auto"/>
          <w:sz w:val="24"/>
          <w:szCs w:val="24"/>
        </w:rPr>
      </w:pPr>
      <w:r>
        <w:rPr>
          <w:rFonts w:hAnsi="宋体"/>
          <w:color w:val="auto"/>
          <w:sz w:val="24"/>
          <w:szCs w:val="24"/>
        </w:rPr>
        <w:t>签订合同时，成交人以支票、汇票、本票等非现金形式向采购人指定的账户交纳履约保证金。履约保证金的数额为采购合同总金额的</w:t>
      </w:r>
      <w:r>
        <w:rPr>
          <w:rFonts w:hint="eastAsia" w:hAnsi="宋体"/>
          <w:color w:val="auto"/>
          <w:sz w:val="24"/>
          <w:szCs w:val="24"/>
          <w:lang w:val="en-US" w:eastAsia="zh-CN"/>
        </w:rPr>
        <w:t>5%</w:t>
      </w:r>
      <w:r>
        <w:rPr>
          <w:rFonts w:hAnsi="宋体"/>
          <w:color w:val="auto"/>
          <w:sz w:val="24"/>
          <w:szCs w:val="24"/>
        </w:rPr>
        <w:t>。</w:t>
      </w:r>
    </w:p>
    <w:p>
      <w:pPr>
        <w:pStyle w:val="16"/>
        <w:numPr>
          <w:ilvl w:val="1"/>
          <w:numId w:val="33"/>
        </w:numPr>
        <w:spacing w:line="360" w:lineRule="auto"/>
        <w:rPr>
          <w:rFonts w:hAnsi="宋体"/>
          <w:color w:val="auto"/>
          <w:sz w:val="24"/>
          <w:szCs w:val="24"/>
        </w:rPr>
      </w:pPr>
      <w:r>
        <w:rPr>
          <w:rFonts w:hint="eastAsia" w:hAnsi="宋体"/>
          <w:color w:val="auto"/>
          <w:sz w:val="24"/>
          <w:szCs w:val="24"/>
        </w:rPr>
        <w:t>成交磋商供应商在法定期限内无正当理由拒签合同的，按违约处理。同时，采购代理机构和采购单位可依评标排序重新确定成交磋商供应商，并协调双方签订采购合同，或重新组织采购活动；</w:t>
      </w:r>
    </w:p>
    <w:p>
      <w:pPr>
        <w:pStyle w:val="16"/>
        <w:numPr>
          <w:ilvl w:val="1"/>
          <w:numId w:val="33"/>
        </w:numPr>
        <w:spacing w:line="360" w:lineRule="auto"/>
        <w:rPr>
          <w:rFonts w:hAnsi="宋体"/>
          <w:color w:val="auto"/>
          <w:sz w:val="24"/>
          <w:szCs w:val="24"/>
        </w:rPr>
      </w:pPr>
      <w:r>
        <w:rPr>
          <w:rFonts w:hint="eastAsia" w:hAnsi="宋体"/>
          <w:color w:val="auto"/>
          <w:sz w:val="24"/>
          <w:szCs w:val="24"/>
        </w:rPr>
        <w:t>采购单位不得向成交供应商提出任何不合理的要求作为订立合同的条件，采购单位和成交供应商不得私下订立背离合同实质性内容的协议；</w:t>
      </w:r>
    </w:p>
    <w:p>
      <w:pPr>
        <w:pStyle w:val="16"/>
        <w:numPr>
          <w:ilvl w:val="1"/>
          <w:numId w:val="33"/>
        </w:numPr>
        <w:spacing w:line="360" w:lineRule="auto"/>
        <w:rPr>
          <w:rFonts w:hAnsi="宋体"/>
          <w:color w:val="auto"/>
          <w:sz w:val="24"/>
          <w:szCs w:val="24"/>
        </w:rPr>
      </w:pPr>
      <w:r>
        <w:rPr>
          <w:rFonts w:hint="eastAsia" w:hAnsi="宋体"/>
          <w:color w:val="auto"/>
          <w:sz w:val="24"/>
          <w:szCs w:val="24"/>
        </w:rPr>
        <w:t>磋商文件、成交磋商供应商的磋商响应文件、《成交通知书》及其澄清、说明文件、承诺等，均为签订采购合同的依据，作为采购合同的组成部分；</w:t>
      </w:r>
    </w:p>
    <w:p>
      <w:pPr>
        <w:pStyle w:val="16"/>
        <w:numPr>
          <w:ilvl w:val="1"/>
          <w:numId w:val="33"/>
        </w:numPr>
        <w:spacing w:line="360" w:lineRule="auto"/>
        <w:rPr>
          <w:rFonts w:hAnsi="宋体"/>
          <w:color w:val="auto"/>
          <w:sz w:val="24"/>
          <w:szCs w:val="24"/>
        </w:rPr>
      </w:pPr>
      <w:r>
        <w:rPr>
          <w:rFonts w:hint="eastAsia" w:hAnsi="宋体"/>
          <w:color w:val="auto"/>
          <w:sz w:val="24"/>
          <w:szCs w:val="24"/>
        </w:rPr>
        <w:t>采购人与成交人应当根据合同的约定依法履行合同义务。政府采购合同的履行、违约责任和解决争议的方法等适用《中华人民共和国民法典》。</w:t>
      </w:r>
    </w:p>
    <w:p>
      <w:pPr>
        <w:pStyle w:val="16"/>
        <w:numPr>
          <w:ilvl w:val="1"/>
          <w:numId w:val="33"/>
        </w:numPr>
        <w:spacing w:line="360" w:lineRule="auto"/>
        <w:rPr>
          <w:rFonts w:hAnsi="宋体"/>
          <w:color w:val="auto"/>
          <w:sz w:val="24"/>
          <w:szCs w:val="24"/>
        </w:rPr>
      </w:pPr>
      <w:r>
        <w:rPr>
          <w:rFonts w:hint="eastAsia" w:hAnsi="宋体"/>
          <w:color w:val="auto"/>
          <w:sz w:val="24"/>
          <w:szCs w:val="24"/>
        </w:rPr>
        <w:t>采购人应当及时对采购项目进行验收。采购人可以邀请参加本项目的其他磋商人或者第三方机构参与验收。参与验收的磋商人或者第三方机构的意见作为验收书的参考资料一并存档。</w:t>
      </w:r>
    </w:p>
    <w:p>
      <w:pPr>
        <w:pStyle w:val="16"/>
        <w:numPr>
          <w:ilvl w:val="1"/>
          <w:numId w:val="33"/>
        </w:numPr>
        <w:spacing w:line="360" w:lineRule="auto"/>
        <w:rPr>
          <w:rFonts w:hAnsi="宋体"/>
          <w:color w:val="auto"/>
          <w:sz w:val="24"/>
          <w:szCs w:val="24"/>
        </w:rPr>
      </w:pPr>
      <w:r>
        <w:rPr>
          <w:rFonts w:hint="eastAsia" w:hAnsi="宋体"/>
          <w:color w:val="auto"/>
          <w:sz w:val="24"/>
          <w:szCs w:val="24"/>
        </w:rPr>
        <w:t>采购人应当加强对成交人的履约管理，并按照采购合同约定，及时向成交人支付采购资金。对于成交人违反采购合同约定的行为，采购人应当及时处理，依法追究其违约责任。</w:t>
      </w:r>
    </w:p>
    <w:p>
      <w:pPr>
        <w:pStyle w:val="16"/>
        <w:numPr>
          <w:ilvl w:val="1"/>
          <w:numId w:val="33"/>
        </w:numPr>
        <w:spacing w:line="360" w:lineRule="auto"/>
        <w:rPr>
          <w:rFonts w:hAnsi="宋体"/>
          <w:color w:val="auto"/>
          <w:sz w:val="24"/>
          <w:szCs w:val="24"/>
        </w:rPr>
      </w:pPr>
      <w:r>
        <w:rPr>
          <w:rFonts w:hint="eastAsia" w:hAnsi="宋体"/>
          <w:color w:val="auto"/>
          <w:sz w:val="24"/>
          <w:szCs w:val="24"/>
        </w:rPr>
        <w:t>采购合同签订之日起2个工作日内，由采购单位将采购合同在</w:t>
      </w:r>
      <w:r>
        <w:rPr>
          <w:rFonts w:hint="eastAsia" w:hAnsi="宋体"/>
          <w:color w:val="auto"/>
          <w:sz w:val="24"/>
          <w:szCs w:val="28"/>
        </w:rPr>
        <w:t>青海政府采购网、青海项目信息网、</w:t>
      </w:r>
      <w:r>
        <w:rPr>
          <w:rFonts w:hint="eastAsia" w:hAnsi="宋体"/>
          <w:color w:val="auto"/>
          <w:sz w:val="24"/>
        </w:rPr>
        <w:t>中国招标与采购网</w:t>
      </w:r>
      <w:r>
        <w:rPr>
          <w:rFonts w:hint="eastAsia" w:hAnsi="宋体"/>
          <w:color w:val="auto"/>
          <w:sz w:val="24"/>
          <w:szCs w:val="24"/>
        </w:rPr>
        <w:t>等媒体上公告，但采购合同中涉及国家秘密、商业秘密的内容除外。</w:t>
      </w:r>
    </w:p>
    <w:p>
      <w:pPr>
        <w:pStyle w:val="16"/>
        <w:numPr>
          <w:ilvl w:val="1"/>
          <w:numId w:val="33"/>
        </w:numPr>
        <w:spacing w:line="360" w:lineRule="auto"/>
        <w:rPr>
          <w:rFonts w:hAnsi="宋体"/>
          <w:color w:val="auto"/>
          <w:sz w:val="24"/>
          <w:szCs w:val="24"/>
        </w:rPr>
      </w:pPr>
      <w:r>
        <w:rPr>
          <w:rFonts w:hint="eastAsia" w:hAnsi="宋体"/>
          <w:color w:val="auto"/>
          <w:sz w:val="24"/>
          <w:szCs w:val="24"/>
        </w:rPr>
        <w:t>采购人、采购代理机构应当建立真实完整的招标采购档案，妥善保存每项采购活动的磋商文件。</w:t>
      </w:r>
    </w:p>
    <w:p>
      <w:pPr>
        <w:pStyle w:val="4"/>
        <w:ind w:left="709"/>
        <w:rPr>
          <w:rFonts w:hAnsi="宋体"/>
          <w:b/>
          <w:color w:val="auto"/>
          <w:sz w:val="24"/>
          <w:szCs w:val="24"/>
        </w:rPr>
      </w:pPr>
      <w:bookmarkStart w:id="69" w:name="_Toc109133109"/>
      <w:r>
        <w:rPr>
          <w:rFonts w:hint="eastAsia" w:hAnsi="宋体"/>
          <w:b/>
          <w:color w:val="auto"/>
          <w:sz w:val="24"/>
          <w:szCs w:val="24"/>
        </w:rPr>
        <w:t>废标条款</w:t>
      </w:r>
      <w:bookmarkEnd w:id="69"/>
    </w:p>
    <w:p>
      <w:pPr>
        <w:pStyle w:val="5"/>
        <w:numPr>
          <w:ilvl w:val="0"/>
          <w:numId w:val="5"/>
        </w:numPr>
        <w:spacing w:before="0" w:after="0" w:line="360" w:lineRule="auto"/>
        <w:rPr>
          <w:rFonts w:ascii="宋体" w:hAnsi="宋体"/>
          <w:b w:val="0"/>
          <w:color w:val="auto"/>
          <w:sz w:val="24"/>
          <w:szCs w:val="24"/>
        </w:rPr>
      </w:pPr>
      <w:bookmarkStart w:id="70" w:name="_Toc109133110"/>
      <w:bookmarkStart w:id="71" w:name="_Toc488673642"/>
      <w:r>
        <w:rPr>
          <w:rFonts w:hint="eastAsia" w:ascii="宋体" w:hAnsi="宋体"/>
          <w:b w:val="0"/>
          <w:color w:val="auto"/>
          <w:sz w:val="24"/>
          <w:szCs w:val="24"/>
        </w:rPr>
        <w:t>废标情形</w:t>
      </w:r>
      <w:bookmarkEnd w:id="70"/>
      <w:bookmarkEnd w:id="71"/>
    </w:p>
    <w:p>
      <w:pPr>
        <w:pStyle w:val="16"/>
        <w:numPr>
          <w:ilvl w:val="1"/>
          <w:numId w:val="34"/>
        </w:numPr>
        <w:spacing w:line="360" w:lineRule="auto"/>
        <w:rPr>
          <w:rFonts w:hAnsi="宋体"/>
          <w:color w:val="auto"/>
          <w:sz w:val="24"/>
          <w:szCs w:val="24"/>
        </w:rPr>
      </w:pPr>
      <w:r>
        <w:rPr>
          <w:rFonts w:hAnsi="宋体" w:cs="Arial"/>
          <w:color w:val="auto"/>
          <w:sz w:val="24"/>
          <w:szCs w:val="24"/>
        </w:rPr>
        <w:t>在磋商采购中，出现下列情形之一的，应予废标</w:t>
      </w:r>
      <w:r>
        <w:rPr>
          <w:rFonts w:hint="eastAsia" w:hAnsi="宋体" w:cs="Arial"/>
          <w:color w:val="auto"/>
          <w:sz w:val="24"/>
          <w:szCs w:val="24"/>
        </w:rPr>
        <w:t>：</w:t>
      </w:r>
    </w:p>
    <w:p>
      <w:pPr>
        <w:pStyle w:val="16"/>
        <w:numPr>
          <w:ilvl w:val="0"/>
          <w:numId w:val="35"/>
        </w:numPr>
        <w:spacing w:line="360" w:lineRule="auto"/>
        <w:rPr>
          <w:rFonts w:hAnsi="宋体" w:cs="Arial"/>
          <w:color w:val="auto"/>
          <w:sz w:val="24"/>
          <w:szCs w:val="24"/>
        </w:rPr>
      </w:pPr>
      <w:r>
        <w:rPr>
          <w:rFonts w:hint="eastAsia" w:hAnsi="宋体" w:cs="Arial"/>
          <w:color w:val="auto"/>
          <w:sz w:val="24"/>
          <w:szCs w:val="24"/>
        </w:rPr>
        <w:t>符合磋商条件的磋商供应商或者对磋商文件作出实质性响应的磋商供应商不足三家的；</w:t>
      </w:r>
    </w:p>
    <w:p>
      <w:pPr>
        <w:pStyle w:val="16"/>
        <w:numPr>
          <w:ilvl w:val="0"/>
          <w:numId w:val="35"/>
        </w:numPr>
        <w:spacing w:line="360" w:lineRule="auto"/>
        <w:rPr>
          <w:rFonts w:hAnsi="宋体" w:cs="Arial"/>
          <w:color w:val="auto"/>
          <w:sz w:val="24"/>
          <w:szCs w:val="24"/>
        </w:rPr>
      </w:pPr>
      <w:r>
        <w:rPr>
          <w:rFonts w:hint="eastAsia" w:hAnsi="宋体" w:cs="Arial"/>
          <w:color w:val="auto"/>
          <w:sz w:val="24"/>
          <w:szCs w:val="24"/>
        </w:rPr>
        <w:t>出现影响采购活动正常推进的违法、违规行为的；</w:t>
      </w:r>
    </w:p>
    <w:p>
      <w:pPr>
        <w:pStyle w:val="16"/>
        <w:numPr>
          <w:ilvl w:val="0"/>
          <w:numId w:val="35"/>
        </w:numPr>
        <w:spacing w:line="360" w:lineRule="auto"/>
        <w:rPr>
          <w:rFonts w:hAnsi="宋体" w:cs="Arial"/>
          <w:color w:val="auto"/>
          <w:sz w:val="24"/>
          <w:szCs w:val="24"/>
        </w:rPr>
      </w:pPr>
      <w:r>
        <w:rPr>
          <w:rFonts w:hint="eastAsia" w:hAnsi="宋体" w:cs="Arial"/>
          <w:color w:val="auto"/>
          <w:sz w:val="24"/>
          <w:szCs w:val="24"/>
        </w:rPr>
        <w:t>磋商供应商的报价均超出采购预算额度，采购单位不能支付的；</w:t>
      </w:r>
    </w:p>
    <w:p>
      <w:pPr>
        <w:pStyle w:val="16"/>
        <w:numPr>
          <w:ilvl w:val="0"/>
          <w:numId w:val="35"/>
        </w:numPr>
        <w:spacing w:line="360" w:lineRule="auto"/>
        <w:rPr>
          <w:rFonts w:hAnsi="宋体" w:cs="Arial"/>
          <w:color w:val="auto"/>
          <w:sz w:val="24"/>
          <w:szCs w:val="24"/>
        </w:rPr>
      </w:pPr>
      <w:r>
        <w:rPr>
          <w:rFonts w:hint="eastAsia" w:hAnsi="宋体" w:cs="Arial"/>
          <w:color w:val="auto"/>
          <w:sz w:val="24"/>
          <w:szCs w:val="24"/>
        </w:rPr>
        <w:t>因重大变故，采购任务取消的。</w:t>
      </w:r>
    </w:p>
    <w:p>
      <w:pPr>
        <w:pStyle w:val="16"/>
        <w:numPr>
          <w:ilvl w:val="1"/>
          <w:numId w:val="34"/>
        </w:numPr>
        <w:spacing w:line="360" w:lineRule="auto"/>
        <w:rPr>
          <w:rFonts w:hAnsi="宋体"/>
          <w:color w:val="auto"/>
          <w:sz w:val="24"/>
          <w:szCs w:val="24"/>
        </w:rPr>
      </w:pPr>
      <w:r>
        <w:rPr>
          <w:rFonts w:hint="eastAsia" w:hAnsi="宋体"/>
          <w:color w:val="auto"/>
          <w:sz w:val="24"/>
          <w:szCs w:val="24"/>
        </w:rPr>
        <w:t>废标后，由采购代理机构发布废标公告。</w:t>
      </w:r>
    </w:p>
    <w:p>
      <w:pPr>
        <w:pStyle w:val="4"/>
        <w:ind w:left="709"/>
        <w:rPr>
          <w:rFonts w:hAnsi="宋体"/>
          <w:b/>
          <w:color w:val="auto"/>
          <w:sz w:val="24"/>
          <w:szCs w:val="24"/>
        </w:rPr>
      </w:pPr>
      <w:bookmarkStart w:id="72" w:name="_Toc109133111"/>
      <w:r>
        <w:rPr>
          <w:rFonts w:hint="eastAsia" w:hAnsi="宋体"/>
          <w:b/>
          <w:color w:val="auto"/>
          <w:sz w:val="24"/>
          <w:szCs w:val="24"/>
        </w:rPr>
        <w:t>其他</w:t>
      </w:r>
      <w:bookmarkEnd w:id="72"/>
    </w:p>
    <w:p>
      <w:pPr>
        <w:pStyle w:val="5"/>
        <w:numPr>
          <w:ilvl w:val="0"/>
          <w:numId w:val="5"/>
        </w:numPr>
        <w:spacing w:before="0" w:after="0" w:line="360" w:lineRule="auto"/>
        <w:rPr>
          <w:rFonts w:ascii="宋体" w:hAnsi="宋体"/>
          <w:b w:val="0"/>
          <w:color w:val="auto"/>
          <w:sz w:val="24"/>
          <w:szCs w:val="24"/>
        </w:rPr>
      </w:pPr>
      <w:bookmarkStart w:id="73" w:name="_Toc109133112"/>
      <w:bookmarkStart w:id="74" w:name="_Toc488673644"/>
      <w:r>
        <w:rPr>
          <w:rFonts w:hint="eastAsia" w:ascii="宋体" w:hAnsi="宋体"/>
          <w:b w:val="0"/>
          <w:color w:val="auto"/>
          <w:sz w:val="24"/>
          <w:szCs w:val="24"/>
        </w:rPr>
        <w:t>串标情形</w:t>
      </w:r>
      <w:bookmarkEnd w:id="73"/>
      <w:bookmarkEnd w:id="74"/>
    </w:p>
    <w:p>
      <w:pPr>
        <w:pStyle w:val="16"/>
        <w:numPr>
          <w:ilvl w:val="0"/>
          <w:numId w:val="36"/>
        </w:numPr>
        <w:spacing w:line="360" w:lineRule="auto"/>
        <w:rPr>
          <w:rFonts w:hAnsi="宋体"/>
          <w:color w:val="auto"/>
          <w:sz w:val="24"/>
          <w:szCs w:val="24"/>
        </w:rPr>
      </w:pPr>
      <w:r>
        <w:rPr>
          <w:rFonts w:hint="eastAsia" w:hAnsi="宋体"/>
          <w:color w:val="auto"/>
          <w:sz w:val="24"/>
          <w:szCs w:val="24"/>
        </w:rPr>
        <w:t>磋商人应当遵循公平竞争的原则，不得恶意串通，不得妨碍其他磋商人的竞争行为，不得损害采购人或者其他磋商人的合法权益</w:t>
      </w:r>
      <w:r>
        <w:rPr>
          <w:rFonts w:hint="eastAsia" w:hAnsi="宋体" w:cs="宋体"/>
          <w:color w:val="auto"/>
          <w:sz w:val="24"/>
          <w:szCs w:val="24"/>
        </w:rPr>
        <w:t>。</w:t>
      </w:r>
    </w:p>
    <w:p>
      <w:pPr>
        <w:pStyle w:val="16"/>
        <w:spacing w:line="360" w:lineRule="auto"/>
        <w:ind w:left="1042" w:leftChars="496"/>
        <w:rPr>
          <w:rFonts w:hAnsi="宋体" w:cs="宋体"/>
          <w:color w:val="auto"/>
          <w:sz w:val="24"/>
          <w:szCs w:val="24"/>
        </w:rPr>
      </w:pPr>
      <w:r>
        <w:rPr>
          <w:rFonts w:hint="eastAsia" w:hAnsi="宋体"/>
          <w:color w:val="auto"/>
          <w:sz w:val="24"/>
          <w:szCs w:val="24"/>
        </w:rPr>
        <w:t>在评标过程中发现磋商人有上述情形的，评标委员会应当认定其投标无效，并书面报告本级财政部门</w:t>
      </w:r>
      <w:r>
        <w:rPr>
          <w:rFonts w:hint="eastAsia" w:hAnsi="宋体" w:cs="宋体"/>
          <w:color w:val="auto"/>
          <w:sz w:val="24"/>
          <w:szCs w:val="24"/>
        </w:rPr>
        <w:t>。</w:t>
      </w:r>
    </w:p>
    <w:p>
      <w:pPr>
        <w:pStyle w:val="16"/>
        <w:numPr>
          <w:ilvl w:val="0"/>
          <w:numId w:val="36"/>
        </w:numPr>
        <w:spacing w:line="360" w:lineRule="auto"/>
        <w:rPr>
          <w:rFonts w:hAnsi="宋体"/>
          <w:color w:val="auto"/>
          <w:sz w:val="24"/>
          <w:szCs w:val="24"/>
        </w:rPr>
      </w:pPr>
      <w:r>
        <w:rPr>
          <w:rFonts w:hint="eastAsia" w:hAnsi="宋体"/>
          <w:color w:val="auto"/>
          <w:sz w:val="24"/>
          <w:szCs w:val="24"/>
        </w:rPr>
        <w:t>有下列情形之一的，视为磋商人串通投标，其投标无效：</w:t>
      </w:r>
    </w:p>
    <w:p>
      <w:pPr>
        <w:pStyle w:val="16"/>
        <w:numPr>
          <w:ilvl w:val="0"/>
          <w:numId w:val="37"/>
        </w:numPr>
        <w:spacing w:line="360" w:lineRule="auto"/>
        <w:rPr>
          <w:rFonts w:hAnsi="宋体"/>
          <w:color w:val="auto"/>
          <w:sz w:val="24"/>
          <w:szCs w:val="24"/>
        </w:rPr>
      </w:pPr>
      <w:r>
        <w:rPr>
          <w:rFonts w:hint="eastAsia" w:hAnsi="宋体" w:cs="宋体"/>
          <w:color w:val="auto"/>
          <w:sz w:val="24"/>
          <w:szCs w:val="24"/>
        </w:rPr>
        <w:t>不同磋商人的磋商响应文件由同一单位或者个人编制；</w:t>
      </w:r>
    </w:p>
    <w:p>
      <w:pPr>
        <w:pStyle w:val="16"/>
        <w:numPr>
          <w:ilvl w:val="0"/>
          <w:numId w:val="37"/>
        </w:numPr>
        <w:spacing w:line="360" w:lineRule="auto"/>
        <w:rPr>
          <w:rFonts w:hAnsi="宋体"/>
          <w:color w:val="auto"/>
          <w:sz w:val="24"/>
          <w:szCs w:val="24"/>
        </w:rPr>
      </w:pPr>
      <w:r>
        <w:rPr>
          <w:rFonts w:hint="eastAsia" w:hAnsi="宋体" w:cs="宋体"/>
          <w:color w:val="auto"/>
          <w:sz w:val="24"/>
          <w:szCs w:val="24"/>
        </w:rPr>
        <w:t>不同磋商人委托同一单位或者个人办理投标事宜；</w:t>
      </w:r>
    </w:p>
    <w:p>
      <w:pPr>
        <w:pStyle w:val="16"/>
        <w:numPr>
          <w:ilvl w:val="0"/>
          <w:numId w:val="37"/>
        </w:numPr>
        <w:spacing w:line="360" w:lineRule="auto"/>
        <w:rPr>
          <w:rFonts w:hAnsi="宋体"/>
          <w:color w:val="auto"/>
          <w:sz w:val="24"/>
          <w:szCs w:val="24"/>
        </w:rPr>
      </w:pPr>
      <w:r>
        <w:rPr>
          <w:rFonts w:hint="eastAsia" w:hAnsi="宋体" w:cs="宋体"/>
          <w:color w:val="auto"/>
          <w:sz w:val="24"/>
          <w:szCs w:val="24"/>
        </w:rPr>
        <w:t>不同磋商人的磋商响应文件载明的项目管理成员或者联系人员为同一人；</w:t>
      </w:r>
    </w:p>
    <w:p>
      <w:pPr>
        <w:pStyle w:val="16"/>
        <w:numPr>
          <w:ilvl w:val="0"/>
          <w:numId w:val="37"/>
        </w:numPr>
        <w:spacing w:line="360" w:lineRule="auto"/>
        <w:rPr>
          <w:rFonts w:hAnsi="宋体"/>
          <w:color w:val="auto"/>
          <w:sz w:val="24"/>
          <w:szCs w:val="24"/>
        </w:rPr>
      </w:pPr>
      <w:r>
        <w:rPr>
          <w:rFonts w:hint="eastAsia" w:hAnsi="宋体" w:cs="宋体"/>
          <w:color w:val="auto"/>
          <w:sz w:val="24"/>
          <w:szCs w:val="24"/>
        </w:rPr>
        <w:t>不同磋商人的磋商响应文件异常一致或者投标报价呈规律性差异；</w:t>
      </w:r>
    </w:p>
    <w:p>
      <w:pPr>
        <w:pStyle w:val="16"/>
        <w:numPr>
          <w:ilvl w:val="0"/>
          <w:numId w:val="37"/>
        </w:numPr>
        <w:spacing w:line="360" w:lineRule="auto"/>
        <w:rPr>
          <w:rFonts w:hAnsi="宋体"/>
          <w:color w:val="auto"/>
          <w:sz w:val="24"/>
          <w:szCs w:val="24"/>
        </w:rPr>
      </w:pPr>
      <w:r>
        <w:rPr>
          <w:rFonts w:hint="eastAsia" w:hAnsi="宋体" w:cs="宋体"/>
          <w:color w:val="auto"/>
          <w:sz w:val="24"/>
          <w:szCs w:val="24"/>
        </w:rPr>
        <w:t>不同磋商人的磋商响应文件相互混装；</w:t>
      </w:r>
    </w:p>
    <w:p>
      <w:pPr>
        <w:pStyle w:val="16"/>
        <w:numPr>
          <w:ilvl w:val="0"/>
          <w:numId w:val="37"/>
        </w:numPr>
        <w:spacing w:line="360" w:lineRule="auto"/>
        <w:rPr>
          <w:rFonts w:hAnsi="宋体"/>
          <w:color w:val="auto"/>
          <w:sz w:val="24"/>
          <w:szCs w:val="24"/>
        </w:rPr>
      </w:pPr>
      <w:r>
        <w:rPr>
          <w:rFonts w:hint="eastAsia" w:hAnsi="宋体" w:cs="宋体"/>
          <w:color w:val="auto"/>
          <w:sz w:val="24"/>
          <w:szCs w:val="24"/>
        </w:rPr>
        <w:t>不同磋商人的投标保证金从同一单位或者个人的账户转出。</w:t>
      </w:r>
    </w:p>
    <w:p>
      <w:pPr>
        <w:pStyle w:val="16"/>
        <w:spacing w:line="360" w:lineRule="auto"/>
        <w:ind w:firstLine="960" w:firstLineChars="400"/>
        <w:rPr>
          <w:rFonts w:hAnsi="宋体"/>
          <w:color w:val="auto"/>
          <w:sz w:val="24"/>
          <w:szCs w:val="24"/>
        </w:rPr>
      </w:pPr>
      <w:r>
        <w:rPr>
          <w:rFonts w:hint="eastAsia" w:hAnsi="宋体"/>
          <w:color w:val="auto"/>
          <w:sz w:val="24"/>
          <w:szCs w:val="24"/>
        </w:rPr>
        <w:t>算。</w:t>
      </w:r>
    </w:p>
    <w:p>
      <w:pPr>
        <w:pStyle w:val="16"/>
        <w:numPr>
          <w:ilvl w:val="0"/>
          <w:numId w:val="36"/>
        </w:numPr>
        <w:spacing w:line="360" w:lineRule="auto"/>
        <w:rPr>
          <w:rFonts w:hAnsi="宋体"/>
          <w:color w:val="auto"/>
          <w:sz w:val="24"/>
          <w:szCs w:val="24"/>
        </w:rPr>
      </w:pPr>
      <w:r>
        <w:rPr>
          <w:rFonts w:hint="eastAsia" w:hAnsi="宋体"/>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pPr>
        <w:pStyle w:val="22"/>
        <w:spacing w:before="0" w:after="0" w:line="360" w:lineRule="auto"/>
        <w:rPr>
          <w:rFonts w:ascii="宋体" w:hAnsi="宋体"/>
          <w:color w:val="auto"/>
          <w:sz w:val="48"/>
          <w:szCs w:val="48"/>
        </w:rPr>
      </w:pPr>
      <w:r>
        <w:rPr>
          <w:rFonts w:ascii="宋体" w:hAnsi="宋体"/>
          <w:color w:val="auto"/>
          <w:sz w:val="24"/>
          <w:szCs w:val="24"/>
        </w:rPr>
        <w:br w:type="page"/>
      </w:r>
      <w:bookmarkStart w:id="75" w:name="_Toc109133113"/>
      <w:r>
        <w:rPr>
          <w:rFonts w:hint="eastAsia" w:ascii="宋体" w:hAnsi="宋体"/>
          <w:color w:val="auto"/>
          <w:sz w:val="48"/>
          <w:szCs w:val="48"/>
        </w:rPr>
        <w:t>第四部分青海省政府采购合同文本样式</w:t>
      </w:r>
      <w:bookmarkEnd w:id="75"/>
    </w:p>
    <w:p>
      <w:pPr>
        <w:pStyle w:val="16"/>
        <w:spacing w:line="360" w:lineRule="auto"/>
        <w:ind w:firstLine="482" w:firstLineChars="200"/>
        <w:rPr>
          <w:rFonts w:hAnsi="宋体"/>
          <w:b/>
          <w:color w:val="auto"/>
          <w:sz w:val="24"/>
          <w:szCs w:val="24"/>
        </w:rPr>
      </w:pPr>
    </w:p>
    <w:p>
      <w:pPr>
        <w:spacing w:line="360" w:lineRule="auto"/>
        <w:jc w:val="center"/>
        <w:rPr>
          <w:rFonts w:ascii="宋体" w:hAnsi="宋体"/>
          <w:b/>
          <w:color w:val="auto"/>
          <w:spacing w:val="120"/>
          <w:sz w:val="24"/>
        </w:rPr>
      </w:pPr>
    </w:p>
    <w:p>
      <w:pPr>
        <w:spacing w:line="360" w:lineRule="auto"/>
        <w:jc w:val="center"/>
        <w:rPr>
          <w:rFonts w:ascii="宋体" w:hAnsi="宋体"/>
          <w:b/>
          <w:color w:val="auto"/>
          <w:spacing w:val="120"/>
          <w:sz w:val="24"/>
        </w:rPr>
      </w:pPr>
    </w:p>
    <w:p>
      <w:pPr>
        <w:spacing w:line="360" w:lineRule="auto"/>
        <w:jc w:val="center"/>
        <w:rPr>
          <w:rFonts w:ascii="宋体" w:hAnsi="宋体"/>
          <w:b/>
          <w:color w:val="auto"/>
          <w:spacing w:val="120"/>
          <w:sz w:val="72"/>
          <w:szCs w:val="72"/>
        </w:rPr>
      </w:pPr>
    </w:p>
    <w:p>
      <w:pPr>
        <w:spacing w:line="360" w:lineRule="auto"/>
        <w:jc w:val="center"/>
        <w:rPr>
          <w:rFonts w:ascii="宋体" w:hAnsi="宋体"/>
          <w:b/>
          <w:bCs/>
          <w:color w:val="auto"/>
          <w:sz w:val="72"/>
          <w:szCs w:val="72"/>
          <w:lang w:val="zh-CN"/>
        </w:rPr>
      </w:pPr>
      <w:r>
        <w:rPr>
          <w:rFonts w:hint="eastAsia" w:ascii="宋体" w:hAnsi="宋体"/>
          <w:b/>
          <w:bCs/>
          <w:color w:val="auto"/>
          <w:sz w:val="72"/>
          <w:szCs w:val="72"/>
          <w:lang w:val="zh-CN"/>
        </w:rPr>
        <w:t>青海省政府采购合同书</w:t>
      </w: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ind w:left="2316" w:leftChars="357" w:hanging="1566" w:hangingChars="650"/>
        <w:rPr>
          <w:rFonts w:ascii="宋体" w:hAnsi="宋体"/>
          <w:b/>
          <w:color w:val="auto"/>
          <w:sz w:val="24"/>
          <w:u w:val="single"/>
        </w:rPr>
      </w:pPr>
      <w:r>
        <w:rPr>
          <w:rFonts w:hint="eastAsia" w:ascii="宋体" w:hAnsi="宋体"/>
          <w:b/>
          <w:color w:val="auto"/>
          <w:sz w:val="24"/>
        </w:rPr>
        <w:t>采购项目名称：</w:t>
      </w:r>
      <w:r>
        <w:rPr>
          <w:rFonts w:hint="eastAsia" w:ascii="宋体" w:hAnsi="宋体"/>
          <w:b/>
          <w:color w:val="auto"/>
          <w:sz w:val="24"/>
          <w:u w:val="single"/>
          <w:lang w:eastAsia="zh-CN"/>
        </w:rPr>
        <w:t>海北州第二人民医院医疗服务能力提升(口腔)专科建设项目</w:t>
      </w:r>
      <w:r>
        <w:rPr>
          <w:rFonts w:hint="eastAsia" w:ascii="宋体" w:hAnsi="宋体"/>
          <w:b/>
          <w:color w:val="auto"/>
          <w:sz w:val="24"/>
          <w:u w:val="single"/>
        </w:rPr>
        <w:t xml:space="preserve">           </w:t>
      </w:r>
    </w:p>
    <w:p>
      <w:pPr>
        <w:spacing w:line="360" w:lineRule="auto"/>
        <w:ind w:firstLine="723" w:firstLineChars="300"/>
        <w:rPr>
          <w:rFonts w:ascii="宋体" w:hAnsi="宋体"/>
          <w:b/>
          <w:color w:val="auto"/>
          <w:sz w:val="24"/>
          <w:u w:val="single"/>
        </w:rPr>
      </w:pPr>
      <w:r>
        <w:rPr>
          <w:rFonts w:ascii="宋体" w:hAnsi="宋体"/>
          <w:b/>
          <w:color w:val="auto"/>
          <w:sz w:val="24"/>
        </w:rPr>
        <w:t>采购项目编号</w:t>
      </w:r>
      <w:r>
        <w:rPr>
          <w:rFonts w:hint="eastAsia" w:ascii="宋体" w:hAnsi="宋体"/>
          <w:b/>
          <w:color w:val="auto"/>
          <w:sz w:val="24"/>
        </w:rPr>
        <w:t>：</w:t>
      </w:r>
      <w:r>
        <w:rPr>
          <w:rFonts w:hint="eastAsia" w:ascii="宋体" w:hAnsi="宋体"/>
          <w:b/>
          <w:color w:val="auto"/>
          <w:sz w:val="24"/>
          <w:u w:val="single"/>
          <w:lang w:eastAsia="zh-CN"/>
        </w:rPr>
        <w:t>青海国焱竞磋（货物）2024-183号</w:t>
      </w:r>
      <w:r>
        <w:rPr>
          <w:rFonts w:hint="eastAsia" w:ascii="宋体" w:hAnsi="宋体"/>
          <w:b/>
          <w:color w:val="auto"/>
          <w:sz w:val="24"/>
          <w:u w:val="single"/>
        </w:rPr>
        <w:t xml:space="preserve">                  </w:t>
      </w:r>
    </w:p>
    <w:p>
      <w:pPr>
        <w:spacing w:line="360" w:lineRule="auto"/>
        <w:ind w:firstLine="723" w:firstLineChars="300"/>
        <w:rPr>
          <w:rFonts w:ascii="宋体" w:hAnsi="宋体"/>
          <w:b/>
          <w:color w:val="auto"/>
          <w:sz w:val="24"/>
          <w:u w:val="single"/>
        </w:rPr>
      </w:pPr>
      <w:r>
        <w:rPr>
          <w:rFonts w:ascii="宋体" w:hAnsi="宋体"/>
          <w:b/>
          <w:color w:val="auto"/>
          <w:sz w:val="24"/>
        </w:rPr>
        <w:t>采购合同编号</w:t>
      </w:r>
      <w:r>
        <w:rPr>
          <w:rFonts w:hint="eastAsia" w:ascii="宋体" w:hAnsi="宋体"/>
          <w:b/>
          <w:color w:val="auto"/>
          <w:sz w:val="24"/>
        </w:rPr>
        <w:t>：</w:t>
      </w:r>
      <w:r>
        <w:rPr>
          <w:rFonts w:hint="eastAsia" w:ascii="宋体" w:hAnsi="宋体"/>
          <w:b/>
          <w:color w:val="auto"/>
          <w:sz w:val="24"/>
          <w:u w:val="single"/>
        </w:rPr>
        <w:t>QHGY-202</w:t>
      </w:r>
      <w:r>
        <w:rPr>
          <w:rFonts w:hint="eastAsia" w:ascii="宋体" w:hAnsi="宋体"/>
          <w:b/>
          <w:color w:val="auto"/>
          <w:sz w:val="24"/>
          <w:u w:val="single"/>
          <w:lang w:val="en-US" w:eastAsia="zh-CN"/>
        </w:rPr>
        <w:t>4</w:t>
      </w:r>
      <w:r>
        <w:rPr>
          <w:rFonts w:hint="eastAsia" w:ascii="宋体" w:hAnsi="宋体"/>
          <w:b/>
          <w:color w:val="auto"/>
          <w:sz w:val="24"/>
          <w:u w:val="single"/>
        </w:rPr>
        <w:t>-</w:t>
      </w:r>
      <w:r>
        <w:rPr>
          <w:rFonts w:hint="eastAsia" w:ascii="宋体" w:hAnsi="宋体"/>
          <w:b/>
          <w:color w:val="auto"/>
          <w:sz w:val="24"/>
          <w:u w:val="single"/>
          <w:lang w:val="en-US" w:eastAsia="zh-CN"/>
        </w:rPr>
        <w:t>183</w:t>
      </w:r>
      <w:r>
        <w:rPr>
          <w:rFonts w:hint="eastAsia" w:ascii="宋体" w:hAnsi="宋体"/>
          <w:b/>
          <w:color w:val="auto"/>
          <w:sz w:val="24"/>
          <w:u w:val="single"/>
        </w:rPr>
        <w:t xml:space="preserve">                                   </w:t>
      </w:r>
    </w:p>
    <w:p>
      <w:pPr>
        <w:spacing w:line="360" w:lineRule="auto"/>
        <w:ind w:firstLine="723" w:firstLineChars="300"/>
        <w:rPr>
          <w:rFonts w:ascii="宋体" w:hAnsi="宋体"/>
          <w:b/>
          <w:color w:val="auto"/>
          <w:sz w:val="24"/>
          <w:u w:val="single"/>
        </w:rPr>
      </w:pPr>
      <w:r>
        <w:rPr>
          <w:rFonts w:ascii="宋体" w:hAnsi="宋体"/>
          <w:b/>
          <w:color w:val="auto"/>
          <w:sz w:val="24"/>
        </w:rPr>
        <w:t>合同金额</w:t>
      </w:r>
      <w:r>
        <w:rPr>
          <w:rFonts w:hint="eastAsia" w:ascii="宋体" w:hAnsi="宋体"/>
          <w:b/>
          <w:color w:val="auto"/>
          <w:sz w:val="24"/>
        </w:rPr>
        <w:t>（</w:t>
      </w:r>
      <w:r>
        <w:rPr>
          <w:rFonts w:ascii="宋体" w:hAnsi="宋体"/>
          <w:b/>
          <w:color w:val="auto"/>
          <w:sz w:val="24"/>
        </w:rPr>
        <w:t>人民币</w:t>
      </w:r>
      <w:r>
        <w:rPr>
          <w:rFonts w:hint="eastAsia" w:ascii="宋体" w:hAnsi="宋体"/>
          <w:b/>
          <w:color w:val="auto"/>
          <w:sz w:val="24"/>
        </w:rPr>
        <w:t>）：</w:t>
      </w:r>
      <w:r>
        <w:rPr>
          <w:rFonts w:hint="eastAsia" w:ascii="宋体" w:hAnsi="宋体"/>
          <w:b/>
          <w:color w:val="auto"/>
          <w:sz w:val="24"/>
          <w:u w:val="single"/>
        </w:rPr>
        <w:t xml:space="preserve">                                           </w:t>
      </w:r>
    </w:p>
    <w:p>
      <w:pPr>
        <w:spacing w:line="360" w:lineRule="auto"/>
        <w:ind w:firstLine="723" w:firstLineChars="300"/>
        <w:rPr>
          <w:rFonts w:ascii="宋体" w:hAnsi="宋体"/>
          <w:b/>
          <w:color w:val="auto"/>
          <w:sz w:val="24"/>
          <w:u w:val="single"/>
        </w:rPr>
      </w:pPr>
      <w:r>
        <w:rPr>
          <w:rFonts w:hint="eastAsia" w:ascii="宋体" w:hAnsi="宋体"/>
          <w:b/>
          <w:color w:val="auto"/>
          <w:sz w:val="24"/>
        </w:rPr>
        <w:t>采购单位（</w:t>
      </w:r>
      <w:r>
        <w:rPr>
          <w:rFonts w:ascii="宋体" w:hAnsi="宋体"/>
          <w:b/>
          <w:color w:val="auto"/>
          <w:sz w:val="24"/>
        </w:rPr>
        <w:t>甲方</w:t>
      </w:r>
      <w:r>
        <w:rPr>
          <w:rFonts w:hint="eastAsia" w:ascii="宋体" w:hAnsi="宋体"/>
          <w:b/>
          <w:color w:val="auto"/>
          <w:sz w:val="24"/>
        </w:rPr>
        <w:t>）：</w:t>
      </w:r>
      <w:r>
        <w:rPr>
          <w:rFonts w:hint="eastAsia" w:ascii="宋体" w:hAnsi="宋体"/>
          <w:b/>
          <w:color w:val="auto"/>
          <w:sz w:val="24"/>
          <w:u w:val="single"/>
        </w:rPr>
        <w:t xml:space="preserve"> </w:t>
      </w:r>
      <w:r>
        <w:rPr>
          <w:rFonts w:hint="eastAsia" w:ascii="宋体" w:hAnsi="宋体"/>
          <w:b/>
          <w:color w:val="auto"/>
          <w:sz w:val="24"/>
          <w:u w:val="single"/>
          <w:lang w:eastAsia="zh-CN"/>
        </w:rPr>
        <w:t>海北藏族自治州第二人民医院</w:t>
      </w:r>
      <w:r>
        <w:rPr>
          <w:rFonts w:hint="eastAsia" w:ascii="宋体" w:hAnsi="宋体"/>
          <w:b/>
          <w:color w:val="auto"/>
          <w:sz w:val="24"/>
          <w:u w:val="single"/>
        </w:rPr>
        <w:t xml:space="preserve">                        （盖章）</w:t>
      </w:r>
    </w:p>
    <w:p>
      <w:pPr>
        <w:spacing w:line="360" w:lineRule="auto"/>
        <w:ind w:firstLine="723" w:firstLineChars="300"/>
        <w:rPr>
          <w:rFonts w:ascii="宋体" w:hAnsi="宋体"/>
          <w:b/>
          <w:color w:val="auto"/>
          <w:sz w:val="24"/>
          <w:u w:val="single"/>
        </w:rPr>
      </w:pPr>
      <w:r>
        <w:rPr>
          <w:rFonts w:ascii="宋体" w:hAnsi="宋体"/>
          <w:b/>
          <w:color w:val="auto"/>
          <w:sz w:val="24"/>
        </w:rPr>
        <w:t>成交供应商</w:t>
      </w:r>
      <w:r>
        <w:rPr>
          <w:rFonts w:hint="eastAsia" w:ascii="宋体" w:hAnsi="宋体"/>
          <w:b/>
          <w:color w:val="auto"/>
          <w:sz w:val="24"/>
        </w:rPr>
        <w:t>（</w:t>
      </w:r>
      <w:r>
        <w:rPr>
          <w:rFonts w:ascii="宋体" w:hAnsi="宋体"/>
          <w:b/>
          <w:color w:val="auto"/>
          <w:sz w:val="24"/>
        </w:rPr>
        <w:t>乙方</w:t>
      </w:r>
      <w:r>
        <w:rPr>
          <w:rFonts w:hint="eastAsia" w:ascii="宋体" w:hAnsi="宋体"/>
          <w:b/>
          <w:color w:val="auto"/>
          <w:sz w:val="24"/>
        </w:rPr>
        <w:t>）：</w:t>
      </w:r>
      <w:r>
        <w:rPr>
          <w:rFonts w:hint="eastAsia" w:ascii="宋体" w:hAnsi="宋体"/>
          <w:b/>
          <w:color w:val="auto"/>
          <w:sz w:val="24"/>
          <w:u w:val="single"/>
        </w:rPr>
        <w:t xml:space="preserve">                                   （盖章）</w:t>
      </w:r>
    </w:p>
    <w:p>
      <w:pPr>
        <w:spacing w:line="360" w:lineRule="auto"/>
        <w:ind w:firstLine="723" w:firstLineChars="300"/>
        <w:rPr>
          <w:rFonts w:ascii="宋体" w:hAnsi="宋体"/>
          <w:color w:val="auto"/>
          <w:sz w:val="24"/>
          <w:u w:val="single"/>
        </w:rPr>
      </w:pPr>
      <w:r>
        <w:rPr>
          <w:rFonts w:ascii="宋体" w:hAnsi="宋体"/>
          <w:b/>
          <w:color w:val="auto"/>
          <w:sz w:val="24"/>
        </w:rPr>
        <w:t>采购日期</w:t>
      </w:r>
      <w:r>
        <w:rPr>
          <w:rFonts w:hint="eastAsia" w:ascii="宋体" w:hAnsi="宋体"/>
          <w:b/>
          <w:color w:val="auto"/>
          <w:sz w:val="24"/>
        </w:rPr>
        <w:t xml:space="preserve">： </w:t>
      </w:r>
      <w:r>
        <w:rPr>
          <w:rFonts w:hint="eastAsia" w:ascii="宋体" w:hAnsi="宋体"/>
          <w:b/>
          <w:color w:val="auto"/>
          <w:sz w:val="24"/>
          <w:u w:val="single"/>
        </w:rPr>
        <w:t xml:space="preserve">                          </w:t>
      </w:r>
      <w:r>
        <w:rPr>
          <w:rFonts w:hint="eastAsia" w:ascii="宋体" w:hAnsi="宋体"/>
          <w:color w:val="auto"/>
          <w:sz w:val="24"/>
          <w:u w:val="single"/>
        </w:rPr>
        <w:t xml:space="preserve">                         </w:t>
      </w:r>
    </w:p>
    <w:p>
      <w:pPr>
        <w:spacing w:line="360" w:lineRule="auto"/>
        <w:rPr>
          <w:rFonts w:ascii="宋体" w:hAnsi="宋体" w:cs="宋体"/>
          <w:b/>
          <w:color w:val="auto"/>
          <w:sz w:val="24"/>
        </w:rPr>
      </w:pPr>
      <w:r>
        <w:rPr>
          <w:rFonts w:ascii="宋体" w:hAnsi="宋体"/>
          <w:color w:val="auto"/>
          <w:sz w:val="24"/>
          <w:u w:val="single"/>
        </w:rPr>
        <w:br w:type="page"/>
      </w:r>
      <w:r>
        <w:rPr>
          <w:rFonts w:hint="eastAsia" w:ascii="宋体" w:hAnsi="宋体" w:cs="宋体"/>
          <w:b/>
          <w:color w:val="auto"/>
          <w:sz w:val="24"/>
        </w:rPr>
        <w:t>采购单位（以下简称甲方）：</w:t>
      </w:r>
    </w:p>
    <w:p>
      <w:pPr>
        <w:spacing w:line="360" w:lineRule="auto"/>
        <w:rPr>
          <w:rFonts w:ascii="宋体" w:hAnsi="宋体" w:cs="宋体"/>
          <w:b/>
          <w:color w:val="auto"/>
          <w:sz w:val="24"/>
        </w:rPr>
      </w:pPr>
      <w:r>
        <w:rPr>
          <w:rFonts w:hint="eastAsia" w:ascii="宋体" w:hAnsi="宋体" w:cs="宋体"/>
          <w:b/>
          <w:color w:val="auto"/>
          <w:sz w:val="24"/>
        </w:rPr>
        <w:t>成交</w:t>
      </w:r>
      <w:r>
        <w:rPr>
          <w:rFonts w:ascii="宋体" w:hAnsi="宋体" w:cs="宋体"/>
          <w:b/>
          <w:color w:val="auto"/>
          <w:sz w:val="24"/>
        </w:rPr>
        <w:t>供应商</w:t>
      </w:r>
      <w:r>
        <w:rPr>
          <w:rFonts w:hint="eastAsia" w:ascii="宋体" w:hAnsi="宋体" w:cs="宋体"/>
          <w:b/>
          <w:color w:val="auto"/>
          <w:sz w:val="24"/>
        </w:rPr>
        <w:t>（</w:t>
      </w:r>
      <w:r>
        <w:rPr>
          <w:rFonts w:ascii="宋体" w:hAnsi="宋体" w:cs="宋体"/>
          <w:b/>
          <w:color w:val="auto"/>
          <w:sz w:val="24"/>
        </w:rPr>
        <w:t>以下简称乙方</w:t>
      </w:r>
      <w:r>
        <w:rPr>
          <w:rFonts w:hint="eastAsia" w:ascii="宋体" w:hAnsi="宋体" w:cs="宋体"/>
          <w:b/>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甲、乙双方根据    年  月  日</w:t>
      </w:r>
      <w:r>
        <w:rPr>
          <w:rFonts w:hint="eastAsia" w:ascii="宋体" w:hAnsi="宋体" w:cs="宋体"/>
          <w:color w:val="auto"/>
          <w:sz w:val="24"/>
          <w:lang w:eastAsia="zh-CN"/>
        </w:rPr>
        <w:t>海北州第二人民医院医疗服务能力提升(口腔)专科建设项目</w:t>
      </w:r>
      <w:r>
        <w:rPr>
          <w:rFonts w:hint="eastAsia" w:ascii="宋体" w:hAnsi="宋体" w:cs="宋体"/>
          <w:color w:val="auto"/>
          <w:sz w:val="24"/>
        </w:rPr>
        <w:t>（</w:t>
      </w:r>
      <w:r>
        <w:rPr>
          <w:rFonts w:hint="eastAsia" w:ascii="宋体" w:hAnsi="宋体" w:cs="宋体"/>
          <w:color w:val="auto"/>
          <w:sz w:val="24"/>
          <w:lang w:eastAsia="zh-CN"/>
        </w:rPr>
        <w:t>青海国焱竞磋（货物）2024-183号</w:t>
      </w:r>
      <w:r>
        <w:rPr>
          <w:rFonts w:hint="eastAsia" w:ascii="宋体" w:hAnsi="宋体" w:cs="宋体"/>
          <w:color w:val="auto"/>
          <w:sz w:val="24"/>
        </w:rPr>
        <w:t>）的磋商文件要求和采购代理机构出具的《成交通知书》，并经双方协商一致，签订本合同协议书。</w:t>
      </w:r>
    </w:p>
    <w:p>
      <w:pPr>
        <w:spacing w:line="360" w:lineRule="auto"/>
        <w:rPr>
          <w:rFonts w:ascii="宋体" w:hAnsi="宋体" w:cs="宋体"/>
          <w:b/>
          <w:color w:val="auto"/>
          <w:sz w:val="24"/>
        </w:rPr>
      </w:pPr>
      <w:r>
        <w:rPr>
          <w:rFonts w:ascii="宋体" w:hAnsi="宋体" w:cs="宋体"/>
          <w:b/>
          <w:color w:val="auto"/>
          <w:sz w:val="24"/>
        </w:rPr>
        <w:t>一</w:t>
      </w:r>
      <w:r>
        <w:rPr>
          <w:rFonts w:hint="eastAsia" w:ascii="宋体" w:hAnsi="宋体" w:cs="宋体"/>
          <w:b/>
          <w:color w:val="auto"/>
          <w:sz w:val="24"/>
        </w:rPr>
        <w:t>、签订本政府采购合同的依据</w:t>
      </w:r>
    </w:p>
    <w:p>
      <w:pPr>
        <w:spacing w:line="360" w:lineRule="auto"/>
        <w:ind w:firstLine="480" w:firstLineChars="200"/>
        <w:rPr>
          <w:rFonts w:ascii="宋体" w:hAnsi="宋体" w:cs="宋体"/>
          <w:color w:val="auto"/>
          <w:sz w:val="24"/>
        </w:rPr>
      </w:pPr>
      <w:r>
        <w:rPr>
          <w:rFonts w:hint="eastAsia" w:ascii="宋体" w:hAnsi="宋体" w:cs="宋体"/>
          <w:color w:val="auto"/>
          <w:sz w:val="24"/>
        </w:rPr>
        <w:t>本政府采购合同所附下列文件是构成本政府采购合同不可分割的部分：</w:t>
      </w:r>
    </w:p>
    <w:p>
      <w:pPr>
        <w:spacing w:line="360" w:lineRule="auto"/>
        <w:rPr>
          <w:rFonts w:ascii="宋体" w:hAnsi="宋体" w:cs="宋体"/>
          <w:color w:val="auto"/>
          <w:sz w:val="24"/>
        </w:rPr>
      </w:pPr>
      <w:r>
        <w:rPr>
          <w:rFonts w:hint="eastAsia" w:ascii="宋体" w:hAnsi="宋体" w:cs="宋体"/>
          <w:color w:val="auto"/>
          <w:sz w:val="24"/>
        </w:rPr>
        <w:t>1．磋商文件；</w:t>
      </w:r>
    </w:p>
    <w:p>
      <w:pPr>
        <w:spacing w:line="360" w:lineRule="auto"/>
        <w:rPr>
          <w:rFonts w:ascii="宋体" w:hAnsi="宋体" w:cs="宋体"/>
          <w:color w:val="auto"/>
          <w:sz w:val="24"/>
        </w:rPr>
      </w:pPr>
      <w:r>
        <w:rPr>
          <w:rFonts w:hint="eastAsia" w:ascii="宋体" w:hAnsi="宋体" w:cs="宋体"/>
          <w:color w:val="auto"/>
          <w:sz w:val="24"/>
        </w:rPr>
        <w:t>2．磋商文件的更正、变更公告；</w:t>
      </w:r>
    </w:p>
    <w:p>
      <w:pPr>
        <w:spacing w:line="360" w:lineRule="auto"/>
        <w:rPr>
          <w:rFonts w:ascii="宋体" w:hAnsi="宋体" w:cs="宋体"/>
          <w:color w:val="auto"/>
          <w:sz w:val="24"/>
        </w:rPr>
      </w:pPr>
      <w:r>
        <w:rPr>
          <w:rFonts w:hint="eastAsia" w:ascii="宋体" w:hAnsi="宋体" w:cs="宋体"/>
          <w:color w:val="auto"/>
          <w:sz w:val="24"/>
        </w:rPr>
        <w:t>3．成交磋商供应商提交的磋商响应文件；</w:t>
      </w:r>
    </w:p>
    <w:p>
      <w:pPr>
        <w:spacing w:line="360" w:lineRule="auto"/>
        <w:rPr>
          <w:rFonts w:ascii="宋体" w:hAnsi="宋体" w:cs="宋体"/>
          <w:color w:val="auto"/>
          <w:sz w:val="24"/>
        </w:rPr>
      </w:pPr>
      <w:r>
        <w:rPr>
          <w:rFonts w:hint="eastAsia" w:ascii="宋体" w:hAnsi="宋体" w:cs="宋体"/>
          <w:color w:val="auto"/>
          <w:sz w:val="24"/>
        </w:rPr>
        <w:t>4．磋商文件中规定的政府采购合同通用条款；</w:t>
      </w:r>
    </w:p>
    <w:p>
      <w:pPr>
        <w:spacing w:line="360" w:lineRule="auto"/>
        <w:rPr>
          <w:rFonts w:ascii="宋体" w:hAnsi="宋体" w:cs="宋体"/>
          <w:color w:val="auto"/>
          <w:sz w:val="24"/>
        </w:rPr>
      </w:pPr>
      <w:r>
        <w:rPr>
          <w:rFonts w:hint="eastAsia" w:ascii="宋体" w:hAnsi="宋体" w:cs="宋体"/>
          <w:color w:val="auto"/>
          <w:sz w:val="24"/>
        </w:rPr>
        <w:t>5．成交通知书。</w:t>
      </w:r>
    </w:p>
    <w:p>
      <w:pPr>
        <w:spacing w:line="360" w:lineRule="auto"/>
        <w:rPr>
          <w:rFonts w:ascii="宋体" w:hAnsi="宋体"/>
          <w:b/>
          <w:color w:val="auto"/>
          <w:sz w:val="24"/>
        </w:rPr>
      </w:pPr>
      <w:r>
        <w:rPr>
          <w:rFonts w:hint="eastAsia" w:ascii="宋体" w:hAnsi="宋体"/>
          <w:b/>
          <w:color w:val="auto"/>
          <w:sz w:val="24"/>
        </w:rPr>
        <w:t xml:space="preserve">二、合同标的及金额                                          </w:t>
      </w:r>
      <w:r>
        <w:rPr>
          <w:rFonts w:hint="eastAsia" w:ascii="宋体" w:hAnsi="宋体"/>
          <w:color w:val="auto"/>
          <w:sz w:val="24"/>
        </w:rPr>
        <w:t>单位：    元</w:t>
      </w:r>
    </w:p>
    <w:tbl>
      <w:tblPr>
        <w:tblStyle w:val="32"/>
        <w:tblW w:w="9644" w:type="dxa"/>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型号规格</w:t>
            </w: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单价</w:t>
            </w:r>
          </w:p>
        </w:tc>
        <w:tc>
          <w:tcPr>
            <w:tcW w:w="1417"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总价</w:t>
            </w:r>
          </w:p>
        </w:tc>
        <w:tc>
          <w:tcPr>
            <w:tcW w:w="212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1</w:t>
            </w:r>
          </w:p>
        </w:tc>
        <w:tc>
          <w:tcPr>
            <w:tcW w:w="12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3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7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5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417" w:type="dxa"/>
            <w:tcBorders>
              <w:top w:val="nil"/>
              <w:left w:val="nil"/>
              <w:bottom w:val="single" w:color="auto" w:sz="4" w:space="0"/>
              <w:right w:val="nil"/>
            </w:tcBorders>
            <w:shd w:val="clear" w:color="auto" w:fill="FFFFFF"/>
            <w:vAlign w:val="center"/>
          </w:tcPr>
          <w:p>
            <w:pPr>
              <w:spacing w:line="360" w:lineRule="auto"/>
              <w:jc w:val="center"/>
              <w:rPr>
                <w:rFonts w:ascii="宋体" w:hAnsi="宋体"/>
                <w:color w:val="auto"/>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r>
      <w:tr>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2</w:t>
            </w:r>
          </w:p>
        </w:tc>
        <w:tc>
          <w:tcPr>
            <w:tcW w:w="12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3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5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417" w:type="dxa"/>
            <w:tcBorders>
              <w:top w:val="nil"/>
              <w:left w:val="nil"/>
              <w:bottom w:val="single" w:color="auto" w:sz="4" w:space="0"/>
              <w:right w:val="nil"/>
            </w:tcBorders>
            <w:shd w:val="clear" w:color="auto" w:fill="FFFFFF"/>
            <w:vAlign w:val="center"/>
          </w:tcPr>
          <w:p>
            <w:pPr>
              <w:spacing w:line="360" w:lineRule="auto"/>
              <w:jc w:val="center"/>
              <w:rPr>
                <w:rFonts w:ascii="宋体" w:hAnsi="宋体"/>
                <w:color w:val="auto"/>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r>
      <w:tr>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r>
              <w:rPr>
                <w:rFonts w:hint="eastAsia" w:ascii="宋体" w:hAnsi="宋体"/>
                <w:color w:val="auto"/>
                <w:sz w:val="24"/>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c>
          <w:tcPr>
            <w:tcW w:w="1417" w:type="dxa"/>
            <w:tcBorders>
              <w:top w:val="single" w:color="auto" w:sz="4" w:space="0"/>
              <w:left w:val="nil"/>
              <w:bottom w:val="single" w:color="auto" w:sz="4" w:space="0"/>
              <w:right w:val="nil"/>
            </w:tcBorders>
            <w:shd w:val="clear" w:color="auto" w:fill="FFFFFF"/>
            <w:vAlign w:val="center"/>
          </w:tcPr>
          <w:p>
            <w:pPr>
              <w:spacing w:line="360" w:lineRule="auto"/>
              <w:jc w:val="center"/>
              <w:rPr>
                <w:rFonts w:ascii="宋体" w:hAnsi="宋体"/>
                <w:color w:val="auto"/>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olor w:val="auto"/>
                <w:sz w:val="24"/>
              </w:rPr>
            </w:pPr>
          </w:p>
        </w:tc>
      </w:tr>
    </w:tbl>
    <w:p>
      <w:pPr>
        <w:spacing w:line="360" w:lineRule="auto"/>
        <w:ind w:firstLine="480" w:firstLineChars="200"/>
        <w:rPr>
          <w:rFonts w:ascii="宋体" w:hAnsi="宋体"/>
          <w:color w:val="auto"/>
          <w:sz w:val="24"/>
        </w:rPr>
      </w:pPr>
      <w:r>
        <w:rPr>
          <w:rFonts w:hint="eastAsia" w:ascii="宋体" w:hAnsi="宋体"/>
          <w:color w:val="auto"/>
          <w:sz w:val="24"/>
        </w:rPr>
        <w:t>根据上述政府采购合同文件要求，本政府采购合同的总金额为人民币（大写）</w:t>
      </w:r>
      <w:r>
        <w:rPr>
          <w:rFonts w:hint="eastAsia" w:ascii="宋体" w:hAnsi="宋体"/>
          <w:color w:val="auto"/>
          <w:sz w:val="24"/>
          <w:u w:val="single"/>
        </w:rPr>
        <w:t xml:space="preserve">      </w:t>
      </w:r>
      <w:r>
        <w:rPr>
          <w:rFonts w:hint="eastAsia" w:ascii="宋体" w:hAnsi="宋体"/>
          <w:color w:val="auto"/>
          <w:sz w:val="24"/>
        </w:rPr>
        <w:t>元。</w:t>
      </w:r>
    </w:p>
    <w:p>
      <w:pPr>
        <w:spacing w:line="360" w:lineRule="auto"/>
        <w:ind w:firstLine="480" w:firstLineChars="200"/>
        <w:rPr>
          <w:rFonts w:ascii="宋体" w:hAnsi="宋体"/>
          <w:color w:val="auto"/>
          <w:sz w:val="24"/>
        </w:rPr>
      </w:pPr>
      <w:r>
        <w:rPr>
          <w:rFonts w:hint="eastAsia" w:ascii="宋体" w:hAnsi="宋体"/>
          <w:color w:val="auto"/>
          <w:sz w:val="24"/>
        </w:rPr>
        <w:t>本合同以人民币进行结算，合同总价包括：</w:t>
      </w:r>
      <w:bookmarkStart w:id="76" w:name="_Hlk96518561"/>
      <w:r>
        <w:rPr>
          <w:rFonts w:hint="eastAsia" w:ascii="宋体" w:hAnsi="宋体"/>
          <w:color w:val="auto"/>
          <w:sz w:val="24"/>
        </w:rPr>
        <w:t>产品费、</w:t>
      </w:r>
      <w:r>
        <w:rPr>
          <w:rFonts w:hint="eastAsia" w:hAnsi="宋体"/>
          <w:color w:val="auto"/>
          <w:sz w:val="24"/>
        </w:rPr>
        <w:t>维护费、</w:t>
      </w:r>
      <w:r>
        <w:rPr>
          <w:rFonts w:hint="eastAsia" w:ascii="宋体" w:hAnsi="宋体"/>
          <w:color w:val="auto"/>
          <w:sz w:val="24"/>
        </w:rPr>
        <w:t>检验费、手续费、保险费、售后服务费、税金、招标代理费以及其他不可预见费等全部费用。</w:t>
      </w:r>
      <w:bookmarkEnd w:id="76"/>
      <w:r>
        <w:rPr>
          <w:rFonts w:hint="eastAsia" w:ascii="宋体" w:hAnsi="宋体"/>
          <w:color w:val="auto"/>
          <w:sz w:val="24"/>
        </w:rPr>
        <w:t>（说明：具体内容应根据项目特点实事求是的填写）。</w:t>
      </w:r>
    </w:p>
    <w:p>
      <w:pPr>
        <w:spacing w:line="360" w:lineRule="auto"/>
        <w:rPr>
          <w:rFonts w:ascii="宋体" w:hAnsi="宋体"/>
          <w:b/>
          <w:color w:val="auto"/>
          <w:sz w:val="24"/>
        </w:rPr>
      </w:pPr>
      <w:r>
        <w:rPr>
          <w:rFonts w:hint="eastAsia" w:ascii="宋体" w:hAnsi="宋体"/>
          <w:b/>
          <w:color w:val="auto"/>
          <w:sz w:val="24"/>
        </w:rPr>
        <w:t>三、交付时间、地点和要求</w:t>
      </w:r>
    </w:p>
    <w:p>
      <w:pPr>
        <w:spacing w:line="360" w:lineRule="auto"/>
        <w:rPr>
          <w:rFonts w:ascii="宋体" w:hAnsi="宋体" w:cs="宋体"/>
          <w:color w:val="auto"/>
          <w:kern w:val="0"/>
          <w:sz w:val="24"/>
          <w:lang w:val="zh-CN"/>
        </w:rPr>
      </w:pPr>
      <w:r>
        <w:rPr>
          <w:rFonts w:hint="eastAsia" w:ascii="宋体" w:hAnsi="宋体"/>
          <w:color w:val="auto"/>
          <w:sz w:val="24"/>
        </w:rPr>
        <w:t>1.交货期：自合同签订之日起30日历日内</w:t>
      </w:r>
      <w:r>
        <w:rPr>
          <w:rFonts w:hint="eastAsia" w:ascii="宋体" w:hAnsi="宋体" w:cs="宋体"/>
          <w:color w:val="auto"/>
          <w:kern w:val="0"/>
          <w:sz w:val="24"/>
          <w:lang w:val="zh-CN"/>
        </w:rPr>
        <w:t>；</w:t>
      </w:r>
    </w:p>
    <w:p>
      <w:pPr>
        <w:spacing w:line="360" w:lineRule="auto"/>
        <w:ind w:firstLine="240" w:firstLineChars="100"/>
        <w:rPr>
          <w:rFonts w:hint="eastAsia" w:ascii="宋体" w:hAnsi="宋体"/>
          <w:color w:val="auto"/>
          <w:sz w:val="24"/>
        </w:rPr>
      </w:pPr>
      <w:r>
        <w:rPr>
          <w:rFonts w:hint="eastAsia" w:ascii="宋体" w:hAnsi="宋体"/>
          <w:color w:val="auto"/>
          <w:sz w:val="24"/>
        </w:rPr>
        <w:t>交货地点：</w:t>
      </w:r>
      <w:bookmarkStart w:id="77" w:name="_Hlk497746416"/>
      <w:r>
        <w:rPr>
          <w:rFonts w:hint="eastAsia" w:ascii="宋体" w:hAnsi="宋体"/>
          <w:color w:val="auto"/>
          <w:sz w:val="24"/>
          <w:lang w:eastAsia="zh-CN"/>
        </w:rPr>
        <w:t>海北藏族自治州第二人民医院</w:t>
      </w:r>
      <w:r>
        <w:rPr>
          <w:rFonts w:hint="eastAsia" w:ascii="宋体" w:hAnsi="宋体"/>
          <w:color w:val="auto"/>
          <w:sz w:val="24"/>
        </w:rPr>
        <w:t>；</w:t>
      </w:r>
    </w:p>
    <w:p>
      <w:pPr>
        <w:pStyle w:val="12"/>
        <w:rPr>
          <w:rFonts w:hint="eastAsia" w:eastAsia="宋体"/>
          <w:color w:val="auto"/>
          <w:lang w:val="en-US" w:eastAsia="zh-CN"/>
        </w:rPr>
      </w:pPr>
      <w:r>
        <w:rPr>
          <w:rFonts w:hint="eastAsia" w:ascii="宋体" w:hAnsi="宋体"/>
          <w:color w:val="auto"/>
          <w:sz w:val="24"/>
          <w:lang w:val="en-US" w:eastAsia="zh-CN"/>
        </w:rPr>
        <w:t xml:space="preserve">  质保期：</w:t>
      </w:r>
      <w:r>
        <w:rPr>
          <w:rFonts w:hint="eastAsia" w:ascii="宋体" w:hAnsi="Calibri" w:cs="宋体"/>
          <w:color w:val="auto"/>
          <w:kern w:val="0"/>
          <w:sz w:val="24"/>
          <w:lang w:val="en-US" w:eastAsia="zh-CN"/>
        </w:rPr>
        <w:t>质保金满两年无质量问题可以支付，免费质保期限时两年；</w:t>
      </w:r>
    </w:p>
    <w:bookmarkEnd w:id="77"/>
    <w:p>
      <w:pPr>
        <w:spacing w:line="360" w:lineRule="auto"/>
        <w:rPr>
          <w:rFonts w:ascii="宋体" w:hAnsi="宋体"/>
          <w:color w:val="auto"/>
          <w:sz w:val="24"/>
        </w:rPr>
      </w:pPr>
      <w:r>
        <w:rPr>
          <w:rFonts w:hint="eastAsia" w:ascii="宋体" w:hAnsi="宋体"/>
          <w:color w:val="auto"/>
          <w:sz w:val="24"/>
        </w:rPr>
        <w:t>2.乙方提供不符合磋商响应文件和本合同规定的产品，甲方有权拒绝接受；</w:t>
      </w:r>
    </w:p>
    <w:p>
      <w:pPr>
        <w:spacing w:line="360" w:lineRule="auto"/>
        <w:rPr>
          <w:rFonts w:ascii="宋体" w:hAnsi="宋体"/>
          <w:color w:val="auto"/>
          <w:sz w:val="24"/>
        </w:rPr>
      </w:pPr>
      <w:r>
        <w:rPr>
          <w:rFonts w:hint="eastAsia" w:ascii="宋体" w:hAnsi="宋体"/>
          <w:color w:val="auto"/>
          <w:sz w:val="24"/>
        </w:rPr>
        <w:t>3.乙方应将提供产品的装箱清单、用户手册、原厂保修卡、随机资料、工具和备品、备件等（如有）交付给甲方，如有缺失应及时补齐，否则视为逾期交货；</w:t>
      </w:r>
    </w:p>
    <w:p>
      <w:pPr>
        <w:spacing w:line="360" w:lineRule="auto"/>
        <w:rPr>
          <w:rFonts w:ascii="宋体" w:hAnsi="宋体"/>
          <w:color w:val="auto"/>
          <w:sz w:val="24"/>
        </w:rPr>
      </w:pPr>
      <w:r>
        <w:rPr>
          <w:rFonts w:hint="eastAsia" w:ascii="宋体" w:hAnsi="宋体"/>
          <w:color w:val="auto"/>
          <w:sz w:val="24"/>
        </w:rPr>
        <w:t>4.甲方应当在到货（安装、调试完）后</w:t>
      </w:r>
      <w:r>
        <w:rPr>
          <w:rFonts w:hint="eastAsia" w:ascii="宋体" w:hAnsi="宋体"/>
          <w:color w:val="auto"/>
          <w:sz w:val="24"/>
          <w:lang w:val="en-US" w:eastAsia="zh-CN"/>
        </w:rPr>
        <w:t>10</w:t>
      </w:r>
      <w:r>
        <w:rPr>
          <w:rFonts w:hint="eastAsia" w:ascii="宋体" w:hAnsi="宋体"/>
          <w:color w:val="auto"/>
          <w:sz w:val="24"/>
        </w:rPr>
        <w:t>个工作日内进行验收，逾期不验收的，乙方可视为验收合格。验收合格后，由甲乙双方签署产品验收单并加盖采购单位公章，甲乙双方各执一份；</w:t>
      </w:r>
    </w:p>
    <w:p>
      <w:pPr>
        <w:spacing w:line="360" w:lineRule="auto"/>
        <w:rPr>
          <w:rFonts w:ascii="宋体" w:hAnsi="宋体"/>
          <w:color w:val="auto"/>
          <w:sz w:val="24"/>
        </w:rPr>
      </w:pPr>
      <w:r>
        <w:rPr>
          <w:rFonts w:hint="eastAsia" w:ascii="宋体" w:hAnsi="宋体"/>
          <w:color w:val="auto"/>
          <w:sz w:val="24"/>
        </w:rPr>
        <w:t>5.甲方应提供该项目验收报告交同级财政监管部门，由财政部门按规定程序抽验后办理资金拨付；</w:t>
      </w:r>
    </w:p>
    <w:p>
      <w:pPr>
        <w:spacing w:line="360" w:lineRule="auto"/>
        <w:rPr>
          <w:rFonts w:ascii="宋体" w:hAnsi="宋体"/>
          <w:color w:val="auto"/>
          <w:sz w:val="24"/>
        </w:rPr>
      </w:pPr>
      <w:r>
        <w:rPr>
          <w:rFonts w:hint="eastAsia" w:ascii="宋体" w:hAnsi="宋体"/>
          <w:color w:val="auto"/>
          <w:sz w:val="24"/>
        </w:rPr>
        <w:t>6.甲方在验收过程中发现乙方有违约问题，可按磋商响应文件的规定要求乙方及时予以解决；</w:t>
      </w:r>
    </w:p>
    <w:p>
      <w:pPr>
        <w:spacing w:line="360" w:lineRule="auto"/>
        <w:rPr>
          <w:rFonts w:ascii="宋体" w:hAnsi="宋体"/>
          <w:color w:val="auto"/>
          <w:sz w:val="24"/>
        </w:rPr>
      </w:pPr>
      <w:r>
        <w:rPr>
          <w:rFonts w:hint="eastAsia" w:ascii="宋体" w:hAnsi="宋体"/>
          <w:color w:val="auto"/>
          <w:sz w:val="24"/>
        </w:rPr>
        <w:t>7.乙方向甲方提供产品相关完税销售发票。</w:t>
      </w:r>
    </w:p>
    <w:p>
      <w:pPr>
        <w:spacing w:line="360" w:lineRule="auto"/>
        <w:rPr>
          <w:rFonts w:ascii="宋体" w:hAnsi="宋体"/>
          <w:b/>
          <w:color w:val="auto"/>
          <w:sz w:val="24"/>
        </w:rPr>
      </w:pPr>
      <w:r>
        <w:rPr>
          <w:rFonts w:hint="eastAsia" w:ascii="宋体" w:hAnsi="宋体"/>
          <w:b/>
          <w:color w:val="auto"/>
          <w:sz w:val="24"/>
        </w:rPr>
        <w:t>四、付款方式</w:t>
      </w:r>
    </w:p>
    <w:p>
      <w:pPr>
        <w:spacing w:line="360" w:lineRule="auto"/>
        <w:rPr>
          <w:rFonts w:ascii="宋体" w:hAnsi="宋体"/>
          <w:color w:val="auto"/>
          <w:sz w:val="24"/>
        </w:rPr>
      </w:pPr>
      <w:r>
        <w:rPr>
          <w:rFonts w:hint="eastAsia" w:ascii="宋体" w:hAnsi="宋体"/>
          <w:color w:val="auto"/>
          <w:sz w:val="24"/>
        </w:rPr>
        <w:t>1.付款方式：本项目不支持预付款；</w:t>
      </w:r>
    </w:p>
    <w:p>
      <w:pPr>
        <w:spacing w:line="360" w:lineRule="auto"/>
        <w:rPr>
          <w:rFonts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w:t>
      </w:r>
      <w:r>
        <w:rPr>
          <w:rFonts w:hint="eastAsia" w:ascii="宋体" w:hAnsi="宋体"/>
          <w:color w:val="auto"/>
          <w:sz w:val="24"/>
        </w:rPr>
        <w:t>签订合</w:t>
      </w:r>
      <w:r>
        <w:rPr>
          <w:rFonts w:hint="eastAsia" w:ascii="宋体" w:hAnsi="宋体"/>
          <w:sz w:val="24"/>
        </w:rPr>
        <w:t>同前乙方向甲方提交合同总价款的5%履约保证金，</w:t>
      </w:r>
      <w:r>
        <w:rPr>
          <w:rFonts w:hint="eastAsia" w:ascii="宋体" w:hAnsi="宋体" w:cs="宋体"/>
          <w:color w:val="000000"/>
          <w:sz w:val="24"/>
        </w:rPr>
        <w:t>若合同产品全部交付甲方，由甲方验收，甲方验收合格后，按照合同金额一次性付清；</w:t>
      </w:r>
      <w:r>
        <w:rPr>
          <w:rFonts w:hint="eastAsia" w:ascii="宋体" w:hAnsi="宋体" w:cs="宋体"/>
          <w:color w:val="000000"/>
          <w:sz w:val="24"/>
          <w:lang w:eastAsia="zh-CN"/>
        </w:rPr>
        <w:t>产品交付</w:t>
      </w:r>
      <w:r>
        <w:rPr>
          <w:rFonts w:hint="eastAsia" w:ascii="宋体" w:hAnsi="宋体" w:cs="宋体"/>
          <w:color w:val="000000"/>
          <w:sz w:val="24"/>
        </w:rPr>
        <w:t>后</w:t>
      </w:r>
      <w:r>
        <w:rPr>
          <w:rFonts w:hint="eastAsia" w:ascii="宋体" w:hAnsi="宋体" w:cs="宋体"/>
          <w:color w:val="000000"/>
          <w:sz w:val="24"/>
          <w:lang w:eastAsia="zh-CN"/>
        </w:rPr>
        <w:t>支付合同价款的</w:t>
      </w:r>
      <w:r>
        <w:rPr>
          <w:rFonts w:hint="eastAsia" w:ascii="宋体" w:hAnsi="宋体" w:cs="宋体"/>
          <w:color w:val="000000"/>
          <w:sz w:val="24"/>
        </w:rPr>
        <w:t>30%，验收合格后付70%尾款</w:t>
      </w:r>
      <w:r>
        <w:rPr>
          <w:rFonts w:hint="eastAsia" w:ascii="宋体" w:hAnsi="宋体"/>
          <w:sz w:val="24"/>
        </w:rPr>
        <w:t>；乙方向甲方提交合同总价款的5%履约保证金计(大写)           元转为质量保证金。质量保证金待约定的质量保修期满     年且产品无质量问题后，由甲方以转账方式无息予以退还。</w:t>
      </w:r>
    </w:p>
    <w:p>
      <w:pPr>
        <w:autoSpaceDE w:val="0"/>
        <w:autoSpaceDN w:val="0"/>
        <w:spacing w:line="360" w:lineRule="auto"/>
        <w:rPr>
          <w:rFonts w:ascii="宋体" w:hAnsi="宋体"/>
          <w:b/>
          <w:color w:val="auto"/>
          <w:sz w:val="24"/>
        </w:rPr>
      </w:pPr>
      <w:r>
        <w:rPr>
          <w:rFonts w:hint="eastAsia" w:ascii="宋体" w:hAnsi="宋体"/>
          <w:b/>
          <w:color w:val="auto"/>
          <w:sz w:val="24"/>
        </w:rPr>
        <w:t>五、合同的变更、终止与转让</w:t>
      </w:r>
    </w:p>
    <w:p>
      <w:pPr>
        <w:spacing w:line="360" w:lineRule="auto"/>
        <w:rPr>
          <w:rFonts w:ascii="宋体" w:hAnsi="宋体"/>
          <w:color w:val="auto"/>
          <w:sz w:val="24"/>
        </w:rPr>
      </w:pPr>
      <w:r>
        <w:rPr>
          <w:rFonts w:hint="eastAsia" w:ascii="宋体" w:hAnsi="宋体"/>
          <w:color w:val="auto"/>
          <w:sz w:val="24"/>
        </w:rPr>
        <w:t>1．除《中华人民共和国政府采购法》第50条规定的情形外，本合同一经签订，甲乙双方不得擅自变更、中止或终止；</w:t>
      </w:r>
    </w:p>
    <w:p>
      <w:pPr>
        <w:spacing w:line="360" w:lineRule="auto"/>
        <w:rPr>
          <w:rFonts w:ascii="宋体" w:hAnsi="宋体"/>
          <w:color w:val="auto"/>
          <w:sz w:val="24"/>
        </w:rPr>
      </w:pPr>
      <w:r>
        <w:rPr>
          <w:rFonts w:hint="eastAsia" w:ascii="宋体" w:hAnsi="宋体"/>
          <w:color w:val="auto"/>
          <w:sz w:val="24"/>
        </w:rPr>
        <w:t>2．乙方不得擅自转让其应履行的合同义务。</w:t>
      </w:r>
    </w:p>
    <w:p>
      <w:pPr>
        <w:spacing w:line="360" w:lineRule="auto"/>
        <w:rPr>
          <w:rFonts w:ascii="宋体" w:hAnsi="宋体"/>
          <w:b/>
          <w:color w:val="auto"/>
          <w:sz w:val="24"/>
        </w:rPr>
      </w:pPr>
      <w:r>
        <w:rPr>
          <w:rFonts w:hint="eastAsia" w:ascii="宋体" w:hAnsi="宋体"/>
          <w:b/>
          <w:color w:val="auto"/>
          <w:sz w:val="24"/>
        </w:rPr>
        <w:t>六、违约责任</w:t>
      </w:r>
    </w:p>
    <w:p>
      <w:pPr>
        <w:spacing w:line="360" w:lineRule="auto"/>
        <w:rPr>
          <w:rFonts w:ascii="宋体" w:hAnsi="宋体"/>
          <w:color w:val="auto"/>
          <w:sz w:val="24"/>
        </w:rPr>
      </w:pPr>
      <w:r>
        <w:rPr>
          <w:rFonts w:hint="eastAsia" w:ascii="宋体" w:hAnsi="宋体"/>
          <w:color w:val="auto"/>
          <w:sz w:val="24"/>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auto"/>
        <w:rPr>
          <w:rFonts w:ascii="宋体" w:hAnsi="宋体"/>
          <w:color w:val="auto"/>
          <w:sz w:val="24"/>
        </w:rPr>
      </w:pPr>
      <w:r>
        <w:rPr>
          <w:rFonts w:hint="eastAsia" w:ascii="宋体" w:hAnsi="宋体"/>
          <w:color w:val="auto"/>
          <w:sz w:val="24"/>
        </w:rPr>
        <w:t>2．乙方提供的货物如侵犯了第三方权益而引发纠纷或诉讼的，均由乙方负责交涉并承担全部责任；</w:t>
      </w:r>
    </w:p>
    <w:p>
      <w:pPr>
        <w:spacing w:line="360" w:lineRule="auto"/>
        <w:rPr>
          <w:rFonts w:ascii="宋体" w:hAnsi="宋体"/>
          <w:color w:val="auto"/>
          <w:sz w:val="24"/>
        </w:rPr>
      </w:pPr>
      <w:r>
        <w:rPr>
          <w:rFonts w:hint="eastAsia" w:ascii="宋体" w:hAnsi="宋体"/>
          <w:color w:val="auto"/>
          <w:sz w:val="24"/>
        </w:rPr>
        <w:t>3．因包装、运输引起的货物损坏，按质量不合格处罚；</w:t>
      </w:r>
    </w:p>
    <w:p>
      <w:pPr>
        <w:spacing w:line="360" w:lineRule="auto"/>
        <w:rPr>
          <w:rFonts w:ascii="宋体" w:hAnsi="宋体"/>
          <w:color w:val="auto"/>
          <w:sz w:val="24"/>
        </w:rPr>
      </w:pPr>
      <w:r>
        <w:rPr>
          <w:rFonts w:hint="eastAsia" w:ascii="宋体" w:hAnsi="宋体"/>
          <w:color w:val="auto"/>
          <w:sz w:val="24"/>
        </w:rPr>
        <w:t>4．甲方无故延期接受货物和乙方逾期交货的，每天应向对方偿付未交货物的货款3‰的违约金，但违约金累计不得超过违约货款的5%，超过10天对方有权解除合同，违约方承担因此给对方造成的经济损失；</w:t>
      </w:r>
    </w:p>
    <w:p>
      <w:pPr>
        <w:spacing w:line="360" w:lineRule="auto"/>
        <w:rPr>
          <w:rFonts w:ascii="宋体" w:hAnsi="宋体"/>
          <w:color w:val="auto"/>
          <w:sz w:val="24"/>
        </w:rPr>
      </w:pPr>
      <w:r>
        <w:rPr>
          <w:rFonts w:hint="eastAsia" w:ascii="宋体" w:hAnsi="宋体"/>
          <w:color w:val="auto"/>
          <w:sz w:val="24"/>
        </w:rPr>
        <w:t>5．乙方未按本合同和磋商文件中规定的服务承诺提供售后服务的，乙方应按本合同合计金额的5%向甲方支付违约金；</w:t>
      </w:r>
    </w:p>
    <w:p>
      <w:pPr>
        <w:spacing w:line="360" w:lineRule="auto"/>
        <w:rPr>
          <w:rFonts w:ascii="宋体" w:hAnsi="宋体"/>
          <w:color w:val="auto"/>
          <w:sz w:val="24"/>
        </w:rPr>
      </w:pPr>
      <w:r>
        <w:rPr>
          <w:rFonts w:hint="eastAsia" w:ascii="宋体" w:hAnsi="宋体"/>
          <w:color w:val="auto"/>
          <w:sz w:val="24"/>
        </w:rPr>
        <w:t>6．乙方提供的货物在质量保证期内，因设计、工艺或材料的缺陷和其它质量原因造成的问题，由乙方负责，费用从履约保证金中扣除，不足另补；</w:t>
      </w:r>
    </w:p>
    <w:p>
      <w:pPr>
        <w:spacing w:line="360" w:lineRule="auto"/>
        <w:rPr>
          <w:rFonts w:ascii="宋体" w:hAnsi="宋体"/>
          <w:color w:val="auto"/>
          <w:sz w:val="24"/>
        </w:rPr>
      </w:pPr>
      <w:r>
        <w:rPr>
          <w:rFonts w:hint="eastAsia" w:ascii="宋体" w:hAnsi="宋体"/>
          <w:color w:val="auto"/>
          <w:sz w:val="24"/>
        </w:rPr>
        <w:t>7．其它违约行为按违约货款额5%收取违约金并赔偿经济损失。</w:t>
      </w:r>
    </w:p>
    <w:p>
      <w:pPr>
        <w:spacing w:line="360" w:lineRule="auto"/>
        <w:rPr>
          <w:rFonts w:ascii="宋体" w:hAnsi="宋体"/>
          <w:b/>
          <w:color w:val="auto"/>
          <w:sz w:val="24"/>
        </w:rPr>
      </w:pPr>
      <w:r>
        <w:rPr>
          <w:rFonts w:hint="eastAsia" w:ascii="宋体" w:hAnsi="宋体"/>
          <w:b/>
          <w:color w:val="auto"/>
          <w:sz w:val="24"/>
        </w:rPr>
        <w:t>七、不可抗力</w:t>
      </w:r>
    </w:p>
    <w:p>
      <w:pPr>
        <w:spacing w:line="360" w:lineRule="auto"/>
        <w:rPr>
          <w:rFonts w:ascii="宋体" w:hAnsi="宋体"/>
          <w:color w:val="auto"/>
          <w:sz w:val="24"/>
        </w:rPr>
      </w:pPr>
      <w:r>
        <w:rPr>
          <w:rFonts w:hint="eastAsia" w:ascii="宋体" w:hAnsi="宋体"/>
          <w:color w:val="auto"/>
          <w:sz w:val="24"/>
        </w:rPr>
        <w:t>1．不可抗力使合同的某些内容有变更必要的，双方应通过协商在</w:t>
      </w:r>
      <w:r>
        <w:rPr>
          <w:rFonts w:ascii="宋体" w:hAnsi="宋体"/>
          <w:color w:val="auto"/>
          <w:sz w:val="24"/>
          <w:u w:val="single"/>
        </w:rPr>
        <w:t>3</w:t>
      </w:r>
      <w:r>
        <w:rPr>
          <w:rFonts w:hint="eastAsia" w:ascii="宋体" w:hAnsi="宋体"/>
          <w:color w:val="auto"/>
          <w:sz w:val="24"/>
        </w:rPr>
        <w:t>天内达成进一步履行合同的协议，因不可抗力致使合同不能履行的，合同终止；</w:t>
      </w:r>
    </w:p>
    <w:p>
      <w:pPr>
        <w:spacing w:line="360" w:lineRule="auto"/>
        <w:rPr>
          <w:rFonts w:ascii="宋体" w:hAnsi="宋体"/>
          <w:color w:val="auto"/>
          <w:sz w:val="24"/>
        </w:rPr>
      </w:pPr>
      <w:r>
        <w:rPr>
          <w:rFonts w:hint="eastAsia" w:ascii="宋体" w:hAnsi="宋体"/>
          <w:color w:val="auto"/>
          <w:sz w:val="24"/>
        </w:rPr>
        <w:t>2．除法律、法规规定的不可抗力情形外，双方约定出现</w:t>
      </w:r>
      <w:r>
        <w:rPr>
          <w:rFonts w:hint="eastAsia" w:ascii="宋体" w:hAnsi="宋体"/>
          <w:color w:val="auto"/>
          <w:sz w:val="24"/>
          <w:u w:val="single"/>
        </w:rPr>
        <w:t xml:space="preserve"> 自然灾害 </w:t>
      </w:r>
      <w:r>
        <w:rPr>
          <w:rFonts w:hint="eastAsia" w:ascii="宋体" w:hAnsi="宋体"/>
          <w:color w:val="auto"/>
          <w:sz w:val="24"/>
        </w:rPr>
        <w:t>情况亦视为不可抗力。</w:t>
      </w:r>
    </w:p>
    <w:p>
      <w:pPr>
        <w:spacing w:line="360" w:lineRule="auto"/>
        <w:rPr>
          <w:rFonts w:ascii="宋体" w:hAnsi="宋体"/>
          <w:b/>
          <w:color w:val="auto"/>
          <w:sz w:val="24"/>
        </w:rPr>
      </w:pPr>
      <w:r>
        <w:rPr>
          <w:rFonts w:hint="eastAsia" w:ascii="宋体" w:hAnsi="宋体"/>
          <w:b/>
          <w:color w:val="auto"/>
          <w:sz w:val="24"/>
        </w:rPr>
        <w:t>八、知识产权：</w:t>
      </w:r>
    </w:p>
    <w:p>
      <w:pPr>
        <w:spacing w:line="360" w:lineRule="auto"/>
        <w:rPr>
          <w:rFonts w:ascii="宋体" w:hAnsi="宋体"/>
          <w:b/>
          <w:color w:val="auto"/>
          <w:sz w:val="24"/>
        </w:rPr>
      </w:pPr>
      <w:r>
        <w:rPr>
          <w:rFonts w:hint="eastAsia" w:ascii="宋体" w:hAnsi="宋体"/>
          <w:b/>
          <w:color w:val="auto"/>
          <w:sz w:val="24"/>
        </w:rPr>
        <w:t>九、其他约定：</w:t>
      </w:r>
    </w:p>
    <w:p>
      <w:pPr>
        <w:spacing w:line="360" w:lineRule="auto"/>
        <w:rPr>
          <w:rFonts w:ascii="宋体" w:hAnsi="宋体"/>
          <w:b/>
          <w:color w:val="auto"/>
          <w:sz w:val="24"/>
        </w:rPr>
      </w:pPr>
      <w:r>
        <w:rPr>
          <w:rFonts w:hint="eastAsia" w:ascii="宋体" w:hAnsi="宋体"/>
          <w:b/>
          <w:color w:val="auto"/>
          <w:sz w:val="24"/>
        </w:rPr>
        <w:t>十、合同争议解决</w:t>
      </w:r>
    </w:p>
    <w:p>
      <w:pPr>
        <w:spacing w:line="360" w:lineRule="auto"/>
        <w:rPr>
          <w:rFonts w:ascii="宋体" w:hAnsi="宋体"/>
          <w:color w:val="auto"/>
          <w:sz w:val="24"/>
        </w:rPr>
      </w:pPr>
      <w:r>
        <w:rPr>
          <w:rFonts w:hint="eastAsia" w:ascii="宋体" w:hAnsi="宋体"/>
          <w:color w:val="auto"/>
          <w:sz w:val="24"/>
        </w:rPr>
        <w:t>1．因产品质量问题发生争议的，应邀请国家认可的质量检测机构进行鉴定。产品符合标准的，鉴定费由甲方承担；产品不符合标准的，鉴定费由乙方承担；</w:t>
      </w:r>
    </w:p>
    <w:p>
      <w:pPr>
        <w:spacing w:line="360" w:lineRule="auto"/>
        <w:rPr>
          <w:rFonts w:ascii="宋体" w:hAnsi="宋体"/>
          <w:color w:val="auto"/>
          <w:sz w:val="24"/>
        </w:rPr>
      </w:pPr>
      <w:r>
        <w:rPr>
          <w:rFonts w:hint="eastAsia" w:ascii="宋体" w:hAnsi="宋体"/>
          <w:color w:val="auto"/>
          <w:sz w:val="24"/>
        </w:rPr>
        <w:t>2．因履行本合同引起的或与本合同有关的争议，甲乙双方应首先通过友好协商解决，如果协商不能解决，可向甲方所在地仲裁委员会申请仲裁或向甲方所在地人民法院提起诉讼；</w:t>
      </w:r>
    </w:p>
    <w:p>
      <w:pPr>
        <w:spacing w:line="360" w:lineRule="auto"/>
        <w:rPr>
          <w:rFonts w:ascii="宋体" w:hAnsi="宋体"/>
          <w:color w:val="auto"/>
          <w:sz w:val="24"/>
        </w:rPr>
      </w:pPr>
      <w:r>
        <w:rPr>
          <w:rFonts w:hint="eastAsia" w:ascii="宋体" w:hAnsi="宋体"/>
          <w:color w:val="auto"/>
          <w:sz w:val="24"/>
        </w:rPr>
        <w:t>3．诉讼期间，本合同继续履行。</w:t>
      </w:r>
    </w:p>
    <w:p>
      <w:pPr>
        <w:spacing w:line="360" w:lineRule="auto"/>
        <w:rPr>
          <w:rFonts w:ascii="宋体" w:hAnsi="宋体"/>
          <w:b/>
          <w:color w:val="auto"/>
          <w:sz w:val="24"/>
        </w:rPr>
      </w:pPr>
      <w:r>
        <w:rPr>
          <w:rFonts w:hint="eastAsia" w:ascii="宋体" w:hAnsi="宋体"/>
          <w:b/>
          <w:color w:val="auto"/>
          <w:sz w:val="24"/>
        </w:rPr>
        <w:t>十一、合同生效及其它：</w:t>
      </w:r>
    </w:p>
    <w:p>
      <w:pPr>
        <w:spacing w:line="360" w:lineRule="auto"/>
        <w:rPr>
          <w:rFonts w:ascii="宋体" w:hAnsi="宋体"/>
          <w:color w:val="auto"/>
          <w:sz w:val="24"/>
        </w:rPr>
      </w:pPr>
      <w:r>
        <w:rPr>
          <w:rFonts w:hint="eastAsia" w:ascii="宋体" w:hAnsi="宋体"/>
          <w:color w:val="auto"/>
          <w:sz w:val="24"/>
        </w:rPr>
        <w:t>1．本合同一式八份，经双方签字，并加盖公章即为生效；</w:t>
      </w:r>
    </w:p>
    <w:p>
      <w:pPr>
        <w:spacing w:line="360" w:lineRule="auto"/>
        <w:rPr>
          <w:rFonts w:ascii="宋体" w:hAnsi="宋体"/>
          <w:color w:val="auto"/>
          <w:sz w:val="24"/>
        </w:rPr>
      </w:pPr>
      <w:r>
        <w:rPr>
          <w:rFonts w:hint="eastAsia" w:ascii="宋体" w:hAnsi="宋体"/>
          <w:color w:val="auto"/>
          <w:sz w:val="24"/>
        </w:rPr>
        <w:t>2．本合同未尽事宜，按经济合同法有关规定处理；</w:t>
      </w:r>
    </w:p>
    <w:p>
      <w:pPr>
        <w:spacing w:line="360" w:lineRule="auto"/>
        <w:rPr>
          <w:rFonts w:ascii="宋体" w:hAnsi="宋体"/>
          <w:color w:val="auto"/>
          <w:sz w:val="24"/>
        </w:rPr>
      </w:pPr>
      <w:r>
        <w:rPr>
          <w:rFonts w:hint="eastAsia" w:ascii="宋体" w:hAnsi="宋体"/>
          <w:color w:val="auto"/>
          <w:sz w:val="24"/>
        </w:rPr>
        <w:t>3．本合同的组成包含《合同通用条款》，可自行在青海政府采购网下载《合同通用条款》</w:t>
      </w:r>
    </w:p>
    <w:p>
      <w:pPr>
        <w:rPr>
          <w:rFonts w:ascii="宋体" w:hAnsi="宋体"/>
          <w:color w:val="auto"/>
          <w:sz w:val="24"/>
        </w:rPr>
      </w:pPr>
      <w:r>
        <w:rPr>
          <w:rFonts w:ascii="宋体" w:hAnsi="宋体"/>
          <w:color w:val="auto"/>
          <w:sz w:val="24"/>
        </w:rPr>
        <w:br w:type="page"/>
      </w:r>
    </w:p>
    <w:p>
      <w:pPr>
        <w:spacing w:line="360" w:lineRule="auto"/>
        <w:rPr>
          <w:rFonts w:ascii="宋体" w:hAnsi="宋体"/>
          <w:color w:val="auto"/>
          <w:sz w:val="24"/>
        </w:rPr>
      </w:pPr>
      <w:r>
        <w:rPr>
          <w:rFonts w:hint="eastAsia" w:ascii="宋体" w:hAnsi="宋体"/>
          <w:color w:val="auto"/>
          <w:sz w:val="24"/>
        </w:rPr>
        <w:t>（此页无正文内容）</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甲方（盖章）：                             乙方（盖章）：</w:t>
      </w:r>
    </w:p>
    <w:p>
      <w:pPr>
        <w:spacing w:line="360" w:lineRule="auto"/>
        <w:rPr>
          <w:rFonts w:ascii="宋体" w:hAnsi="宋体"/>
          <w:color w:val="auto"/>
          <w:sz w:val="24"/>
        </w:rPr>
      </w:pPr>
      <w:r>
        <w:rPr>
          <w:rFonts w:hint="eastAsia" w:ascii="宋体" w:hAnsi="宋体"/>
          <w:color w:val="auto"/>
          <w:sz w:val="24"/>
        </w:rPr>
        <w:t>法人或委托人（签字）：                     法人或委托人（签字）：</w:t>
      </w:r>
    </w:p>
    <w:p>
      <w:pPr>
        <w:spacing w:line="360" w:lineRule="auto"/>
        <w:rPr>
          <w:rFonts w:ascii="宋体" w:hAnsi="宋体"/>
          <w:color w:val="auto"/>
          <w:sz w:val="24"/>
        </w:rPr>
      </w:pPr>
      <w:r>
        <w:rPr>
          <w:rFonts w:hint="eastAsia" w:ascii="宋体" w:hAnsi="宋体"/>
          <w:color w:val="auto"/>
          <w:sz w:val="24"/>
        </w:rPr>
        <w:t>联系电话：                                开户银行：</w:t>
      </w:r>
    </w:p>
    <w:p>
      <w:pPr>
        <w:spacing w:line="360" w:lineRule="auto"/>
        <w:ind w:firstLine="5040" w:firstLineChars="2100"/>
        <w:rPr>
          <w:rFonts w:ascii="宋体" w:hAnsi="宋体"/>
          <w:color w:val="auto"/>
          <w:sz w:val="24"/>
        </w:rPr>
      </w:pPr>
      <w:r>
        <w:rPr>
          <w:rFonts w:hint="eastAsia" w:ascii="宋体" w:hAnsi="宋体"/>
          <w:color w:val="auto"/>
          <w:sz w:val="24"/>
        </w:rPr>
        <w:t>账号：</w:t>
      </w:r>
    </w:p>
    <w:p>
      <w:pPr>
        <w:spacing w:line="360" w:lineRule="auto"/>
        <w:ind w:firstLine="5040" w:firstLineChars="2100"/>
        <w:rPr>
          <w:rFonts w:ascii="宋体" w:hAnsi="宋体"/>
          <w:color w:val="auto"/>
          <w:sz w:val="24"/>
        </w:rPr>
      </w:pPr>
      <w:r>
        <w:rPr>
          <w:rFonts w:hint="eastAsia" w:ascii="宋体" w:hAnsi="宋体"/>
          <w:color w:val="auto"/>
          <w:sz w:val="24"/>
        </w:rPr>
        <w:t>联系电话：</w:t>
      </w:r>
    </w:p>
    <w:p>
      <w:pPr>
        <w:spacing w:line="360" w:lineRule="auto"/>
        <w:ind w:right="960" w:firstLine="5040" w:firstLineChars="2100"/>
        <w:rPr>
          <w:rFonts w:ascii="宋体" w:hAnsi="宋体" w:cs="宋体"/>
          <w:color w:val="auto"/>
          <w:kern w:val="0"/>
          <w:sz w:val="24"/>
        </w:rPr>
      </w:pPr>
      <w:r>
        <w:rPr>
          <w:rFonts w:hint="eastAsia" w:ascii="宋体" w:hAnsi="宋体"/>
          <w:color w:val="auto"/>
          <w:sz w:val="24"/>
        </w:rPr>
        <w:t>签约时间：    年  月  日</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采购代理机构：青海国焱工程项目管理有限公司</w:t>
      </w:r>
    </w:p>
    <w:p>
      <w:pPr>
        <w:spacing w:line="360" w:lineRule="auto"/>
        <w:rPr>
          <w:rFonts w:ascii="宋体" w:hAnsi="宋体"/>
          <w:color w:val="auto"/>
          <w:sz w:val="24"/>
        </w:rPr>
      </w:pPr>
      <w:r>
        <w:rPr>
          <w:rFonts w:hint="eastAsia" w:ascii="宋体" w:hAnsi="宋体"/>
          <w:color w:val="auto"/>
          <w:sz w:val="24"/>
        </w:rPr>
        <w:t>负责人或经办人：</w:t>
      </w:r>
    </w:p>
    <w:p>
      <w:pPr>
        <w:spacing w:line="360" w:lineRule="auto"/>
        <w:rPr>
          <w:rFonts w:ascii="宋体" w:hAnsi="宋体"/>
          <w:color w:val="auto"/>
          <w:sz w:val="24"/>
        </w:rPr>
      </w:pPr>
      <w:r>
        <w:rPr>
          <w:rFonts w:hint="eastAsia" w:ascii="宋体" w:hAnsi="宋体"/>
          <w:color w:val="auto"/>
          <w:sz w:val="24"/>
        </w:rPr>
        <w:t>合同备案日期：  年   月   日</w:t>
      </w:r>
    </w:p>
    <w:p>
      <w:pPr>
        <w:spacing w:line="360" w:lineRule="auto"/>
        <w:jc w:val="center"/>
        <w:rPr>
          <w:rFonts w:ascii="宋体" w:hAnsi="宋体" w:cs="宋体"/>
          <w:b/>
          <w:bCs/>
          <w:color w:val="auto"/>
          <w:kern w:val="0"/>
          <w:sz w:val="28"/>
          <w:szCs w:val="28"/>
          <w:lang w:val="zh-CN"/>
        </w:rPr>
      </w:pPr>
      <w:r>
        <w:rPr>
          <w:rFonts w:ascii="宋体" w:hAnsi="宋体"/>
          <w:color w:val="auto"/>
          <w:sz w:val="24"/>
        </w:rPr>
        <w:br w:type="page"/>
      </w:r>
      <w:r>
        <w:rPr>
          <w:rFonts w:hint="eastAsia" w:ascii="宋体" w:hAnsi="宋体"/>
          <w:b/>
          <w:color w:val="auto"/>
          <w:sz w:val="28"/>
          <w:szCs w:val="28"/>
        </w:rPr>
        <w:t>合同通用条款</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根据《中华人民共和国</w:t>
      </w:r>
      <w:r>
        <w:rPr>
          <w:rFonts w:hint="eastAsia" w:hAnsi="宋体"/>
          <w:color w:val="auto"/>
          <w:sz w:val="24"/>
        </w:rPr>
        <w:t>民法典</w:t>
      </w:r>
      <w:r>
        <w:rPr>
          <w:rFonts w:hint="eastAsia" w:ascii="宋体" w:hAnsi="宋体" w:cs="宋体"/>
          <w:color w:val="auto"/>
          <w:kern w:val="0"/>
          <w:sz w:val="24"/>
          <w:lang w:val="zh-CN"/>
        </w:rPr>
        <w:t>》、《中华人民共和国政府采购法》的规定，合同双方经协商达成一致，自愿订立本合同，遵循公平原则明确双方的权利、义务，确保双方诚实守信地履行合同。</w:t>
      </w:r>
    </w:p>
    <w:p>
      <w:pPr>
        <w:numPr>
          <w:ilvl w:val="0"/>
          <w:numId w:val="38"/>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定义</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本合同中的下列术语应解释为：</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“合同”指甲乙双方签署的、载明的甲乙双方权利义务的协议，包括所有的附件、附录和上述文件所提到的构成合同的所有文件。</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“合同金额”指根据合同规定，乙方在正确地完全履行合同义务后甲方应付给乙方的价款。</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“合同条款”指本合同条款。</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“货物”指乙方根据合同约定须向甲方提供的一切产品、设备、机械、仪表、备件等，包括辅助工具、使用手册等相关资料。</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“服务”指根据本合同规定乙方承担与供货有关的辅助服务，如运输、保险及安装、调试、提供技术援助、培训和合同中规定乙方应承担的其它义务。</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“甲方”指购买货物和服务的单位。</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“乙方”指提供本合同条款下货物和服务的公司或其他实体。</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“现场”指合同规定货物将要运至和安装的地点。</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“验收”指合同双方依据强制性的国家技术质量规范和合同约定，确认合同条款下的货物符合合同规定的活动。</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原厂商：产品制造商或其在中国境内设立的办事或技术服务机构。除另有说明外，本合同文件所述的制造商、产品制造商、制造厂家、产品制造厂家均为原厂商。</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原产地：指产品的生产地，或提供服务的来源地。</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“工作日”指国家法定工作日，“天”指日历天数。</w:t>
      </w:r>
    </w:p>
    <w:p>
      <w:pPr>
        <w:numPr>
          <w:ilvl w:val="0"/>
          <w:numId w:val="38"/>
        </w:numPr>
        <w:autoSpaceDE w:val="0"/>
        <w:autoSpaceDN w:val="0"/>
        <w:spacing w:line="360" w:lineRule="auto"/>
        <w:rPr>
          <w:rFonts w:ascii="宋体" w:hAnsi="宋体" w:cs="宋体"/>
          <w:color w:val="auto"/>
          <w:kern w:val="0"/>
          <w:sz w:val="24"/>
        </w:rPr>
      </w:pPr>
      <w:r>
        <w:rPr>
          <w:rFonts w:hint="eastAsia" w:ascii="宋体" w:hAnsi="宋体" w:cs="宋体"/>
          <w:b/>
          <w:bCs/>
          <w:color w:val="auto"/>
          <w:kern w:val="0"/>
          <w:sz w:val="24"/>
          <w:lang w:val="zh-CN"/>
        </w:rPr>
        <w:t>技术规格要求</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乙方应向甲方提供货物及服务有关的标准的中文文本。</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除非技术规范中另有规定，计量单位均采用中华人民共和国法定计量单位。</w:t>
      </w:r>
    </w:p>
    <w:p>
      <w:pPr>
        <w:numPr>
          <w:ilvl w:val="0"/>
          <w:numId w:val="38"/>
        </w:numPr>
        <w:autoSpaceDE w:val="0"/>
        <w:autoSpaceDN w:val="0"/>
        <w:spacing w:line="360" w:lineRule="auto"/>
        <w:rPr>
          <w:rFonts w:ascii="宋体" w:hAnsi="宋体" w:cs="宋体"/>
          <w:color w:val="auto"/>
          <w:kern w:val="0"/>
          <w:sz w:val="24"/>
        </w:rPr>
      </w:pPr>
      <w:r>
        <w:rPr>
          <w:rFonts w:hint="eastAsia" w:ascii="宋体" w:hAnsi="宋体" w:cs="宋体"/>
          <w:b/>
          <w:bCs/>
          <w:color w:val="auto"/>
          <w:kern w:val="0"/>
          <w:sz w:val="24"/>
          <w:lang w:val="zh-CN"/>
        </w:rPr>
        <w:t>合同范围</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乙方应负责培训甲方的技术人员。</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38"/>
        </w:numPr>
        <w:autoSpaceDE w:val="0"/>
        <w:autoSpaceDN w:val="0"/>
        <w:spacing w:line="360" w:lineRule="auto"/>
        <w:rPr>
          <w:rFonts w:ascii="宋体" w:hAnsi="宋体" w:cs="宋体"/>
          <w:color w:val="auto"/>
          <w:kern w:val="0"/>
          <w:sz w:val="24"/>
        </w:rPr>
      </w:pPr>
      <w:r>
        <w:rPr>
          <w:rFonts w:hint="eastAsia" w:ascii="宋体" w:hAnsi="宋体" w:cs="宋体"/>
          <w:b/>
          <w:bCs/>
          <w:color w:val="auto"/>
          <w:kern w:val="0"/>
          <w:sz w:val="24"/>
          <w:lang w:val="zh-CN"/>
        </w:rPr>
        <w:t>合同文件和资料</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乙方在提供仪器设备时应同时提供中文版相关的技术资料，如目录索引、图纸、操作手册、使用指南、维修指南、服务手册等。</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38"/>
        </w:numPr>
        <w:autoSpaceDE w:val="0"/>
        <w:autoSpaceDN w:val="0"/>
        <w:spacing w:line="360" w:lineRule="auto"/>
        <w:rPr>
          <w:rFonts w:ascii="宋体" w:hAnsi="宋体" w:cs="宋体"/>
          <w:color w:val="auto"/>
          <w:kern w:val="0"/>
          <w:sz w:val="24"/>
        </w:rPr>
      </w:pPr>
      <w:r>
        <w:rPr>
          <w:rFonts w:hint="eastAsia" w:ascii="宋体" w:hAnsi="宋体" w:cs="宋体"/>
          <w:b/>
          <w:bCs/>
          <w:color w:val="auto"/>
          <w:kern w:val="0"/>
          <w:sz w:val="24"/>
          <w:lang w:val="zh-CN"/>
        </w:rPr>
        <w:t>知识产权</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乙方应保证甲方在使用该货物或其任何一部分时不受第三方提出的侵犯专利权、著作权、商标权和工业设计权等的起诉。</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任何第三方提出侵权指控，乙方须与第三方交涉并承担由此产生的一切责任、费用和经济赔偿。</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在本合同生效时已经存在并为各方合法拥有或使用的所有技术、资料和信息的知识产权，仍应属于其各自的原权利人所有或享有，另有约定的除外。</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38"/>
        </w:numPr>
        <w:autoSpaceDE w:val="0"/>
        <w:autoSpaceDN w:val="0"/>
        <w:spacing w:line="360" w:lineRule="auto"/>
        <w:rPr>
          <w:rFonts w:ascii="宋体" w:hAnsi="宋体" w:cs="宋体"/>
          <w:color w:val="auto"/>
          <w:kern w:val="0"/>
          <w:sz w:val="24"/>
        </w:rPr>
      </w:pPr>
      <w:r>
        <w:rPr>
          <w:rFonts w:hint="eastAsia" w:ascii="宋体" w:hAnsi="宋体" w:cs="宋体"/>
          <w:b/>
          <w:bCs/>
          <w:color w:val="auto"/>
          <w:kern w:val="0"/>
          <w:sz w:val="24"/>
          <w:lang w:val="zh-CN"/>
        </w:rPr>
        <w:t>保密</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保密信息指任何一方因履行本合同所知悉的任何以口头、书面、图表或电子形式存在的对方信息，具体包括：</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任何涉及对方过去、现在或将来的商业计划、规章制度、操作规程、处理手段、财务信息；</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任何对方的技术措施、技术方案、软件应用及开发，硬件设备的品种、质量、数量、品牌等；</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任何对方的技术秘密或专有知识、文件、报告、数据、客户软件、流程图、数据库、发明、知识、贸易秘密。</w:t>
      </w:r>
    </w:p>
    <w:p>
      <w:pPr>
        <w:numPr>
          <w:ilvl w:val="1"/>
          <w:numId w:val="38"/>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乙方应根据甲方的要求签署相应的保密协议，保密协议与本条款存在不一致的，以保密协议为准。</w:t>
      </w:r>
    </w:p>
    <w:p>
      <w:pPr>
        <w:numPr>
          <w:ilvl w:val="0"/>
          <w:numId w:val="38"/>
        </w:numPr>
        <w:autoSpaceDE w:val="0"/>
        <w:autoSpaceDN w:val="0"/>
        <w:spacing w:line="360" w:lineRule="auto"/>
        <w:rPr>
          <w:rFonts w:ascii="宋体" w:hAnsi="宋体" w:cs="宋体"/>
          <w:color w:val="auto"/>
          <w:kern w:val="0"/>
          <w:sz w:val="24"/>
        </w:rPr>
      </w:pPr>
      <w:r>
        <w:rPr>
          <w:rFonts w:hint="eastAsia" w:ascii="宋体" w:hAnsi="宋体" w:cs="宋体"/>
          <w:b/>
          <w:bCs/>
          <w:color w:val="auto"/>
          <w:kern w:val="0"/>
          <w:sz w:val="24"/>
          <w:lang w:val="zh-CN"/>
        </w:rPr>
        <w:t>质量保证</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货物质量保证</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乙方必须保证货物是全新、未使用过的，并完全符合强制性的国家技术质量规范和合同规定的质量、规格、性能和技术规范等的要求。</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合同条款下货物的免费质保期自货物通过最终验收起算，合同另行规定除外。</w:t>
      </w:r>
    </w:p>
    <w:p>
      <w:pPr>
        <w:numPr>
          <w:ilvl w:val="1"/>
          <w:numId w:val="38"/>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辅助服务质量保证</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38"/>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包装要求</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除合同另有约定外</w:t>
      </w:r>
      <w:r>
        <w:rPr>
          <w:rFonts w:hint="eastAsia" w:ascii="宋体" w:hAnsi="宋体" w:cs="宋体"/>
          <w:color w:val="auto"/>
          <w:kern w:val="0"/>
          <w:sz w:val="24"/>
        </w:rPr>
        <w:t>,</w:t>
      </w:r>
      <w:r>
        <w:rPr>
          <w:rFonts w:hint="eastAsia" w:ascii="宋体" w:hAnsi="宋体" w:cs="宋体"/>
          <w:color w:val="auto"/>
          <w:kern w:val="0"/>
          <w:sz w:val="24"/>
          <w:lang w:val="zh-CN"/>
        </w:rPr>
        <w:t>乙方提供的全部货物</w:t>
      </w:r>
      <w:r>
        <w:rPr>
          <w:rFonts w:hint="eastAsia" w:ascii="宋体" w:hAnsi="宋体" w:cs="宋体"/>
          <w:color w:val="auto"/>
          <w:kern w:val="0"/>
          <w:sz w:val="24"/>
        </w:rPr>
        <w:t>,</w:t>
      </w:r>
      <w:r>
        <w:rPr>
          <w:rFonts w:hint="eastAsia" w:ascii="宋体" w:hAnsi="宋体" w:cs="宋体"/>
          <w:color w:val="auto"/>
          <w:kern w:val="0"/>
          <w:sz w:val="24"/>
          <w:lang w:val="zh-CN"/>
        </w:rPr>
        <w:t>均应采用本行业通用的方式进行包装，且该包装应符合国家有关包装的法律、法规的规定。</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rPr>
          <w:rFonts w:ascii="宋体" w:hAnsi="宋体" w:cs="宋体"/>
          <w:color w:val="auto"/>
          <w:kern w:val="0"/>
          <w:sz w:val="24"/>
        </w:rPr>
      </w:pPr>
      <w:r>
        <w:rPr>
          <w:rFonts w:hint="eastAsia" w:ascii="宋体" w:hAnsi="宋体" w:cs="宋体"/>
          <w:color w:val="auto"/>
          <w:kern w:val="0"/>
          <w:sz w:val="24"/>
          <w:lang w:val="zh-CN"/>
        </w:rPr>
        <w:t>乙方应提供货物运至合同规定的最终目的地所需要的包装，以防止货物在转运中损坏或变质。</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乙方所提供的货物包装均为出厂时原包装。</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乙方所提供货物必须附有质量合格证，装箱清单，主机、附件、各种零部件和消耗品，有清楚的与装箱单相对应的名称和编号。</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货物运输中的运输费用和保险费用均由乙方承担。运输过程中的一切损失、损坏均由乙方负责。</w:t>
      </w:r>
    </w:p>
    <w:p>
      <w:pPr>
        <w:numPr>
          <w:ilvl w:val="0"/>
          <w:numId w:val="38"/>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价格</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本合同价格为固定价格，包括了乙方履行合同全过程产生的所有成本和费用以及乙方应承担的一切税费。</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检验费用</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乙方必须负担本条款下属于乙方负责的检验、测试、调试、试运行和验收的所有费用，并负责乙方派往买方组织的检验、测试和验收人员的所有费用。</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甲方按合同计划参加在乙方工厂所在地检验、测试和验收的费用全部由乙方负责并已包含在合同总价中。</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甲方检验人员已到卖方所在地，测试无法依照合同进行，而引起甲方人员延长逗留时间，所有由此产生的包括甲方人员在内的直接费用及成本由乙方承担。</w:t>
      </w:r>
    </w:p>
    <w:p>
      <w:pPr>
        <w:numPr>
          <w:ilvl w:val="0"/>
          <w:numId w:val="38"/>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交货方式及交货时间</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交货方式：现场交货，乙方负责办理运输和保险，将货物运抵现场。</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交货期应根据产品的特点实事求是填写，进口产品90个工作日内，国产产品60个工作日内。特殊产品交货期需说明。</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交货时间：所有货物运抵现场并经双方开箱验收合格之日。</w:t>
      </w:r>
    </w:p>
    <w:p>
      <w:pPr>
        <w:numPr>
          <w:ilvl w:val="0"/>
          <w:numId w:val="38"/>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检验和验收</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开箱验收</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货物运抵现场后，双方应及时开箱验收，并制作验收记录，以确认与本合同约定的数量、型号等是否一致。</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检验验收</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在具体实施合同规定的检验验收之前，乙方需提前提交相应的测试计划（包括测试程序、测试内容和检验标准、试验时间安排等）供甲方确认。</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除需甲方确认的试验验收外，乙方还应对所有检验验收测试的结果、步骤、原始数据等作妥善记录。如甲方要求，乙方应提供这些记录给买方。</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检验测试出现全部或部分未达到本合同所约定的技术指标，甲方有权选择下列任一处理方式：</w:t>
      </w:r>
    </w:p>
    <w:p>
      <w:pPr>
        <w:numPr>
          <w:ilvl w:val="0"/>
          <w:numId w:val="39"/>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重新测试直至合格为止；</w:t>
      </w:r>
    </w:p>
    <w:p>
      <w:pPr>
        <w:numPr>
          <w:ilvl w:val="0"/>
          <w:numId w:val="39"/>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要求乙方对货物进行免费更换，然后重新测试直至合格为止；</w:t>
      </w:r>
    </w:p>
    <w:p>
      <w:p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无论选择何种方式，甲方因此而发生的因卖方原因引起的所有费用均由乙方负担。</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使用过程检验</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如果合同双方对乙方提供的上述试验结果报告的解释有分歧，双方须于出现分歧后</w:t>
      </w:r>
      <w:r>
        <w:rPr>
          <w:rFonts w:hint="eastAsia" w:ascii="宋体" w:hAnsi="宋体" w:cs="宋体"/>
          <w:color w:val="auto"/>
          <w:kern w:val="0"/>
          <w:sz w:val="24"/>
        </w:rPr>
        <w:t>10</w:t>
      </w:r>
      <w:r>
        <w:rPr>
          <w:rFonts w:hint="eastAsia" w:ascii="宋体" w:hAnsi="宋体" w:cs="宋体"/>
          <w:color w:val="auto"/>
          <w:kern w:val="0"/>
          <w:sz w:val="24"/>
          <w:lang w:val="zh-CN"/>
        </w:rPr>
        <w:t>天内给对方声明，以陈述己方的观点。声明须附有关证据。分歧应通过协商解决。</w:t>
      </w:r>
    </w:p>
    <w:p>
      <w:pPr>
        <w:numPr>
          <w:ilvl w:val="0"/>
          <w:numId w:val="38"/>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付款条件</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本合同条款下的付款方法和条件在“青海省政府采购合同书”中具体规定。</w:t>
      </w:r>
    </w:p>
    <w:p>
      <w:pPr>
        <w:numPr>
          <w:ilvl w:val="0"/>
          <w:numId w:val="38"/>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履约保证金</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乙方应在合同签订前，按要求提交履约保证金。</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履约保证金用于补偿甲方因乙方不能履行其合同义务而蒙受的损失。</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履约保证金应使用本合同货币，按下述方式之一提交（磋商文件中另有约定的除外）：</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甲方可接受的在中华人民共和国注册和营业的银行出具的履约保函；</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支票或汇票。</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乙方未能按合同规定履行其义务，甲方有权从履约保证金中取得补偿。货物验收合格后，甲方将履约保证金退还乙方或转为质量保证金。</w:t>
      </w:r>
    </w:p>
    <w:p>
      <w:pPr>
        <w:numPr>
          <w:ilvl w:val="0"/>
          <w:numId w:val="38"/>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索赔</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在履约保证期和检验期内，乙方对甲方提出的索赔负有责任，乙方应按照甲方同意的下列一种或多种方式解决索赔事宜：</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根据货物低劣程度、损坏程度以及甲方所遭受损失的数额，经甲乙双方商定降低货物的价格，或由有资质的中介机构评估，以降低后的价格或评估价格为准。</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38"/>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乙方收到甲方发出的索赔通知之日起</w:t>
      </w:r>
      <w:r>
        <w:rPr>
          <w:rFonts w:hint="eastAsia" w:ascii="宋体" w:hAnsi="宋体" w:cs="宋体"/>
          <w:color w:val="auto"/>
          <w:kern w:val="0"/>
          <w:sz w:val="24"/>
        </w:rPr>
        <w:t>5</w:t>
      </w:r>
      <w:r>
        <w:rPr>
          <w:rFonts w:hint="eastAsia" w:ascii="宋体" w:hAnsi="宋体" w:cs="宋体"/>
          <w:color w:val="auto"/>
          <w:kern w:val="0"/>
          <w:sz w:val="24"/>
          <w:lang w:val="zh-CN"/>
        </w:rPr>
        <w:t>个工作日内未作答复的，甲方可从合同款或履约保证金中扣回索赔金额，如金额不足以补偿索赔金额，乙方应补足差额部分。</w:t>
      </w:r>
    </w:p>
    <w:p>
      <w:pPr>
        <w:numPr>
          <w:ilvl w:val="0"/>
          <w:numId w:val="38"/>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迟延交货</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乙方应按照合同约定的时间交货和提供服务。</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除不可抗力因素外，乙方迟延交货，甲方有权提出违约损失赔偿或解除合同。</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38"/>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违约赔偿</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除不可抗力因素外，乙方没有按照合同规定的时间交货和提供服务，甲方可要求乙方支付违约金。违约金每日按合同总价款的千分之五计收。</w:t>
      </w:r>
    </w:p>
    <w:p>
      <w:pPr>
        <w:numPr>
          <w:ilvl w:val="0"/>
          <w:numId w:val="38"/>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不可抗力</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双方中任何一方遭遇法律规定的不可抗力，致使合同履行受阻时，履行合同的期限应予延长，延长的期限应相当于不可抗力所影响的时间。</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受事故影响的一方应在不可抗力的事故发生后以书面形式通知另一方。</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不可抗力使合同的某些内容有变更必要的，双方应通过协商达成进一步履行合同的协议，因不可抗力致使合同不能履行的，合同终止。</w:t>
      </w:r>
    </w:p>
    <w:p>
      <w:pPr>
        <w:numPr>
          <w:ilvl w:val="0"/>
          <w:numId w:val="38"/>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税费</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与本合同有关的一切税费均由乙方承担。</w:t>
      </w:r>
    </w:p>
    <w:p>
      <w:pPr>
        <w:numPr>
          <w:ilvl w:val="0"/>
          <w:numId w:val="38"/>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合同争议的解决</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甲方和乙方由于本合同的履行而发生任何争议时，双方可先通过协商解决。</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任何一方不愿通过协商或通过协商仍不能解决争议，则双方中任何一方均应向甲方所在地人民法院起诉。</w:t>
      </w:r>
    </w:p>
    <w:p>
      <w:pPr>
        <w:numPr>
          <w:ilvl w:val="0"/>
          <w:numId w:val="38"/>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违约解除合同</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出现下列情形之一的，视为乙方违约。甲方可向乙方发出书面通知，部分或全部终止合同，同时保留向乙方索赔的权利。</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乙方未能在合同规定的限期或甲方同意延长的限期内，提供全部或部分货物的；</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乙方未能履行合同规定的其它主要义务的；</w:t>
      </w:r>
    </w:p>
    <w:p>
      <w:pPr>
        <w:numPr>
          <w:ilvl w:val="2"/>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乙方在本合同履行过程中有欺诈行为的。</w:t>
      </w:r>
    </w:p>
    <w:p>
      <w:pPr>
        <w:numPr>
          <w:ilvl w:val="1"/>
          <w:numId w:val="38"/>
        </w:numPr>
        <w:autoSpaceDE w:val="0"/>
        <w:autoSpaceDN w:val="0"/>
        <w:spacing w:line="360" w:lineRule="auto"/>
        <w:rPr>
          <w:rFonts w:ascii="宋体" w:hAnsi="宋体" w:cs="宋体"/>
          <w:color w:val="auto"/>
          <w:kern w:val="0"/>
          <w:sz w:val="24"/>
          <w:lang w:val="zh-CN"/>
        </w:rPr>
      </w:pPr>
      <w:r>
        <w:rPr>
          <w:rFonts w:hint="eastAsia" w:ascii="宋体" w:hAnsi="宋体" w:cs="宋体"/>
          <w:color w:val="auto"/>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38"/>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破产终止合同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38"/>
        </w:numPr>
        <w:autoSpaceDE w:val="0"/>
        <w:autoSpaceDN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转让和分包</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政府采购合同不能转让。</w:t>
      </w:r>
    </w:p>
    <w:p>
      <w:pPr>
        <w:numPr>
          <w:ilvl w:val="1"/>
          <w:numId w:val="38"/>
        </w:num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38"/>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合同修改</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38"/>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通知</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本合同任何一方给另一方的通知，都应以书面形式发送，而另一方也应以书面形式确认并发送到对方明确的地址。</w:t>
      </w:r>
    </w:p>
    <w:p>
      <w:pPr>
        <w:numPr>
          <w:ilvl w:val="0"/>
          <w:numId w:val="38"/>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计量单位</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除技术规范中另有规定外</w:t>
      </w:r>
      <w:r>
        <w:rPr>
          <w:rFonts w:hint="eastAsia" w:ascii="宋体" w:hAnsi="宋体" w:cs="宋体"/>
          <w:color w:val="auto"/>
          <w:kern w:val="0"/>
          <w:sz w:val="24"/>
        </w:rPr>
        <w:t>,</w:t>
      </w:r>
      <w:r>
        <w:rPr>
          <w:rFonts w:hint="eastAsia" w:ascii="宋体" w:hAnsi="宋体" w:cs="宋体"/>
          <w:color w:val="auto"/>
          <w:kern w:val="0"/>
          <w:sz w:val="24"/>
          <w:lang w:val="zh-CN"/>
        </w:rPr>
        <w:t>计量单位均使用国家法定计量单位。</w:t>
      </w:r>
    </w:p>
    <w:p>
      <w:pPr>
        <w:numPr>
          <w:ilvl w:val="0"/>
          <w:numId w:val="38"/>
        </w:numPr>
        <w:autoSpaceDE w:val="0"/>
        <w:autoSpaceDN w:val="0"/>
        <w:spacing w:line="360" w:lineRule="auto"/>
        <w:rPr>
          <w:rFonts w:ascii="宋体" w:hAnsi="宋体" w:cs="宋体"/>
          <w:b/>
          <w:bCs/>
          <w:color w:val="auto"/>
          <w:kern w:val="0"/>
          <w:sz w:val="24"/>
        </w:rPr>
      </w:pPr>
      <w:r>
        <w:rPr>
          <w:rFonts w:hint="eastAsia" w:ascii="宋体" w:hAnsi="宋体" w:cs="宋体"/>
          <w:b/>
          <w:bCs/>
          <w:color w:val="auto"/>
          <w:kern w:val="0"/>
          <w:sz w:val="24"/>
          <w:lang w:val="zh-CN"/>
        </w:rPr>
        <w:t>适用法律</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本合同按照中华人民共和国的相关法律进行解释。</w:t>
      </w:r>
    </w:p>
    <w:p>
      <w:pPr>
        <w:pStyle w:val="22"/>
        <w:spacing w:before="0" w:after="0" w:line="360" w:lineRule="auto"/>
        <w:rPr>
          <w:rFonts w:ascii="宋体" w:hAnsi="宋体"/>
          <w:color w:val="auto"/>
          <w:sz w:val="48"/>
          <w:szCs w:val="48"/>
        </w:rPr>
      </w:pPr>
      <w:r>
        <w:rPr>
          <w:rFonts w:ascii="宋体" w:hAnsi="宋体" w:cs="宋体"/>
          <w:color w:val="auto"/>
          <w:kern w:val="0"/>
          <w:sz w:val="24"/>
          <w:szCs w:val="24"/>
          <w:lang w:val="zh-CN"/>
        </w:rPr>
        <w:br w:type="page"/>
      </w:r>
      <w:bookmarkStart w:id="78" w:name="_Toc109133114"/>
      <w:r>
        <w:rPr>
          <w:rFonts w:hint="eastAsia" w:ascii="宋体" w:hAnsi="宋体"/>
          <w:color w:val="auto"/>
          <w:sz w:val="48"/>
          <w:szCs w:val="48"/>
        </w:rPr>
        <w:t>第五部分  磋商响应文件格式</w:t>
      </w:r>
      <w:bookmarkEnd w:id="78"/>
    </w:p>
    <w:p>
      <w:pPr>
        <w:spacing w:line="360" w:lineRule="auto"/>
        <w:rPr>
          <w:rFonts w:ascii="宋体" w:hAnsi="宋体"/>
          <w:color w:val="auto"/>
          <w:sz w:val="24"/>
        </w:rPr>
      </w:pPr>
    </w:p>
    <w:p>
      <w:pPr>
        <w:spacing w:line="360" w:lineRule="auto"/>
        <w:ind w:firstLine="540" w:firstLineChars="224"/>
        <w:rPr>
          <w:rFonts w:ascii="宋体" w:hAnsi="宋体" w:cs="宋体"/>
          <w:b/>
          <w:bCs/>
          <w:color w:val="auto"/>
          <w:kern w:val="0"/>
          <w:sz w:val="24"/>
          <w:lang w:val="zh-CN"/>
        </w:rPr>
      </w:pPr>
      <w:r>
        <w:rPr>
          <w:rFonts w:hint="eastAsia" w:ascii="宋体" w:hAnsi="宋体" w:cs="宋体"/>
          <w:b/>
          <w:bCs/>
          <w:color w:val="auto"/>
          <w:kern w:val="0"/>
          <w:sz w:val="24"/>
          <w:lang w:val="zh-CN"/>
        </w:rPr>
        <w:t>磋</w:t>
      </w:r>
      <w:r>
        <w:rPr>
          <w:rFonts w:hint="eastAsia" w:ascii="宋体" w:hAnsi="宋体" w:cs="宋体"/>
          <w:b/>
          <w:bCs/>
          <w:color w:val="auto"/>
          <w:kern w:val="0"/>
          <w:sz w:val="28"/>
          <w:szCs w:val="28"/>
          <w:lang w:val="zh-CN"/>
        </w:rPr>
        <w:t>商供应商应严格按照本格式要求编制磋商响应文件</w:t>
      </w:r>
      <w:r>
        <w:rPr>
          <w:rFonts w:hint="eastAsia" w:ascii="宋体" w:hAnsi="宋体" w:cs="宋体"/>
          <w:b/>
          <w:bCs/>
          <w:color w:val="auto"/>
          <w:kern w:val="0"/>
          <w:sz w:val="24"/>
          <w:lang w:val="zh-CN"/>
        </w:rPr>
        <w:t>。</w:t>
      </w:r>
    </w:p>
    <w:p>
      <w:pPr>
        <w:spacing w:line="360" w:lineRule="auto"/>
        <w:rPr>
          <w:rFonts w:ascii="宋体" w:hAnsi="宋体"/>
          <w:b/>
          <w:color w:val="auto"/>
          <w:sz w:val="24"/>
          <w:lang w:val="zh-CN"/>
        </w:rPr>
      </w:pPr>
      <w:r>
        <w:rPr>
          <w:rFonts w:ascii="宋体" w:hAnsi="宋体" w:cs="宋体"/>
          <w:color w:val="auto"/>
          <w:kern w:val="0"/>
          <w:sz w:val="24"/>
          <w:lang w:val="zh-CN"/>
        </w:rPr>
        <w:br w:type="page"/>
      </w:r>
    </w:p>
    <w:p>
      <w:pPr>
        <w:pStyle w:val="4"/>
        <w:numPr>
          <w:ilvl w:val="0"/>
          <w:numId w:val="0"/>
        </w:numPr>
        <w:ind w:left="709" w:hanging="709"/>
        <w:rPr>
          <w:rFonts w:hAnsi="宋体"/>
          <w:color w:val="auto"/>
          <w:sz w:val="24"/>
          <w:szCs w:val="24"/>
          <w:lang w:val="zh-CN"/>
        </w:rPr>
      </w:pPr>
      <w:bookmarkStart w:id="79" w:name="_Toc109133115"/>
      <w:r>
        <w:rPr>
          <w:rFonts w:hint="eastAsia" w:hAnsi="宋体"/>
          <w:b/>
          <w:color w:val="auto"/>
          <w:sz w:val="24"/>
          <w:szCs w:val="24"/>
          <w:lang w:val="zh-CN"/>
        </w:rPr>
        <w:t>磋商响应文件封面</w:t>
      </w:r>
      <w:bookmarkEnd w:id="79"/>
    </w:p>
    <w:p>
      <w:pPr>
        <w:spacing w:line="360" w:lineRule="auto"/>
        <w:jc w:val="right"/>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jc w:val="center"/>
        <w:rPr>
          <w:rFonts w:ascii="宋体" w:hAnsi="宋体"/>
          <w:b/>
          <w:color w:val="auto"/>
          <w:sz w:val="72"/>
          <w:szCs w:val="72"/>
        </w:rPr>
      </w:pPr>
      <w:r>
        <w:rPr>
          <w:rFonts w:hint="eastAsia" w:ascii="宋体" w:hAnsi="宋体"/>
          <w:b/>
          <w:color w:val="auto"/>
          <w:sz w:val="72"/>
          <w:szCs w:val="72"/>
        </w:rPr>
        <w:t>青海省政府采购项目</w:t>
      </w:r>
    </w:p>
    <w:p>
      <w:pPr>
        <w:spacing w:line="360" w:lineRule="auto"/>
        <w:jc w:val="center"/>
        <w:rPr>
          <w:rFonts w:ascii="宋体" w:hAnsi="宋体"/>
          <w:b/>
          <w:color w:val="auto"/>
          <w:sz w:val="72"/>
          <w:szCs w:val="72"/>
        </w:rPr>
      </w:pPr>
    </w:p>
    <w:p>
      <w:pPr>
        <w:spacing w:line="360" w:lineRule="auto"/>
        <w:jc w:val="center"/>
        <w:rPr>
          <w:rFonts w:ascii="宋体" w:hAnsi="宋体"/>
          <w:b/>
          <w:color w:val="auto"/>
          <w:sz w:val="72"/>
          <w:szCs w:val="72"/>
        </w:rPr>
      </w:pPr>
    </w:p>
    <w:p>
      <w:pPr>
        <w:spacing w:line="360" w:lineRule="auto"/>
        <w:jc w:val="center"/>
        <w:rPr>
          <w:rFonts w:ascii="宋体" w:hAnsi="宋体"/>
          <w:b/>
          <w:color w:val="auto"/>
          <w:sz w:val="72"/>
          <w:szCs w:val="72"/>
        </w:rPr>
      </w:pPr>
      <w:r>
        <w:rPr>
          <w:rFonts w:hint="eastAsia" w:ascii="宋体" w:hAnsi="宋体"/>
          <w:b/>
          <w:color w:val="auto"/>
          <w:sz w:val="72"/>
          <w:szCs w:val="72"/>
        </w:rPr>
        <w:t>磋商响应文件</w:t>
      </w:r>
    </w:p>
    <w:p>
      <w:pPr>
        <w:adjustRightInd w:val="0"/>
        <w:spacing w:line="360" w:lineRule="auto"/>
        <w:textAlignment w:val="baseline"/>
        <w:rPr>
          <w:rFonts w:ascii="宋体" w:hAnsi="宋体"/>
          <w:b/>
          <w:bCs/>
          <w:color w:val="auto"/>
          <w:sz w:val="24"/>
        </w:rPr>
      </w:pPr>
    </w:p>
    <w:p>
      <w:pPr>
        <w:adjustRightInd w:val="0"/>
        <w:spacing w:line="360" w:lineRule="auto"/>
        <w:textAlignment w:val="baseline"/>
        <w:rPr>
          <w:rFonts w:ascii="宋体" w:hAnsi="宋体"/>
          <w:b/>
          <w:bCs/>
          <w:color w:val="auto"/>
          <w:sz w:val="24"/>
        </w:rPr>
      </w:pPr>
    </w:p>
    <w:p>
      <w:pPr>
        <w:adjustRightInd w:val="0"/>
        <w:spacing w:line="360" w:lineRule="auto"/>
        <w:textAlignment w:val="baseline"/>
        <w:rPr>
          <w:rFonts w:ascii="宋体" w:hAnsi="宋体"/>
          <w:b/>
          <w:bCs/>
          <w:color w:val="auto"/>
          <w:sz w:val="24"/>
        </w:rPr>
      </w:pPr>
    </w:p>
    <w:p>
      <w:pPr>
        <w:adjustRightInd w:val="0"/>
        <w:spacing w:line="360" w:lineRule="auto"/>
        <w:ind w:firstLine="643" w:firstLineChars="200"/>
        <w:textAlignment w:val="baseline"/>
        <w:rPr>
          <w:rFonts w:ascii="宋体" w:hAnsi="宋体"/>
          <w:b/>
          <w:bCs/>
          <w:color w:val="auto"/>
          <w:sz w:val="32"/>
          <w:szCs w:val="32"/>
          <w:u w:val="single"/>
        </w:rPr>
      </w:pPr>
      <w:r>
        <w:rPr>
          <w:rFonts w:hint="eastAsia" w:ascii="宋体" w:hAnsi="宋体"/>
          <w:b/>
          <w:bCs/>
          <w:color w:val="auto"/>
          <w:sz w:val="32"/>
          <w:szCs w:val="32"/>
        </w:rPr>
        <w:t>采购项目编号</w:t>
      </w:r>
      <w:r>
        <w:rPr>
          <w:rFonts w:hint="eastAsia" w:ascii="宋体" w:hAnsi="宋体"/>
          <w:color w:val="auto"/>
          <w:sz w:val="32"/>
          <w:szCs w:val="32"/>
        </w:rPr>
        <w:t>：</w:t>
      </w:r>
      <w:r>
        <w:rPr>
          <w:rFonts w:hint="eastAsia" w:ascii="宋体" w:hAnsi="宋体"/>
          <w:color w:val="auto"/>
          <w:sz w:val="32"/>
          <w:szCs w:val="32"/>
          <w:u w:val="single"/>
        </w:rPr>
        <w:t xml:space="preserve">                           </w:t>
      </w:r>
    </w:p>
    <w:p>
      <w:pPr>
        <w:adjustRightInd w:val="0"/>
        <w:spacing w:line="360" w:lineRule="auto"/>
        <w:ind w:firstLine="643" w:firstLineChars="200"/>
        <w:textAlignment w:val="baseline"/>
        <w:rPr>
          <w:rFonts w:ascii="宋体" w:hAnsi="宋体"/>
          <w:b/>
          <w:bCs/>
          <w:color w:val="auto"/>
          <w:sz w:val="32"/>
          <w:szCs w:val="32"/>
          <w:u w:val="single"/>
        </w:rPr>
      </w:pPr>
      <w:r>
        <w:rPr>
          <w:rFonts w:ascii="宋体" w:hAnsi="宋体"/>
          <w:b/>
          <w:bCs/>
          <w:color w:val="auto"/>
          <w:sz w:val="32"/>
          <w:szCs w:val="32"/>
        </w:rPr>
        <w:t>采购项目名称</w:t>
      </w:r>
      <w:r>
        <w:rPr>
          <w:rFonts w:hint="eastAsia" w:ascii="宋体" w:hAnsi="宋体"/>
          <w:b/>
          <w:bCs/>
          <w:color w:val="auto"/>
          <w:sz w:val="32"/>
          <w:szCs w:val="32"/>
        </w:rPr>
        <w:t>：</w:t>
      </w:r>
      <w:r>
        <w:rPr>
          <w:rFonts w:hint="eastAsia" w:ascii="宋体" w:hAnsi="宋体"/>
          <w:b/>
          <w:bCs/>
          <w:color w:val="auto"/>
          <w:sz w:val="32"/>
          <w:szCs w:val="32"/>
          <w:u w:val="single"/>
        </w:rPr>
        <w:t xml:space="preserve">                           </w:t>
      </w:r>
    </w:p>
    <w:p>
      <w:pPr>
        <w:adjustRightInd w:val="0"/>
        <w:spacing w:line="360" w:lineRule="auto"/>
        <w:ind w:firstLine="643" w:firstLineChars="200"/>
        <w:textAlignment w:val="baseline"/>
        <w:rPr>
          <w:rFonts w:ascii="宋体" w:hAnsi="宋体"/>
          <w:b/>
          <w:bCs/>
          <w:color w:val="auto"/>
          <w:sz w:val="32"/>
          <w:szCs w:val="32"/>
          <w:u w:val="single"/>
        </w:rPr>
      </w:pPr>
      <w:r>
        <w:rPr>
          <w:rFonts w:hint="eastAsia" w:ascii="宋体" w:hAnsi="宋体"/>
          <w:b/>
          <w:bCs/>
          <w:color w:val="auto"/>
          <w:sz w:val="32"/>
          <w:szCs w:val="32"/>
        </w:rPr>
        <w:t>磋商供应商</w:t>
      </w:r>
      <w:r>
        <w:rPr>
          <w:rFonts w:hint="eastAsia" w:ascii="宋体" w:hAnsi="宋体"/>
          <w:b/>
          <w:color w:val="auto"/>
          <w:sz w:val="32"/>
          <w:szCs w:val="32"/>
        </w:rPr>
        <w:t>：</w:t>
      </w:r>
      <w:r>
        <w:rPr>
          <w:rFonts w:hint="eastAsia" w:ascii="宋体" w:hAnsi="宋体"/>
          <w:b/>
          <w:color w:val="auto"/>
          <w:sz w:val="32"/>
          <w:szCs w:val="32"/>
          <w:u w:val="single"/>
        </w:rPr>
        <w:t xml:space="preserve">                     （公章）</w:t>
      </w:r>
    </w:p>
    <w:p>
      <w:pPr>
        <w:adjustRightInd w:val="0"/>
        <w:spacing w:line="360" w:lineRule="auto"/>
        <w:ind w:firstLine="643" w:firstLineChars="200"/>
        <w:textAlignment w:val="baseline"/>
        <w:rPr>
          <w:rFonts w:ascii="宋体" w:hAnsi="宋体"/>
          <w:b/>
          <w:color w:val="auto"/>
          <w:sz w:val="32"/>
          <w:szCs w:val="32"/>
          <w:u w:val="single"/>
        </w:rPr>
      </w:pPr>
      <w:r>
        <w:rPr>
          <w:rFonts w:hint="eastAsia" w:ascii="宋体" w:hAnsi="宋体"/>
          <w:b/>
          <w:color w:val="auto"/>
          <w:sz w:val="32"/>
          <w:szCs w:val="32"/>
        </w:rPr>
        <w:t xml:space="preserve">法定代表人： </w:t>
      </w:r>
      <w:r>
        <w:rPr>
          <w:rFonts w:hint="eastAsia" w:ascii="宋体" w:hAnsi="宋体"/>
          <w:b/>
          <w:color w:val="auto"/>
          <w:sz w:val="32"/>
          <w:szCs w:val="32"/>
          <w:u w:val="single"/>
        </w:rPr>
        <w:t xml:space="preserve">        （签字或加盖法人章）</w:t>
      </w:r>
    </w:p>
    <w:p>
      <w:pPr>
        <w:adjustRightInd w:val="0"/>
        <w:spacing w:line="360" w:lineRule="auto"/>
        <w:ind w:firstLine="643" w:firstLineChars="200"/>
        <w:textAlignment w:val="baseline"/>
        <w:rPr>
          <w:rFonts w:ascii="宋体" w:hAnsi="宋体"/>
          <w:b/>
          <w:color w:val="auto"/>
          <w:sz w:val="32"/>
          <w:szCs w:val="32"/>
          <w:u w:val="single"/>
        </w:rPr>
      </w:pPr>
    </w:p>
    <w:p>
      <w:pPr>
        <w:spacing w:line="360" w:lineRule="auto"/>
        <w:ind w:firstLine="4000" w:firstLineChars="1250"/>
        <w:rPr>
          <w:rFonts w:ascii="宋体" w:hAnsi="宋体"/>
          <w:color w:val="auto"/>
          <w:sz w:val="32"/>
          <w:szCs w:val="32"/>
        </w:rPr>
      </w:pPr>
      <w:r>
        <w:rPr>
          <w:rFonts w:hint="eastAsia" w:ascii="宋体" w:hAnsi="宋体"/>
          <w:color w:val="auto"/>
          <w:sz w:val="32"/>
          <w:szCs w:val="32"/>
        </w:rPr>
        <w:t>年   月  日</w:t>
      </w:r>
      <w:bookmarkStart w:id="80" w:name="_Toc444715735"/>
    </w:p>
    <w:p>
      <w:pPr>
        <w:pStyle w:val="4"/>
        <w:numPr>
          <w:ilvl w:val="0"/>
          <w:numId w:val="0"/>
        </w:numPr>
        <w:ind w:left="709" w:hanging="709"/>
        <w:rPr>
          <w:rFonts w:hAnsi="宋体"/>
          <w:b/>
          <w:color w:val="auto"/>
          <w:sz w:val="24"/>
          <w:szCs w:val="24"/>
          <w:lang w:val="zh-CN"/>
        </w:rPr>
      </w:pPr>
      <w:r>
        <w:rPr>
          <w:rFonts w:hAnsi="宋体"/>
          <w:color w:val="auto"/>
          <w:sz w:val="24"/>
          <w:szCs w:val="24"/>
        </w:rPr>
        <w:br w:type="page"/>
      </w:r>
      <w:bookmarkStart w:id="81" w:name="_Toc109133116"/>
      <w:r>
        <w:rPr>
          <w:rFonts w:hint="eastAsia" w:hAnsi="宋体"/>
          <w:b/>
          <w:color w:val="auto"/>
          <w:sz w:val="24"/>
          <w:szCs w:val="24"/>
          <w:lang w:val="zh-CN"/>
        </w:rPr>
        <w:t>磋商响应文件目录</w:t>
      </w:r>
      <w:bookmarkEnd w:id="80"/>
      <w:bookmarkEnd w:id="81"/>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磋商</w:t>
      </w:r>
      <w:r>
        <w:rPr>
          <w:rFonts w:hint="eastAsia" w:ascii="宋体" w:hAnsi="宋体" w:cs="宋体"/>
          <w:color w:val="auto"/>
          <w:kern w:val="0"/>
          <w:sz w:val="24"/>
          <w:lang w:val="zh-CN"/>
        </w:rPr>
        <w:t>函……………………………………………………………所在页码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2</w:t>
      </w:r>
      <w:r>
        <w:rPr>
          <w:rFonts w:hint="eastAsia" w:ascii="宋体" w:hAnsi="宋体" w:cs="宋体"/>
          <w:color w:val="auto"/>
          <w:kern w:val="0"/>
          <w:sz w:val="24"/>
          <w:lang w:val="zh-CN"/>
        </w:rPr>
        <w:t>）法定代表人证明书………………………………………………所在页码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color w:val="auto"/>
          <w:kern w:val="0"/>
          <w:sz w:val="24"/>
          <w:lang w:val="zh-CN"/>
        </w:rPr>
        <w:t>）法定代表人授权书………………………………………………所在页码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（4）磋商供应商承诺书………………………………………………所在页码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5</w:t>
      </w:r>
      <w:r>
        <w:rPr>
          <w:rFonts w:hint="eastAsia" w:ascii="宋体" w:hAnsi="宋体" w:cs="宋体"/>
          <w:color w:val="auto"/>
          <w:kern w:val="0"/>
          <w:sz w:val="24"/>
          <w:lang w:val="zh-CN"/>
        </w:rPr>
        <w:t>）供应商诚信承诺书………………………………………………所在页码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6</w:t>
      </w:r>
      <w:r>
        <w:rPr>
          <w:rFonts w:hint="eastAsia" w:ascii="宋体" w:hAnsi="宋体" w:cs="宋体"/>
          <w:color w:val="auto"/>
          <w:kern w:val="0"/>
          <w:sz w:val="24"/>
          <w:lang w:val="zh-CN"/>
        </w:rPr>
        <w:t>）资格证明材料……………………………………………………所在页码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7</w:t>
      </w:r>
      <w:r>
        <w:rPr>
          <w:rFonts w:hint="eastAsia" w:ascii="宋体" w:hAnsi="宋体" w:cs="宋体"/>
          <w:color w:val="auto"/>
          <w:kern w:val="0"/>
          <w:sz w:val="24"/>
          <w:lang w:val="zh-CN"/>
        </w:rPr>
        <w:t>）财务状况、缴纳税收和社会保障资金证明……………………所在页码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（8）具备履行合同所必须的设备和专业技术能力证明……………所在页码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（9）</w:t>
      </w:r>
      <w:r>
        <w:rPr>
          <w:rFonts w:hint="eastAsia" w:ascii="宋体" w:hAnsi="宋体" w:cs="宋体"/>
          <w:color w:val="auto"/>
          <w:sz w:val="24"/>
        </w:rPr>
        <w:t>磋商保证金证明</w:t>
      </w:r>
      <w:r>
        <w:rPr>
          <w:rFonts w:hint="eastAsia" w:ascii="宋体" w:hAnsi="宋体" w:cs="宋体"/>
          <w:color w:val="auto"/>
          <w:kern w:val="0"/>
          <w:sz w:val="24"/>
          <w:lang w:val="zh-CN"/>
        </w:rPr>
        <w:t>…………………………………………………所在页码</w:t>
      </w:r>
    </w:p>
    <w:p>
      <w:pPr>
        <w:autoSpaceDE w:val="0"/>
        <w:autoSpaceDN w:val="0"/>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（10）无重大违法记录声明……………………………………………所在页码</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（11）竞争性磋商首次报价表…………………………………………所在页码</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（12）分项报价表………………………………………………………所在页码</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（13）技术规格响应表…………………………………………………所在页码</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（14）磋商产品相关资料………………………………………………所在页码</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（15）磋商供应商的类似业绩证明材料………………………………所在页码</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（16）享受政府采购政策优惠的证明资料……………………………所在页码</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（17）磋商供应商认为在其他方面有必要说明的事项………………所在页码</w:t>
      </w:r>
    </w:p>
    <w:p>
      <w:pPr>
        <w:pStyle w:val="4"/>
        <w:numPr>
          <w:ilvl w:val="0"/>
          <w:numId w:val="0"/>
        </w:numPr>
        <w:ind w:left="709" w:hanging="709"/>
        <w:rPr>
          <w:rFonts w:hAnsi="宋体"/>
          <w:color w:val="auto"/>
          <w:sz w:val="24"/>
          <w:szCs w:val="24"/>
        </w:rPr>
      </w:pPr>
      <w:r>
        <w:rPr>
          <w:rFonts w:hAnsi="宋体"/>
          <w:b/>
          <w:bCs/>
          <w:color w:val="auto"/>
          <w:sz w:val="24"/>
          <w:szCs w:val="24"/>
        </w:rPr>
        <w:br w:type="page"/>
      </w:r>
      <w:bookmarkStart w:id="82" w:name="_Toc109133117"/>
      <w:r>
        <w:rPr>
          <w:rFonts w:hint="eastAsia" w:hAnsi="宋体"/>
          <w:b/>
          <w:color w:val="auto"/>
          <w:sz w:val="24"/>
          <w:szCs w:val="24"/>
          <w:lang w:val="zh-CN"/>
        </w:rPr>
        <w:t>格式1、磋商函</w:t>
      </w:r>
      <w:bookmarkEnd w:id="82"/>
    </w:p>
    <w:p>
      <w:pPr>
        <w:adjustRightInd w:val="0"/>
        <w:spacing w:line="360" w:lineRule="auto"/>
        <w:jc w:val="center"/>
        <w:textAlignment w:val="baseline"/>
        <w:rPr>
          <w:rFonts w:ascii="宋体" w:hAnsi="宋体"/>
          <w:b/>
          <w:color w:val="auto"/>
          <w:sz w:val="24"/>
        </w:rPr>
      </w:pPr>
      <w:r>
        <w:rPr>
          <w:rFonts w:hint="eastAsia" w:ascii="宋体" w:hAnsi="宋体"/>
          <w:b/>
          <w:color w:val="auto"/>
          <w:sz w:val="24"/>
        </w:rPr>
        <w:t>磋 商 函</w:t>
      </w:r>
    </w:p>
    <w:p>
      <w:pPr>
        <w:adjustRightInd w:val="0"/>
        <w:spacing w:line="360" w:lineRule="auto"/>
        <w:ind w:left="482" w:hanging="482" w:hangingChars="200"/>
        <w:textAlignment w:val="baseline"/>
        <w:rPr>
          <w:rFonts w:ascii="宋体" w:hAnsi="宋体"/>
          <w:b/>
          <w:color w:val="auto"/>
          <w:sz w:val="24"/>
        </w:rPr>
      </w:pPr>
      <w:r>
        <w:rPr>
          <w:rFonts w:hint="eastAsia" w:ascii="宋体" w:hAnsi="宋体"/>
          <w:b/>
          <w:color w:val="auto"/>
          <w:sz w:val="24"/>
        </w:rPr>
        <w:t>致：</w:t>
      </w:r>
      <w:r>
        <w:rPr>
          <w:rFonts w:hint="eastAsia" w:ascii="宋体" w:hAnsi="宋体"/>
          <w:b/>
          <w:color w:val="auto"/>
          <w:sz w:val="24"/>
          <w:u w:val="single"/>
        </w:rPr>
        <w:t>青海国焱工程项目管理有限公司：</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我们收到</w:t>
      </w:r>
      <w:r>
        <w:rPr>
          <w:rFonts w:hint="eastAsia" w:ascii="宋体" w:hAnsi="宋体" w:cs="宋体"/>
          <w:color w:val="auto"/>
          <w:sz w:val="24"/>
          <w:u w:val="single"/>
          <w:lang w:val="zh-CN"/>
        </w:rPr>
        <w:t>海北州第二人民医院医疗服务能力提升(口腔)专科建设项目</w:t>
      </w:r>
      <w:r>
        <w:rPr>
          <w:rFonts w:hint="eastAsia" w:ascii="宋体" w:hAnsi="宋体"/>
          <w:color w:val="auto"/>
          <w:sz w:val="24"/>
          <w:u w:val="single"/>
        </w:rPr>
        <w:t>（</w:t>
      </w:r>
      <w:r>
        <w:rPr>
          <w:rFonts w:hint="eastAsia" w:ascii="宋体" w:hAnsi="宋体"/>
          <w:color w:val="auto"/>
          <w:sz w:val="24"/>
          <w:u w:val="single"/>
          <w:lang w:eastAsia="zh-CN"/>
        </w:rPr>
        <w:t>青海国焱竞磋（货物）2024-183号</w:t>
      </w:r>
      <w:r>
        <w:rPr>
          <w:rFonts w:hint="eastAsia" w:ascii="宋体" w:hAnsi="宋体"/>
          <w:color w:val="auto"/>
          <w:sz w:val="24"/>
          <w:u w:val="single"/>
        </w:rPr>
        <w:t>）磋</w:t>
      </w:r>
      <w:r>
        <w:rPr>
          <w:rFonts w:hint="eastAsia" w:ascii="宋体" w:hAnsi="宋体"/>
          <w:color w:val="auto"/>
          <w:sz w:val="24"/>
        </w:rPr>
        <w:t>商文件，经研究，法定代表人（姓名、职务）正式授权（委托代理人姓名、职务）代表磋商供应商（磋商供应商名称、地址）提交磋商响应文件。</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据此函，签字代表宣布同意如下：</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1.我方已详阅磋商文件的全部内容，包括澄清、修改条款等有关附件，承诺对其完全理解并接受。</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2.磋商有效期自开标之日起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hAnsi="宋体" w:cs="Arial"/>
          <w:color w:val="auto"/>
          <w:sz w:val="24"/>
          <w:u w:val="single"/>
        </w:rPr>
        <w:t xml:space="preserve"> </w:t>
      </w:r>
      <w:r>
        <w:rPr>
          <w:rFonts w:hint="eastAsia" w:hAnsi="宋体" w:cs="Arial"/>
          <w:color w:val="auto"/>
          <w:sz w:val="24"/>
          <w:u w:val="single"/>
          <w:lang w:eastAsia="zh-CN"/>
        </w:rPr>
        <w:t>日</w:t>
      </w:r>
      <w:r>
        <w:rPr>
          <w:rFonts w:hint="eastAsia" w:ascii="宋体" w:hAnsi="宋体"/>
          <w:color w:val="auto"/>
          <w:sz w:val="24"/>
        </w:rPr>
        <w:t>内有效。如果在规定的开标时间后，我方在磋商有效期内撤回磋商或成交后不签约的，磋商保证金将被贵方没收。</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3.我方同意按照贵方要求提供与磋商有关的一切数据或资料，理解并接受贵方制定的评标办法。</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4.与本磋商有关的一切正式往来通讯请寄：</w:t>
      </w:r>
    </w:p>
    <w:p>
      <w:pPr>
        <w:adjustRightInd w:val="0"/>
        <w:spacing w:line="360" w:lineRule="auto"/>
        <w:ind w:firstLine="480" w:firstLineChars="200"/>
        <w:textAlignment w:val="baseline"/>
        <w:rPr>
          <w:rFonts w:ascii="宋体" w:hAnsi="宋体"/>
          <w:color w:val="auto"/>
          <w:sz w:val="24"/>
        </w:rPr>
      </w:pPr>
    </w:p>
    <w:p>
      <w:pPr>
        <w:adjustRightInd w:val="0"/>
        <w:spacing w:line="360" w:lineRule="auto"/>
        <w:textAlignment w:val="baseline"/>
        <w:rPr>
          <w:rFonts w:ascii="宋体" w:hAnsi="宋体"/>
          <w:color w:val="auto"/>
          <w:sz w:val="24"/>
        </w:rPr>
      </w:pPr>
      <w:r>
        <w:rPr>
          <w:rFonts w:hint="eastAsia" w:ascii="宋体" w:hAnsi="宋体"/>
          <w:color w:val="auto"/>
          <w:sz w:val="24"/>
        </w:rPr>
        <w:t>地址：                               邮编：</w:t>
      </w:r>
    </w:p>
    <w:p>
      <w:pPr>
        <w:adjustRightInd w:val="0"/>
        <w:spacing w:line="360" w:lineRule="auto"/>
        <w:textAlignment w:val="baseline"/>
        <w:rPr>
          <w:rFonts w:ascii="宋体" w:hAnsi="宋体"/>
          <w:color w:val="auto"/>
          <w:sz w:val="24"/>
        </w:rPr>
      </w:pPr>
    </w:p>
    <w:p>
      <w:pPr>
        <w:adjustRightInd w:val="0"/>
        <w:spacing w:line="360" w:lineRule="auto"/>
        <w:textAlignment w:val="baseline"/>
        <w:rPr>
          <w:rFonts w:ascii="宋体" w:hAnsi="宋体"/>
          <w:color w:val="auto"/>
          <w:sz w:val="24"/>
        </w:rPr>
      </w:pPr>
      <w:r>
        <w:rPr>
          <w:rFonts w:hint="eastAsia" w:ascii="宋体" w:hAnsi="宋体"/>
          <w:color w:val="auto"/>
          <w:sz w:val="24"/>
        </w:rPr>
        <w:t>电话：                               传真：</w:t>
      </w:r>
    </w:p>
    <w:p>
      <w:pPr>
        <w:adjustRightInd w:val="0"/>
        <w:spacing w:line="360" w:lineRule="auto"/>
        <w:textAlignment w:val="baseline"/>
        <w:rPr>
          <w:rFonts w:ascii="宋体" w:hAnsi="宋体"/>
          <w:color w:val="auto"/>
          <w:sz w:val="24"/>
        </w:rPr>
      </w:pPr>
    </w:p>
    <w:p>
      <w:pPr>
        <w:adjustRightInd w:val="0"/>
        <w:spacing w:line="360" w:lineRule="auto"/>
        <w:textAlignment w:val="baseline"/>
        <w:rPr>
          <w:rFonts w:ascii="宋体" w:hAnsi="宋体"/>
          <w:color w:val="auto"/>
          <w:sz w:val="24"/>
        </w:rPr>
      </w:pPr>
      <w:r>
        <w:rPr>
          <w:rFonts w:hint="eastAsia" w:ascii="宋体" w:hAnsi="宋体"/>
          <w:color w:val="auto"/>
          <w:sz w:val="24"/>
        </w:rPr>
        <w:t>法定代表人姓名：                     职务：</w:t>
      </w:r>
      <w:bookmarkStart w:id="83" w:name="_Toc444715736"/>
    </w:p>
    <w:p>
      <w:pPr>
        <w:tabs>
          <w:tab w:val="left" w:pos="168"/>
        </w:tabs>
        <w:adjustRightInd w:val="0"/>
        <w:spacing w:line="360" w:lineRule="auto"/>
        <w:ind w:right="480"/>
        <w:jc w:val="right"/>
        <w:textAlignment w:val="baseline"/>
        <w:rPr>
          <w:rFonts w:ascii="宋体" w:hAnsi="宋体"/>
          <w:bCs/>
          <w:color w:val="auto"/>
          <w:sz w:val="24"/>
        </w:rPr>
      </w:pPr>
    </w:p>
    <w:p>
      <w:pPr>
        <w:tabs>
          <w:tab w:val="left" w:pos="168"/>
        </w:tabs>
        <w:adjustRightInd w:val="0"/>
        <w:spacing w:line="360" w:lineRule="auto"/>
        <w:jc w:val="right"/>
        <w:textAlignment w:val="baseline"/>
        <w:rPr>
          <w:rFonts w:ascii="宋体" w:hAnsi="宋体"/>
          <w:bCs/>
          <w:color w:val="auto"/>
          <w:sz w:val="24"/>
        </w:rPr>
      </w:pPr>
    </w:p>
    <w:p>
      <w:pPr>
        <w:tabs>
          <w:tab w:val="left" w:pos="168"/>
        </w:tabs>
        <w:adjustRightInd w:val="0"/>
        <w:spacing w:line="360" w:lineRule="auto"/>
        <w:jc w:val="right"/>
        <w:textAlignment w:val="baseline"/>
        <w:rPr>
          <w:rFonts w:ascii="宋体" w:hAnsi="宋体"/>
          <w:bCs/>
          <w:color w:val="auto"/>
          <w:sz w:val="24"/>
        </w:rPr>
      </w:pPr>
    </w:p>
    <w:p>
      <w:pPr>
        <w:tabs>
          <w:tab w:val="left" w:pos="168"/>
        </w:tabs>
        <w:adjustRightInd w:val="0"/>
        <w:spacing w:line="360" w:lineRule="auto"/>
        <w:jc w:val="right"/>
        <w:textAlignment w:val="baseline"/>
        <w:rPr>
          <w:rFonts w:ascii="宋体" w:hAnsi="宋体"/>
          <w:bCs/>
          <w:color w:val="auto"/>
          <w:sz w:val="24"/>
        </w:rPr>
      </w:pP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磋商供应商：             （公章）</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法定代表人或委托代理人：       （签字）</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日期：    年   月   日</w:t>
      </w:r>
    </w:p>
    <w:p>
      <w:pPr>
        <w:spacing w:line="360" w:lineRule="auto"/>
        <w:rPr>
          <w:rFonts w:ascii="宋体" w:hAnsi="宋体"/>
          <w:bCs/>
          <w:color w:val="auto"/>
          <w:sz w:val="24"/>
        </w:rPr>
      </w:pPr>
      <w:r>
        <w:rPr>
          <w:rFonts w:ascii="宋体" w:hAnsi="宋体"/>
          <w:bCs/>
          <w:color w:val="auto"/>
          <w:sz w:val="24"/>
        </w:rPr>
        <w:br w:type="page"/>
      </w:r>
    </w:p>
    <w:p>
      <w:pPr>
        <w:tabs>
          <w:tab w:val="left" w:pos="168"/>
        </w:tabs>
        <w:adjustRightInd w:val="0"/>
        <w:spacing w:line="360" w:lineRule="auto"/>
        <w:jc w:val="right"/>
        <w:textAlignment w:val="baseline"/>
        <w:rPr>
          <w:rFonts w:ascii="宋体" w:hAnsi="宋体"/>
          <w:bCs/>
          <w:color w:val="auto"/>
          <w:sz w:val="24"/>
        </w:rPr>
      </w:pPr>
    </w:p>
    <w:bookmarkEnd w:id="83"/>
    <w:p>
      <w:pPr>
        <w:pStyle w:val="4"/>
        <w:numPr>
          <w:ilvl w:val="0"/>
          <w:numId w:val="0"/>
        </w:numPr>
        <w:ind w:left="709" w:hanging="709"/>
        <w:rPr>
          <w:rFonts w:hAnsi="宋体"/>
          <w:color w:val="auto"/>
          <w:sz w:val="24"/>
          <w:szCs w:val="24"/>
          <w:lang w:val="zh-CN"/>
        </w:rPr>
      </w:pPr>
      <w:bookmarkStart w:id="84" w:name="_Toc109133118"/>
      <w:r>
        <w:rPr>
          <w:rFonts w:hint="eastAsia" w:hAnsi="宋体"/>
          <w:b/>
          <w:color w:val="auto"/>
          <w:sz w:val="24"/>
          <w:szCs w:val="24"/>
          <w:lang w:val="zh-CN"/>
        </w:rPr>
        <w:t>格式2、法定代表人证明书</w:t>
      </w:r>
      <w:bookmarkEnd w:id="84"/>
    </w:p>
    <w:p>
      <w:pPr>
        <w:spacing w:line="360" w:lineRule="auto"/>
        <w:rPr>
          <w:rFonts w:ascii="宋体" w:hAnsi="宋体"/>
          <w:color w:val="auto"/>
          <w:sz w:val="24"/>
          <w:lang w:val="zh-CN"/>
        </w:rPr>
      </w:pPr>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法定代表人证明书</w:t>
      </w:r>
    </w:p>
    <w:p>
      <w:pPr>
        <w:autoSpaceDE w:val="0"/>
        <w:autoSpaceDN w:val="0"/>
        <w:adjustRightInd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致：青海国焱工程项目管理有限公司</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r>
        <w:rPr>
          <w:rFonts w:hint="eastAsia" w:ascii="宋体" w:hAnsi="宋体" w:cs="宋体"/>
          <w:color w:val="auto"/>
          <w:kern w:val="0"/>
          <w:sz w:val="24"/>
          <w:u w:val="single"/>
          <w:lang w:val="zh-CN"/>
        </w:rPr>
        <w:t>（</w:t>
      </w:r>
      <w:r>
        <w:rPr>
          <w:rFonts w:hint="eastAsia" w:ascii="宋体" w:hAnsi="宋体"/>
          <w:color w:val="auto"/>
          <w:sz w:val="24"/>
          <w:u w:val="single"/>
        </w:rPr>
        <w:t>法定代表人姓名</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现任我单位职务，为法定代表人，特此证明。</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法定代表人基本情况：</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u w:val="single"/>
          <w:lang w:val="zh-CN"/>
        </w:rPr>
      </w:pPr>
      <w:r>
        <w:rPr>
          <w:rFonts w:hint="eastAsia" w:ascii="宋体" w:hAnsi="宋体" w:cs="宋体"/>
          <w:color w:val="auto"/>
          <w:kern w:val="0"/>
          <w:sz w:val="24"/>
          <w:lang w:val="zh-CN"/>
        </w:rPr>
        <w:t>性别：     年龄：    民族：</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u w:val="single"/>
          <w:lang w:val="zh-CN"/>
        </w:rPr>
      </w:pPr>
      <w:r>
        <w:rPr>
          <w:rFonts w:hint="eastAsia" w:ascii="宋体" w:hAnsi="宋体" w:cs="宋体"/>
          <w:color w:val="auto"/>
          <w:kern w:val="0"/>
          <w:sz w:val="24"/>
          <w:lang w:val="zh-CN"/>
        </w:rPr>
        <w:t>地址：</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身份证号码：</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附：法定代表人第二代身份证双面扫描（或复印）件。</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p>
    <w:p>
      <w:pPr>
        <w:tabs>
          <w:tab w:val="left" w:pos="168"/>
        </w:tabs>
        <w:adjustRightInd w:val="0"/>
        <w:spacing w:line="360" w:lineRule="auto"/>
        <w:textAlignment w:val="baseline"/>
        <w:rPr>
          <w:rFonts w:ascii="宋体" w:hAnsi="宋体"/>
          <w:bCs/>
          <w:color w:val="auto"/>
          <w:sz w:val="24"/>
        </w:rPr>
      </w:pPr>
      <w:bookmarkStart w:id="85" w:name="_Toc444715738"/>
      <w:bookmarkStart w:id="86" w:name="_Toc16858"/>
    </w:p>
    <w:p>
      <w:pPr>
        <w:tabs>
          <w:tab w:val="left" w:pos="168"/>
        </w:tabs>
        <w:wordWrap w:val="0"/>
        <w:adjustRightInd w:val="0"/>
        <w:spacing w:line="360" w:lineRule="auto"/>
        <w:jc w:val="right"/>
        <w:textAlignment w:val="baseline"/>
        <w:rPr>
          <w:rFonts w:ascii="宋体" w:hAnsi="宋体"/>
          <w:bCs/>
          <w:color w:val="auto"/>
          <w:sz w:val="24"/>
        </w:rPr>
      </w:pPr>
      <w:r>
        <w:rPr>
          <w:rFonts w:hint="eastAsia" w:ascii="宋体" w:hAnsi="宋体"/>
          <w:bCs/>
          <w:color w:val="auto"/>
          <w:sz w:val="24"/>
        </w:rPr>
        <w:t>磋商供应商：             （公章）</w:t>
      </w:r>
    </w:p>
    <w:p>
      <w:pPr>
        <w:tabs>
          <w:tab w:val="left" w:pos="168"/>
        </w:tabs>
        <w:wordWrap w:val="0"/>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                   （签字）</w:t>
      </w:r>
    </w:p>
    <w:p>
      <w:pPr>
        <w:tabs>
          <w:tab w:val="left" w:pos="168"/>
        </w:tabs>
        <w:adjustRightInd w:val="0"/>
        <w:spacing w:line="360" w:lineRule="auto"/>
        <w:ind w:right="480" w:firstLine="5040" w:firstLineChars="2100"/>
        <w:textAlignment w:val="baseline"/>
        <w:rPr>
          <w:rFonts w:ascii="宋体" w:hAnsi="宋体"/>
          <w:bCs/>
          <w:color w:val="auto"/>
          <w:sz w:val="24"/>
        </w:rPr>
      </w:pPr>
      <w:r>
        <w:rPr>
          <w:rFonts w:hint="eastAsia" w:ascii="宋体" w:hAnsi="宋体"/>
          <w:bCs/>
          <w:color w:val="auto"/>
          <w:sz w:val="24"/>
        </w:rPr>
        <w:t>日期：            年   月   日</w:t>
      </w:r>
    </w:p>
    <w:p>
      <w:pPr>
        <w:pStyle w:val="4"/>
        <w:numPr>
          <w:ilvl w:val="0"/>
          <w:numId w:val="0"/>
        </w:numPr>
        <w:ind w:left="709" w:hanging="709"/>
        <w:rPr>
          <w:rFonts w:hAnsi="宋体"/>
          <w:color w:val="auto"/>
          <w:sz w:val="24"/>
          <w:szCs w:val="24"/>
        </w:rPr>
      </w:pPr>
      <w:r>
        <w:rPr>
          <w:rFonts w:hAnsi="宋体"/>
          <w:bCs/>
          <w:color w:val="auto"/>
          <w:sz w:val="24"/>
          <w:szCs w:val="24"/>
        </w:rPr>
        <w:br w:type="page"/>
      </w:r>
      <w:bookmarkStart w:id="87" w:name="_Toc109133119"/>
      <w:r>
        <w:rPr>
          <w:rFonts w:hint="eastAsia" w:hAnsi="宋体"/>
          <w:b/>
          <w:color w:val="auto"/>
          <w:sz w:val="24"/>
          <w:szCs w:val="24"/>
          <w:lang w:val="zh-CN"/>
        </w:rPr>
        <w:t>格式3、法定代表人授权书</w:t>
      </w:r>
      <w:bookmarkEnd w:id="85"/>
      <w:bookmarkEnd w:id="86"/>
      <w:bookmarkEnd w:id="87"/>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法定代表人授权书</w:t>
      </w:r>
    </w:p>
    <w:p>
      <w:pPr>
        <w:spacing w:line="360" w:lineRule="auto"/>
        <w:rPr>
          <w:rFonts w:ascii="宋体" w:hAnsi="宋体"/>
          <w:b/>
          <w:bCs/>
          <w:color w:val="auto"/>
          <w:sz w:val="24"/>
        </w:rPr>
      </w:pPr>
      <w:r>
        <w:rPr>
          <w:rFonts w:hint="eastAsia" w:ascii="宋体" w:hAnsi="宋体"/>
          <w:b/>
          <w:bCs/>
          <w:color w:val="auto"/>
          <w:sz w:val="24"/>
        </w:rPr>
        <w:t>致：青海国焱工程项目管理有限公司</w:t>
      </w:r>
    </w:p>
    <w:p>
      <w:pPr>
        <w:spacing w:line="360" w:lineRule="auto"/>
        <w:rPr>
          <w:rFonts w:ascii="宋体" w:hAnsi="宋体"/>
          <w:color w:val="auto"/>
          <w:sz w:val="24"/>
          <w:u w:val="single"/>
        </w:rPr>
      </w:pPr>
    </w:p>
    <w:p>
      <w:pPr>
        <w:spacing w:line="360" w:lineRule="auto"/>
        <w:ind w:firstLine="480" w:firstLineChars="200"/>
        <w:rPr>
          <w:rFonts w:ascii="宋体" w:hAnsi="宋体"/>
          <w:color w:val="auto"/>
          <w:sz w:val="24"/>
        </w:rPr>
      </w:pPr>
      <w:r>
        <w:rPr>
          <w:rFonts w:hint="eastAsia" w:ascii="宋体" w:hAnsi="宋体"/>
          <w:color w:val="auto"/>
          <w:sz w:val="24"/>
          <w:u w:val="single"/>
        </w:rPr>
        <w:t>（磋商供应商名称）</w:t>
      </w:r>
      <w:r>
        <w:rPr>
          <w:rFonts w:hint="eastAsia" w:ascii="宋体" w:hAnsi="宋体"/>
          <w:color w:val="auto"/>
          <w:sz w:val="24"/>
        </w:rPr>
        <w:t>系中华人民共和国合法企业，法定地址</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u w:val="single"/>
        </w:rPr>
        <w:t>（法定代表人姓名）</w:t>
      </w:r>
      <w:r>
        <w:rPr>
          <w:rFonts w:hint="eastAsia" w:ascii="宋体" w:hAnsi="宋体"/>
          <w:color w:val="auto"/>
          <w:sz w:val="24"/>
        </w:rPr>
        <w:t>特授权</w:t>
      </w:r>
      <w:r>
        <w:rPr>
          <w:rFonts w:hint="eastAsia" w:ascii="宋体" w:hAnsi="宋体"/>
          <w:color w:val="auto"/>
          <w:sz w:val="24"/>
          <w:u w:val="single"/>
        </w:rPr>
        <w:t>（被授权人姓名）</w:t>
      </w:r>
      <w:r>
        <w:rPr>
          <w:rFonts w:hint="eastAsia" w:ascii="宋体" w:hAnsi="宋体"/>
          <w:color w:val="auto"/>
          <w:sz w:val="24"/>
        </w:rPr>
        <w:t>代表我单位全权办理项目的磋商、答疑等具体工作，并签署全部有关的文件、协议及合同。</w:t>
      </w:r>
    </w:p>
    <w:p>
      <w:pPr>
        <w:spacing w:line="360" w:lineRule="auto"/>
        <w:ind w:firstLine="480" w:firstLineChars="200"/>
        <w:rPr>
          <w:rFonts w:ascii="宋体" w:hAnsi="宋体"/>
          <w:color w:val="auto"/>
          <w:sz w:val="24"/>
        </w:rPr>
      </w:pPr>
      <w:r>
        <w:rPr>
          <w:rFonts w:hint="eastAsia" w:ascii="宋体" w:hAnsi="宋体"/>
          <w:color w:val="auto"/>
          <w:sz w:val="24"/>
        </w:rPr>
        <w:t>我单位对被授权人的签名负全部责任。</w:t>
      </w:r>
    </w:p>
    <w:p>
      <w:pPr>
        <w:spacing w:line="360" w:lineRule="auto"/>
        <w:ind w:firstLine="480" w:firstLineChars="200"/>
        <w:rPr>
          <w:rFonts w:ascii="宋体" w:hAnsi="宋体"/>
          <w:color w:val="auto"/>
          <w:sz w:val="24"/>
        </w:rPr>
      </w:pPr>
      <w:r>
        <w:rPr>
          <w:rFonts w:hint="eastAsia" w:ascii="宋体" w:hAnsi="宋体"/>
          <w:color w:val="auto"/>
          <w:sz w:val="24"/>
        </w:rPr>
        <w:t>在撤销授权的书面通知以前，本授权书一直有效。被授权人签署的所有文件（在授权书有效期内签署的）不因授权的撤销而失效。</w:t>
      </w:r>
    </w:p>
    <w:p>
      <w:pPr>
        <w:spacing w:line="360" w:lineRule="auto"/>
        <w:rPr>
          <w:rFonts w:ascii="宋体" w:hAnsi="宋体"/>
          <w:color w:val="auto"/>
          <w:sz w:val="24"/>
        </w:rPr>
      </w:pPr>
    </w:p>
    <w:p>
      <w:pPr>
        <w:spacing w:line="360" w:lineRule="auto"/>
        <w:rPr>
          <w:rFonts w:ascii="宋体" w:hAnsi="宋体"/>
          <w:color w:val="auto"/>
          <w:sz w:val="24"/>
          <w:u w:val="single"/>
        </w:rPr>
      </w:pPr>
      <w:r>
        <w:rPr>
          <w:rFonts w:ascii="宋体" w:hAnsi="宋体"/>
          <w:color w:val="auto"/>
          <w:sz w:val="24"/>
        </w:rPr>
        <w:t>被授权人联系电话</w:t>
      </w:r>
      <w:r>
        <w:rPr>
          <w:rFonts w:hint="eastAsia" w:ascii="宋体" w:hAnsi="宋体"/>
          <w:color w:val="auto"/>
          <w:sz w:val="24"/>
        </w:rPr>
        <w:t>：</w:t>
      </w:r>
    </w:p>
    <w:p>
      <w:pPr>
        <w:spacing w:line="360" w:lineRule="auto"/>
        <w:rPr>
          <w:rFonts w:ascii="宋体" w:hAnsi="宋体"/>
          <w:color w:val="auto"/>
          <w:sz w:val="24"/>
          <w:u w:val="single"/>
        </w:rPr>
      </w:pPr>
      <w:r>
        <w:rPr>
          <w:rFonts w:hint="eastAsia" w:ascii="宋体" w:hAnsi="宋体"/>
          <w:color w:val="auto"/>
          <w:sz w:val="24"/>
        </w:rPr>
        <w:t>被授权人（委托代理人）签名：          授权人（法定代表人）签名：</w:t>
      </w:r>
    </w:p>
    <w:p>
      <w:pPr>
        <w:spacing w:line="360" w:lineRule="auto"/>
        <w:rPr>
          <w:rFonts w:ascii="宋体" w:hAnsi="宋体"/>
          <w:color w:val="auto"/>
          <w:sz w:val="24"/>
        </w:rPr>
      </w:pPr>
      <w:r>
        <w:rPr>
          <w:rFonts w:hint="eastAsia" w:ascii="宋体" w:hAnsi="宋体"/>
          <w:color w:val="auto"/>
          <w:sz w:val="24"/>
        </w:rPr>
        <w:t>职务：                                 职务：</w:t>
      </w:r>
    </w:p>
    <w:p>
      <w:pPr>
        <w:spacing w:line="360" w:lineRule="auto"/>
        <w:rPr>
          <w:rFonts w:ascii="宋体" w:hAnsi="宋体"/>
          <w:color w:val="auto"/>
          <w:sz w:val="24"/>
        </w:rPr>
      </w:pPr>
      <w:r>
        <w:rPr>
          <w:rFonts w:hint="eastAsia" w:ascii="宋体" w:hAnsi="宋体"/>
          <w:color w:val="auto"/>
          <w:sz w:val="24"/>
        </w:rPr>
        <w:t>附：被授权人身份证正、反面扫描（或复印）件</w:t>
      </w:r>
      <w:r>
        <w:rPr>
          <w:rFonts w:hint="eastAsia" w:ascii="宋体" w:hAnsi="宋体" w:cs="宋体"/>
          <w:color w:val="auto"/>
          <w:kern w:val="0"/>
          <w:sz w:val="24"/>
          <w:lang w:val="zh-CN"/>
        </w:rPr>
        <w:t>。</w:t>
      </w:r>
    </w:p>
    <w:p>
      <w:pPr>
        <w:tabs>
          <w:tab w:val="left" w:pos="168"/>
        </w:tabs>
        <w:adjustRightInd w:val="0"/>
        <w:spacing w:line="360" w:lineRule="auto"/>
        <w:textAlignment w:val="baseline"/>
        <w:rPr>
          <w:rFonts w:ascii="宋体" w:hAnsi="宋体"/>
          <w:bCs/>
          <w:color w:val="auto"/>
          <w:sz w:val="24"/>
        </w:rPr>
      </w:pPr>
    </w:p>
    <w:p>
      <w:pPr>
        <w:tabs>
          <w:tab w:val="left" w:pos="168"/>
        </w:tabs>
        <w:adjustRightInd w:val="0"/>
        <w:spacing w:line="360" w:lineRule="auto"/>
        <w:textAlignment w:val="baseline"/>
        <w:rPr>
          <w:rFonts w:ascii="宋体" w:hAnsi="宋体"/>
          <w:bCs/>
          <w:color w:val="auto"/>
          <w:sz w:val="24"/>
        </w:rPr>
      </w:pPr>
    </w:p>
    <w:p>
      <w:pPr>
        <w:tabs>
          <w:tab w:val="left" w:pos="168"/>
        </w:tabs>
        <w:adjustRightInd w:val="0"/>
        <w:spacing w:line="360" w:lineRule="auto"/>
        <w:textAlignment w:val="baseline"/>
        <w:rPr>
          <w:rFonts w:ascii="宋体" w:hAnsi="宋体"/>
          <w:bCs/>
          <w:color w:val="auto"/>
          <w:sz w:val="24"/>
        </w:rPr>
      </w:pPr>
    </w:p>
    <w:p>
      <w:pPr>
        <w:tabs>
          <w:tab w:val="left" w:pos="168"/>
        </w:tabs>
        <w:adjustRightInd w:val="0"/>
        <w:spacing w:line="360" w:lineRule="auto"/>
        <w:textAlignment w:val="baseline"/>
        <w:rPr>
          <w:rFonts w:ascii="宋体" w:hAnsi="宋体"/>
          <w:bCs/>
          <w:color w:val="auto"/>
          <w:sz w:val="24"/>
        </w:rPr>
      </w:pPr>
    </w:p>
    <w:p>
      <w:pPr>
        <w:tabs>
          <w:tab w:val="left" w:pos="168"/>
        </w:tabs>
        <w:adjustRightInd w:val="0"/>
        <w:spacing w:line="360" w:lineRule="auto"/>
        <w:textAlignment w:val="baseline"/>
        <w:rPr>
          <w:rFonts w:ascii="宋体" w:hAnsi="宋体"/>
          <w:bCs/>
          <w:color w:val="auto"/>
          <w:sz w:val="24"/>
        </w:rPr>
      </w:pPr>
    </w:p>
    <w:p>
      <w:pPr>
        <w:tabs>
          <w:tab w:val="left" w:pos="168"/>
        </w:tabs>
        <w:adjustRightInd w:val="0"/>
        <w:spacing w:line="360" w:lineRule="auto"/>
        <w:textAlignment w:val="baseline"/>
        <w:rPr>
          <w:rFonts w:ascii="宋体" w:hAnsi="宋体"/>
          <w:bCs/>
          <w:color w:val="auto"/>
          <w:sz w:val="24"/>
        </w:rPr>
      </w:pPr>
    </w:p>
    <w:p>
      <w:pPr>
        <w:tabs>
          <w:tab w:val="left" w:pos="168"/>
        </w:tabs>
        <w:adjustRightInd w:val="0"/>
        <w:spacing w:line="360" w:lineRule="auto"/>
        <w:textAlignment w:val="baseline"/>
        <w:rPr>
          <w:rFonts w:ascii="宋体" w:hAnsi="宋体"/>
          <w:bCs/>
          <w:color w:val="auto"/>
          <w:sz w:val="24"/>
        </w:rPr>
      </w:pPr>
    </w:p>
    <w:p>
      <w:pPr>
        <w:tabs>
          <w:tab w:val="left" w:pos="168"/>
        </w:tabs>
        <w:wordWrap w:val="0"/>
        <w:adjustRightInd w:val="0"/>
        <w:spacing w:line="360" w:lineRule="auto"/>
        <w:jc w:val="right"/>
        <w:textAlignment w:val="baseline"/>
        <w:rPr>
          <w:rFonts w:ascii="宋体" w:hAnsi="宋体"/>
          <w:bCs/>
          <w:color w:val="auto"/>
          <w:sz w:val="24"/>
        </w:rPr>
      </w:pPr>
      <w:r>
        <w:rPr>
          <w:rFonts w:hint="eastAsia" w:ascii="宋体" w:hAnsi="宋体"/>
          <w:bCs/>
          <w:color w:val="auto"/>
          <w:sz w:val="24"/>
        </w:rPr>
        <w:t>磋商供应商：             （公章）</w:t>
      </w:r>
    </w:p>
    <w:p>
      <w:pPr>
        <w:tabs>
          <w:tab w:val="left" w:pos="168"/>
        </w:tabs>
        <w:wordWrap w:val="0"/>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                   （签字）</w:t>
      </w:r>
    </w:p>
    <w:p>
      <w:pPr>
        <w:tabs>
          <w:tab w:val="left" w:pos="168"/>
        </w:tabs>
        <w:adjustRightInd w:val="0"/>
        <w:spacing w:line="360" w:lineRule="auto"/>
        <w:ind w:right="480" w:firstLine="5760" w:firstLineChars="2400"/>
        <w:textAlignment w:val="baseline"/>
        <w:rPr>
          <w:rFonts w:ascii="宋体" w:hAnsi="宋体"/>
          <w:bCs/>
          <w:color w:val="auto"/>
          <w:sz w:val="24"/>
        </w:rPr>
      </w:pPr>
      <w:r>
        <w:rPr>
          <w:rFonts w:hint="eastAsia" w:ascii="宋体" w:hAnsi="宋体"/>
          <w:bCs/>
          <w:color w:val="auto"/>
          <w:sz w:val="24"/>
        </w:rPr>
        <w:t>日期：            年   月   日</w:t>
      </w:r>
    </w:p>
    <w:p>
      <w:pPr>
        <w:pStyle w:val="4"/>
        <w:numPr>
          <w:ilvl w:val="0"/>
          <w:numId w:val="0"/>
        </w:numPr>
        <w:ind w:left="709" w:hanging="709"/>
        <w:rPr>
          <w:rFonts w:hAnsi="宋体"/>
          <w:color w:val="auto"/>
          <w:sz w:val="24"/>
          <w:szCs w:val="24"/>
          <w:lang w:val="zh-CN"/>
        </w:rPr>
      </w:pPr>
      <w:r>
        <w:rPr>
          <w:rFonts w:hAnsi="宋体"/>
          <w:bCs/>
          <w:color w:val="auto"/>
          <w:sz w:val="24"/>
          <w:szCs w:val="24"/>
        </w:rPr>
        <w:br w:type="page"/>
      </w:r>
      <w:bookmarkStart w:id="88" w:name="_Toc109133120"/>
      <w:r>
        <w:rPr>
          <w:rFonts w:hint="eastAsia" w:hAnsi="宋体"/>
          <w:b/>
          <w:color w:val="auto"/>
          <w:sz w:val="24"/>
          <w:szCs w:val="24"/>
          <w:lang w:val="zh-CN"/>
        </w:rPr>
        <w:t>格式4、磋商供应商承诺书</w:t>
      </w:r>
      <w:bookmarkEnd w:id="88"/>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磋商供应商承诺书</w:t>
      </w:r>
    </w:p>
    <w:p>
      <w:pPr>
        <w:spacing w:line="360" w:lineRule="auto"/>
        <w:rPr>
          <w:rFonts w:ascii="宋体" w:hAnsi="宋体"/>
          <w:b/>
          <w:bCs/>
          <w:color w:val="auto"/>
          <w:sz w:val="24"/>
        </w:rPr>
      </w:pPr>
      <w:r>
        <w:rPr>
          <w:rFonts w:hint="eastAsia" w:ascii="宋体" w:hAnsi="宋体"/>
          <w:b/>
          <w:bCs/>
          <w:color w:val="auto"/>
          <w:sz w:val="24"/>
        </w:rPr>
        <w:t>致：青海国焱工程项目管理有限公司</w:t>
      </w:r>
    </w:p>
    <w:p>
      <w:pPr>
        <w:spacing w:line="360" w:lineRule="auto"/>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lang w:eastAsia="zh-CN"/>
        </w:rPr>
        <w:t>2024年</w:t>
      </w:r>
      <w:r>
        <w:rPr>
          <w:rFonts w:hint="eastAsia" w:ascii="宋体" w:hAnsi="宋体"/>
          <w:color w:val="auto"/>
          <w:sz w:val="24"/>
        </w:rPr>
        <w:t xml:space="preserve">  月  日</w:t>
      </w:r>
      <w:r>
        <w:rPr>
          <w:rFonts w:hint="eastAsia" w:ascii="宋体" w:hAnsi="宋体"/>
          <w:color w:val="auto"/>
          <w:sz w:val="24"/>
          <w:u w:val="single"/>
        </w:rPr>
        <w:t>(项目名称)</w:t>
      </w:r>
      <w:r>
        <w:rPr>
          <w:rFonts w:hint="eastAsia" w:ascii="宋体" w:hAnsi="宋体"/>
          <w:color w:val="auto"/>
          <w:sz w:val="24"/>
        </w:rPr>
        <w:t>采购项目，本签字人愿意参加磋商，提供采购项目参数及要求中要求的所有产品，并证实提交的所有资料是准确的和真实的。同时，我代表</w:t>
      </w:r>
      <w:r>
        <w:rPr>
          <w:rFonts w:hint="eastAsia" w:ascii="宋体" w:hAnsi="宋体"/>
          <w:color w:val="auto"/>
          <w:sz w:val="24"/>
          <w:u w:val="single"/>
        </w:rPr>
        <w:t>（磋商供应商名称）</w:t>
      </w:r>
      <w:r>
        <w:rPr>
          <w:rFonts w:hint="eastAsia" w:ascii="宋体" w:hAnsi="宋体"/>
          <w:color w:val="auto"/>
          <w:sz w:val="24"/>
        </w:rPr>
        <w:t>，在此作如下承诺：</w:t>
      </w:r>
    </w:p>
    <w:p>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、完全理解和接受磋商文件的一切规定和要求；</w:t>
      </w:r>
    </w:p>
    <w:p>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pPr>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、在整个磋商过程中我方若有违规行为，贵方可按磋商文件之规定给予惩罚，我方完全接受。</w:t>
      </w:r>
    </w:p>
    <w:p>
      <w:pPr>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、若成交，本承诺将成为合同不可分割的一部分，与合同具有同等的法律效力。</w:t>
      </w: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ind w:firstLine="480" w:firstLineChars="200"/>
        <w:textAlignment w:val="baseline"/>
        <w:rPr>
          <w:rFonts w:ascii="宋体" w:hAnsi="宋体"/>
          <w:bCs/>
          <w:color w:val="auto"/>
          <w:sz w:val="24"/>
        </w:rPr>
      </w:pP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磋商供应商：             （公章）</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法定代表人或委托代理人：       （签字）</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日期：    年   月   日</w:t>
      </w:r>
    </w:p>
    <w:p>
      <w:pPr>
        <w:pStyle w:val="4"/>
        <w:numPr>
          <w:ilvl w:val="0"/>
          <w:numId w:val="0"/>
        </w:numPr>
        <w:ind w:left="709" w:hanging="709"/>
        <w:rPr>
          <w:rFonts w:hAnsi="宋体"/>
          <w:color w:val="auto"/>
          <w:sz w:val="24"/>
          <w:szCs w:val="24"/>
          <w:lang w:val="zh-CN"/>
        </w:rPr>
      </w:pPr>
      <w:r>
        <w:rPr>
          <w:rFonts w:hAnsi="宋体"/>
          <w:bCs/>
          <w:color w:val="auto"/>
          <w:sz w:val="24"/>
          <w:szCs w:val="24"/>
        </w:rPr>
        <w:br w:type="page"/>
      </w:r>
      <w:bookmarkStart w:id="89" w:name="_Toc109133121"/>
      <w:r>
        <w:rPr>
          <w:rFonts w:hint="eastAsia" w:hAnsi="宋体"/>
          <w:b/>
          <w:color w:val="auto"/>
          <w:sz w:val="24"/>
          <w:szCs w:val="24"/>
          <w:lang w:val="zh-CN"/>
        </w:rPr>
        <w:t>格式5、供应商诚信承诺书</w:t>
      </w:r>
      <w:bookmarkEnd w:id="89"/>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供应商诚信承诺书</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致：青海国焱工程项目管理有限公司</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为了诚实、客观、有序地参与青海省政府采购活动，愿就以下内容做出承诺：</w:t>
      </w:r>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四、依法参加政府采购活动，不围标、串标，维护市场秩序，不提供“三无”产品、以次充好。</w:t>
      </w:r>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六、认真履行成交人应承担的责任和义务，全面执行采购合同规定的各项内容，保质保量地按时提供采购物品。</w:t>
      </w:r>
    </w:p>
    <w:p>
      <w:pPr>
        <w:autoSpaceDE w:val="0"/>
        <w:autoSpaceDN w:val="0"/>
        <w:adjustRightIn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本承诺是采购项目磋商响应文件的组成部分。</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p>
    <w:p>
      <w:pPr>
        <w:tabs>
          <w:tab w:val="left" w:pos="168"/>
        </w:tabs>
        <w:adjustRightInd w:val="0"/>
        <w:spacing w:line="360" w:lineRule="auto"/>
        <w:textAlignment w:val="baseline"/>
        <w:rPr>
          <w:rFonts w:ascii="宋体" w:hAnsi="宋体"/>
          <w:bCs/>
          <w:color w:val="auto"/>
          <w:sz w:val="24"/>
        </w:rPr>
      </w:pPr>
      <w:bookmarkStart w:id="90" w:name="_Toc444715739"/>
      <w:bookmarkStart w:id="91" w:name="_Toc17097"/>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磋商供应商：             （公章）</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法定代表人或委托代理人：       （签字）</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日期：    年   月   日</w:t>
      </w:r>
    </w:p>
    <w:p>
      <w:pPr>
        <w:pStyle w:val="4"/>
        <w:numPr>
          <w:ilvl w:val="0"/>
          <w:numId w:val="0"/>
        </w:numPr>
        <w:ind w:left="709" w:hanging="709"/>
        <w:rPr>
          <w:rFonts w:hAnsi="宋体" w:cs="宋体"/>
          <w:color w:val="auto"/>
          <w:sz w:val="24"/>
          <w:szCs w:val="24"/>
          <w:lang w:val="zh-CN"/>
        </w:rPr>
      </w:pPr>
      <w:r>
        <w:rPr>
          <w:rFonts w:hAnsi="宋体"/>
          <w:bCs/>
          <w:color w:val="auto"/>
          <w:sz w:val="24"/>
          <w:szCs w:val="24"/>
        </w:rPr>
        <w:br w:type="page"/>
      </w:r>
      <w:bookmarkStart w:id="92" w:name="_Toc109133122"/>
      <w:r>
        <w:rPr>
          <w:rFonts w:hint="eastAsia" w:hAnsi="宋体"/>
          <w:b/>
          <w:color w:val="auto"/>
          <w:sz w:val="24"/>
          <w:szCs w:val="24"/>
          <w:lang w:val="zh-CN"/>
        </w:rPr>
        <w:t>格式6、资格证明材料</w:t>
      </w:r>
      <w:bookmarkEnd w:id="90"/>
      <w:bookmarkEnd w:id="91"/>
      <w:bookmarkEnd w:id="92"/>
    </w:p>
    <w:p>
      <w:pPr>
        <w:spacing w:line="360" w:lineRule="auto"/>
        <w:rPr>
          <w:rFonts w:ascii="宋体" w:hAnsi="宋体"/>
          <w:color w:val="auto"/>
          <w:sz w:val="24"/>
          <w:lang w:val="zh-CN"/>
        </w:rPr>
      </w:pPr>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资格证明材料</w:t>
      </w:r>
    </w:p>
    <w:p>
      <w:pPr>
        <w:spacing w:line="360" w:lineRule="auto"/>
        <w:ind w:firstLine="424" w:firstLineChars="177"/>
        <w:rPr>
          <w:rFonts w:ascii="宋体" w:hAnsi="宋体" w:cs="Arial"/>
          <w:color w:val="auto"/>
          <w:sz w:val="24"/>
        </w:rPr>
      </w:pPr>
      <w:r>
        <w:rPr>
          <w:rFonts w:ascii="宋体" w:hAnsi="宋体" w:cs="Arial"/>
          <w:color w:val="auto"/>
          <w:sz w:val="24"/>
        </w:rPr>
        <w:t>资格证明材料包括：</w:t>
      </w:r>
    </w:p>
    <w:p>
      <w:pPr>
        <w:spacing w:line="360" w:lineRule="auto"/>
        <w:rPr>
          <w:rFonts w:ascii="宋体" w:hAnsi="宋体" w:cs="Arial"/>
          <w:color w:val="auto"/>
          <w:sz w:val="24"/>
        </w:rPr>
      </w:pPr>
      <w:r>
        <w:rPr>
          <w:rFonts w:ascii="宋体" w:hAnsi="宋体" w:cs="Arial"/>
          <w:color w:val="auto"/>
          <w:sz w:val="24"/>
        </w:rPr>
        <w:t>（1）单位法人营业执照、税务登记证、组织机构代码证；</w:t>
      </w:r>
    </w:p>
    <w:p>
      <w:pPr>
        <w:spacing w:line="360" w:lineRule="auto"/>
        <w:rPr>
          <w:rFonts w:ascii="宋体" w:hAnsi="宋体" w:cs="Arial"/>
          <w:color w:val="auto"/>
          <w:sz w:val="24"/>
        </w:rPr>
      </w:pPr>
      <w:r>
        <w:rPr>
          <w:rFonts w:ascii="宋体" w:hAnsi="宋体" w:cs="Arial"/>
          <w:color w:val="auto"/>
          <w:sz w:val="24"/>
        </w:rPr>
        <w:t>（2）磋商文件规定的有关资格证书、许可证书、认证等；</w:t>
      </w:r>
    </w:p>
    <w:p>
      <w:pPr>
        <w:spacing w:line="360" w:lineRule="auto"/>
        <w:rPr>
          <w:rFonts w:ascii="宋体" w:hAnsi="宋体" w:cs="Arial"/>
          <w:color w:val="auto"/>
          <w:sz w:val="24"/>
        </w:rPr>
      </w:pPr>
      <w:r>
        <w:rPr>
          <w:rFonts w:ascii="宋体" w:hAnsi="宋体" w:cs="Arial"/>
          <w:color w:val="auto"/>
          <w:sz w:val="24"/>
        </w:rPr>
        <w:t>（3）磋商供应商简介及获得相关证书证明文件；</w:t>
      </w:r>
    </w:p>
    <w:p>
      <w:pPr>
        <w:spacing w:line="360" w:lineRule="auto"/>
        <w:rPr>
          <w:rFonts w:ascii="宋体" w:hAnsi="宋体" w:cs="Arial"/>
          <w:color w:val="auto"/>
          <w:sz w:val="24"/>
        </w:rPr>
      </w:pPr>
      <w:r>
        <w:rPr>
          <w:rFonts w:ascii="宋体" w:hAnsi="宋体" w:cs="Arial"/>
          <w:color w:val="auto"/>
          <w:sz w:val="24"/>
        </w:rPr>
        <w:t>（4）磋商供应商认为有必要提供的其他资格证明文件。</w:t>
      </w:r>
    </w:p>
    <w:p>
      <w:pPr>
        <w:pStyle w:val="4"/>
        <w:numPr>
          <w:ilvl w:val="0"/>
          <w:numId w:val="0"/>
        </w:numPr>
        <w:ind w:left="709" w:hanging="709"/>
        <w:rPr>
          <w:rFonts w:hAnsi="宋体"/>
          <w:color w:val="auto"/>
          <w:sz w:val="24"/>
          <w:szCs w:val="24"/>
          <w:lang w:val="zh-CN"/>
        </w:rPr>
      </w:pPr>
      <w:r>
        <w:rPr>
          <w:rFonts w:hAnsi="宋体" w:cs="宋体"/>
          <w:color w:val="auto"/>
          <w:kern w:val="0"/>
          <w:sz w:val="24"/>
          <w:szCs w:val="24"/>
          <w:lang w:val="zh-CN"/>
        </w:rPr>
        <w:br w:type="page"/>
      </w:r>
      <w:bookmarkStart w:id="93" w:name="_Toc109133123"/>
      <w:bookmarkStart w:id="94" w:name="_Toc444715740"/>
      <w:bookmarkStart w:id="95" w:name="_Toc20673"/>
      <w:r>
        <w:rPr>
          <w:rFonts w:hint="eastAsia" w:hAnsi="宋体"/>
          <w:b/>
          <w:color w:val="auto"/>
          <w:sz w:val="24"/>
          <w:szCs w:val="24"/>
          <w:lang w:val="zh-CN"/>
        </w:rPr>
        <w:t>格式7、财务状况、缴纳税收和社会保障资金证明</w:t>
      </w:r>
      <w:bookmarkEnd w:id="93"/>
    </w:p>
    <w:p>
      <w:pPr>
        <w:spacing w:line="360" w:lineRule="auto"/>
        <w:rPr>
          <w:rFonts w:ascii="宋体" w:hAnsi="宋体"/>
          <w:color w:val="auto"/>
          <w:sz w:val="24"/>
          <w:lang w:val="zh-CN"/>
        </w:rPr>
      </w:pPr>
    </w:p>
    <w:p>
      <w:pPr>
        <w:autoSpaceDE w:val="0"/>
        <w:autoSpaceDN w:val="0"/>
        <w:adjustRightInd w:val="0"/>
        <w:spacing w:line="360" w:lineRule="auto"/>
        <w:jc w:val="center"/>
        <w:rPr>
          <w:rFonts w:ascii="宋体" w:hAnsi="宋体" w:cs="宋体"/>
          <w:b/>
          <w:bCs/>
          <w:color w:val="auto"/>
          <w:kern w:val="0"/>
          <w:sz w:val="24"/>
          <w:lang w:val="zh-CN"/>
        </w:rPr>
      </w:pPr>
      <w:r>
        <w:rPr>
          <w:rFonts w:ascii="宋体" w:hAnsi="宋体" w:cs="宋体"/>
          <w:b/>
          <w:bCs/>
          <w:color w:val="auto"/>
          <w:kern w:val="0"/>
          <w:sz w:val="24"/>
          <w:lang w:val="zh-CN"/>
        </w:rPr>
        <w:t>财务状况、缴纳税收和社会保障资金证明</w:t>
      </w:r>
    </w:p>
    <w:p>
      <w:pPr>
        <w:autoSpaceDE w:val="0"/>
        <w:autoSpaceDN w:val="0"/>
        <w:spacing w:line="360" w:lineRule="auto"/>
        <w:rPr>
          <w:rFonts w:ascii="宋体" w:hAnsi="宋体" w:cs="Arial"/>
          <w:color w:val="auto"/>
          <w:sz w:val="24"/>
          <w:lang w:val="zh-CN"/>
        </w:rPr>
      </w:pPr>
    </w:p>
    <w:p>
      <w:pPr>
        <w:spacing w:line="360" w:lineRule="auto"/>
        <w:ind w:firstLine="480" w:firstLineChars="200"/>
        <w:rPr>
          <w:rFonts w:ascii="宋体" w:hAnsi="宋体" w:cs="宋体"/>
          <w:color w:val="auto"/>
          <w:sz w:val="24"/>
        </w:rPr>
      </w:pPr>
      <w:r>
        <w:rPr>
          <w:rFonts w:ascii="宋体" w:hAnsi="宋体" w:cs="宋体"/>
          <w:color w:val="auto"/>
          <w:sz w:val="24"/>
        </w:rPr>
        <w:t>按照磋商文件第2.2款（1）中规定提供以下相关材料。</w:t>
      </w:r>
    </w:p>
    <w:p>
      <w:pPr>
        <w:pStyle w:val="48"/>
        <w:numPr>
          <w:ilvl w:val="1"/>
          <w:numId w:val="40"/>
        </w:numPr>
        <w:spacing w:line="360" w:lineRule="auto"/>
        <w:ind w:left="851" w:hanging="360" w:firstLineChars="0"/>
        <w:rPr>
          <w:rFonts w:ascii="宋体" w:hAnsi="宋体" w:cs="宋体"/>
          <w:color w:val="auto"/>
          <w:sz w:val="24"/>
        </w:rPr>
      </w:pPr>
      <w:r>
        <w:rPr>
          <w:rFonts w:hint="eastAsia" w:ascii="宋体" w:hAnsi="宋体" w:cs="宋体"/>
          <w:color w:val="auto"/>
          <w:kern w:val="0"/>
          <w:sz w:val="24"/>
          <w:lang w:val="zh-CN"/>
        </w:rPr>
        <w:t>磋商人基本开户银行近三个月内出具的资信证明或经第三方机构出具的2022年度或</w:t>
      </w:r>
      <w:r>
        <w:rPr>
          <w:rFonts w:hint="eastAsia" w:ascii="宋体" w:hAnsi="宋体" w:cs="宋体"/>
          <w:color w:val="auto"/>
          <w:kern w:val="0"/>
          <w:sz w:val="24"/>
          <w:lang w:val="en-US" w:eastAsia="zh-CN"/>
        </w:rPr>
        <w:t>2023年度</w:t>
      </w:r>
      <w:r>
        <w:rPr>
          <w:rFonts w:hint="eastAsia" w:ascii="宋体" w:hAnsi="宋体" w:cs="宋体"/>
          <w:color w:val="auto"/>
          <w:kern w:val="0"/>
          <w:sz w:val="24"/>
          <w:lang w:val="zh-CN"/>
        </w:rPr>
        <w:t>财务状况审计报告（扫描或复印件应全面、完整、清晰），包括资产负债表、现金流量表、利润表和财务（会计）报表附注</w:t>
      </w:r>
      <w:r>
        <w:rPr>
          <w:rFonts w:hint="eastAsia" w:ascii="宋体" w:hAnsi="宋体" w:cs="宋体"/>
          <w:color w:val="auto"/>
          <w:kern w:val="0"/>
          <w:sz w:val="24"/>
        </w:rPr>
        <w:t>,</w:t>
      </w:r>
      <w:r>
        <w:rPr>
          <w:rFonts w:hint="eastAsia" w:ascii="宋体" w:hAnsi="宋体" w:cs="宋体"/>
          <w:color w:val="auto"/>
          <w:kern w:val="0"/>
          <w:sz w:val="24"/>
          <w:lang w:val="zh-CN"/>
        </w:rPr>
        <w:t>并提供第三方机构的营业执照、执业证书。</w:t>
      </w:r>
    </w:p>
    <w:p>
      <w:pPr>
        <w:pStyle w:val="48"/>
        <w:numPr>
          <w:ilvl w:val="1"/>
          <w:numId w:val="40"/>
        </w:numPr>
        <w:spacing w:line="360" w:lineRule="auto"/>
        <w:ind w:left="851" w:hanging="360" w:firstLineChars="0"/>
        <w:rPr>
          <w:rFonts w:ascii="宋体" w:hAnsi="宋体" w:cs="宋体"/>
          <w:color w:val="auto"/>
          <w:sz w:val="24"/>
        </w:rPr>
      </w:pPr>
      <w:r>
        <w:rPr>
          <w:rFonts w:hint="eastAsia" w:ascii="宋体" w:hAnsi="宋体" w:cs="宋体"/>
          <w:color w:val="auto"/>
          <w:kern w:val="0"/>
          <w:sz w:val="24"/>
          <w:lang w:val="zh-CN"/>
        </w:rPr>
        <w:t>近半年内任意三个月依法缴纳税收和社会保障资金记录的证明材料；依法免税或不需要缴纳社会保障资金的投标人须提供相应文件证明其依法免税或不需要缴纳社会保障资金。</w:t>
      </w:r>
    </w:p>
    <w:p>
      <w:pPr>
        <w:pStyle w:val="48"/>
        <w:numPr>
          <w:ilvl w:val="1"/>
          <w:numId w:val="40"/>
        </w:numPr>
        <w:spacing w:line="360" w:lineRule="auto"/>
        <w:ind w:left="851" w:hanging="360" w:firstLineChars="0"/>
        <w:rPr>
          <w:rFonts w:ascii="宋体" w:hAnsi="宋体" w:cs="宋体"/>
          <w:color w:val="auto"/>
          <w:sz w:val="24"/>
        </w:rPr>
      </w:pPr>
      <w:r>
        <w:rPr>
          <w:rFonts w:hint="eastAsia" w:ascii="宋体" w:hAnsi="宋体" w:cs="Arial"/>
          <w:color w:val="auto"/>
          <w:sz w:val="24"/>
        </w:rPr>
        <w:t>扫描（或复印）件应全面、完整、清晰并加盖磋商供应商公章。</w:t>
      </w:r>
    </w:p>
    <w:p>
      <w:pPr>
        <w:pStyle w:val="4"/>
        <w:numPr>
          <w:ilvl w:val="0"/>
          <w:numId w:val="0"/>
        </w:numPr>
        <w:ind w:left="709" w:hanging="709"/>
        <w:rPr>
          <w:rFonts w:hAnsi="宋体"/>
          <w:color w:val="auto"/>
          <w:sz w:val="24"/>
          <w:szCs w:val="24"/>
          <w:lang w:val="zh-CN"/>
        </w:rPr>
      </w:pPr>
      <w:r>
        <w:rPr>
          <w:rFonts w:hAnsi="宋体"/>
          <w:b/>
          <w:color w:val="auto"/>
          <w:sz w:val="24"/>
          <w:szCs w:val="24"/>
          <w:lang w:val="zh-CN"/>
        </w:rPr>
        <w:br w:type="page"/>
      </w:r>
      <w:bookmarkStart w:id="96" w:name="_Toc109133124"/>
      <w:r>
        <w:rPr>
          <w:rFonts w:hint="eastAsia" w:hAnsi="宋体"/>
          <w:b/>
          <w:color w:val="auto"/>
          <w:sz w:val="24"/>
          <w:szCs w:val="24"/>
          <w:lang w:val="zh-CN"/>
        </w:rPr>
        <w:t>格式8、具备履行合同所必须的设备和专业技术能力证明</w:t>
      </w:r>
      <w:bookmarkEnd w:id="96"/>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具备履行合同所必须的设备和专业技术能力证明</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ind w:firstLine="480"/>
        <w:rPr>
          <w:rFonts w:ascii="宋体" w:hAnsi="宋体" w:cs="宋体"/>
          <w:color w:val="auto"/>
          <w:kern w:val="0"/>
          <w:sz w:val="24"/>
          <w:lang w:val="zh-CN"/>
        </w:rPr>
      </w:pPr>
      <w:r>
        <w:rPr>
          <w:rFonts w:ascii="宋体" w:hAnsi="宋体" w:cs="宋体"/>
          <w:color w:val="auto"/>
          <w:kern w:val="0"/>
          <w:sz w:val="24"/>
          <w:lang w:val="zh-CN"/>
        </w:rPr>
        <w:t>为保证本项目合同的顺利履行，投标人必须具备履行合同的设备和专业技术能力，</w:t>
      </w:r>
      <w:r>
        <w:rPr>
          <w:rFonts w:hint="eastAsia" w:ascii="宋体" w:hAnsi="宋体" w:cs="宋体"/>
          <w:color w:val="auto"/>
          <w:kern w:val="0"/>
          <w:sz w:val="24"/>
          <w:lang w:val="zh-CN"/>
        </w:rPr>
        <w:t>须提供履行合同的设备和专业技术能力的承诺函（格式自拟），</w:t>
      </w:r>
      <w:r>
        <w:rPr>
          <w:rFonts w:ascii="宋体" w:hAnsi="宋体" w:cs="宋体"/>
          <w:color w:val="auto"/>
          <w:kern w:val="0"/>
          <w:sz w:val="24"/>
          <w:lang w:val="zh-CN"/>
        </w:rPr>
        <w:t>须提供相关人员的证书</w:t>
      </w:r>
      <w:r>
        <w:rPr>
          <w:rFonts w:hint="eastAsia" w:ascii="宋体" w:hAnsi="宋体" w:cs="宋体"/>
          <w:color w:val="auto"/>
          <w:kern w:val="0"/>
          <w:sz w:val="24"/>
          <w:lang w:val="zh-CN"/>
        </w:rPr>
        <w:t>及</w:t>
      </w:r>
      <w:r>
        <w:rPr>
          <w:rFonts w:ascii="宋体" w:hAnsi="宋体" w:cs="宋体"/>
          <w:color w:val="auto"/>
          <w:kern w:val="0"/>
          <w:sz w:val="24"/>
          <w:lang w:val="zh-CN"/>
        </w:rPr>
        <w:t>用工合同等证明材料。</w:t>
      </w:r>
    </w:p>
    <w:p>
      <w:pPr>
        <w:pStyle w:val="4"/>
        <w:numPr>
          <w:ilvl w:val="0"/>
          <w:numId w:val="0"/>
        </w:numPr>
        <w:ind w:left="709" w:hanging="709"/>
        <w:rPr>
          <w:rFonts w:hAnsi="宋体" w:cs="宋体"/>
          <w:color w:val="auto"/>
          <w:sz w:val="24"/>
          <w:szCs w:val="24"/>
          <w:lang w:val="zh-CN"/>
        </w:rPr>
      </w:pPr>
      <w:r>
        <w:rPr>
          <w:rFonts w:hAnsi="宋体" w:cs="宋体"/>
          <w:color w:val="auto"/>
          <w:kern w:val="0"/>
          <w:sz w:val="24"/>
          <w:szCs w:val="24"/>
          <w:lang w:val="zh-CN"/>
        </w:rPr>
        <w:br w:type="page"/>
      </w:r>
      <w:bookmarkStart w:id="97" w:name="_Toc109133125"/>
      <w:r>
        <w:rPr>
          <w:rFonts w:hint="eastAsia" w:hAnsi="宋体"/>
          <w:b/>
          <w:color w:val="auto"/>
          <w:sz w:val="24"/>
          <w:szCs w:val="24"/>
          <w:lang w:val="zh-CN"/>
        </w:rPr>
        <w:t>格式</w:t>
      </w:r>
      <w:bookmarkEnd w:id="94"/>
      <w:bookmarkEnd w:id="95"/>
      <w:r>
        <w:rPr>
          <w:rFonts w:hint="eastAsia" w:hAnsi="宋体"/>
          <w:b/>
          <w:color w:val="auto"/>
          <w:sz w:val="24"/>
          <w:szCs w:val="24"/>
          <w:lang w:val="zh-CN"/>
        </w:rPr>
        <w:t>9、磋商保证金证明</w:t>
      </w:r>
      <w:bookmarkEnd w:id="97"/>
    </w:p>
    <w:p>
      <w:pPr>
        <w:spacing w:line="360" w:lineRule="auto"/>
        <w:rPr>
          <w:rFonts w:ascii="宋体" w:hAnsi="宋体" w:cs="宋体"/>
          <w:color w:val="auto"/>
          <w:sz w:val="24"/>
          <w:lang w:val="zh-CN"/>
        </w:rPr>
      </w:pPr>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磋商保证金证明</w:t>
      </w:r>
    </w:p>
    <w:p>
      <w:pPr>
        <w:autoSpaceDE w:val="0"/>
        <w:autoSpaceDN w:val="0"/>
        <w:adjustRightInd w:val="0"/>
        <w:spacing w:line="360" w:lineRule="auto"/>
        <w:rPr>
          <w:rFonts w:ascii="宋体" w:hAnsi="宋体" w:cs="宋体"/>
          <w:b/>
          <w:bCs/>
          <w:color w:val="auto"/>
          <w:kern w:val="0"/>
          <w:sz w:val="24"/>
          <w:lang w:val="zh-CN"/>
        </w:rPr>
      </w:pPr>
      <w:bookmarkStart w:id="98" w:name="_Toc325726048"/>
      <w:bookmarkEnd w:id="98"/>
    </w:p>
    <w:p>
      <w:pPr>
        <w:autoSpaceDE w:val="0"/>
        <w:autoSpaceDN w:val="0"/>
        <w:adjustRightInd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致：青海国焱工程项目管理有限公司</w:t>
      </w:r>
    </w:p>
    <w:p>
      <w:pPr>
        <w:autoSpaceDE w:val="0"/>
        <w:autoSpaceDN w:val="0"/>
        <w:adjustRightInd w:val="0"/>
        <w:spacing w:line="360" w:lineRule="auto"/>
        <w:rPr>
          <w:rFonts w:ascii="宋体" w:hAnsi="宋体" w:cs="宋体"/>
          <w:b/>
          <w:bCs/>
          <w:color w:val="auto"/>
          <w:kern w:val="0"/>
          <w:sz w:val="24"/>
          <w:lang w:val="zh-CN"/>
        </w:rPr>
      </w:pPr>
    </w:p>
    <w:p>
      <w:pPr>
        <w:autoSpaceDE w:val="0"/>
        <w:autoSpaceDN w:val="0"/>
        <w:adjustRightInd w:val="0"/>
        <w:spacing w:line="360" w:lineRule="auto"/>
        <w:ind w:firstLine="360"/>
        <w:rPr>
          <w:rFonts w:ascii="宋体" w:hAnsi="宋体" w:cs="宋体"/>
          <w:color w:val="auto"/>
          <w:kern w:val="0"/>
          <w:sz w:val="24"/>
          <w:lang w:val="zh-CN"/>
        </w:rPr>
      </w:pPr>
      <w:r>
        <w:rPr>
          <w:rFonts w:hint="eastAsia" w:ascii="宋体" w:hAnsi="宋体" w:cs="宋体"/>
          <w:color w:val="auto"/>
          <w:kern w:val="0"/>
          <w:sz w:val="24"/>
          <w:lang w:val="zh-CN"/>
        </w:rPr>
        <w:t>我方为（项目名称：            ）项目（采购编号为：           ）递交保证金人民币（大写：人民币          元）已于  年  月   日以基本户转账方式汇入你方账户。</w:t>
      </w:r>
    </w:p>
    <w:p>
      <w:pPr>
        <w:autoSpaceDE w:val="0"/>
        <w:autoSpaceDN w:val="0"/>
        <w:adjustRightInd w:val="0"/>
        <w:spacing w:line="360" w:lineRule="auto"/>
        <w:ind w:firstLine="360"/>
        <w:rPr>
          <w:rFonts w:ascii="宋体" w:hAnsi="宋体" w:cs="宋体"/>
          <w:bCs/>
          <w:color w:val="auto"/>
          <w:kern w:val="0"/>
          <w:sz w:val="24"/>
          <w:lang w:val="zh-CN"/>
        </w:rPr>
      </w:pPr>
      <w:r>
        <w:rPr>
          <w:rFonts w:hint="eastAsia" w:ascii="宋体" w:hAnsi="宋体" w:cs="宋体"/>
          <w:bCs/>
          <w:color w:val="auto"/>
          <w:kern w:val="0"/>
          <w:sz w:val="24"/>
          <w:lang w:val="zh-CN"/>
        </w:rPr>
        <w:t>附件：保证金交款证明及开户许可证复印件（加盖磋商供应商公章）</w:t>
      </w:r>
    </w:p>
    <w:p>
      <w:pPr>
        <w:autoSpaceDE w:val="0"/>
        <w:autoSpaceDN w:val="0"/>
        <w:adjustRightInd w:val="0"/>
        <w:spacing w:line="360" w:lineRule="auto"/>
        <w:ind w:firstLine="360"/>
        <w:rPr>
          <w:rFonts w:ascii="宋体" w:hAnsi="宋体" w:cs="宋体"/>
          <w:color w:val="auto"/>
          <w:kern w:val="0"/>
          <w:sz w:val="24"/>
          <w:lang w:val="zh-CN"/>
        </w:rPr>
      </w:pPr>
      <w:r>
        <w:rPr>
          <w:rFonts w:hint="eastAsia" w:ascii="宋体" w:hAnsi="宋体"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360"/>
        <w:rPr>
          <w:rFonts w:ascii="宋体" w:hAnsi="宋体" w:cs="宋体"/>
          <w:color w:val="auto"/>
          <w:kern w:val="0"/>
          <w:sz w:val="24"/>
          <w:lang w:val="zh-CN"/>
        </w:rPr>
      </w:pPr>
      <w:r>
        <w:rPr>
          <w:rFonts w:hint="eastAsia" w:ascii="宋体" w:hAnsi="宋体" w:cs="宋体"/>
          <w:color w:val="auto"/>
          <w:kern w:val="0"/>
          <w:sz w:val="24"/>
          <w:lang w:val="zh-CN"/>
        </w:rPr>
        <w:t>户    名：</w:t>
      </w:r>
    </w:p>
    <w:p>
      <w:pPr>
        <w:autoSpaceDE w:val="0"/>
        <w:autoSpaceDN w:val="0"/>
        <w:adjustRightInd w:val="0"/>
        <w:spacing w:line="360" w:lineRule="auto"/>
        <w:ind w:firstLine="360"/>
        <w:rPr>
          <w:rFonts w:ascii="宋体" w:hAnsi="宋体" w:cs="宋体"/>
          <w:color w:val="auto"/>
          <w:kern w:val="0"/>
          <w:sz w:val="24"/>
          <w:lang w:val="zh-CN"/>
        </w:rPr>
      </w:pPr>
      <w:r>
        <w:rPr>
          <w:rFonts w:hint="eastAsia" w:ascii="宋体" w:hAnsi="宋体" w:cs="宋体"/>
          <w:color w:val="auto"/>
          <w:kern w:val="0"/>
          <w:sz w:val="24"/>
          <w:lang w:val="zh-CN"/>
        </w:rPr>
        <w:t>开户银行：</w:t>
      </w:r>
    </w:p>
    <w:p>
      <w:pPr>
        <w:autoSpaceDE w:val="0"/>
        <w:autoSpaceDN w:val="0"/>
        <w:adjustRightInd w:val="0"/>
        <w:spacing w:line="360" w:lineRule="auto"/>
        <w:ind w:firstLine="360"/>
        <w:rPr>
          <w:rFonts w:ascii="宋体" w:hAnsi="宋体" w:cs="宋体"/>
          <w:color w:val="auto"/>
          <w:kern w:val="0"/>
          <w:sz w:val="24"/>
          <w:lang w:val="zh-CN"/>
        </w:rPr>
      </w:pPr>
      <w:r>
        <w:rPr>
          <w:rFonts w:hint="eastAsia" w:ascii="宋体" w:hAnsi="宋体" w:cs="宋体"/>
          <w:color w:val="auto"/>
          <w:kern w:val="0"/>
          <w:sz w:val="24"/>
          <w:lang w:val="zh-CN"/>
        </w:rPr>
        <w:t>开户帐号：</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rPr>
          <w:rFonts w:ascii="宋体" w:hAnsi="宋体" w:cs="宋体"/>
          <w:color w:val="auto"/>
          <w:kern w:val="0"/>
          <w:sz w:val="24"/>
          <w:lang w:val="zh-CN"/>
        </w:rPr>
      </w:pP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磋商供应商：             （公章）</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法定代表人或委托代理人：       （签字）</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日期：    年   月   日</w:t>
      </w:r>
    </w:p>
    <w:p>
      <w:pPr>
        <w:spacing w:line="360" w:lineRule="auto"/>
        <w:rPr>
          <w:rFonts w:ascii="宋体" w:hAnsi="宋体"/>
          <w:color w:val="auto"/>
          <w:sz w:val="24"/>
          <w:lang w:val="zh-CN"/>
        </w:rPr>
      </w:pPr>
    </w:p>
    <w:p>
      <w:pPr>
        <w:pStyle w:val="4"/>
        <w:numPr>
          <w:ilvl w:val="0"/>
          <w:numId w:val="0"/>
        </w:numPr>
        <w:ind w:left="709" w:hanging="709"/>
        <w:rPr>
          <w:rFonts w:hAnsi="宋体" w:cs="宋体"/>
          <w:color w:val="auto"/>
          <w:sz w:val="24"/>
          <w:szCs w:val="24"/>
        </w:rPr>
      </w:pPr>
      <w:r>
        <w:rPr>
          <w:rFonts w:hAnsi="宋体" w:cs="宋体"/>
          <w:color w:val="auto"/>
          <w:kern w:val="0"/>
          <w:sz w:val="24"/>
          <w:szCs w:val="24"/>
          <w:lang w:val="zh-CN"/>
        </w:rPr>
        <w:br w:type="page"/>
      </w:r>
      <w:bookmarkStart w:id="99" w:name="_Toc428180589"/>
      <w:bookmarkStart w:id="100" w:name="_Toc444715741"/>
      <w:bookmarkStart w:id="101" w:name="_Toc21450"/>
      <w:bookmarkStart w:id="102" w:name="_Toc109133126"/>
      <w:r>
        <w:rPr>
          <w:rFonts w:hint="eastAsia" w:hAnsi="宋体"/>
          <w:b/>
          <w:color w:val="auto"/>
          <w:sz w:val="24"/>
          <w:szCs w:val="24"/>
          <w:lang w:val="zh-CN"/>
        </w:rPr>
        <w:t>格式10、无重大违法记录声明</w:t>
      </w:r>
      <w:bookmarkEnd w:id="99"/>
      <w:bookmarkEnd w:id="100"/>
      <w:bookmarkEnd w:id="101"/>
      <w:bookmarkEnd w:id="102"/>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无重大违法记录声明</w:t>
      </w:r>
    </w:p>
    <w:p>
      <w:pPr>
        <w:autoSpaceDE w:val="0"/>
        <w:autoSpaceDN w:val="0"/>
        <w:adjustRightInd w:val="0"/>
        <w:spacing w:line="360" w:lineRule="auto"/>
        <w:rPr>
          <w:rFonts w:ascii="宋体" w:hAnsi="宋体" w:cs="宋体"/>
          <w:color w:val="auto"/>
          <w:kern w:val="0"/>
          <w:sz w:val="24"/>
          <w:lang w:val="zh-CN"/>
        </w:rPr>
      </w:pPr>
    </w:p>
    <w:p>
      <w:pPr>
        <w:spacing w:line="360" w:lineRule="auto"/>
        <w:ind w:firstLine="426" w:firstLineChars="177"/>
        <w:rPr>
          <w:rFonts w:ascii="宋体" w:hAnsi="宋体" w:cs="Arial"/>
          <w:color w:val="auto"/>
          <w:sz w:val="24"/>
        </w:rPr>
      </w:pPr>
      <w:r>
        <w:rPr>
          <w:rFonts w:hint="eastAsia" w:ascii="宋体" w:hAnsi="宋体" w:cs="宋体"/>
          <w:b/>
          <w:bCs/>
          <w:color w:val="auto"/>
          <w:kern w:val="0"/>
          <w:sz w:val="24"/>
          <w:lang w:val="zh-CN"/>
        </w:rPr>
        <w:t>致：青海国焱工程项目管理有限公司</w:t>
      </w:r>
    </w:p>
    <w:p>
      <w:pPr>
        <w:spacing w:line="360" w:lineRule="auto"/>
        <w:ind w:firstLine="424" w:firstLineChars="177"/>
        <w:rPr>
          <w:rFonts w:ascii="宋体" w:hAnsi="宋体" w:cs="Arial"/>
          <w:color w:val="auto"/>
          <w:sz w:val="24"/>
        </w:rPr>
      </w:pPr>
      <w:r>
        <w:rPr>
          <w:rFonts w:ascii="宋体" w:hAnsi="宋体" w:cs="Arial"/>
          <w:color w:val="auto"/>
          <w:sz w:val="24"/>
        </w:rPr>
        <w:t>（</w:t>
      </w:r>
      <w:r>
        <w:rPr>
          <w:rFonts w:hint="eastAsia" w:ascii="宋体" w:hAnsi="宋体" w:cs="Arial"/>
          <w:color w:val="auto"/>
          <w:sz w:val="24"/>
        </w:rPr>
        <w:t>磋商</w:t>
      </w:r>
      <w:r>
        <w:rPr>
          <w:rFonts w:ascii="宋体" w:hAnsi="宋体" w:cs="Arial"/>
          <w:color w:val="auto"/>
          <w:sz w:val="24"/>
        </w:rPr>
        <w:t>供应商名称）郑重声明，我方参加本项目</w:t>
      </w:r>
      <w:r>
        <w:rPr>
          <w:rFonts w:hint="eastAsia" w:ascii="宋体" w:hAnsi="宋体" w:cs="Arial"/>
          <w:color w:val="auto"/>
          <w:sz w:val="24"/>
        </w:rPr>
        <w:t>竞磋</w:t>
      </w:r>
      <w:r>
        <w:rPr>
          <w:rFonts w:ascii="宋体" w:hAnsi="宋体" w:cs="Arial"/>
          <w:color w:val="auto"/>
          <w:sz w:val="24"/>
        </w:rPr>
        <w:t>活动前三年内无重大违法活动记录，符合《中华人民共和国政府采购法》规定的供应商资格条件。我方对此声明负全部法律责任。</w:t>
      </w: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r>
        <w:rPr>
          <w:rFonts w:ascii="宋体" w:hAnsi="宋体" w:cs="Arial"/>
          <w:color w:val="auto"/>
          <w:sz w:val="24"/>
        </w:rPr>
        <w:t>特此声明。</w:t>
      </w: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r>
        <w:rPr>
          <w:rFonts w:hint="eastAsia" w:ascii="宋体" w:hAnsi="宋体"/>
          <w:color w:val="auto"/>
          <w:sz w:val="24"/>
          <w:lang w:val="zh-CN"/>
        </w:rPr>
        <w:t>（提供“信用中国”网站的查询截图，提供“中国政府采购网”网站的查询截图）</w:t>
      </w: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spacing w:line="360" w:lineRule="auto"/>
        <w:ind w:firstLine="424" w:firstLineChars="177"/>
        <w:rPr>
          <w:rFonts w:ascii="宋体" w:hAnsi="宋体" w:cs="Arial"/>
          <w:color w:val="auto"/>
          <w:sz w:val="24"/>
        </w:rPr>
      </w:pPr>
    </w:p>
    <w:p>
      <w:pPr>
        <w:tabs>
          <w:tab w:val="left" w:pos="168"/>
        </w:tabs>
        <w:wordWrap w:val="0"/>
        <w:adjustRightInd w:val="0"/>
        <w:spacing w:line="360" w:lineRule="auto"/>
        <w:jc w:val="right"/>
        <w:textAlignment w:val="baseline"/>
        <w:rPr>
          <w:rFonts w:ascii="宋体" w:hAnsi="宋体"/>
          <w:bCs/>
          <w:color w:val="auto"/>
          <w:sz w:val="24"/>
        </w:rPr>
      </w:pPr>
      <w:r>
        <w:rPr>
          <w:rFonts w:hint="eastAsia" w:ascii="宋体" w:hAnsi="宋体"/>
          <w:bCs/>
          <w:color w:val="auto"/>
          <w:sz w:val="24"/>
        </w:rPr>
        <w:t>投标供应商：             （公章）</w:t>
      </w:r>
    </w:p>
    <w:p>
      <w:pPr>
        <w:tabs>
          <w:tab w:val="left" w:pos="168"/>
        </w:tabs>
        <w:wordWrap w:val="0"/>
        <w:adjustRightInd w:val="0"/>
        <w:spacing w:line="360" w:lineRule="auto"/>
        <w:jc w:val="right"/>
        <w:textAlignment w:val="baseline"/>
        <w:rPr>
          <w:rFonts w:ascii="宋体" w:hAnsi="宋体"/>
          <w:bCs/>
          <w:color w:val="auto"/>
          <w:sz w:val="24"/>
        </w:rPr>
      </w:pPr>
      <w:r>
        <w:rPr>
          <w:rFonts w:hint="eastAsia" w:ascii="宋体" w:hAnsi="宋体"/>
          <w:bCs/>
          <w:color w:val="auto"/>
          <w:sz w:val="24"/>
        </w:rPr>
        <w:t>委托代理人：                    （签字）</w:t>
      </w:r>
    </w:p>
    <w:p>
      <w:pPr>
        <w:spacing w:line="360" w:lineRule="auto"/>
        <w:ind w:firstLine="424" w:firstLineChars="177"/>
        <w:rPr>
          <w:rFonts w:ascii="宋体" w:hAnsi="宋体" w:cs="Arial"/>
          <w:color w:val="auto"/>
          <w:sz w:val="24"/>
        </w:rPr>
      </w:pPr>
      <w:r>
        <w:rPr>
          <w:rFonts w:hint="eastAsia" w:ascii="宋体" w:hAnsi="宋体"/>
          <w:bCs/>
          <w:color w:val="auto"/>
          <w:sz w:val="24"/>
        </w:rPr>
        <w:t xml:space="preserve">                                      日期：                  年   月   日</w:t>
      </w:r>
    </w:p>
    <w:p>
      <w:pPr>
        <w:spacing w:line="360" w:lineRule="auto"/>
        <w:rPr>
          <w:rFonts w:ascii="宋体" w:hAnsi="宋体"/>
          <w:b/>
          <w:color w:val="auto"/>
          <w:sz w:val="24"/>
          <w:lang w:val="zh-CN"/>
        </w:rPr>
      </w:pPr>
      <w:r>
        <w:rPr>
          <w:rFonts w:ascii="宋体" w:hAnsi="宋体" w:cs="宋体"/>
          <w:color w:val="auto"/>
          <w:kern w:val="0"/>
          <w:sz w:val="24"/>
          <w:lang w:val="zh-CN"/>
        </w:rPr>
        <w:br w:type="page"/>
      </w:r>
    </w:p>
    <w:p>
      <w:pPr>
        <w:pStyle w:val="4"/>
        <w:numPr>
          <w:ilvl w:val="0"/>
          <w:numId w:val="0"/>
        </w:numPr>
        <w:ind w:left="709" w:hanging="709"/>
        <w:rPr>
          <w:rFonts w:hAnsi="宋体"/>
          <w:color w:val="auto"/>
          <w:sz w:val="24"/>
          <w:szCs w:val="24"/>
          <w:lang w:val="zh-CN"/>
        </w:rPr>
      </w:pPr>
      <w:bookmarkStart w:id="103" w:name="_Toc109133127"/>
      <w:r>
        <w:rPr>
          <w:rFonts w:hint="eastAsia" w:hAnsi="宋体"/>
          <w:b/>
          <w:color w:val="auto"/>
          <w:sz w:val="24"/>
          <w:szCs w:val="24"/>
          <w:lang w:val="zh-CN"/>
        </w:rPr>
        <w:t>格式11、</w:t>
      </w:r>
      <w:bookmarkStart w:id="104" w:name="_Toc487036155"/>
      <w:r>
        <w:rPr>
          <w:rFonts w:hint="eastAsia" w:hAnsi="宋体"/>
          <w:b/>
          <w:color w:val="auto"/>
          <w:sz w:val="24"/>
          <w:szCs w:val="24"/>
        </w:rPr>
        <w:t>竞争性磋商首次报价表</w:t>
      </w:r>
      <w:bookmarkEnd w:id="103"/>
      <w:bookmarkEnd w:id="104"/>
    </w:p>
    <w:p>
      <w:pPr>
        <w:autoSpaceDE w:val="0"/>
        <w:autoSpaceDN w:val="0"/>
        <w:adjustRightInd w:val="0"/>
        <w:spacing w:line="360" w:lineRule="auto"/>
        <w:jc w:val="center"/>
        <w:rPr>
          <w:rFonts w:ascii="宋体" w:hAnsi="宋体"/>
          <w:b/>
          <w:color w:val="auto"/>
          <w:sz w:val="24"/>
        </w:rPr>
      </w:pPr>
      <w:r>
        <w:rPr>
          <w:rFonts w:hint="eastAsia" w:ascii="宋体" w:hAnsi="宋体"/>
          <w:b/>
          <w:color w:val="auto"/>
          <w:sz w:val="24"/>
        </w:rPr>
        <w:t>竞争性磋商首次报价表</w:t>
      </w:r>
    </w:p>
    <w:p>
      <w:pPr>
        <w:autoSpaceDE w:val="0"/>
        <w:autoSpaceDN w:val="0"/>
        <w:adjustRightInd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 xml:space="preserve">采购项目名称:  </w:t>
      </w:r>
    </w:p>
    <w:p>
      <w:pPr>
        <w:autoSpaceDE w:val="0"/>
        <w:autoSpaceDN w:val="0"/>
        <w:adjustRightInd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采购项目编号：</w:t>
      </w:r>
    </w:p>
    <w:p>
      <w:pPr>
        <w:autoSpaceDE w:val="0"/>
        <w:autoSpaceDN w:val="0"/>
        <w:spacing w:line="360" w:lineRule="auto"/>
        <w:rPr>
          <w:rFonts w:ascii="宋体" w:hAnsi="宋体" w:cs="宋体"/>
          <w:b/>
          <w:bCs/>
          <w:color w:val="auto"/>
          <w:sz w:val="24"/>
          <w:lang w:val="zh-CN"/>
        </w:rPr>
      </w:pPr>
      <w:r>
        <w:rPr>
          <w:rFonts w:hint="eastAsia" w:ascii="宋体" w:hAnsi="宋体" w:cs="宋体"/>
          <w:b/>
          <w:bCs/>
          <w:color w:val="auto"/>
          <w:sz w:val="24"/>
          <w:lang w:val="zh-CN"/>
        </w:rPr>
        <w:t>磋商供应商名称：</w:t>
      </w:r>
    </w:p>
    <w:p>
      <w:pPr>
        <w:autoSpaceDE w:val="0"/>
        <w:autoSpaceDN w:val="0"/>
        <w:spacing w:line="360" w:lineRule="auto"/>
        <w:jc w:val="right"/>
        <w:rPr>
          <w:rFonts w:ascii="宋体" w:hAnsi="宋体" w:cs="宋体"/>
          <w:b/>
          <w:bCs/>
          <w:color w:val="auto"/>
          <w:kern w:val="0"/>
          <w:sz w:val="24"/>
          <w:lang w:val="zh-CN"/>
        </w:rPr>
      </w:pPr>
    </w:p>
    <w:p>
      <w:pPr>
        <w:autoSpaceDE w:val="0"/>
        <w:autoSpaceDN w:val="0"/>
        <w:spacing w:line="360" w:lineRule="auto"/>
        <w:jc w:val="right"/>
        <w:rPr>
          <w:rFonts w:ascii="宋体" w:hAnsi="宋体" w:cs="宋体"/>
          <w:bCs/>
          <w:color w:val="auto"/>
          <w:kern w:val="0"/>
          <w:sz w:val="24"/>
          <w:lang w:val="zh-CN"/>
        </w:rPr>
      </w:pPr>
      <w:r>
        <w:rPr>
          <w:rFonts w:hint="eastAsia" w:ascii="宋体" w:hAnsi="宋体" w:cs="宋体"/>
          <w:bCs/>
          <w:color w:val="auto"/>
          <w:kern w:val="0"/>
          <w:sz w:val="24"/>
          <w:lang w:val="zh-CN"/>
        </w:rPr>
        <w:t>单位：人民币（元）</w:t>
      </w:r>
    </w:p>
    <w:tbl>
      <w:tblPr>
        <w:tblStyle w:val="32"/>
        <w:tblW w:w="9968" w:type="dxa"/>
        <w:jc w:val="center"/>
        <w:tblLayout w:type="fixed"/>
        <w:tblCellMar>
          <w:top w:w="0" w:type="dxa"/>
          <w:left w:w="108" w:type="dxa"/>
          <w:bottom w:w="0" w:type="dxa"/>
          <w:right w:w="108" w:type="dxa"/>
        </w:tblCellMar>
      </w:tblPr>
      <w:tblGrid>
        <w:gridCol w:w="3516"/>
        <w:gridCol w:w="2829"/>
        <w:gridCol w:w="2016"/>
        <w:gridCol w:w="1607"/>
      </w:tblGrid>
      <w:tr>
        <w:tblPrEx>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r>
              <w:rPr>
                <w:rFonts w:ascii="宋体" w:hAnsi="宋体" w:cs="Arial"/>
                <w:bCs/>
                <w:color w:val="auto"/>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2"/>
              <w:rPr>
                <w:rFonts w:ascii="宋体" w:hAnsi="宋体" w:cs="Arial"/>
                <w:color w:val="auto"/>
                <w:sz w:val="24"/>
                <w:lang w:val="zh-CN"/>
              </w:rPr>
            </w:pPr>
            <w:r>
              <w:rPr>
                <w:rFonts w:hint="eastAsia" w:ascii="宋体" w:hAnsi="宋体" w:cs="Arial"/>
                <w:bCs/>
                <w:color w:val="auto"/>
                <w:sz w:val="24"/>
                <w:lang w:val="zh-CN"/>
              </w:rPr>
              <w:t>磋商首次</w:t>
            </w:r>
            <w:r>
              <w:rPr>
                <w:rFonts w:ascii="宋体" w:hAnsi="宋体" w:cs="Arial"/>
                <w:bCs/>
                <w:color w:val="auto"/>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ascii="宋体" w:hAnsi="宋体" w:cs="Arial"/>
                <w:bCs/>
                <w:color w:val="auto"/>
                <w:sz w:val="24"/>
                <w:lang w:val="zh-CN"/>
              </w:rPr>
            </w:pPr>
            <w:r>
              <w:rPr>
                <w:rFonts w:ascii="宋体" w:hAnsi="宋体" w:cs="Arial"/>
                <w:bCs/>
                <w:color w:val="auto"/>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r>
              <w:rPr>
                <w:rFonts w:ascii="宋体" w:hAnsi="宋体" w:cs="Arial"/>
                <w:bCs/>
                <w:color w:val="auto"/>
                <w:sz w:val="24"/>
                <w:lang w:val="zh-CN"/>
              </w:rPr>
              <w:t>备注</w:t>
            </w:r>
          </w:p>
        </w:tc>
      </w:tr>
      <w:tr>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color w:val="auto"/>
                <w:sz w:val="24"/>
                <w:lang w:val="zh-CN"/>
              </w:rPr>
            </w:pPr>
            <w:r>
              <w:rPr>
                <w:rFonts w:ascii="宋体" w:hAnsi="宋体" w:cs="Arial"/>
                <w:bCs/>
                <w:color w:val="auto"/>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197"/>
              <w:jc w:val="center"/>
              <w:rPr>
                <w:rFonts w:ascii="宋体" w:hAnsi="宋体" w:cs="Arial"/>
                <w:color w:val="auto"/>
                <w:sz w:val="24"/>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r>
      <w:tr>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宋体" w:hAnsi="宋体" w:cs="Arial"/>
                <w:color w:val="auto"/>
                <w:sz w:val="24"/>
                <w:lang w:val="zh-CN"/>
              </w:rPr>
            </w:pPr>
            <w:r>
              <w:rPr>
                <w:rFonts w:ascii="宋体" w:hAnsi="宋体" w:cs="Arial"/>
                <w:bCs/>
                <w:color w:val="auto"/>
                <w:sz w:val="24"/>
                <w:lang w:val="zh-CN"/>
              </w:rPr>
              <w:t>小写：</w:t>
            </w:r>
          </w:p>
        </w:tc>
        <w:tc>
          <w:tcPr>
            <w:tcW w:w="2016"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c>
          <w:tcPr>
            <w:tcW w:w="1607"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宋体" w:hAnsi="宋体" w:cs="Arial"/>
                <w:color w:val="auto"/>
                <w:sz w:val="24"/>
                <w:lang w:val="zh-CN"/>
              </w:rPr>
            </w:pPr>
          </w:p>
        </w:tc>
      </w:tr>
    </w:tbl>
    <w:p>
      <w:pPr>
        <w:spacing w:line="360" w:lineRule="auto"/>
        <w:ind w:firstLine="465" w:firstLineChars="193"/>
        <w:rPr>
          <w:rFonts w:ascii="宋体" w:hAnsi="宋体" w:cs="Arial"/>
          <w:b/>
          <w:color w:val="auto"/>
          <w:sz w:val="24"/>
          <w:lang w:val="zh-CN"/>
        </w:rPr>
      </w:pPr>
      <w:r>
        <w:rPr>
          <w:rFonts w:ascii="宋体" w:hAnsi="宋体" w:cs="Arial"/>
          <w:b/>
          <w:bCs/>
          <w:color w:val="auto"/>
          <w:sz w:val="24"/>
          <w:lang w:val="zh-CN"/>
        </w:rPr>
        <w:t>注：</w:t>
      </w:r>
      <w:r>
        <w:rPr>
          <w:rFonts w:ascii="宋体" w:hAnsi="宋体" w:cs="Arial"/>
          <w:b/>
          <w:color w:val="auto"/>
          <w:sz w:val="24"/>
          <w:lang w:val="zh-CN"/>
        </w:rPr>
        <w:t>1</w:t>
      </w:r>
      <w:r>
        <w:rPr>
          <w:rFonts w:hint="eastAsia" w:ascii="宋体" w:hAnsi="宋体" w:cs="Arial"/>
          <w:b/>
          <w:color w:val="auto"/>
          <w:sz w:val="24"/>
          <w:lang w:val="zh-CN"/>
        </w:rPr>
        <w:t>、</w:t>
      </w:r>
      <w:r>
        <w:rPr>
          <w:rFonts w:ascii="宋体" w:hAnsi="宋体" w:cs="Arial"/>
          <w:b/>
          <w:color w:val="auto"/>
          <w:sz w:val="24"/>
          <w:lang w:val="zh-CN"/>
        </w:rPr>
        <w:t>填写此表时不得改变表格形式（可按所投包增加行）。</w:t>
      </w:r>
    </w:p>
    <w:p>
      <w:pPr>
        <w:spacing w:line="360" w:lineRule="auto"/>
        <w:ind w:firstLine="465" w:firstLineChars="193"/>
        <w:rPr>
          <w:rFonts w:ascii="宋体" w:hAnsi="宋体" w:cs="Arial"/>
          <w:b/>
          <w:color w:val="auto"/>
          <w:sz w:val="24"/>
          <w:lang w:val="zh-CN"/>
        </w:rPr>
      </w:pPr>
      <w:r>
        <w:rPr>
          <w:rFonts w:ascii="宋体" w:hAnsi="宋体" w:cs="Arial"/>
          <w:b/>
          <w:color w:val="auto"/>
          <w:sz w:val="24"/>
          <w:lang w:val="zh-CN"/>
        </w:rPr>
        <w:t>2</w:t>
      </w:r>
      <w:r>
        <w:rPr>
          <w:rFonts w:hint="eastAsia" w:ascii="宋体" w:hAnsi="宋体" w:cs="Arial"/>
          <w:b/>
          <w:color w:val="auto"/>
          <w:sz w:val="24"/>
          <w:lang w:val="zh-CN"/>
        </w:rPr>
        <w:t>、“</w:t>
      </w:r>
      <w:r>
        <w:rPr>
          <w:rFonts w:ascii="宋体" w:hAnsi="宋体" w:cs="Arial"/>
          <w:b/>
          <w:color w:val="auto"/>
          <w:sz w:val="24"/>
          <w:lang w:val="zh-CN"/>
        </w:rPr>
        <w:t>磋商报价</w:t>
      </w:r>
      <w:r>
        <w:rPr>
          <w:rFonts w:hint="eastAsia" w:ascii="宋体" w:hAnsi="宋体" w:cs="Arial"/>
          <w:b/>
          <w:color w:val="auto"/>
          <w:sz w:val="24"/>
          <w:lang w:val="zh-CN"/>
        </w:rPr>
        <w:t>”</w:t>
      </w:r>
      <w:r>
        <w:rPr>
          <w:rFonts w:ascii="宋体" w:hAnsi="宋体" w:cs="Arial"/>
          <w:b/>
          <w:color w:val="auto"/>
          <w:sz w:val="24"/>
          <w:lang w:val="zh-CN"/>
        </w:rPr>
        <w:t>为磋商总价。</w:t>
      </w:r>
      <w:r>
        <w:rPr>
          <w:rFonts w:hint="eastAsia" w:ascii="宋体" w:hAnsi="宋体" w:cs="Arial"/>
          <w:b/>
          <w:color w:val="auto"/>
          <w:sz w:val="24"/>
          <w:lang w:val="zh-CN"/>
        </w:rPr>
        <w:t>磋商报价必须包括：产品费、维护费、检验费、手续费、保险费、售后服务费、税金、招标代理费以及其他不可预见费等全部费用。</w:t>
      </w:r>
    </w:p>
    <w:p>
      <w:pPr>
        <w:spacing w:line="360" w:lineRule="auto"/>
        <w:ind w:firstLine="465" w:firstLineChars="193"/>
        <w:rPr>
          <w:rFonts w:ascii="宋体" w:hAnsi="宋体" w:cs="宋体"/>
          <w:b/>
          <w:bCs/>
          <w:color w:val="auto"/>
          <w:kern w:val="0"/>
          <w:sz w:val="24"/>
          <w:lang w:val="zh-CN"/>
        </w:rPr>
      </w:pPr>
      <w:r>
        <w:rPr>
          <w:rFonts w:ascii="宋体" w:hAnsi="宋体" w:cs="Arial"/>
          <w:b/>
          <w:color w:val="auto"/>
          <w:sz w:val="24"/>
          <w:lang w:val="zh-CN"/>
        </w:rPr>
        <w:t>3</w:t>
      </w:r>
      <w:r>
        <w:rPr>
          <w:rFonts w:hint="eastAsia" w:ascii="宋体" w:hAnsi="宋体" w:cs="Arial"/>
          <w:b/>
          <w:color w:val="auto"/>
          <w:sz w:val="24"/>
          <w:lang w:val="zh-CN"/>
        </w:rPr>
        <w:t>、“</w:t>
      </w:r>
      <w:r>
        <w:rPr>
          <w:rFonts w:ascii="宋体" w:hAnsi="宋体" w:cs="Arial"/>
          <w:b/>
          <w:color w:val="auto"/>
          <w:sz w:val="24"/>
          <w:lang w:val="zh-CN"/>
        </w:rPr>
        <w:t>交货</w:t>
      </w:r>
      <w:r>
        <w:rPr>
          <w:rFonts w:hint="eastAsia" w:ascii="宋体" w:hAnsi="宋体" w:cs="Arial"/>
          <w:b/>
          <w:color w:val="auto"/>
          <w:sz w:val="24"/>
          <w:lang w:val="zh-CN"/>
        </w:rPr>
        <w:t>期”是指产品能够交付使用的具体时间。</w:t>
      </w:r>
    </w:p>
    <w:p>
      <w:pPr>
        <w:spacing w:line="360" w:lineRule="auto"/>
        <w:ind w:firstLine="465" w:firstLineChars="193"/>
        <w:rPr>
          <w:rFonts w:ascii="宋体" w:hAnsi="宋体" w:cs="Arial"/>
          <w:b/>
          <w:color w:val="auto"/>
          <w:sz w:val="24"/>
          <w:lang w:val="zh-CN"/>
        </w:rPr>
      </w:pPr>
      <w:r>
        <w:rPr>
          <w:rFonts w:ascii="宋体" w:hAnsi="宋体" w:cs="Arial"/>
          <w:b/>
          <w:color w:val="auto"/>
          <w:sz w:val="24"/>
          <w:lang w:val="zh-CN"/>
        </w:rPr>
        <w:t>4</w:t>
      </w:r>
      <w:r>
        <w:rPr>
          <w:rFonts w:hint="eastAsia" w:ascii="宋体" w:hAnsi="宋体" w:cs="Arial"/>
          <w:b/>
          <w:color w:val="auto"/>
          <w:sz w:val="24"/>
          <w:lang w:val="zh-CN"/>
        </w:rPr>
        <w:t>、</w:t>
      </w:r>
      <w:r>
        <w:rPr>
          <w:rFonts w:ascii="宋体" w:hAnsi="宋体" w:cs="Arial"/>
          <w:b/>
          <w:color w:val="auto"/>
          <w:sz w:val="24"/>
          <w:lang w:val="zh-CN"/>
        </w:rPr>
        <w:t>磋商报价不能有两个或两个以上的报价方案。</w:t>
      </w:r>
    </w:p>
    <w:p>
      <w:pPr>
        <w:spacing w:line="360" w:lineRule="auto"/>
        <w:ind w:firstLine="465" w:firstLineChars="193"/>
        <w:rPr>
          <w:rFonts w:ascii="宋体" w:hAnsi="宋体" w:cs="宋体"/>
          <w:b/>
          <w:bCs/>
          <w:color w:val="auto"/>
          <w:kern w:val="0"/>
          <w:sz w:val="24"/>
          <w:lang w:val="zh-CN"/>
        </w:rPr>
      </w:pPr>
    </w:p>
    <w:p>
      <w:pPr>
        <w:spacing w:line="360" w:lineRule="auto"/>
        <w:rPr>
          <w:rFonts w:ascii="宋体" w:hAnsi="宋体" w:cs="宋体"/>
          <w:b/>
          <w:bCs/>
          <w:color w:val="auto"/>
          <w:kern w:val="0"/>
          <w:sz w:val="24"/>
          <w:lang w:val="zh-CN"/>
        </w:rPr>
      </w:pPr>
    </w:p>
    <w:p>
      <w:pPr>
        <w:spacing w:line="360" w:lineRule="auto"/>
        <w:ind w:firstLine="465" w:firstLineChars="193"/>
        <w:rPr>
          <w:rFonts w:ascii="宋体" w:hAnsi="宋体" w:cs="宋体"/>
          <w:b/>
          <w:bCs/>
          <w:color w:val="auto"/>
          <w:kern w:val="0"/>
          <w:sz w:val="24"/>
          <w:lang w:val="zh-CN"/>
        </w:rPr>
      </w:pPr>
    </w:p>
    <w:p>
      <w:pPr>
        <w:spacing w:line="360" w:lineRule="auto"/>
        <w:ind w:firstLine="465" w:firstLineChars="193"/>
        <w:rPr>
          <w:rFonts w:ascii="宋体" w:hAnsi="宋体" w:cs="宋体"/>
          <w:b/>
          <w:bCs/>
          <w:color w:val="auto"/>
          <w:kern w:val="0"/>
          <w:sz w:val="24"/>
          <w:lang w:val="zh-CN"/>
        </w:rPr>
      </w:pPr>
    </w:p>
    <w:p>
      <w:pPr>
        <w:spacing w:line="360" w:lineRule="auto"/>
        <w:ind w:firstLine="465" w:firstLineChars="193"/>
        <w:rPr>
          <w:rFonts w:ascii="宋体" w:hAnsi="宋体" w:cs="宋体"/>
          <w:b/>
          <w:bCs/>
          <w:color w:val="auto"/>
          <w:kern w:val="0"/>
          <w:sz w:val="24"/>
          <w:lang w:val="zh-CN"/>
        </w:rPr>
      </w:pP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磋商供应商：             （公章）</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法定代表人或委托代理人：                （签字）</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日期：    年   月   日</w:t>
      </w:r>
    </w:p>
    <w:p>
      <w:pPr>
        <w:pStyle w:val="4"/>
        <w:numPr>
          <w:ilvl w:val="0"/>
          <w:numId w:val="0"/>
        </w:numPr>
        <w:ind w:left="709" w:hanging="709"/>
        <w:rPr>
          <w:rFonts w:hAnsi="宋体"/>
          <w:color w:val="auto"/>
          <w:sz w:val="24"/>
          <w:szCs w:val="24"/>
          <w:lang w:val="zh-CN"/>
        </w:rPr>
      </w:pPr>
      <w:r>
        <w:rPr>
          <w:rFonts w:hAnsi="宋体"/>
          <w:bCs/>
          <w:color w:val="auto"/>
          <w:sz w:val="24"/>
          <w:szCs w:val="24"/>
        </w:rPr>
        <w:br w:type="page"/>
      </w:r>
      <w:bookmarkStart w:id="105" w:name="_Toc109133128"/>
      <w:r>
        <w:rPr>
          <w:rFonts w:hint="eastAsia" w:hAnsi="宋体"/>
          <w:b/>
          <w:color w:val="auto"/>
          <w:sz w:val="24"/>
          <w:szCs w:val="24"/>
          <w:lang w:val="zh-CN"/>
        </w:rPr>
        <w:t>格式12、分项报价表</w:t>
      </w:r>
      <w:bookmarkEnd w:id="105"/>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分项报价表</w:t>
      </w:r>
    </w:p>
    <w:p>
      <w:pPr>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 xml:space="preserve">采购项目名称:  </w:t>
      </w:r>
    </w:p>
    <w:p>
      <w:pPr>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采购项目编号：</w:t>
      </w:r>
    </w:p>
    <w:p>
      <w:pPr>
        <w:spacing w:line="360" w:lineRule="auto"/>
        <w:jc w:val="right"/>
        <w:rPr>
          <w:rFonts w:ascii="宋体" w:hAnsi="宋体"/>
          <w:color w:val="auto"/>
          <w:sz w:val="24"/>
          <w:lang w:val="zh-CN"/>
        </w:rPr>
      </w:pPr>
      <w:r>
        <w:rPr>
          <w:rFonts w:ascii="宋体" w:hAnsi="宋体" w:cs="宋体"/>
          <w:bCs/>
          <w:color w:val="auto"/>
          <w:kern w:val="0"/>
          <w:sz w:val="24"/>
          <w:lang w:val="zh-CN"/>
        </w:rPr>
        <w:t>单位</w:t>
      </w:r>
      <w:r>
        <w:rPr>
          <w:rFonts w:hint="eastAsia" w:ascii="宋体" w:hAnsi="宋体" w:cs="宋体"/>
          <w:bCs/>
          <w:color w:val="auto"/>
          <w:kern w:val="0"/>
          <w:sz w:val="24"/>
          <w:lang w:val="zh-CN"/>
        </w:rPr>
        <w:t>：</w:t>
      </w:r>
      <w:r>
        <w:rPr>
          <w:rFonts w:ascii="宋体" w:hAnsi="宋体" w:cs="宋体"/>
          <w:bCs/>
          <w:color w:val="auto"/>
          <w:kern w:val="0"/>
          <w:sz w:val="24"/>
          <w:lang w:val="zh-CN"/>
        </w:rPr>
        <w:t>人民币</w:t>
      </w:r>
      <w:r>
        <w:rPr>
          <w:rFonts w:hint="eastAsia" w:ascii="宋体" w:hAnsi="宋体" w:cs="宋体"/>
          <w:bCs/>
          <w:color w:val="auto"/>
          <w:kern w:val="0"/>
          <w:sz w:val="24"/>
          <w:lang w:val="zh-CN"/>
        </w:rPr>
        <w:t>（</w:t>
      </w:r>
      <w:r>
        <w:rPr>
          <w:rFonts w:ascii="宋体" w:hAnsi="宋体" w:cs="宋体"/>
          <w:bCs/>
          <w:color w:val="auto"/>
          <w:kern w:val="0"/>
          <w:sz w:val="24"/>
          <w:lang w:val="zh-CN"/>
        </w:rPr>
        <w:t>元</w:t>
      </w:r>
      <w:r>
        <w:rPr>
          <w:rFonts w:hint="eastAsia" w:ascii="宋体" w:hAnsi="宋体" w:cs="宋体"/>
          <w:bCs/>
          <w:color w:val="auto"/>
          <w:kern w:val="0"/>
          <w:sz w:val="24"/>
          <w:lang w:val="zh-CN"/>
        </w:rPr>
        <w:t>）</w:t>
      </w:r>
    </w:p>
    <w:tbl>
      <w:tblPr>
        <w:tblStyle w:val="32"/>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规格</w:t>
            </w:r>
          </w:p>
          <w:p>
            <w:pPr>
              <w:spacing w:line="360" w:lineRule="auto"/>
              <w:jc w:val="center"/>
              <w:rPr>
                <w:rFonts w:ascii="宋体" w:hAnsi="宋体"/>
                <w:color w:val="auto"/>
                <w:sz w:val="24"/>
                <w:lang w:val="zh-CN"/>
              </w:rPr>
            </w:pPr>
            <w:r>
              <w:rPr>
                <w:rFonts w:hint="eastAsia" w:ascii="宋体" w:hAnsi="宋体"/>
                <w:color w:val="auto"/>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color w:val="auto"/>
                <w:sz w:val="24"/>
                <w:lang w:val="zh-CN"/>
              </w:rPr>
            </w:pPr>
            <w:r>
              <w:rPr>
                <w:rFonts w:hint="eastAsia" w:ascii="宋体" w:hAnsi="宋体"/>
                <w:color w:val="auto"/>
                <w:sz w:val="24"/>
                <w:lang w:val="zh-CN"/>
              </w:rPr>
              <w:t>备注</w:t>
            </w: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ascii="宋体" w:hAnsi="宋体"/>
                <w:color w:val="auto"/>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color w:val="auto"/>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ascii="宋体" w:hAnsi="宋体"/>
                <w:color w:val="auto"/>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color w:val="auto"/>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ascii="宋体" w:hAnsi="宋体"/>
                <w:color w:val="auto"/>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color w:val="auto"/>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ascii="宋体" w:hAnsi="宋体"/>
                <w:color w:val="auto"/>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color w:val="auto"/>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r>
              <w:rPr>
                <w:rFonts w:ascii="宋体" w:hAnsi="宋体"/>
                <w:color w:val="auto"/>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宋体" w:hAnsi="宋体"/>
                <w:color w:val="auto"/>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spacing w:line="360" w:lineRule="auto"/>
              <w:jc w:val="center"/>
              <w:rPr>
                <w:rFonts w:ascii="宋体" w:hAnsi="宋体"/>
                <w:color w:val="auto"/>
                <w:sz w:val="24"/>
                <w:lang w:val="zh-CN"/>
              </w:rPr>
            </w:pPr>
          </w:p>
        </w:tc>
      </w:tr>
      <w:tr>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pPr>
              <w:spacing w:line="360" w:lineRule="auto"/>
              <w:rPr>
                <w:rFonts w:ascii="宋体" w:hAnsi="宋体"/>
                <w:color w:val="auto"/>
                <w:sz w:val="24"/>
                <w:lang w:val="zh-CN"/>
              </w:rPr>
            </w:pPr>
            <w:r>
              <w:rPr>
                <w:rFonts w:hint="eastAsia" w:ascii="宋体" w:hAnsi="宋体"/>
                <w:color w:val="auto"/>
                <w:sz w:val="24"/>
                <w:lang w:val="zh-CN"/>
              </w:rPr>
              <w:t>优惠承诺及其他：</w:t>
            </w:r>
          </w:p>
          <w:p>
            <w:pPr>
              <w:spacing w:line="360" w:lineRule="auto"/>
              <w:rPr>
                <w:rFonts w:ascii="宋体" w:hAnsi="宋体"/>
                <w:color w:val="auto"/>
                <w:sz w:val="24"/>
                <w:lang w:val="zh-CN"/>
              </w:rPr>
            </w:pPr>
          </w:p>
        </w:tc>
      </w:tr>
      <w:tr>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spacing w:line="360" w:lineRule="auto"/>
              <w:rPr>
                <w:rFonts w:ascii="宋体" w:hAnsi="宋体"/>
                <w:color w:val="auto"/>
                <w:sz w:val="24"/>
                <w:lang w:val="zh-CN"/>
              </w:rPr>
            </w:pPr>
            <w:r>
              <w:rPr>
                <w:rFonts w:hint="eastAsia" w:ascii="宋体" w:hAnsi="宋体"/>
                <w:color w:val="auto"/>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pPr>
              <w:spacing w:line="360" w:lineRule="auto"/>
              <w:rPr>
                <w:rFonts w:ascii="宋体" w:hAnsi="宋体"/>
                <w:color w:val="auto"/>
                <w:sz w:val="24"/>
                <w:lang w:val="zh-CN"/>
              </w:rPr>
            </w:pPr>
            <w:r>
              <w:rPr>
                <w:rFonts w:hint="eastAsia" w:ascii="宋体" w:hAnsi="宋体"/>
                <w:color w:val="auto"/>
                <w:sz w:val="24"/>
                <w:lang w:val="zh-CN"/>
              </w:rPr>
              <w:t>小写：</w:t>
            </w:r>
          </w:p>
          <w:p>
            <w:pPr>
              <w:spacing w:line="360" w:lineRule="auto"/>
              <w:rPr>
                <w:rFonts w:ascii="宋体" w:hAnsi="宋体"/>
                <w:color w:val="auto"/>
                <w:sz w:val="24"/>
                <w:lang w:val="zh-CN"/>
              </w:rPr>
            </w:pPr>
          </w:p>
          <w:p>
            <w:pPr>
              <w:spacing w:line="360" w:lineRule="auto"/>
              <w:rPr>
                <w:rFonts w:ascii="宋体" w:hAnsi="宋体"/>
                <w:color w:val="auto"/>
                <w:sz w:val="24"/>
                <w:lang w:val="zh-CN"/>
              </w:rPr>
            </w:pPr>
            <w:r>
              <w:rPr>
                <w:rFonts w:hint="eastAsia" w:ascii="宋体" w:hAnsi="宋体"/>
                <w:color w:val="auto"/>
                <w:sz w:val="24"/>
                <w:lang w:val="zh-CN"/>
              </w:rPr>
              <w:t>大写：</w:t>
            </w:r>
          </w:p>
        </w:tc>
      </w:tr>
    </w:tbl>
    <w:p>
      <w:pPr>
        <w:autoSpaceDE w:val="0"/>
        <w:autoSpaceDN w:val="0"/>
        <w:spacing w:line="360" w:lineRule="auto"/>
        <w:rPr>
          <w:rFonts w:ascii="宋体" w:hAnsi="宋体" w:cs="Arial"/>
          <w:b/>
          <w:bCs/>
          <w:color w:val="auto"/>
          <w:sz w:val="24"/>
          <w:lang w:val="zh-CN"/>
        </w:rPr>
      </w:pPr>
      <w:r>
        <w:rPr>
          <w:rFonts w:ascii="宋体" w:hAnsi="宋体" w:cs="Arial"/>
          <w:b/>
          <w:bCs/>
          <w:color w:val="auto"/>
          <w:sz w:val="24"/>
          <w:lang w:val="zh-CN"/>
        </w:rPr>
        <w:t>注：1、本表应依照</w:t>
      </w:r>
      <w:r>
        <w:rPr>
          <w:rFonts w:hint="eastAsia" w:ascii="宋体" w:hAnsi="宋体" w:cs="Arial"/>
          <w:b/>
          <w:bCs/>
          <w:color w:val="auto"/>
          <w:sz w:val="24"/>
          <w:lang w:val="zh-CN"/>
        </w:rPr>
        <w:t>采购项目参数及要求</w:t>
      </w:r>
      <w:r>
        <w:rPr>
          <w:rFonts w:ascii="宋体" w:hAnsi="宋体" w:cs="Arial"/>
          <w:b/>
          <w:bCs/>
          <w:color w:val="auto"/>
          <w:sz w:val="24"/>
          <w:lang w:val="zh-CN"/>
        </w:rPr>
        <w:t>中的产品序号按顺序逐项填写，不得遗漏。</w:t>
      </w:r>
    </w:p>
    <w:p>
      <w:pPr>
        <w:autoSpaceDE w:val="0"/>
        <w:autoSpaceDN w:val="0"/>
        <w:spacing w:line="360" w:lineRule="auto"/>
        <w:ind w:firstLine="482" w:firstLineChars="200"/>
        <w:rPr>
          <w:rFonts w:ascii="宋体" w:hAnsi="宋体" w:cs="Arial"/>
          <w:b/>
          <w:bCs/>
          <w:color w:val="auto"/>
          <w:sz w:val="24"/>
          <w:lang w:val="zh-CN"/>
        </w:rPr>
      </w:pPr>
      <w:r>
        <w:rPr>
          <w:rFonts w:ascii="宋体" w:hAnsi="宋体" w:cs="Arial"/>
          <w:b/>
          <w:bCs/>
          <w:color w:val="auto"/>
          <w:sz w:val="24"/>
          <w:lang w:val="zh-CN"/>
        </w:rPr>
        <w:t>2</w:t>
      </w:r>
      <w:r>
        <w:rPr>
          <w:rFonts w:hint="eastAsia" w:ascii="宋体" w:hAnsi="宋体" w:cs="Arial"/>
          <w:b/>
          <w:bCs/>
          <w:color w:val="auto"/>
          <w:sz w:val="24"/>
          <w:lang w:val="zh-CN"/>
        </w:rPr>
        <w:t>、“分项报价</w:t>
      </w:r>
      <w:r>
        <w:rPr>
          <w:rFonts w:ascii="宋体" w:hAnsi="宋体" w:cs="Arial"/>
          <w:b/>
          <w:bCs/>
          <w:color w:val="auto"/>
          <w:sz w:val="24"/>
          <w:lang w:val="zh-CN"/>
        </w:rPr>
        <w:t>表</w:t>
      </w:r>
      <w:r>
        <w:rPr>
          <w:rFonts w:hint="eastAsia" w:ascii="宋体" w:hAnsi="宋体" w:cs="Arial"/>
          <w:b/>
          <w:bCs/>
          <w:color w:val="auto"/>
          <w:sz w:val="24"/>
          <w:lang w:val="zh-CN"/>
        </w:rPr>
        <w:t>”</w:t>
      </w:r>
      <w:r>
        <w:rPr>
          <w:rFonts w:ascii="宋体" w:hAnsi="宋体" w:cs="Arial"/>
          <w:b/>
          <w:bCs/>
          <w:color w:val="auto"/>
          <w:sz w:val="24"/>
          <w:lang w:val="zh-CN"/>
        </w:rPr>
        <w:t>须为打印版，手写无效。</w:t>
      </w:r>
    </w:p>
    <w:p>
      <w:pPr>
        <w:spacing w:line="360" w:lineRule="auto"/>
        <w:rPr>
          <w:rFonts w:ascii="宋体" w:hAnsi="宋体"/>
          <w:color w:val="auto"/>
          <w:sz w:val="24"/>
          <w:lang w:val="zh-CN"/>
        </w:rPr>
      </w:pPr>
    </w:p>
    <w:p>
      <w:pPr>
        <w:spacing w:line="360" w:lineRule="auto"/>
        <w:rPr>
          <w:rFonts w:ascii="宋体" w:hAnsi="宋体"/>
          <w:color w:val="auto"/>
          <w:sz w:val="24"/>
          <w:lang w:val="zh-CN"/>
        </w:rPr>
      </w:pPr>
    </w:p>
    <w:p>
      <w:pPr>
        <w:spacing w:line="360" w:lineRule="auto"/>
        <w:rPr>
          <w:rFonts w:ascii="宋体" w:hAnsi="宋体"/>
          <w:color w:val="auto"/>
          <w:sz w:val="24"/>
          <w:lang w:val="zh-CN"/>
        </w:rPr>
      </w:pPr>
    </w:p>
    <w:p>
      <w:pPr>
        <w:spacing w:line="360" w:lineRule="auto"/>
        <w:rPr>
          <w:rFonts w:ascii="宋体" w:hAnsi="宋体"/>
          <w:color w:val="auto"/>
          <w:sz w:val="24"/>
          <w:lang w:val="zh-CN"/>
        </w:rPr>
      </w:pP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投标供应商：             （公章）</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法定代表人或委托代理人：       （签字）</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日期：    年   月   日</w:t>
      </w:r>
    </w:p>
    <w:p>
      <w:pPr>
        <w:pStyle w:val="4"/>
        <w:numPr>
          <w:ilvl w:val="0"/>
          <w:numId w:val="0"/>
        </w:numPr>
        <w:ind w:left="709" w:hanging="709"/>
        <w:rPr>
          <w:rFonts w:hAnsi="宋体" w:cs="宋体"/>
          <w:color w:val="auto"/>
          <w:sz w:val="24"/>
          <w:szCs w:val="24"/>
        </w:rPr>
      </w:pPr>
      <w:r>
        <w:rPr>
          <w:rFonts w:hAnsi="宋体"/>
          <w:bCs/>
          <w:color w:val="auto"/>
          <w:sz w:val="24"/>
          <w:szCs w:val="24"/>
        </w:rPr>
        <w:br w:type="page"/>
      </w:r>
      <w:bookmarkStart w:id="106" w:name="_Toc109133129"/>
      <w:r>
        <w:rPr>
          <w:rFonts w:hint="eastAsia" w:hAnsi="宋体"/>
          <w:b/>
          <w:color w:val="auto"/>
          <w:sz w:val="24"/>
          <w:szCs w:val="24"/>
          <w:lang w:val="zh-CN"/>
        </w:rPr>
        <w:t>格式13、技术规格响应表</w:t>
      </w:r>
      <w:bookmarkEnd w:id="106"/>
    </w:p>
    <w:p>
      <w:pPr>
        <w:autoSpaceDE w:val="0"/>
        <w:autoSpaceDN w:val="0"/>
        <w:adjustRightInd w:val="0"/>
        <w:spacing w:line="360" w:lineRule="auto"/>
        <w:jc w:val="center"/>
        <w:rPr>
          <w:rFonts w:ascii="宋体" w:hAnsi="宋体" w:cs="宋体"/>
          <w:b/>
          <w:bCs/>
          <w:color w:val="auto"/>
          <w:kern w:val="0"/>
          <w:sz w:val="24"/>
          <w:lang w:val="zh-CN"/>
        </w:rPr>
      </w:pPr>
      <w:bookmarkStart w:id="107" w:name="_Toc444715742"/>
      <w:bookmarkStart w:id="108" w:name="_Toc25742"/>
      <w:bookmarkStart w:id="109" w:name="_Toc20510"/>
      <w:r>
        <w:rPr>
          <w:rFonts w:hint="eastAsia" w:ascii="宋体" w:hAnsi="宋体" w:cs="宋体"/>
          <w:b/>
          <w:bCs/>
          <w:color w:val="auto"/>
          <w:kern w:val="0"/>
          <w:sz w:val="24"/>
          <w:lang w:val="zh-CN"/>
        </w:rPr>
        <w:t>技术规格响应表</w:t>
      </w:r>
    </w:p>
    <w:p>
      <w:pPr>
        <w:autoSpaceDE w:val="0"/>
        <w:autoSpaceDN w:val="0"/>
        <w:adjustRightInd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采购项目名称:</w:t>
      </w:r>
    </w:p>
    <w:p>
      <w:pPr>
        <w:autoSpaceDE w:val="0"/>
        <w:autoSpaceDN w:val="0"/>
        <w:adjustRightInd w:val="0"/>
        <w:spacing w:line="360" w:lineRule="auto"/>
        <w:rPr>
          <w:rFonts w:ascii="宋体" w:hAnsi="宋体" w:cs="宋体"/>
          <w:b/>
          <w:bCs/>
          <w:color w:val="auto"/>
          <w:kern w:val="0"/>
          <w:sz w:val="24"/>
          <w:lang w:val="zh-CN"/>
        </w:rPr>
      </w:pPr>
      <w:r>
        <w:rPr>
          <w:rFonts w:hint="eastAsia" w:ascii="宋体" w:hAnsi="宋体" w:cs="宋体"/>
          <w:b/>
          <w:bCs/>
          <w:color w:val="auto"/>
          <w:kern w:val="0"/>
          <w:sz w:val="24"/>
          <w:lang w:val="zh-CN"/>
        </w:rPr>
        <w:t>采购项目编号：</w:t>
      </w:r>
    </w:p>
    <w:tbl>
      <w:tblPr>
        <w:tblStyle w:val="32"/>
        <w:tblW w:w="1025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63"/>
        <w:gridCol w:w="1450"/>
        <w:gridCol w:w="950"/>
        <w:gridCol w:w="712"/>
        <w:gridCol w:w="825"/>
        <w:gridCol w:w="1463"/>
        <w:gridCol w:w="1612"/>
        <w:gridCol w:w="950"/>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91" w:type="dxa"/>
            <w:vMerge w:val="restart"/>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3263" w:type="dxa"/>
            <w:gridSpan w:val="3"/>
            <w:vAlign w:val="center"/>
          </w:tcPr>
          <w:p>
            <w:pPr>
              <w:spacing w:line="360" w:lineRule="auto"/>
              <w:jc w:val="center"/>
              <w:rPr>
                <w:rFonts w:ascii="宋体" w:hAnsi="宋体"/>
                <w:color w:val="auto"/>
                <w:sz w:val="24"/>
              </w:rPr>
            </w:pPr>
            <w:r>
              <w:rPr>
                <w:rFonts w:hint="eastAsia" w:ascii="宋体" w:hAnsi="宋体" w:cs="仿宋_GB2312"/>
                <w:color w:val="auto"/>
                <w:sz w:val="24"/>
              </w:rPr>
              <w:t>采购需求技术参数、指标</w:t>
            </w:r>
          </w:p>
        </w:tc>
        <w:tc>
          <w:tcPr>
            <w:tcW w:w="5562" w:type="dxa"/>
            <w:gridSpan w:val="5"/>
            <w:vAlign w:val="center"/>
          </w:tcPr>
          <w:p>
            <w:pPr>
              <w:spacing w:line="360" w:lineRule="auto"/>
              <w:rPr>
                <w:rFonts w:ascii="宋体" w:hAnsi="宋体"/>
                <w:color w:val="auto"/>
                <w:sz w:val="24"/>
              </w:rPr>
            </w:pPr>
            <w:r>
              <w:rPr>
                <w:rFonts w:hint="eastAsia" w:ascii="宋体" w:hAnsi="宋体"/>
                <w:color w:val="auto"/>
                <w:sz w:val="24"/>
              </w:rPr>
              <w:t>投标产品技术参数、指标</w:t>
            </w:r>
          </w:p>
        </w:tc>
        <w:tc>
          <w:tcPr>
            <w:tcW w:w="738" w:type="dxa"/>
            <w:vMerge w:val="restart"/>
            <w:vAlign w:val="center"/>
          </w:tcPr>
          <w:p>
            <w:pPr>
              <w:spacing w:line="360" w:lineRule="auto"/>
              <w:rPr>
                <w:rFonts w:ascii="宋体" w:hAnsi="宋体"/>
                <w:color w:val="auto"/>
                <w:sz w:val="24"/>
              </w:rPr>
            </w:pPr>
            <w:r>
              <w:rPr>
                <w:rFonts w:hint="eastAsia" w:ascii="宋体" w:hAnsi="宋体"/>
                <w:color w:val="auto"/>
                <w:sz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691" w:type="dxa"/>
            <w:vMerge w:val="continue"/>
            <w:vAlign w:val="center"/>
          </w:tcPr>
          <w:p>
            <w:pPr>
              <w:spacing w:line="360" w:lineRule="auto"/>
              <w:jc w:val="center"/>
              <w:rPr>
                <w:rFonts w:ascii="宋体" w:hAnsi="宋体"/>
                <w:color w:val="auto"/>
                <w:sz w:val="24"/>
              </w:rPr>
            </w:pPr>
          </w:p>
        </w:tc>
        <w:tc>
          <w:tcPr>
            <w:tcW w:w="863" w:type="dxa"/>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名称</w:t>
            </w:r>
          </w:p>
        </w:tc>
        <w:tc>
          <w:tcPr>
            <w:tcW w:w="1450" w:type="dxa"/>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技术参数及配置</w:t>
            </w:r>
          </w:p>
        </w:tc>
        <w:tc>
          <w:tcPr>
            <w:tcW w:w="950" w:type="dxa"/>
            <w:vAlign w:val="center"/>
          </w:tcPr>
          <w:p>
            <w:pPr>
              <w:spacing w:line="360" w:lineRule="auto"/>
              <w:jc w:val="center"/>
              <w:rPr>
                <w:rFonts w:hint="eastAsia" w:ascii="宋体" w:hAnsi="宋体" w:eastAsia="宋体" w:cs="仿宋_GB2312"/>
                <w:color w:val="auto"/>
                <w:sz w:val="24"/>
                <w:lang w:eastAsia="zh-CN"/>
              </w:rPr>
            </w:pPr>
            <w:r>
              <w:rPr>
                <w:rFonts w:hint="eastAsia" w:ascii="宋体" w:hAnsi="宋体" w:cs="仿宋_GB2312"/>
                <w:color w:val="auto"/>
                <w:sz w:val="24"/>
              </w:rPr>
              <w:t>数量</w:t>
            </w:r>
            <w:r>
              <w:rPr>
                <w:rFonts w:hint="eastAsia" w:ascii="宋体" w:hAnsi="宋体" w:cs="仿宋_GB2312"/>
                <w:color w:val="auto"/>
                <w:sz w:val="24"/>
                <w:lang w:eastAsia="zh-CN"/>
              </w:rPr>
              <w:t>及单位</w:t>
            </w:r>
          </w:p>
        </w:tc>
        <w:tc>
          <w:tcPr>
            <w:tcW w:w="712" w:type="dxa"/>
            <w:vAlign w:val="center"/>
          </w:tcPr>
          <w:p>
            <w:pPr>
              <w:spacing w:line="360" w:lineRule="auto"/>
              <w:jc w:val="center"/>
              <w:rPr>
                <w:rFonts w:ascii="宋体" w:hAnsi="宋体"/>
                <w:color w:val="auto"/>
                <w:sz w:val="24"/>
              </w:rPr>
            </w:pPr>
            <w:r>
              <w:rPr>
                <w:rFonts w:hint="eastAsia" w:ascii="宋体" w:hAnsi="宋体"/>
                <w:color w:val="auto"/>
                <w:sz w:val="24"/>
              </w:rPr>
              <w:t>名称</w:t>
            </w:r>
          </w:p>
        </w:tc>
        <w:tc>
          <w:tcPr>
            <w:tcW w:w="825" w:type="dxa"/>
            <w:vAlign w:val="center"/>
          </w:tcPr>
          <w:p>
            <w:pPr>
              <w:spacing w:line="360" w:lineRule="auto"/>
              <w:rPr>
                <w:rFonts w:ascii="宋体" w:hAnsi="宋体"/>
                <w:color w:val="auto"/>
                <w:sz w:val="24"/>
              </w:rPr>
            </w:pPr>
            <w:r>
              <w:rPr>
                <w:rFonts w:hint="eastAsia" w:ascii="宋体" w:hAnsi="宋体"/>
                <w:color w:val="auto"/>
                <w:sz w:val="24"/>
              </w:rPr>
              <w:t>品牌</w:t>
            </w:r>
          </w:p>
        </w:tc>
        <w:tc>
          <w:tcPr>
            <w:tcW w:w="1463" w:type="dxa"/>
            <w:vAlign w:val="center"/>
          </w:tcPr>
          <w:p>
            <w:pPr>
              <w:spacing w:line="360" w:lineRule="auto"/>
              <w:jc w:val="center"/>
              <w:rPr>
                <w:rFonts w:ascii="宋体" w:hAnsi="宋体"/>
                <w:color w:val="auto"/>
                <w:sz w:val="24"/>
              </w:rPr>
            </w:pPr>
            <w:r>
              <w:rPr>
                <w:rFonts w:hint="eastAsia" w:ascii="宋体" w:hAnsi="宋体"/>
                <w:color w:val="auto"/>
                <w:sz w:val="24"/>
              </w:rPr>
              <w:t>规格型号、产地</w:t>
            </w:r>
          </w:p>
        </w:tc>
        <w:tc>
          <w:tcPr>
            <w:tcW w:w="1612" w:type="dxa"/>
            <w:vAlign w:val="center"/>
          </w:tcPr>
          <w:p>
            <w:pPr>
              <w:spacing w:line="360" w:lineRule="auto"/>
              <w:jc w:val="center"/>
              <w:rPr>
                <w:rFonts w:ascii="宋体" w:hAnsi="宋体"/>
                <w:color w:val="auto"/>
                <w:sz w:val="24"/>
              </w:rPr>
            </w:pPr>
            <w:r>
              <w:rPr>
                <w:rFonts w:hint="eastAsia" w:ascii="宋体" w:hAnsi="宋体"/>
                <w:color w:val="auto"/>
                <w:sz w:val="24"/>
              </w:rPr>
              <w:t>技术参数及配置</w:t>
            </w:r>
          </w:p>
        </w:tc>
        <w:tc>
          <w:tcPr>
            <w:tcW w:w="950" w:type="dxa"/>
            <w:vAlign w:val="center"/>
          </w:tcPr>
          <w:p>
            <w:pPr>
              <w:spacing w:line="360" w:lineRule="auto"/>
              <w:jc w:val="center"/>
              <w:rPr>
                <w:rFonts w:ascii="宋体" w:hAnsi="宋体"/>
                <w:color w:val="auto"/>
                <w:sz w:val="24"/>
              </w:rPr>
            </w:pPr>
            <w:r>
              <w:rPr>
                <w:rFonts w:hint="eastAsia" w:ascii="宋体" w:hAnsi="宋体" w:cs="仿宋_GB2312"/>
                <w:color w:val="auto"/>
                <w:sz w:val="24"/>
              </w:rPr>
              <w:t>数量</w:t>
            </w:r>
            <w:r>
              <w:rPr>
                <w:rFonts w:hint="eastAsia" w:ascii="宋体" w:hAnsi="宋体" w:cs="仿宋_GB2312"/>
                <w:color w:val="auto"/>
                <w:sz w:val="24"/>
                <w:lang w:eastAsia="zh-CN"/>
              </w:rPr>
              <w:t>及单位</w:t>
            </w:r>
          </w:p>
        </w:tc>
        <w:tc>
          <w:tcPr>
            <w:tcW w:w="738" w:type="dxa"/>
            <w:vMerge w:val="continue"/>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691" w:type="dxa"/>
            <w:vAlign w:val="center"/>
          </w:tcPr>
          <w:p>
            <w:pPr>
              <w:tabs>
                <w:tab w:val="left" w:pos="3327"/>
              </w:tabs>
              <w:spacing w:line="360" w:lineRule="auto"/>
              <w:jc w:val="center"/>
              <w:rPr>
                <w:rFonts w:ascii="宋体" w:hAnsi="宋体"/>
                <w:color w:val="auto"/>
                <w:sz w:val="24"/>
              </w:rPr>
            </w:pPr>
            <w:r>
              <w:rPr>
                <w:rFonts w:hint="eastAsia" w:ascii="宋体" w:hAnsi="宋体"/>
                <w:color w:val="auto"/>
                <w:sz w:val="24"/>
              </w:rPr>
              <w:t>1</w:t>
            </w:r>
          </w:p>
        </w:tc>
        <w:tc>
          <w:tcPr>
            <w:tcW w:w="863" w:type="dxa"/>
            <w:vAlign w:val="center"/>
          </w:tcPr>
          <w:p>
            <w:pPr>
              <w:tabs>
                <w:tab w:val="left" w:pos="3327"/>
              </w:tabs>
              <w:spacing w:line="360" w:lineRule="auto"/>
              <w:rPr>
                <w:rFonts w:ascii="宋体" w:hAnsi="宋体"/>
                <w:color w:val="auto"/>
                <w:sz w:val="24"/>
              </w:rPr>
            </w:pPr>
          </w:p>
        </w:tc>
        <w:tc>
          <w:tcPr>
            <w:tcW w:w="1450"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12" w:type="dxa"/>
            <w:vAlign w:val="center"/>
          </w:tcPr>
          <w:p>
            <w:pPr>
              <w:tabs>
                <w:tab w:val="left" w:pos="3327"/>
              </w:tabs>
              <w:spacing w:line="360" w:lineRule="auto"/>
              <w:rPr>
                <w:rFonts w:ascii="宋体" w:hAnsi="宋体"/>
                <w:color w:val="auto"/>
                <w:sz w:val="24"/>
              </w:rPr>
            </w:pPr>
          </w:p>
        </w:tc>
        <w:tc>
          <w:tcPr>
            <w:tcW w:w="825" w:type="dxa"/>
            <w:vAlign w:val="center"/>
          </w:tcPr>
          <w:p>
            <w:pPr>
              <w:tabs>
                <w:tab w:val="left" w:pos="3327"/>
              </w:tabs>
              <w:spacing w:line="360" w:lineRule="auto"/>
              <w:rPr>
                <w:rFonts w:ascii="宋体" w:hAnsi="宋体"/>
                <w:color w:val="auto"/>
                <w:sz w:val="24"/>
              </w:rPr>
            </w:pPr>
          </w:p>
        </w:tc>
        <w:tc>
          <w:tcPr>
            <w:tcW w:w="1463" w:type="dxa"/>
            <w:vAlign w:val="center"/>
          </w:tcPr>
          <w:p>
            <w:pPr>
              <w:tabs>
                <w:tab w:val="left" w:pos="3327"/>
              </w:tabs>
              <w:spacing w:line="360" w:lineRule="auto"/>
              <w:rPr>
                <w:rFonts w:ascii="宋体" w:hAnsi="宋体"/>
                <w:color w:val="auto"/>
                <w:sz w:val="24"/>
              </w:rPr>
            </w:pPr>
          </w:p>
        </w:tc>
        <w:tc>
          <w:tcPr>
            <w:tcW w:w="1612"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3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691" w:type="dxa"/>
            <w:vAlign w:val="center"/>
          </w:tcPr>
          <w:p>
            <w:pPr>
              <w:tabs>
                <w:tab w:val="left" w:pos="3327"/>
              </w:tabs>
              <w:spacing w:line="360" w:lineRule="auto"/>
              <w:jc w:val="center"/>
              <w:rPr>
                <w:rFonts w:ascii="宋体" w:hAnsi="宋体"/>
                <w:color w:val="auto"/>
                <w:sz w:val="24"/>
              </w:rPr>
            </w:pPr>
            <w:r>
              <w:rPr>
                <w:rFonts w:hint="eastAsia" w:ascii="宋体" w:hAnsi="宋体"/>
                <w:color w:val="auto"/>
                <w:sz w:val="24"/>
              </w:rPr>
              <w:t>2</w:t>
            </w:r>
          </w:p>
        </w:tc>
        <w:tc>
          <w:tcPr>
            <w:tcW w:w="863" w:type="dxa"/>
            <w:vAlign w:val="center"/>
          </w:tcPr>
          <w:p>
            <w:pPr>
              <w:tabs>
                <w:tab w:val="left" w:pos="3327"/>
              </w:tabs>
              <w:spacing w:line="360" w:lineRule="auto"/>
              <w:rPr>
                <w:rFonts w:ascii="宋体" w:hAnsi="宋体"/>
                <w:color w:val="auto"/>
                <w:sz w:val="24"/>
              </w:rPr>
            </w:pPr>
          </w:p>
        </w:tc>
        <w:tc>
          <w:tcPr>
            <w:tcW w:w="1450"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12" w:type="dxa"/>
            <w:vAlign w:val="center"/>
          </w:tcPr>
          <w:p>
            <w:pPr>
              <w:tabs>
                <w:tab w:val="left" w:pos="3327"/>
              </w:tabs>
              <w:spacing w:line="360" w:lineRule="auto"/>
              <w:rPr>
                <w:rFonts w:ascii="宋体" w:hAnsi="宋体"/>
                <w:color w:val="auto"/>
                <w:sz w:val="24"/>
              </w:rPr>
            </w:pPr>
          </w:p>
        </w:tc>
        <w:tc>
          <w:tcPr>
            <w:tcW w:w="825" w:type="dxa"/>
            <w:vAlign w:val="center"/>
          </w:tcPr>
          <w:p>
            <w:pPr>
              <w:tabs>
                <w:tab w:val="left" w:pos="3327"/>
              </w:tabs>
              <w:spacing w:line="360" w:lineRule="auto"/>
              <w:rPr>
                <w:rFonts w:ascii="宋体" w:hAnsi="宋体"/>
                <w:color w:val="auto"/>
                <w:sz w:val="24"/>
              </w:rPr>
            </w:pPr>
          </w:p>
        </w:tc>
        <w:tc>
          <w:tcPr>
            <w:tcW w:w="1463" w:type="dxa"/>
            <w:vAlign w:val="center"/>
          </w:tcPr>
          <w:p>
            <w:pPr>
              <w:tabs>
                <w:tab w:val="left" w:pos="3327"/>
              </w:tabs>
              <w:spacing w:line="360" w:lineRule="auto"/>
              <w:rPr>
                <w:rFonts w:ascii="宋体" w:hAnsi="宋体"/>
                <w:color w:val="auto"/>
                <w:sz w:val="24"/>
              </w:rPr>
            </w:pPr>
          </w:p>
        </w:tc>
        <w:tc>
          <w:tcPr>
            <w:tcW w:w="1612"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3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691" w:type="dxa"/>
            <w:vAlign w:val="center"/>
          </w:tcPr>
          <w:p>
            <w:pPr>
              <w:tabs>
                <w:tab w:val="left" w:pos="3327"/>
              </w:tabs>
              <w:spacing w:line="360" w:lineRule="auto"/>
              <w:jc w:val="center"/>
              <w:rPr>
                <w:rFonts w:ascii="宋体" w:hAnsi="宋体"/>
                <w:color w:val="auto"/>
                <w:sz w:val="24"/>
              </w:rPr>
            </w:pPr>
            <w:r>
              <w:rPr>
                <w:rFonts w:hint="eastAsia" w:ascii="宋体" w:hAnsi="宋体"/>
                <w:color w:val="auto"/>
                <w:sz w:val="24"/>
              </w:rPr>
              <w:t>3</w:t>
            </w:r>
          </w:p>
        </w:tc>
        <w:tc>
          <w:tcPr>
            <w:tcW w:w="863" w:type="dxa"/>
            <w:vAlign w:val="center"/>
          </w:tcPr>
          <w:p>
            <w:pPr>
              <w:tabs>
                <w:tab w:val="left" w:pos="3327"/>
              </w:tabs>
              <w:spacing w:line="360" w:lineRule="auto"/>
              <w:rPr>
                <w:rFonts w:ascii="宋体" w:hAnsi="宋体"/>
                <w:color w:val="auto"/>
                <w:sz w:val="24"/>
              </w:rPr>
            </w:pPr>
          </w:p>
        </w:tc>
        <w:tc>
          <w:tcPr>
            <w:tcW w:w="1450"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12" w:type="dxa"/>
            <w:vAlign w:val="center"/>
          </w:tcPr>
          <w:p>
            <w:pPr>
              <w:tabs>
                <w:tab w:val="left" w:pos="3327"/>
              </w:tabs>
              <w:spacing w:line="360" w:lineRule="auto"/>
              <w:rPr>
                <w:rFonts w:ascii="宋体" w:hAnsi="宋体"/>
                <w:color w:val="auto"/>
                <w:sz w:val="24"/>
              </w:rPr>
            </w:pPr>
          </w:p>
        </w:tc>
        <w:tc>
          <w:tcPr>
            <w:tcW w:w="825" w:type="dxa"/>
            <w:vAlign w:val="center"/>
          </w:tcPr>
          <w:p>
            <w:pPr>
              <w:tabs>
                <w:tab w:val="left" w:pos="3327"/>
              </w:tabs>
              <w:spacing w:line="360" w:lineRule="auto"/>
              <w:rPr>
                <w:rFonts w:ascii="宋体" w:hAnsi="宋体"/>
                <w:color w:val="auto"/>
                <w:sz w:val="24"/>
              </w:rPr>
            </w:pPr>
          </w:p>
        </w:tc>
        <w:tc>
          <w:tcPr>
            <w:tcW w:w="1463" w:type="dxa"/>
            <w:vAlign w:val="center"/>
          </w:tcPr>
          <w:p>
            <w:pPr>
              <w:tabs>
                <w:tab w:val="left" w:pos="3327"/>
              </w:tabs>
              <w:spacing w:line="360" w:lineRule="auto"/>
              <w:rPr>
                <w:rFonts w:ascii="宋体" w:hAnsi="宋体"/>
                <w:color w:val="auto"/>
                <w:sz w:val="24"/>
              </w:rPr>
            </w:pPr>
          </w:p>
        </w:tc>
        <w:tc>
          <w:tcPr>
            <w:tcW w:w="1612"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3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91" w:type="dxa"/>
            <w:vAlign w:val="center"/>
          </w:tcPr>
          <w:p>
            <w:pPr>
              <w:tabs>
                <w:tab w:val="left" w:pos="3327"/>
              </w:tabs>
              <w:spacing w:line="360" w:lineRule="auto"/>
              <w:jc w:val="center"/>
              <w:rPr>
                <w:rFonts w:ascii="宋体" w:hAnsi="宋体"/>
                <w:color w:val="auto"/>
                <w:sz w:val="24"/>
              </w:rPr>
            </w:pPr>
            <w:r>
              <w:rPr>
                <w:rFonts w:hint="eastAsia" w:ascii="宋体" w:hAnsi="宋体"/>
                <w:color w:val="auto"/>
                <w:sz w:val="24"/>
              </w:rPr>
              <w:t>4</w:t>
            </w:r>
          </w:p>
        </w:tc>
        <w:tc>
          <w:tcPr>
            <w:tcW w:w="863" w:type="dxa"/>
            <w:vAlign w:val="center"/>
          </w:tcPr>
          <w:p>
            <w:pPr>
              <w:tabs>
                <w:tab w:val="left" w:pos="3327"/>
              </w:tabs>
              <w:spacing w:line="360" w:lineRule="auto"/>
              <w:rPr>
                <w:rFonts w:ascii="宋体" w:hAnsi="宋体"/>
                <w:color w:val="auto"/>
                <w:sz w:val="24"/>
              </w:rPr>
            </w:pPr>
          </w:p>
        </w:tc>
        <w:tc>
          <w:tcPr>
            <w:tcW w:w="1450"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12" w:type="dxa"/>
            <w:vAlign w:val="center"/>
          </w:tcPr>
          <w:p>
            <w:pPr>
              <w:tabs>
                <w:tab w:val="left" w:pos="3327"/>
              </w:tabs>
              <w:spacing w:line="360" w:lineRule="auto"/>
              <w:rPr>
                <w:rFonts w:ascii="宋体" w:hAnsi="宋体"/>
                <w:color w:val="auto"/>
                <w:sz w:val="24"/>
              </w:rPr>
            </w:pPr>
          </w:p>
        </w:tc>
        <w:tc>
          <w:tcPr>
            <w:tcW w:w="825" w:type="dxa"/>
            <w:vAlign w:val="center"/>
          </w:tcPr>
          <w:p>
            <w:pPr>
              <w:tabs>
                <w:tab w:val="left" w:pos="3327"/>
              </w:tabs>
              <w:spacing w:line="360" w:lineRule="auto"/>
              <w:rPr>
                <w:rFonts w:ascii="宋体" w:hAnsi="宋体"/>
                <w:color w:val="auto"/>
                <w:sz w:val="24"/>
              </w:rPr>
            </w:pPr>
          </w:p>
        </w:tc>
        <w:tc>
          <w:tcPr>
            <w:tcW w:w="1463" w:type="dxa"/>
            <w:vAlign w:val="center"/>
          </w:tcPr>
          <w:p>
            <w:pPr>
              <w:tabs>
                <w:tab w:val="left" w:pos="3327"/>
              </w:tabs>
              <w:spacing w:line="360" w:lineRule="auto"/>
              <w:rPr>
                <w:rFonts w:ascii="宋体" w:hAnsi="宋体"/>
                <w:color w:val="auto"/>
                <w:sz w:val="24"/>
              </w:rPr>
            </w:pPr>
          </w:p>
        </w:tc>
        <w:tc>
          <w:tcPr>
            <w:tcW w:w="1612"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3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1" w:type="dxa"/>
            <w:vAlign w:val="center"/>
          </w:tcPr>
          <w:p>
            <w:pPr>
              <w:tabs>
                <w:tab w:val="left" w:pos="3327"/>
              </w:tabs>
              <w:spacing w:line="360" w:lineRule="auto"/>
              <w:jc w:val="center"/>
              <w:rPr>
                <w:rFonts w:ascii="宋体" w:hAnsi="宋体"/>
                <w:color w:val="auto"/>
                <w:sz w:val="24"/>
              </w:rPr>
            </w:pPr>
            <w:r>
              <w:rPr>
                <w:rFonts w:hint="eastAsia" w:ascii="宋体" w:hAnsi="宋体"/>
                <w:color w:val="auto"/>
                <w:sz w:val="24"/>
              </w:rPr>
              <w:t>……</w:t>
            </w:r>
          </w:p>
        </w:tc>
        <w:tc>
          <w:tcPr>
            <w:tcW w:w="863" w:type="dxa"/>
            <w:vAlign w:val="center"/>
          </w:tcPr>
          <w:p>
            <w:pPr>
              <w:tabs>
                <w:tab w:val="left" w:pos="3327"/>
              </w:tabs>
              <w:spacing w:line="360" w:lineRule="auto"/>
              <w:rPr>
                <w:rFonts w:ascii="宋体" w:hAnsi="宋体"/>
                <w:color w:val="auto"/>
                <w:sz w:val="24"/>
              </w:rPr>
            </w:pPr>
          </w:p>
        </w:tc>
        <w:tc>
          <w:tcPr>
            <w:tcW w:w="1450"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12" w:type="dxa"/>
            <w:vAlign w:val="center"/>
          </w:tcPr>
          <w:p>
            <w:pPr>
              <w:tabs>
                <w:tab w:val="left" w:pos="3327"/>
              </w:tabs>
              <w:spacing w:line="360" w:lineRule="auto"/>
              <w:rPr>
                <w:rFonts w:ascii="宋体" w:hAnsi="宋体"/>
                <w:color w:val="auto"/>
                <w:sz w:val="24"/>
              </w:rPr>
            </w:pPr>
          </w:p>
        </w:tc>
        <w:tc>
          <w:tcPr>
            <w:tcW w:w="825" w:type="dxa"/>
            <w:vAlign w:val="center"/>
          </w:tcPr>
          <w:p>
            <w:pPr>
              <w:tabs>
                <w:tab w:val="left" w:pos="3327"/>
              </w:tabs>
              <w:spacing w:line="360" w:lineRule="auto"/>
              <w:rPr>
                <w:rFonts w:ascii="宋体" w:hAnsi="宋体"/>
                <w:color w:val="auto"/>
                <w:sz w:val="24"/>
              </w:rPr>
            </w:pPr>
          </w:p>
        </w:tc>
        <w:tc>
          <w:tcPr>
            <w:tcW w:w="1463" w:type="dxa"/>
            <w:vAlign w:val="center"/>
          </w:tcPr>
          <w:p>
            <w:pPr>
              <w:tabs>
                <w:tab w:val="left" w:pos="3327"/>
              </w:tabs>
              <w:spacing w:line="360" w:lineRule="auto"/>
              <w:rPr>
                <w:rFonts w:ascii="宋体" w:hAnsi="宋体"/>
                <w:color w:val="auto"/>
                <w:sz w:val="24"/>
              </w:rPr>
            </w:pPr>
          </w:p>
        </w:tc>
        <w:tc>
          <w:tcPr>
            <w:tcW w:w="1612" w:type="dxa"/>
            <w:vAlign w:val="center"/>
          </w:tcPr>
          <w:p>
            <w:pPr>
              <w:tabs>
                <w:tab w:val="left" w:pos="3327"/>
              </w:tabs>
              <w:spacing w:line="360" w:lineRule="auto"/>
              <w:rPr>
                <w:rFonts w:ascii="宋体" w:hAnsi="宋体"/>
                <w:color w:val="auto"/>
                <w:sz w:val="24"/>
              </w:rPr>
            </w:pPr>
          </w:p>
        </w:tc>
        <w:tc>
          <w:tcPr>
            <w:tcW w:w="950" w:type="dxa"/>
            <w:vAlign w:val="center"/>
          </w:tcPr>
          <w:p>
            <w:pPr>
              <w:tabs>
                <w:tab w:val="left" w:pos="3327"/>
              </w:tabs>
              <w:spacing w:line="360" w:lineRule="auto"/>
              <w:rPr>
                <w:rFonts w:ascii="宋体" w:hAnsi="宋体"/>
                <w:color w:val="auto"/>
                <w:sz w:val="24"/>
              </w:rPr>
            </w:pPr>
          </w:p>
        </w:tc>
        <w:tc>
          <w:tcPr>
            <w:tcW w:w="738" w:type="dxa"/>
            <w:vAlign w:val="center"/>
          </w:tcPr>
          <w:p>
            <w:pPr>
              <w:spacing w:line="360" w:lineRule="auto"/>
              <w:jc w:val="center"/>
              <w:rPr>
                <w:rFonts w:ascii="宋体" w:hAnsi="宋体"/>
                <w:color w:val="auto"/>
                <w:sz w:val="24"/>
              </w:rPr>
            </w:pPr>
          </w:p>
        </w:tc>
      </w:tr>
    </w:tbl>
    <w:p>
      <w:pPr>
        <w:autoSpaceDE w:val="0"/>
        <w:autoSpaceDN w:val="0"/>
        <w:spacing w:line="360" w:lineRule="auto"/>
        <w:rPr>
          <w:rFonts w:ascii="宋体" w:hAnsi="宋体" w:cs="Arial"/>
          <w:b/>
          <w:bCs/>
          <w:color w:val="auto"/>
          <w:sz w:val="24"/>
          <w:lang w:val="zh-CN"/>
        </w:rPr>
      </w:pPr>
      <w:r>
        <w:rPr>
          <w:rFonts w:ascii="宋体" w:hAnsi="宋体" w:cs="Arial"/>
          <w:b/>
          <w:bCs/>
          <w:color w:val="auto"/>
          <w:sz w:val="24"/>
          <w:lang w:val="zh-CN"/>
        </w:rPr>
        <w:t>注：1</w:t>
      </w:r>
      <w:r>
        <w:rPr>
          <w:rFonts w:hint="eastAsia" w:ascii="宋体" w:hAnsi="宋体" w:cs="Arial"/>
          <w:b/>
          <w:bCs/>
          <w:color w:val="auto"/>
          <w:sz w:val="24"/>
          <w:lang w:val="zh-CN"/>
        </w:rPr>
        <w:t>、</w:t>
      </w:r>
      <w:r>
        <w:rPr>
          <w:rFonts w:ascii="宋体" w:hAnsi="宋体" w:cs="Arial"/>
          <w:b/>
          <w:bCs/>
          <w:color w:val="auto"/>
          <w:sz w:val="24"/>
          <w:lang w:val="zh-CN"/>
        </w:rPr>
        <w:t>本表应按照</w:t>
      </w:r>
      <w:r>
        <w:rPr>
          <w:rFonts w:hint="eastAsia" w:ascii="宋体" w:hAnsi="宋体" w:cs="Arial"/>
          <w:b/>
          <w:bCs/>
          <w:color w:val="auto"/>
          <w:sz w:val="24"/>
          <w:lang w:val="zh-CN"/>
        </w:rPr>
        <w:t>采购项目参数及要求</w:t>
      </w:r>
      <w:r>
        <w:rPr>
          <w:rFonts w:ascii="宋体" w:hAnsi="宋体" w:cs="Arial"/>
          <w:b/>
          <w:bCs/>
          <w:color w:val="auto"/>
          <w:sz w:val="24"/>
          <w:lang w:val="zh-CN"/>
        </w:rPr>
        <w:t>中产品序号的指标逐项填写，不得遗漏。</w:t>
      </w:r>
    </w:p>
    <w:p>
      <w:pPr>
        <w:autoSpaceDE w:val="0"/>
        <w:autoSpaceDN w:val="0"/>
        <w:spacing w:line="360" w:lineRule="auto"/>
        <w:ind w:firstLine="482" w:firstLineChars="200"/>
        <w:rPr>
          <w:rFonts w:ascii="宋体" w:hAnsi="宋体" w:cs="Arial"/>
          <w:b/>
          <w:bCs/>
          <w:color w:val="auto"/>
          <w:sz w:val="24"/>
          <w:lang w:val="zh-CN"/>
        </w:rPr>
      </w:pPr>
      <w:r>
        <w:rPr>
          <w:rFonts w:ascii="宋体" w:hAnsi="宋体" w:cs="Arial"/>
          <w:b/>
          <w:bCs/>
          <w:color w:val="auto"/>
          <w:sz w:val="24"/>
          <w:lang w:val="zh-CN"/>
        </w:rPr>
        <w:t>2</w:t>
      </w:r>
      <w:r>
        <w:rPr>
          <w:rFonts w:hint="eastAsia" w:ascii="宋体" w:hAnsi="宋体" w:cs="Arial"/>
          <w:b/>
          <w:bCs/>
          <w:color w:val="auto"/>
          <w:sz w:val="24"/>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pPr>
        <w:autoSpaceDE w:val="0"/>
        <w:autoSpaceDN w:val="0"/>
        <w:spacing w:line="360" w:lineRule="auto"/>
        <w:ind w:firstLine="482" w:firstLineChars="200"/>
        <w:rPr>
          <w:rFonts w:ascii="宋体" w:hAnsi="宋体" w:cs="Arial"/>
          <w:b/>
          <w:bCs/>
          <w:color w:val="auto"/>
          <w:sz w:val="24"/>
          <w:lang w:val="zh-CN"/>
        </w:rPr>
      </w:pPr>
      <w:r>
        <w:rPr>
          <w:rFonts w:ascii="宋体" w:hAnsi="宋体" w:cs="Arial"/>
          <w:b/>
          <w:bCs/>
          <w:color w:val="auto"/>
          <w:sz w:val="24"/>
          <w:lang w:val="zh-CN"/>
        </w:rPr>
        <w:t>3</w:t>
      </w:r>
      <w:r>
        <w:rPr>
          <w:rFonts w:hint="eastAsia" w:ascii="宋体" w:hAnsi="宋体" w:cs="Arial"/>
          <w:b/>
          <w:bCs/>
          <w:color w:val="auto"/>
          <w:sz w:val="24"/>
          <w:lang w:val="zh-CN"/>
        </w:rPr>
        <w:t>、投标供应商响应采购需求应具体、明确，应以招标项目参数要求为基本投标要求，对超出或不满足招标项目参数要求的指标需列出“</w:t>
      </w:r>
      <w:r>
        <w:rPr>
          <w:rFonts w:ascii="宋体" w:hAnsi="宋体" w:cs="Arial"/>
          <w:b/>
          <w:bCs/>
          <w:color w:val="auto"/>
          <w:sz w:val="24"/>
          <w:lang w:val="zh-CN"/>
        </w:rPr>
        <w:t>+</w:t>
      </w:r>
      <w:r>
        <w:rPr>
          <w:rFonts w:hint="eastAsia" w:ascii="宋体" w:hAnsi="宋体" w:cs="Arial"/>
          <w:b/>
          <w:bCs/>
          <w:color w:val="auto"/>
          <w:sz w:val="24"/>
          <w:lang w:val="zh-CN"/>
        </w:rPr>
        <w:t>、</w:t>
      </w:r>
      <w:r>
        <w:rPr>
          <w:rFonts w:ascii="宋体" w:hAnsi="宋体" w:cs="Arial"/>
          <w:b/>
          <w:bCs/>
          <w:color w:val="auto"/>
          <w:sz w:val="24"/>
          <w:lang w:val="zh-CN"/>
        </w:rPr>
        <w:t>-</w:t>
      </w:r>
      <w:r>
        <w:rPr>
          <w:rFonts w:hint="eastAsia" w:ascii="宋体" w:hAnsi="宋体" w:cs="Arial"/>
          <w:b/>
          <w:bCs/>
          <w:color w:val="auto"/>
          <w:sz w:val="24"/>
          <w:lang w:val="zh-CN"/>
        </w:rPr>
        <w:t>”偏差，并做出详细说明；如果只注明“</w:t>
      </w:r>
      <w:r>
        <w:rPr>
          <w:rFonts w:ascii="宋体" w:hAnsi="宋体" w:cs="Arial"/>
          <w:b/>
          <w:bCs/>
          <w:color w:val="auto"/>
          <w:sz w:val="24"/>
          <w:lang w:val="zh-CN"/>
        </w:rPr>
        <w:t>+</w:t>
      </w:r>
      <w:r>
        <w:rPr>
          <w:rFonts w:hint="eastAsia" w:ascii="宋体" w:hAnsi="宋体" w:cs="Arial"/>
          <w:b/>
          <w:bCs/>
          <w:color w:val="auto"/>
          <w:sz w:val="24"/>
          <w:lang w:val="zh-CN"/>
        </w:rPr>
        <w:t>”、“</w:t>
      </w:r>
      <w:r>
        <w:rPr>
          <w:rFonts w:ascii="宋体" w:hAnsi="宋体" w:cs="Arial"/>
          <w:b/>
          <w:bCs/>
          <w:color w:val="auto"/>
          <w:sz w:val="24"/>
          <w:lang w:val="zh-CN"/>
        </w:rPr>
        <w:t>-</w:t>
      </w:r>
      <w:r>
        <w:rPr>
          <w:rFonts w:hint="eastAsia" w:ascii="宋体" w:hAnsi="宋体" w:cs="Arial"/>
          <w:b/>
          <w:bCs/>
          <w:color w:val="auto"/>
          <w:sz w:val="24"/>
          <w:lang w:val="zh-CN"/>
        </w:rPr>
        <w:t>”或未填写，将视为该项指标不响应。</w:t>
      </w:r>
    </w:p>
    <w:p>
      <w:pPr>
        <w:autoSpaceDE w:val="0"/>
        <w:autoSpaceDN w:val="0"/>
        <w:spacing w:line="360" w:lineRule="auto"/>
        <w:ind w:firstLine="482" w:firstLineChars="200"/>
        <w:rPr>
          <w:rFonts w:ascii="宋体" w:hAnsi="宋体" w:cs="Arial"/>
          <w:b/>
          <w:bCs/>
          <w:color w:val="auto"/>
          <w:sz w:val="24"/>
          <w:lang w:val="zh-CN"/>
        </w:rPr>
      </w:pPr>
      <w:r>
        <w:rPr>
          <w:rFonts w:ascii="宋体" w:hAnsi="宋体" w:cs="Arial"/>
          <w:b/>
          <w:bCs/>
          <w:color w:val="auto"/>
          <w:sz w:val="24"/>
          <w:lang w:val="zh-CN"/>
        </w:rPr>
        <w:t>4</w:t>
      </w:r>
      <w:r>
        <w:rPr>
          <w:rFonts w:hint="eastAsia" w:ascii="宋体" w:hAnsi="宋体" w:cs="Arial"/>
          <w:b/>
          <w:bCs/>
          <w:color w:val="auto"/>
          <w:sz w:val="24"/>
          <w:lang w:val="zh-CN"/>
        </w:rPr>
        <w:t>、投标供应商应按投标产品实际情况填写，不得照抄、复制招标文件技术参数要求。</w:t>
      </w:r>
    </w:p>
    <w:p>
      <w:pPr>
        <w:autoSpaceDE w:val="0"/>
        <w:autoSpaceDN w:val="0"/>
        <w:spacing w:line="360" w:lineRule="auto"/>
        <w:ind w:firstLine="482" w:firstLineChars="200"/>
        <w:rPr>
          <w:rFonts w:ascii="宋体" w:hAnsi="宋体" w:cs="Arial"/>
          <w:b/>
          <w:bCs/>
          <w:color w:val="auto"/>
          <w:sz w:val="24"/>
          <w:lang w:val="zh-CN"/>
        </w:rPr>
      </w:pPr>
      <w:r>
        <w:rPr>
          <w:rFonts w:ascii="宋体" w:hAnsi="宋体" w:cs="Arial"/>
          <w:b/>
          <w:bCs/>
          <w:color w:val="auto"/>
          <w:sz w:val="24"/>
          <w:lang w:val="zh-CN"/>
        </w:rPr>
        <w:t>5</w:t>
      </w:r>
      <w:r>
        <w:rPr>
          <w:rFonts w:hint="eastAsia" w:ascii="宋体" w:hAnsi="宋体" w:cs="Arial"/>
          <w:b/>
          <w:bCs/>
          <w:color w:val="auto"/>
          <w:sz w:val="24"/>
          <w:lang w:val="zh-CN"/>
        </w:rPr>
        <w:t>、投标供应商响应采购需求应具体、明确，含糊不清、不确切或伪造、编造证明材料的，按照实质性不响应处理。对伪造、编造证明材料的，将报送采购监管部门查处。</w:t>
      </w:r>
    </w:p>
    <w:p>
      <w:pPr>
        <w:autoSpaceDE w:val="0"/>
        <w:autoSpaceDN w:val="0"/>
        <w:adjustRightInd w:val="0"/>
        <w:spacing w:line="360" w:lineRule="auto"/>
        <w:rPr>
          <w:rFonts w:ascii="宋体" w:hAnsi="宋体" w:cs="宋体"/>
          <w:b/>
          <w:bCs/>
          <w:color w:val="auto"/>
          <w:kern w:val="0"/>
          <w:sz w:val="24"/>
          <w:lang w:val="zh-CN"/>
        </w:rPr>
      </w:pPr>
    </w:p>
    <w:p>
      <w:pPr>
        <w:tabs>
          <w:tab w:val="left" w:pos="168"/>
        </w:tabs>
        <w:adjustRightInd w:val="0"/>
        <w:spacing w:line="360" w:lineRule="auto"/>
        <w:textAlignment w:val="baseline"/>
        <w:rPr>
          <w:rFonts w:ascii="宋体" w:hAnsi="宋体"/>
          <w:bCs/>
          <w:color w:val="auto"/>
          <w:sz w:val="24"/>
        </w:rPr>
      </w:pP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投标供应商：             （公章）</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法定代表人或委托代理人：       （签字）</w:t>
      </w:r>
    </w:p>
    <w:p>
      <w:pPr>
        <w:tabs>
          <w:tab w:val="left" w:pos="168"/>
        </w:tabs>
        <w:adjustRightInd w:val="0"/>
        <w:spacing w:line="360" w:lineRule="auto"/>
        <w:jc w:val="right"/>
        <w:textAlignment w:val="baseline"/>
        <w:rPr>
          <w:rFonts w:ascii="宋体" w:hAnsi="宋体"/>
          <w:bCs/>
          <w:color w:val="auto"/>
          <w:sz w:val="24"/>
        </w:rPr>
      </w:pPr>
      <w:r>
        <w:rPr>
          <w:rFonts w:hint="eastAsia" w:ascii="宋体" w:hAnsi="宋体"/>
          <w:bCs/>
          <w:color w:val="auto"/>
          <w:sz w:val="24"/>
        </w:rPr>
        <w:t>日期：    年   月   日</w:t>
      </w:r>
    </w:p>
    <w:p>
      <w:pPr>
        <w:pStyle w:val="4"/>
        <w:numPr>
          <w:ilvl w:val="0"/>
          <w:numId w:val="0"/>
        </w:numPr>
        <w:rPr>
          <w:rFonts w:hAnsi="宋体" w:cs="宋体"/>
          <w:bCs/>
          <w:color w:val="auto"/>
          <w:sz w:val="24"/>
          <w:szCs w:val="24"/>
        </w:rPr>
      </w:pPr>
      <w:r>
        <w:rPr>
          <w:rFonts w:hAnsi="宋体"/>
          <w:bCs/>
          <w:color w:val="auto"/>
          <w:sz w:val="24"/>
          <w:szCs w:val="24"/>
        </w:rPr>
        <w:br w:type="page"/>
      </w:r>
      <w:bookmarkStart w:id="110" w:name="_Toc109133130"/>
      <w:r>
        <w:rPr>
          <w:rFonts w:hint="eastAsia" w:hAnsi="宋体"/>
          <w:b/>
          <w:color w:val="auto"/>
          <w:sz w:val="24"/>
          <w:szCs w:val="24"/>
          <w:lang w:val="zh-CN"/>
        </w:rPr>
        <w:t>格式14、磋商产品相关资料</w:t>
      </w:r>
      <w:bookmarkEnd w:id="110"/>
    </w:p>
    <w:p>
      <w:pPr>
        <w:spacing w:line="360" w:lineRule="auto"/>
        <w:rPr>
          <w:rFonts w:ascii="宋体" w:hAnsi="宋体"/>
          <w:b/>
          <w:bCs/>
          <w:color w:val="auto"/>
          <w:kern w:val="28"/>
          <w:sz w:val="24"/>
          <w:lang w:val="zh-CN"/>
        </w:rPr>
      </w:pPr>
    </w:p>
    <w:p>
      <w:pPr>
        <w:autoSpaceDE w:val="0"/>
        <w:autoSpaceDN w:val="0"/>
        <w:adjustRightInd w:val="0"/>
        <w:spacing w:line="360" w:lineRule="auto"/>
        <w:jc w:val="center"/>
        <w:rPr>
          <w:rFonts w:ascii="宋体" w:hAnsi="宋体" w:cs="Arial"/>
          <w:bCs/>
          <w:color w:val="auto"/>
          <w:sz w:val="24"/>
          <w:lang w:val="zh-CN"/>
        </w:rPr>
      </w:pPr>
      <w:r>
        <w:rPr>
          <w:rFonts w:hint="eastAsia" w:ascii="宋体" w:hAnsi="宋体" w:cs="宋体"/>
          <w:b/>
          <w:bCs/>
          <w:color w:val="auto"/>
          <w:kern w:val="0"/>
          <w:sz w:val="24"/>
          <w:lang w:val="zh-CN"/>
        </w:rPr>
        <w:t>磋商</w:t>
      </w:r>
      <w:r>
        <w:rPr>
          <w:rFonts w:ascii="宋体" w:hAnsi="宋体" w:cs="宋体"/>
          <w:b/>
          <w:bCs/>
          <w:color w:val="auto"/>
          <w:kern w:val="0"/>
          <w:sz w:val="24"/>
          <w:lang w:val="zh-CN"/>
        </w:rPr>
        <w:t>产品相关资料</w:t>
      </w:r>
    </w:p>
    <w:p>
      <w:pPr>
        <w:spacing w:line="360" w:lineRule="auto"/>
        <w:ind w:firstLine="424" w:firstLineChars="177"/>
        <w:rPr>
          <w:rFonts w:ascii="宋体" w:hAnsi="宋体"/>
          <w:b/>
          <w:color w:val="auto"/>
          <w:sz w:val="24"/>
          <w:lang w:val="zh-CN"/>
        </w:rPr>
      </w:pPr>
      <w:r>
        <w:rPr>
          <w:rFonts w:hint="eastAsia" w:ascii="宋体" w:hAnsi="宋体" w:cs="Arial"/>
          <w:color w:val="auto"/>
          <w:sz w:val="24"/>
        </w:rPr>
        <w:t>根据采购项目内容，磋商时提供国家认可的质监机构出具的磋商产品的产品材料的检验报告（或彩页）或证明技术参数响应的相关资料（或厂家公开发布的资料参数）或相关认证等资料。</w:t>
      </w:r>
      <w:bookmarkEnd w:id="107"/>
      <w:bookmarkEnd w:id="108"/>
      <w:bookmarkEnd w:id="109"/>
    </w:p>
    <w:p>
      <w:pPr>
        <w:pStyle w:val="4"/>
        <w:numPr>
          <w:ilvl w:val="0"/>
          <w:numId w:val="0"/>
        </w:numPr>
        <w:ind w:left="709" w:hanging="709"/>
        <w:rPr>
          <w:rFonts w:hAnsi="宋体" w:cs="宋体"/>
          <w:color w:val="auto"/>
          <w:sz w:val="24"/>
          <w:szCs w:val="24"/>
        </w:rPr>
      </w:pPr>
      <w:r>
        <w:rPr>
          <w:rFonts w:hAnsi="宋体"/>
          <w:bCs/>
          <w:color w:val="auto"/>
          <w:sz w:val="24"/>
          <w:szCs w:val="24"/>
        </w:rPr>
        <w:br w:type="page"/>
      </w:r>
      <w:bookmarkStart w:id="111" w:name="_Toc109133131"/>
      <w:r>
        <w:rPr>
          <w:rFonts w:hint="eastAsia" w:hAnsi="宋体"/>
          <w:b/>
          <w:color w:val="auto"/>
          <w:sz w:val="24"/>
          <w:szCs w:val="24"/>
          <w:lang w:val="zh-CN"/>
        </w:rPr>
        <w:t>格式15、磋商供应商的类似业绩证明材料</w:t>
      </w:r>
      <w:bookmarkEnd w:id="111"/>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磋商供应商的类似业绩证明材料</w:t>
      </w:r>
    </w:p>
    <w:p>
      <w:pPr>
        <w:autoSpaceDE w:val="0"/>
        <w:autoSpaceDN w:val="0"/>
        <w:adjustRightInd w:val="0"/>
        <w:spacing w:line="360" w:lineRule="auto"/>
        <w:rPr>
          <w:rFonts w:ascii="宋体" w:hAnsi="宋体" w:cs="宋体"/>
          <w:color w:val="auto"/>
          <w:kern w:val="0"/>
          <w:sz w:val="24"/>
          <w:lang w:val="zh-CN"/>
        </w:rPr>
      </w:pPr>
    </w:p>
    <w:p>
      <w:pPr>
        <w:autoSpaceDE w:val="0"/>
        <w:autoSpaceDN w:val="0"/>
        <w:adjustRightInd w:val="0"/>
        <w:spacing w:line="360" w:lineRule="auto"/>
        <w:ind w:firstLine="840" w:firstLineChars="350"/>
        <w:rPr>
          <w:rFonts w:ascii="宋体" w:hAnsi="宋体" w:cs="宋体"/>
          <w:color w:val="auto"/>
          <w:kern w:val="0"/>
          <w:sz w:val="24"/>
          <w:lang w:val="zh-CN"/>
        </w:rPr>
      </w:pPr>
      <w:r>
        <w:rPr>
          <w:rFonts w:hint="eastAsia" w:ascii="宋体" w:hAnsi="宋体" w:cs="宋体"/>
          <w:color w:val="auto"/>
          <w:kern w:val="0"/>
          <w:sz w:val="24"/>
          <w:lang w:val="zh-CN"/>
        </w:rPr>
        <w:t>根据评分表要求提供相应的业绩证明材料</w:t>
      </w:r>
      <w:r>
        <w:rPr>
          <w:rFonts w:ascii="宋体" w:hAnsi="宋体" w:cs="宋体"/>
          <w:color w:val="auto"/>
          <w:kern w:val="0"/>
          <w:sz w:val="24"/>
          <w:lang w:val="zh-CN"/>
        </w:rPr>
        <w:t>。</w:t>
      </w:r>
    </w:p>
    <w:p>
      <w:pPr>
        <w:pStyle w:val="4"/>
        <w:numPr>
          <w:ilvl w:val="0"/>
          <w:numId w:val="0"/>
        </w:numPr>
        <w:ind w:left="709" w:hanging="709"/>
        <w:rPr>
          <w:rFonts w:hAnsi="宋体"/>
          <w:b/>
          <w:color w:val="auto"/>
          <w:sz w:val="24"/>
          <w:szCs w:val="24"/>
          <w:lang w:val="zh-CN"/>
        </w:rPr>
      </w:pPr>
      <w:r>
        <w:rPr>
          <w:rFonts w:hAnsi="宋体"/>
          <w:bCs/>
          <w:color w:val="auto"/>
          <w:sz w:val="24"/>
          <w:szCs w:val="24"/>
        </w:rPr>
        <w:br w:type="page"/>
      </w:r>
      <w:bookmarkStart w:id="112" w:name="_Toc109133132"/>
      <w:r>
        <w:rPr>
          <w:rFonts w:hint="eastAsia" w:hAnsi="宋体"/>
          <w:b/>
          <w:color w:val="auto"/>
          <w:sz w:val="24"/>
          <w:szCs w:val="24"/>
          <w:lang w:val="zh-CN"/>
        </w:rPr>
        <w:t>格式16、享受政府采购政策优惠的证明资料</w:t>
      </w:r>
      <w:bookmarkEnd w:id="112"/>
    </w:p>
    <w:p>
      <w:pPr>
        <w:spacing w:line="360" w:lineRule="auto"/>
        <w:rPr>
          <w:rFonts w:ascii="宋体" w:hAnsi="宋体"/>
          <w:color w:val="auto"/>
          <w:sz w:val="24"/>
          <w:lang w:val="zh-CN"/>
        </w:rPr>
      </w:pPr>
    </w:p>
    <w:p>
      <w:pPr>
        <w:autoSpaceDE w:val="0"/>
        <w:autoSpaceDN w:val="0"/>
        <w:spacing w:line="360" w:lineRule="auto"/>
        <w:jc w:val="center"/>
        <w:rPr>
          <w:b/>
          <w:bCs/>
          <w:color w:val="auto"/>
          <w:kern w:val="0"/>
          <w:sz w:val="28"/>
          <w:szCs w:val="28"/>
        </w:rPr>
      </w:pPr>
      <w:bookmarkStart w:id="113" w:name="_Toc25276"/>
    </w:p>
    <w:p>
      <w:pPr>
        <w:autoSpaceDE w:val="0"/>
        <w:autoSpaceDN w:val="0"/>
        <w:spacing w:line="360" w:lineRule="auto"/>
        <w:jc w:val="center"/>
        <w:rPr>
          <w:b/>
          <w:bCs/>
          <w:color w:val="auto"/>
          <w:kern w:val="0"/>
          <w:sz w:val="28"/>
          <w:szCs w:val="28"/>
        </w:rPr>
      </w:pPr>
      <w:r>
        <w:rPr>
          <w:rFonts w:hint="eastAsia"/>
          <w:b/>
          <w:bCs/>
          <w:color w:val="auto"/>
          <w:kern w:val="0"/>
          <w:sz w:val="28"/>
          <w:szCs w:val="28"/>
        </w:rPr>
        <w:t>节能产品、环境标志产品证明材料</w:t>
      </w:r>
      <w:bookmarkEnd w:id="113"/>
    </w:p>
    <w:p>
      <w:pPr>
        <w:autoSpaceDE w:val="0"/>
        <w:autoSpaceDN w:val="0"/>
        <w:spacing w:line="360" w:lineRule="auto"/>
        <w:jc w:val="center"/>
        <w:rPr>
          <w:b/>
          <w:bCs/>
          <w:color w:val="auto"/>
          <w:kern w:val="0"/>
          <w:sz w:val="28"/>
          <w:szCs w:val="28"/>
        </w:rPr>
      </w:pP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仿宋"/>
          <w:color w:val="auto"/>
          <w:kern w:val="0"/>
          <w:sz w:val="24"/>
        </w:rPr>
        <w:t>产品属于品目清单范围的，实施政府优先采购和强制采购。供应商应提供国家确定的认证机构出具的、处于有效期之内的节能产品、环境标志产品认证证书，并加盖供应商单位公章。</w:t>
      </w: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rPr>
          <w:rFonts w:ascii="宋体" w:hAnsi="宋体" w:cs="宋体"/>
          <w:color w:val="auto"/>
          <w:kern w:val="0"/>
          <w:sz w:val="24"/>
          <w:lang w:val="zh-CN"/>
        </w:rPr>
      </w:pPr>
    </w:p>
    <w:p>
      <w:pPr>
        <w:autoSpaceDE w:val="0"/>
        <w:autoSpaceDN w:val="0"/>
        <w:spacing w:line="360" w:lineRule="auto"/>
        <w:jc w:val="right"/>
        <w:rPr>
          <w:rFonts w:ascii="宋体" w:hAnsi="宋体"/>
          <w:bCs/>
          <w:color w:val="auto"/>
          <w:sz w:val="24"/>
        </w:rPr>
      </w:pPr>
    </w:p>
    <w:p>
      <w:pPr>
        <w:autoSpaceDE w:val="0"/>
        <w:autoSpaceDN w:val="0"/>
        <w:spacing w:line="360" w:lineRule="auto"/>
        <w:jc w:val="right"/>
        <w:rPr>
          <w:rFonts w:ascii="宋体" w:hAnsi="宋体"/>
          <w:bCs/>
          <w:color w:val="auto"/>
          <w:sz w:val="24"/>
        </w:rPr>
      </w:pPr>
    </w:p>
    <w:p>
      <w:pPr>
        <w:autoSpaceDE w:val="0"/>
        <w:autoSpaceDN w:val="0"/>
        <w:spacing w:line="360" w:lineRule="auto"/>
        <w:jc w:val="right"/>
        <w:rPr>
          <w:rFonts w:ascii="宋体" w:hAnsi="宋体" w:cs="宋体"/>
          <w:b/>
          <w:bCs/>
          <w:color w:val="auto"/>
          <w:kern w:val="0"/>
          <w:sz w:val="24"/>
          <w:lang w:val="zh-CN"/>
        </w:rPr>
      </w:pPr>
    </w:p>
    <w:p>
      <w:pPr>
        <w:autoSpaceDE w:val="0"/>
        <w:autoSpaceDN w:val="0"/>
        <w:spacing w:line="360" w:lineRule="auto"/>
        <w:jc w:val="center"/>
        <w:rPr>
          <w:b/>
          <w:bCs/>
          <w:color w:val="auto"/>
          <w:kern w:val="0"/>
          <w:sz w:val="36"/>
          <w:szCs w:val="36"/>
          <w:lang w:val="zh-CN"/>
        </w:rPr>
      </w:pPr>
      <w:r>
        <w:rPr>
          <w:rFonts w:hAnsi="宋体"/>
          <w:color w:val="auto"/>
          <w:sz w:val="24"/>
          <w:lang w:val="zh-CN"/>
        </w:rPr>
        <w:br w:type="page"/>
      </w:r>
      <w:r>
        <w:rPr>
          <w:rFonts w:hint="eastAsia"/>
          <w:b/>
          <w:bCs/>
          <w:color w:val="auto"/>
          <w:kern w:val="0"/>
          <w:sz w:val="28"/>
          <w:szCs w:val="28"/>
        </w:rPr>
        <w:t>中小</w:t>
      </w:r>
      <w:r>
        <w:rPr>
          <w:b/>
          <w:bCs/>
          <w:color w:val="auto"/>
          <w:kern w:val="0"/>
          <w:sz w:val="28"/>
          <w:szCs w:val="28"/>
          <w:lang w:val="zh-CN"/>
        </w:rPr>
        <w:t>企业声明函</w:t>
      </w:r>
    </w:p>
    <w:p>
      <w:pPr>
        <w:autoSpaceDE w:val="0"/>
        <w:autoSpaceDN w:val="0"/>
        <w:spacing w:line="360" w:lineRule="auto"/>
        <w:rPr>
          <w:color w:val="auto"/>
          <w:kern w:val="0"/>
          <w:sz w:val="28"/>
          <w:szCs w:val="28"/>
          <w:lang w:val="zh-CN"/>
        </w:rPr>
      </w:pPr>
    </w:p>
    <w:p>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w:t>
      </w:r>
      <w:r>
        <w:rPr>
          <w:rFonts w:ascii="宋体" w:hAnsi="宋体" w:cs="仿宋"/>
          <w:color w:val="auto"/>
          <w:kern w:val="0"/>
          <w:sz w:val="24"/>
        </w:rPr>
        <w:t xml:space="preserve">1. </w:t>
      </w:r>
      <w:r>
        <w:rPr>
          <w:rFonts w:hint="eastAsia" w:ascii="宋体" w:hAnsi="宋体" w:cs="仿宋"/>
          <w:color w:val="auto"/>
          <w:kern w:val="0"/>
          <w:sz w:val="24"/>
          <w:u w:val="single"/>
        </w:rPr>
        <w:t>（标的名称）</w:t>
      </w:r>
      <w:r>
        <w:rPr>
          <w:rFonts w:ascii="宋体" w:hAnsi="宋体" w:cs="仿宋"/>
          <w:color w:val="auto"/>
          <w:kern w:val="0"/>
          <w:sz w:val="24"/>
          <w:u w:val="single"/>
        </w:rPr>
        <w:t xml:space="preserve"> </w:t>
      </w:r>
      <w:r>
        <w:rPr>
          <w:rFonts w:hint="eastAsia" w:ascii="宋体" w:hAnsi="宋体" w:cs="仿宋"/>
          <w:color w:val="auto"/>
          <w:kern w:val="0"/>
          <w:sz w:val="24"/>
        </w:rPr>
        <w:t>，属于</w:t>
      </w:r>
      <w:r>
        <w:rPr>
          <w:rFonts w:hint="eastAsia" w:ascii="宋体" w:hAnsi="宋体" w:cs="仿宋"/>
          <w:color w:val="auto"/>
          <w:kern w:val="0"/>
          <w:sz w:val="24"/>
          <w:u w:val="single"/>
        </w:rPr>
        <w:t>（采购文件中明确的所属行业）</w:t>
      </w:r>
      <w:r>
        <w:rPr>
          <w:rFonts w:hint="eastAsia" w:ascii="宋体" w:hAnsi="宋体" w:cs="仿宋"/>
          <w:color w:val="auto"/>
          <w:kern w:val="0"/>
          <w:sz w:val="24"/>
        </w:rPr>
        <w:t>行业；制造商为</w:t>
      </w:r>
      <w:r>
        <w:rPr>
          <w:rFonts w:hint="eastAsia" w:ascii="宋体" w:hAnsi="宋体" w:cs="仿宋"/>
          <w:color w:val="auto"/>
          <w:kern w:val="0"/>
          <w:sz w:val="24"/>
          <w:u w:val="single"/>
        </w:rPr>
        <w:t>（企业名称）</w:t>
      </w:r>
      <w:r>
        <w:rPr>
          <w:rFonts w:hint="eastAsia" w:ascii="宋体" w:hAnsi="宋体" w:cs="仿宋"/>
          <w:color w:val="auto"/>
          <w:kern w:val="0"/>
          <w:sz w:val="24"/>
        </w:rPr>
        <w:t>，从业人员人，营业收入为</w:t>
      </w:r>
      <w:r>
        <w:rPr>
          <w:rFonts w:hint="eastAsia" w:ascii="宋体" w:hAnsi="宋体" w:cs="仿宋"/>
          <w:color w:val="auto"/>
          <w:kern w:val="0"/>
          <w:sz w:val="24"/>
          <w:u w:val="single"/>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w:t>
      </w:r>
      <w:r>
        <w:rPr>
          <w:rFonts w:ascii="宋体" w:hAnsi="宋体" w:cs="仿宋"/>
          <w:color w:val="auto"/>
          <w:kern w:val="0"/>
          <w:sz w:val="24"/>
        </w:rPr>
        <w:t xml:space="preserve">2. </w:t>
      </w:r>
      <w:r>
        <w:rPr>
          <w:rFonts w:hint="eastAsia" w:ascii="宋体" w:hAnsi="宋体" w:cs="仿宋"/>
          <w:color w:val="auto"/>
          <w:kern w:val="0"/>
          <w:sz w:val="24"/>
          <w:u w:val="single"/>
        </w:rPr>
        <w:t>（标的名称）</w:t>
      </w:r>
      <w:r>
        <w:rPr>
          <w:rFonts w:ascii="宋体" w:hAnsi="宋体" w:cs="仿宋"/>
          <w:color w:val="auto"/>
          <w:kern w:val="0"/>
          <w:sz w:val="24"/>
          <w:u w:val="single"/>
        </w:rPr>
        <w:t xml:space="preserve"> </w:t>
      </w:r>
      <w:r>
        <w:rPr>
          <w:rFonts w:hint="eastAsia" w:ascii="宋体" w:hAnsi="宋体" w:cs="仿宋"/>
          <w:color w:val="auto"/>
          <w:kern w:val="0"/>
          <w:sz w:val="24"/>
        </w:rPr>
        <w:t>，属于</w:t>
      </w:r>
      <w:r>
        <w:rPr>
          <w:rFonts w:hint="eastAsia" w:ascii="宋体" w:hAnsi="宋体" w:cs="仿宋"/>
          <w:color w:val="auto"/>
          <w:kern w:val="0"/>
          <w:sz w:val="24"/>
          <w:u w:val="single"/>
        </w:rPr>
        <w:t>（采购文件中明确的所属行业）</w:t>
      </w:r>
      <w:r>
        <w:rPr>
          <w:rFonts w:hint="eastAsia" w:ascii="宋体" w:hAnsi="宋体" w:cs="仿宋"/>
          <w:color w:val="auto"/>
          <w:kern w:val="0"/>
          <w:sz w:val="24"/>
        </w:rPr>
        <w:t>行业；制造商为</w:t>
      </w:r>
      <w:r>
        <w:rPr>
          <w:rFonts w:hint="eastAsia" w:ascii="宋体" w:hAnsi="宋体" w:cs="仿宋"/>
          <w:color w:val="auto"/>
          <w:kern w:val="0"/>
          <w:sz w:val="24"/>
          <w:u w:val="single"/>
        </w:rPr>
        <w:t>（企业名称）</w:t>
      </w:r>
      <w:r>
        <w:rPr>
          <w:rFonts w:hint="eastAsia" w:ascii="宋体" w:hAnsi="宋体" w:cs="仿宋"/>
          <w:color w:val="auto"/>
          <w:kern w:val="0"/>
          <w:sz w:val="24"/>
        </w:rPr>
        <w:t>，从业人员人，营业收入为</w:t>
      </w:r>
      <w:r>
        <w:rPr>
          <w:rFonts w:hint="eastAsia" w:ascii="宋体" w:hAnsi="宋体" w:cs="仿宋"/>
          <w:color w:val="auto"/>
          <w:kern w:val="0"/>
          <w:sz w:val="24"/>
          <w:u w:val="single"/>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w:t>
      </w:r>
    </w:p>
    <w:p>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以上企业，不属于大企业的分支机构，不存在控股股东为大企业的情形，也不存在与大企业的负责人为同一人的情形。</w:t>
      </w:r>
    </w:p>
    <w:p>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本企业对上述声明内容的真实性负责。如有虚假，将依法承担相应责任。</w:t>
      </w:r>
    </w:p>
    <w:p>
      <w:pPr>
        <w:autoSpaceDE w:val="0"/>
        <w:autoSpaceDN w:val="0"/>
        <w:adjustRightInd w:val="0"/>
        <w:spacing w:line="360" w:lineRule="auto"/>
        <w:ind w:firstLine="723" w:firstLineChars="300"/>
        <w:rPr>
          <w:b/>
          <w:color w:val="auto"/>
          <w:sz w:val="24"/>
        </w:rPr>
      </w:pPr>
      <w:r>
        <w:rPr>
          <w:b/>
          <w:color w:val="auto"/>
          <w:sz w:val="24"/>
        </w:rPr>
        <w:t>注：</w:t>
      </w:r>
      <w:r>
        <w:rPr>
          <w:rFonts w:hint="eastAsia"/>
          <w:b/>
          <w:color w:val="auto"/>
          <w:sz w:val="24"/>
        </w:rPr>
        <w:t>1、</w:t>
      </w:r>
      <w:r>
        <w:rPr>
          <w:b/>
          <w:color w:val="auto"/>
          <w:sz w:val="24"/>
        </w:rPr>
        <w:t>若无此项内容，可不提供此函。</w:t>
      </w:r>
    </w:p>
    <w:p>
      <w:pPr>
        <w:autoSpaceDE w:val="0"/>
        <w:autoSpaceDN w:val="0"/>
        <w:adjustRightInd w:val="0"/>
        <w:spacing w:line="360" w:lineRule="auto"/>
        <w:ind w:firstLine="1205" w:firstLineChars="500"/>
        <w:rPr>
          <w:b/>
          <w:color w:val="auto"/>
          <w:sz w:val="24"/>
        </w:rPr>
      </w:pPr>
      <w:r>
        <w:rPr>
          <w:rFonts w:hint="eastAsia"/>
          <w:b/>
          <w:color w:val="auto"/>
          <w:sz w:val="24"/>
        </w:rPr>
        <w:t>2、本项目的所属行业为工</w:t>
      </w:r>
      <w:r>
        <w:rPr>
          <w:rFonts w:hint="eastAsia"/>
          <w:b/>
          <w:color w:val="auto"/>
          <w:sz w:val="24"/>
          <w:lang w:val="en-US" w:eastAsia="zh-CN"/>
        </w:rPr>
        <w:t>业</w:t>
      </w:r>
      <w:r>
        <w:rPr>
          <w:b/>
          <w:color w:val="auto"/>
          <w:sz w:val="24"/>
        </w:rPr>
        <w:t>。</w:t>
      </w:r>
    </w:p>
    <w:p>
      <w:pPr>
        <w:autoSpaceDE w:val="0"/>
        <w:autoSpaceDN w:val="0"/>
        <w:adjustRightInd w:val="0"/>
        <w:spacing w:line="360" w:lineRule="auto"/>
        <w:jc w:val="right"/>
        <w:rPr>
          <w:rFonts w:ascii="宋体" w:hAnsi="宋体" w:cs="仿宋"/>
          <w:color w:val="auto"/>
          <w:kern w:val="0"/>
          <w:sz w:val="24"/>
        </w:rPr>
      </w:pPr>
    </w:p>
    <w:p>
      <w:pPr>
        <w:autoSpaceDE w:val="0"/>
        <w:autoSpaceDN w:val="0"/>
        <w:adjustRightInd w:val="0"/>
        <w:spacing w:line="360" w:lineRule="auto"/>
        <w:jc w:val="right"/>
        <w:rPr>
          <w:rFonts w:ascii="宋体" w:hAnsi="宋体" w:cs="仿宋"/>
          <w:color w:val="auto"/>
          <w:kern w:val="0"/>
          <w:sz w:val="24"/>
        </w:rPr>
      </w:pPr>
    </w:p>
    <w:p>
      <w:pPr>
        <w:autoSpaceDE w:val="0"/>
        <w:autoSpaceDN w:val="0"/>
        <w:adjustRightInd w:val="0"/>
        <w:spacing w:line="360" w:lineRule="auto"/>
        <w:jc w:val="right"/>
        <w:rPr>
          <w:rFonts w:ascii="宋体" w:hAnsi="宋体" w:cs="仿宋"/>
          <w:color w:val="auto"/>
          <w:kern w:val="0"/>
          <w:sz w:val="24"/>
        </w:rPr>
      </w:pPr>
    </w:p>
    <w:p>
      <w:pPr>
        <w:autoSpaceDE w:val="0"/>
        <w:autoSpaceDN w:val="0"/>
        <w:adjustRightInd w:val="0"/>
        <w:spacing w:line="360" w:lineRule="auto"/>
        <w:rPr>
          <w:rFonts w:ascii="宋体" w:hAnsi="宋体" w:cs="仿宋"/>
          <w:color w:val="auto"/>
          <w:kern w:val="0"/>
          <w:sz w:val="24"/>
        </w:rPr>
      </w:pPr>
    </w:p>
    <w:p>
      <w:pPr>
        <w:autoSpaceDE w:val="0"/>
        <w:autoSpaceDN w:val="0"/>
        <w:adjustRightInd w:val="0"/>
        <w:spacing w:line="360" w:lineRule="auto"/>
        <w:jc w:val="center"/>
        <w:rPr>
          <w:rFonts w:ascii="宋体" w:hAnsi="宋体" w:cs="仿宋"/>
          <w:color w:val="auto"/>
          <w:kern w:val="0"/>
          <w:sz w:val="24"/>
        </w:rPr>
      </w:pPr>
      <w:r>
        <w:rPr>
          <w:rFonts w:hint="eastAsia" w:ascii="宋体" w:hAnsi="宋体" w:cs="仿宋"/>
          <w:color w:val="auto"/>
          <w:kern w:val="0"/>
          <w:sz w:val="24"/>
        </w:rPr>
        <w:t xml:space="preserve">                                             企业名称（盖章）：   </w:t>
      </w:r>
    </w:p>
    <w:p>
      <w:pPr>
        <w:autoSpaceDE w:val="0"/>
        <w:autoSpaceDN w:val="0"/>
        <w:adjustRightInd w:val="0"/>
        <w:spacing w:line="360" w:lineRule="auto"/>
        <w:jc w:val="center"/>
        <w:rPr>
          <w:rFonts w:ascii="宋体" w:hAnsi="宋体" w:cs="仿宋"/>
          <w:color w:val="auto"/>
          <w:kern w:val="0"/>
          <w:sz w:val="24"/>
        </w:rPr>
      </w:pPr>
      <w:r>
        <w:rPr>
          <w:rFonts w:hint="eastAsia" w:ascii="宋体" w:hAnsi="宋体" w:cs="仿宋"/>
          <w:color w:val="auto"/>
          <w:kern w:val="0"/>
          <w:sz w:val="24"/>
        </w:rPr>
        <w:t xml:space="preserve">                                                         日期：</w:t>
      </w:r>
    </w:p>
    <w:p>
      <w:pPr>
        <w:autoSpaceDE w:val="0"/>
        <w:autoSpaceDN w:val="0"/>
        <w:adjustRightInd w:val="0"/>
        <w:spacing w:line="360" w:lineRule="auto"/>
        <w:jc w:val="right"/>
        <w:rPr>
          <w:rFonts w:ascii="宋体" w:hAnsi="宋体" w:cs="仿宋"/>
          <w:color w:val="auto"/>
          <w:kern w:val="0"/>
          <w:sz w:val="24"/>
        </w:rPr>
      </w:pPr>
    </w:p>
    <w:p>
      <w:pPr>
        <w:spacing w:line="360" w:lineRule="auto"/>
        <w:rPr>
          <w:color w:val="auto"/>
          <w:sz w:val="24"/>
        </w:rPr>
      </w:pPr>
      <w:r>
        <w:rPr>
          <w:rFonts w:hint="eastAsia" w:ascii="宋体" w:cs="宋体"/>
          <w:color w:val="auto"/>
          <w:kern w:val="0"/>
          <w:sz w:val="24"/>
        </w:rPr>
        <w:t>从业人员、营业收入、资产总额填报上一年度数据，无上一年度数据的新成立企业可不填报。</w:t>
      </w:r>
    </w:p>
    <w:p>
      <w:pPr>
        <w:spacing w:line="480" w:lineRule="auto"/>
        <w:jc w:val="right"/>
        <w:rPr>
          <w:b/>
          <w:bCs/>
          <w:color w:val="auto"/>
          <w:kern w:val="0"/>
        </w:rPr>
      </w:pPr>
    </w:p>
    <w:p>
      <w:pPr>
        <w:adjustRightInd w:val="0"/>
        <w:snapToGrid w:val="0"/>
        <w:spacing w:line="440" w:lineRule="exact"/>
        <w:ind w:left="6114" w:hanging="6114" w:hangingChars="2900"/>
        <w:jc w:val="center"/>
        <w:rPr>
          <w:b/>
          <w:bCs/>
          <w:color w:val="auto"/>
          <w:kern w:val="0"/>
          <w:lang w:val="zh-CN"/>
        </w:rPr>
      </w:pPr>
    </w:p>
    <w:p>
      <w:pPr>
        <w:autoSpaceDE w:val="0"/>
        <w:autoSpaceDN w:val="0"/>
        <w:spacing w:line="360" w:lineRule="auto"/>
        <w:jc w:val="center"/>
        <w:rPr>
          <w:b/>
          <w:bCs/>
          <w:color w:val="auto"/>
          <w:kern w:val="0"/>
          <w:sz w:val="28"/>
          <w:szCs w:val="28"/>
        </w:rPr>
      </w:pPr>
      <w:r>
        <w:rPr>
          <w:color w:val="auto"/>
          <w:sz w:val="30"/>
          <w:szCs w:val="30"/>
        </w:rPr>
        <w:br w:type="page"/>
      </w:r>
      <w:bookmarkStart w:id="114" w:name="_Toc30801"/>
      <w:bookmarkStart w:id="115" w:name="_Toc9477"/>
      <w:r>
        <w:rPr>
          <w:rFonts w:hint="eastAsia"/>
          <w:b/>
          <w:bCs/>
          <w:color w:val="auto"/>
          <w:kern w:val="0"/>
          <w:sz w:val="28"/>
          <w:szCs w:val="28"/>
        </w:rPr>
        <w:t>监狱企业证明资料</w:t>
      </w:r>
      <w:bookmarkEnd w:id="114"/>
      <w:bookmarkEnd w:id="115"/>
    </w:p>
    <w:p>
      <w:pPr>
        <w:autoSpaceDE w:val="0"/>
        <w:autoSpaceDN w:val="0"/>
        <w:spacing w:line="360" w:lineRule="auto"/>
        <w:jc w:val="center"/>
        <w:rPr>
          <w:rFonts w:ascii="楷体" w:hAnsi="楷体" w:eastAsia="楷体" w:cs="楷体"/>
          <w:color w:val="auto"/>
          <w:sz w:val="32"/>
          <w:szCs w:val="32"/>
        </w:rPr>
      </w:pPr>
    </w:p>
    <w:p>
      <w:pPr>
        <w:adjustRightInd w:val="0"/>
        <w:snapToGrid w:val="0"/>
        <w:spacing w:line="560" w:lineRule="exact"/>
        <w:jc w:val="center"/>
        <w:rPr>
          <w:rFonts w:ascii="仿宋_GB2312" w:hAnsi="仿宋_GB2312" w:eastAsia="仿宋_GB2312" w:cs="仿宋_GB2312"/>
          <w:color w:val="auto"/>
          <w:sz w:val="32"/>
          <w:szCs w:val="32"/>
        </w:rPr>
      </w:pPr>
      <w:bookmarkStart w:id="116" w:name="_Toc28022_WPSOffice_Level3"/>
      <w:bookmarkStart w:id="117" w:name="_Toc25903_WPSOffice_Level3"/>
      <w:r>
        <w:rPr>
          <w:rFonts w:hint="eastAsia" w:ascii="仿宋_GB2312" w:hAnsi="仿宋_GB2312" w:eastAsia="仿宋_GB2312" w:cs="仿宋_GB2312"/>
          <w:b/>
          <w:color w:val="auto"/>
          <w:spacing w:val="6"/>
          <w:sz w:val="32"/>
          <w:szCs w:val="32"/>
        </w:rPr>
        <w:t>(不属于监狱企业的无需提供)</w:t>
      </w:r>
      <w:bookmarkEnd w:id="116"/>
      <w:bookmarkEnd w:id="117"/>
    </w:p>
    <w:p>
      <w:pPr>
        <w:adjustRightInd w:val="0"/>
        <w:snapToGrid w:val="0"/>
        <w:spacing w:line="560" w:lineRule="exact"/>
        <w:ind w:firstLine="480" w:firstLineChars="200"/>
        <w:rPr>
          <w:rFonts w:ascii="宋体" w:hAnsi="宋体" w:cs="仿宋"/>
          <w:color w:val="auto"/>
          <w:kern w:val="0"/>
          <w:sz w:val="24"/>
        </w:rPr>
      </w:pPr>
      <w:r>
        <w:rPr>
          <w:rFonts w:hint="eastAsia" w:ascii="宋体" w:hAnsi="宋体" w:cs="仿宋"/>
          <w:color w:val="auto"/>
          <w:kern w:val="0"/>
          <w:sz w:val="24"/>
        </w:rPr>
        <w:t>备注：按《财政部司法部关于政府采购支持监狱企业发展有关问题的通知》(财库〔2014〕68号)文件规定提供证明文件（复印件）。</w:t>
      </w:r>
    </w:p>
    <w:p>
      <w:pPr>
        <w:spacing w:before="120" w:beforeLines="50" w:line="560" w:lineRule="exact"/>
        <w:ind w:firstLine="480" w:firstLineChars="200"/>
        <w:jc w:val="right"/>
        <w:rPr>
          <w:rFonts w:ascii="宋体" w:hAnsi="宋体" w:cs="仿宋"/>
          <w:color w:val="auto"/>
          <w:kern w:val="0"/>
          <w:sz w:val="24"/>
        </w:rPr>
      </w:pPr>
      <w:r>
        <w:rPr>
          <w:rFonts w:hint="eastAsia" w:ascii="宋体" w:hAnsi="宋体" w:cs="仿宋"/>
          <w:color w:val="auto"/>
          <w:kern w:val="0"/>
          <w:sz w:val="24"/>
        </w:rPr>
        <w:t xml:space="preserve">                 </w:t>
      </w:r>
      <w:bookmarkStart w:id="118" w:name="_Toc22071_WPSOffice_Level3"/>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p>
    <w:p>
      <w:pPr>
        <w:spacing w:before="120" w:beforeLines="50" w:line="560" w:lineRule="exact"/>
        <w:ind w:firstLine="480" w:firstLineChars="200"/>
        <w:jc w:val="right"/>
        <w:rPr>
          <w:rFonts w:ascii="宋体" w:hAnsi="宋体" w:cs="仿宋"/>
          <w:color w:val="auto"/>
          <w:kern w:val="0"/>
          <w:sz w:val="24"/>
        </w:rPr>
      </w:pPr>
      <w:r>
        <w:rPr>
          <w:rFonts w:hint="eastAsia" w:ascii="宋体" w:hAnsi="宋体" w:cs="仿宋"/>
          <w:color w:val="auto"/>
          <w:kern w:val="0"/>
          <w:sz w:val="24"/>
        </w:rPr>
        <w:t>单位名称：       （公章）</w:t>
      </w:r>
      <w:bookmarkEnd w:id="118"/>
    </w:p>
    <w:p>
      <w:pPr>
        <w:spacing w:before="120" w:beforeLines="50" w:line="560" w:lineRule="exact"/>
        <w:ind w:firstLine="480" w:firstLineChars="200"/>
        <w:jc w:val="right"/>
        <w:rPr>
          <w:rFonts w:ascii="宋体" w:hAnsi="宋体" w:cs="仿宋"/>
          <w:color w:val="auto"/>
          <w:kern w:val="0"/>
          <w:sz w:val="24"/>
        </w:rPr>
      </w:pPr>
      <w:r>
        <w:rPr>
          <w:rFonts w:hint="eastAsia" w:ascii="宋体" w:hAnsi="宋体" w:cs="仿宋"/>
          <w:color w:val="auto"/>
          <w:kern w:val="0"/>
          <w:sz w:val="24"/>
        </w:rPr>
        <w:t xml:space="preserve">        </w:t>
      </w:r>
      <w:bookmarkStart w:id="119" w:name="_Toc11539_WPSOffice_Level3"/>
      <w:r>
        <w:rPr>
          <w:rFonts w:hint="eastAsia" w:ascii="宋体" w:hAnsi="宋体" w:cs="仿宋"/>
          <w:color w:val="auto"/>
          <w:kern w:val="0"/>
          <w:sz w:val="24"/>
        </w:rPr>
        <w:t>法定代表人或委托代理人：       （签字或盖章）</w:t>
      </w:r>
      <w:bookmarkEnd w:id="119"/>
    </w:p>
    <w:p>
      <w:pPr>
        <w:spacing w:before="120" w:beforeLines="50" w:line="560" w:lineRule="exact"/>
        <w:ind w:firstLine="640" w:firstLineChars="200"/>
        <w:jc w:val="center"/>
        <w:rPr>
          <w:rFonts w:ascii="宋体" w:hAnsi="宋体" w:cs="仿宋"/>
          <w:color w:val="auto"/>
          <w:kern w:val="0"/>
          <w:sz w:val="24"/>
        </w:rPr>
      </w:pPr>
      <w:r>
        <w:rPr>
          <w:rFonts w:hint="eastAsia" w:ascii="仿宋_GB2312" w:hAnsi="仿宋_GB2312" w:eastAsia="仿宋_GB2312" w:cs="仿宋_GB2312"/>
          <w:bCs/>
          <w:color w:val="auto"/>
          <w:sz w:val="32"/>
          <w:szCs w:val="32"/>
        </w:rPr>
        <w:t xml:space="preserve">                                    </w:t>
      </w:r>
      <w:bookmarkStart w:id="120" w:name="_Toc3285_WPSOffice_Level3"/>
      <w:r>
        <w:rPr>
          <w:rFonts w:hint="eastAsia" w:ascii="宋体" w:hAnsi="宋体" w:cs="仿宋"/>
          <w:color w:val="auto"/>
          <w:kern w:val="0"/>
          <w:sz w:val="24"/>
        </w:rPr>
        <w:t>年   月  日</w:t>
      </w:r>
      <w:bookmarkEnd w:id="120"/>
    </w:p>
    <w:p>
      <w:pPr>
        <w:pStyle w:val="29"/>
        <w:jc w:val="both"/>
        <w:rPr>
          <w:rFonts w:ascii="Times New Roman" w:hAnsi="Times New Roman"/>
          <w:color w:val="auto"/>
          <w:sz w:val="30"/>
          <w:szCs w:val="30"/>
        </w:rPr>
      </w:pPr>
    </w:p>
    <w:p>
      <w:pPr>
        <w:rPr>
          <w:color w:val="auto"/>
        </w:rPr>
      </w:pPr>
    </w:p>
    <w:p>
      <w:pPr>
        <w:autoSpaceDE w:val="0"/>
        <w:autoSpaceDN w:val="0"/>
        <w:spacing w:line="360" w:lineRule="auto"/>
        <w:jc w:val="center"/>
        <w:rPr>
          <w:b/>
          <w:bCs/>
          <w:color w:val="auto"/>
          <w:kern w:val="0"/>
          <w:sz w:val="28"/>
          <w:szCs w:val="28"/>
        </w:rPr>
      </w:pPr>
      <w:r>
        <w:rPr>
          <w:b/>
          <w:bCs/>
          <w:color w:val="auto"/>
          <w:kern w:val="0"/>
          <w:sz w:val="28"/>
          <w:szCs w:val="28"/>
          <w:lang w:val="zh-CN"/>
        </w:rPr>
        <w:br w:type="page"/>
      </w:r>
      <w:r>
        <w:rPr>
          <w:b/>
          <w:bCs/>
          <w:color w:val="auto"/>
          <w:kern w:val="0"/>
          <w:sz w:val="28"/>
          <w:szCs w:val="28"/>
        </w:rPr>
        <w:t>残疾人福利性单位声明函</w:t>
      </w:r>
    </w:p>
    <w:p>
      <w:pPr>
        <w:spacing w:after="120" w:afterLines="50"/>
        <w:rPr>
          <w:bCs/>
          <w:color w:val="auto"/>
        </w:rPr>
      </w:pPr>
    </w:p>
    <w:p>
      <w:pPr>
        <w:adjustRightInd w:val="0"/>
        <w:snapToGrid w:val="0"/>
        <w:spacing w:line="440" w:lineRule="exact"/>
        <w:ind w:left="6987" w:hanging="6987" w:hangingChars="2900"/>
        <w:rPr>
          <w:b/>
          <w:bCs/>
          <w:color w:val="auto"/>
          <w:kern w:val="0"/>
          <w:sz w:val="24"/>
          <w:lang w:val="zh-CN"/>
        </w:rPr>
      </w:pPr>
      <w:r>
        <w:rPr>
          <w:b/>
          <w:bCs/>
          <w:color w:val="auto"/>
          <w:kern w:val="0"/>
          <w:sz w:val="24"/>
          <w:lang w:val="zh-CN"/>
        </w:rPr>
        <w:t>致：青海国焱工程项目管理有限公司</w:t>
      </w:r>
    </w:p>
    <w:p>
      <w:pPr>
        <w:spacing w:line="360" w:lineRule="auto"/>
        <w:ind w:firstLine="480"/>
        <w:rPr>
          <w:color w:val="auto"/>
        </w:rPr>
      </w:pPr>
    </w:p>
    <w:p>
      <w:pPr>
        <w:adjustRightInd w:val="0"/>
        <w:snapToGrid w:val="0"/>
        <w:spacing w:line="440" w:lineRule="exact"/>
        <w:ind w:left="-4" w:leftChars="-2" w:firstLine="480" w:firstLineChars="200"/>
        <w:rPr>
          <w:color w:val="auto"/>
          <w:sz w:val="24"/>
        </w:rPr>
      </w:pPr>
      <w:r>
        <w:rPr>
          <w:color w:val="auto"/>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left="-4" w:leftChars="-2" w:firstLine="480" w:firstLineChars="200"/>
        <w:rPr>
          <w:color w:val="auto"/>
          <w:sz w:val="24"/>
        </w:rPr>
      </w:pPr>
      <w:r>
        <w:rPr>
          <w:color w:val="auto"/>
          <w:sz w:val="24"/>
        </w:rPr>
        <w:t>本单位对上述声明的真实性负责。如有虚假，将依法承担相应责任。</w:t>
      </w:r>
    </w:p>
    <w:p>
      <w:pPr>
        <w:adjustRightInd w:val="0"/>
        <w:snapToGrid w:val="0"/>
        <w:spacing w:line="440" w:lineRule="exact"/>
        <w:ind w:left="-4" w:leftChars="-2" w:firstLine="480" w:firstLineChars="200"/>
        <w:rPr>
          <w:color w:val="auto"/>
          <w:sz w:val="24"/>
        </w:rPr>
      </w:pPr>
    </w:p>
    <w:p>
      <w:pPr>
        <w:adjustRightInd w:val="0"/>
        <w:snapToGrid w:val="0"/>
        <w:spacing w:line="440" w:lineRule="exact"/>
        <w:ind w:left="-4" w:leftChars="-2" w:firstLine="480" w:firstLineChars="200"/>
        <w:rPr>
          <w:color w:val="auto"/>
          <w:sz w:val="24"/>
        </w:rPr>
      </w:pPr>
      <w:r>
        <w:rPr>
          <w:color w:val="auto"/>
          <w:sz w:val="24"/>
        </w:rPr>
        <w:t>注：若无此项内容，可不提供此函。</w:t>
      </w: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spacing w:line="360" w:lineRule="auto"/>
        <w:ind w:firstLine="480"/>
        <w:rPr>
          <w:color w:val="auto"/>
        </w:rPr>
      </w:pPr>
    </w:p>
    <w:p>
      <w:pPr>
        <w:autoSpaceDE w:val="0"/>
        <w:autoSpaceDN w:val="0"/>
        <w:spacing w:line="360" w:lineRule="auto"/>
        <w:jc w:val="right"/>
        <w:rPr>
          <w:bCs/>
          <w:color w:val="auto"/>
          <w:sz w:val="24"/>
          <w:szCs w:val="28"/>
        </w:rPr>
      </w:pPr>
      <w:r>
        <w:rPr>
          <w:b/>
          <w:color w:val="auto"/>
        </w:rPr>
        <w:t xml:space="preserve">                                </w:t>
      </w:r>
      <w:r>
        <w:rPr>
          <w:bCs/>
          <w:color w:val="auto"/>
          <w:sz w:val="24"/>
          <w:szCs w:val="28"/>
        </w:rPr>
        <w:t>企业名称：       （公章）</w:t>
      </w:r>
    </w:p>
    <w:p>
      <w:pPr>
        <w:autoSpaceDE w:val="0"/>
        <w:autoSpaceDN w:val="0"/>
        <w:spacing w:line="360" w:lineRule="auto"/>
        <w:jc w:val="right"/>
        <w:rPr>
          <w:bCs/>
          <w:color w:val="auto"/>
          <w:sz w:val="24"/>
          <w:szCs w:val="28"/>
        </w:rPr>
      </w:pPr>
      <w:r>
        <w:rPr>
          <w:bCs/>
          <w:color w:val="auto"/>
          <w:sz w:val="24"/>
          <w:szCs w:val="28"/>
        </w:rPr>
        <w:t xml:space="preserve">       企业法定代表人：       （签字或盖章）</w:t>
      </w:r>
    </w:p>
    <w:p>
      <w:pPr>
        <w:autoSpaceDE w:val="0"/>
        <w:autoSpaceDN w:val="0"/>
        <w:spacing w:line="360" w:lineRule="auto"/>
        <w:jc w:val="right"/>
        <w:rPr>
          <w:bCs/>
          <w:color w:val="auto"/>
          <w:sz w:val="24"/>
          <w:szCs w:val="28"/>
        </w:rPr>
      </w:pPr>
      <w:r>
        <w:rPr>
          <w:bCs/>
          <w:color w:val="auto"/>
          <w:sz w:val="24"/>
          <w:szCs w:val="28"/>
        </w:rPr>
        <w:t xml:space="preserve">                                                              年   月  日</w:t>
      </w:r>
    </w:p>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p>
    <w:p>
      <w:pPr>
        <w:pStyle w:val="4"/>
        <w:numPr>
          <w:ilvl w:val="0"/>
          <w:numId w:val="0"/>
        </w:numPr>
        <w:rPr>
          <w:rFonts w:hAnsi="宋体" w:cs="宋体"/>
          <w:color w:val="auto"/>
          <w:sz w:val="24"/>
          <w:szCs w:val="24"/>
        </w:rPr>
      </w:pPr>
      <w:r>
        <w:rPr>
          <w:rFonts w:hAnsi="宋体"/>
          <w:bCs/>
          <w:color w:val="auto"/>
          <w:sz w:val="24"/>
          <w:szCs w:val="24"/>
        </w:rPr>
        <w:br w:type="page"/>
      </w:r>
      <w:bookmarkStart w:id="121" w:name="_Toc109133133"/>
      <w:bookmarkStart w:id="122" w:name="_Toc31287"/>
      <w:r>
        <w:rPr>
          <w:rFonts w:hint="eastAsia" w:hAnsi="宋体"/>
          <w:b/>
          <w:color w:val="auto"/>
          <w:sz w:val="24"/>
          <w:szCs w:val="24"/>
          <w:lang w:val="zh-CN"/>
        </w:rPr>
        <w:t>格式17、磋商供应商认为在其他方面有必要说明的事项</w:t>
      </w:r>
      <w:bookmarkEnd w:id="121"/>
      <w:bookmarkEnd w:id="122"/>
    </w:p>
    <w:p>
      <w:pPr>
        <w:autoSpaceDE w:val="0"/>
        <w:autoSpaceDN w:val="0"/>
        <w:adjustRightInd w:val="0"/>
        <w:spacing w:line="360" w:lineRule="auto"/>
        <w:rPr>
          <w:rFonts w:ascii="宋体" w:hAnsi="宋体" w:cs="宋体"/>
          <w:color w:val="auto"/>
          <w:kern w:val="0"/>
          <w:sz w:val="24"/>
          <w:lang w:val="zh-CN"/>
        </w:rPr>
      </w:pPr>
    </w:p>
    <w:p>
      <w:pPr>
        <w:pStyle w:val="16"/>
        <w:spacing w:line="360" w:lineRule="auto"/>
        <w:jc w:val="center"/>
        <w:rPr>
          <w:rFonts w:hAnsi="宋体" w:cs="宋体"/>
          <w:b/>
          <w:bCs/>
          <w:color w:val="auto"/>
          <w:sz w:val="24"/>
          <w:szCs w:val="24"/>
          <w:lang w:val="zh-CN"/>
        </w:rPr>
      </w:pPr>
      <w:r>
        <w:rPr>
          <w:rFonts w:hint="eastAsia" w:hAnsi="宋体" w:cs="宋体"/>
          <w:b/>
          <w:bCs/>
          <w:color w:val="auto"/>
          <w:sz w:val="24"/>
          <w:szCs w:val="24"/>
          <w:lang w:val="zh-CN"/>
        </w:rPr>
        <w:t>磋商供应商认为在其他方面有必要说明的事项</w:t>
      </w:r>
    </w:p>
    <w:p>
      <w:pPr>
        <w:autoSpaceDE w:val="0"/>
        <w:autoSpaceDN w:val="0"/>
        <w:adjustRightInd w:val="0"/>
        <w:spacing w:line="360" w:lineRule="auto"/>
        <w:rPr>
          <w:rFonts w:ascii="宋体" w:hAnsi="宋体" w:cs="宋体"/>
          <w:color w:val="auto"/>
          <w:kern w:val="0"/>
          <w:sz w:val="24"/>
          <w:lang w:val="zh-CN"/>
        </w:rPr>
      </w:pP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磋商供应商在参加本项目磋商中根据磋商文件的要求认为需要说明的事项。如没有说明事项，此项可忽略。（格式可自定）</w:t>
      </w:r>
    </w:p>
    <w:p>
      <w:pPr>
        <w:pStyle w:val="4"/>
        <w:numPr>
          <w:ilvl w:val="0"/>
          <w:numId w:val="0"/>
        </w:numPr>
        <w:ind w:left="709" w:hanging="709"/>
        <w:rPr>
          <w:rFonts w:hAnsi="宋体"/>
          <w:b/>
          <w:color w:val="auto"/>
          <w:sz w:val="24"/>
          <w:szCs w:val="24"/>
          <w:lang w:val="zh-CN"/>
        </w:rPr>
      </w:pPr>
      <w:r>
        <w:rPr>
          <w:rFonts w:hAnsi="宋体"/>
          <w:bCs/>
          <w:color w:val="auto"/>
          <w:sz w:val="24"/>
          <w:szCs w:val="24"/>
        </w:rPr>
        <w:br w:type="page"/>
      </w:r>
      <w:bookmarkStart w:id="123" w:name="_Toc109133134"/>
      <w:r>
        <w:rPr>
          <w:rFonts w:hint="eastAsia" w:hAnsi="宋体"/>
          <w:b/>
          <w:color w:val="auto"/>
          <w:sz w:val="24"/>
          <w:szCs w:val="24"/>
          <w:lang w:val="zh-CN"/>
        </w:rPr>
        <w:t>磋商最终报价表</w:t>
      </w:r>
      <w:bookmarkEnd w:id="123"/>
    </w:p>
    <w:p>
      <w:pPr>
        <w:spacing w:line="360" w:lineRule="auto"/>
        <w:rPr>
          <w:rFonts w:ascii="宋体" w:hAnsi="宋体"/>
          <w:b/>
          <w:color w:val="auto"/>
          <w:sz w:val="24"/>
        </w:rPr>
      </w:pPr>
    </w:p>
    <w:p>
      <w:pPr>
        <w:spacing w:line="360" w:lineRule="auto"/>
        <w:ind w:firstLine="482" w:firstLineChars="200"/>
        <w:rPr>
          <w:rFonts w:ascii="宋体" w:hAnsi="宋体"/>
          <w:b/>
          <w:color w:val="auto"/>
          <w:sz w:val="24"/>
        </w:rPr>
      </w:pPr>
      <w:r>
        <w:rPr>
          <w:rFonts w:hint="eastAsia" w:ascii="宋体" w:hAnsi="宋体"/>
          <w:b/>
          <w:color w:val="auto"/>
          <w:sz w:val="24"/>
        </w:rPr>
        <w:t>注</w:t>
      </w:r>
      <w:r>
        <w:rPr>
          <w:rFonts w:ascii="宋体" w:hAnsi="宋体"/>
          <w:b/>
          <w:color w:val="auto"/>
          <w:sz w:val="24"/>
        </w:rPr>
        <w:t>：</w:t>
      </w:r>
      <w:r>
        <w:rPr>
          <w:rFonts w:hint="eastAsia" w:ascii="宋体" w:hAnsi="宋体"/>
          <w:b/>
          <w:color w:val="auto"/>
          <w:sz w:val="24"/>
        </w:rPr>
        <w:t>此表不需填写在磋商响应文件中。在磋商期间，由磋商小组确定合格的磋商供应商线上提交，</w:t>
      </w:r>
      <w:r>
        <w:rPr>
          <w:rFonts w:ascii="宋体" w:hAnsi="宋体"/>
          <w:b/>
          <w:color w:val="auto"/>
          <w:sz w:val="24"/>
        </w:rPr>
        <w:t>磋商供应商须在固定电脑设备前登陆等待磋商最终报价，磋商供应商</w:t>
      </w:r>
      <w:r>
        <w:rPr>
          <w:rFonts w:hint="eastAsia" w:ascii="宋体" w:hAnsi="宋体"/>
          <w:b/>
          <w:color w:val="auto"/>
          <w:sz w:val="24"/>
        </w:rPr>
        <w:t>须在规定的时间内完成，如超时，则视为无效投标。</w:t>
      </w:r>
    </w:p>
    <w:p>
      <w:pPr>
        <w:tabs>
          <w:tab w:val="left" w:pos="168"/>
        </w:tabs>
        <w:adjustRightInd w:val="0"/>
        <w:spacing w:line="360" w:lineRule="auto"/>
        <w:textAlignment w:val="baseline"/>
        <w:rPr>
          <w:rFonts w:ascii="宋体" w:hAnsi="宋体"/>
          <w:b/>
          <w:bCs/>
          <w:color w:val="auto"/>
          <w:sz w:val="24"/>
        </w:rPr>
      </w:pPr>
    </w:p>
    <w:p>
      <w:pPr>
        <w:tabs>
          <w:tab w:val="left" w:pos="168"/>
        </w:tabs>
        <w:adjustRightInd w:val="0"/>
        <w:spacing w:line="360" w:lineRule="auto"/>
        <w:textAlignment w:val="baseline"/>
        <w:rPr>
          <w:rFonts w:ascii="宋体" w:hAnsi="宋体"/>
          <w:b/>
          <w:bCs/>
          <w:color w:val="auto"/>
          <w:sz w:val="24"/>
        </w:rPr>
      </w:pPr>
    </w:p>
    <w:p>
      <w:pPr>
        <w:tabs>
          <w:tab w:val="left" w:pos="168"/>
        </w:tabs>
        <w:adjustRightInd w:val="0"/>
        <w:spacing w:line="360" w:lineRule="auto"/>
        <w:textAlignment w:val="baseline"/>
        <w:rPr>
          <w:rFonts w:ascii="宋体" w:hAnsi="宋体"/>
          <w:b/>
          <w:bCs/>
          <w:color w:val="auto"/>
          <w:sz w:val="24"/>
        </w:rPr>
      </w:pPr>
    </w:p>
    <w:p>
      <w:pPr>
        <w:tabs>
          <w:tab w:val="left" w:pos="168"/>
        </w:tabs>
        <w:adjustRightInd w:val="0"/>
        <w:spacing w:line="360" w:lineRule="auto"/>
        <w:textAlignment w:val="baseline"/>
        <w:rPr>
          <w:rFonts w:ascii="宋体" w:hAnsi="宋体"/>
          <w:b/>
          <w:bCs/>
          <w:color w:val="auto"/>
          <w:sz w:val="24"/>
        </w:rPr>
      </w:pPr>
    </w:p>
    <w:p>
      <w:pPr>
        <w:tabs>
          <w:tab w:val="left" w:pos="168"/>
        </w:tabs>
        <w:adjustRightInd w:val="0"/>
        <w:spacing w:line="360" w:lineRule="auto"/>
        <w:textAlignment w:val="baseline"/>
        <w:rPr>
          <w:rFonts w:ascii="宋体" w:hAnsi="宋体"/>
          <w:bCs/>
          <w:color w:val="auto"/>
          <w:sz w:val="24"/>
        </w:rPr>
      </w:pPr>
    </w:p>
    <w:p>
      <w:pPr>
        <w:spacing w:line="360" w:lineRule="auto"/>
        <w:jc w:val="center"/>
        <w:rPr>
          <w:rFonts w:ascii="宋体" w:hAnsi="宋体"/>
          <w:bCs/>
          <w:color w:val="auto"/>
          <w:sz w:val="24"/>
        </w:rPr>
      </w:pPr>
    </w:p>
    <w:p>
      <w:pPr>
        <w:pStyle w:val="22"/>
        <w:spacing w:before="0" w:after="0" w:line="360" w:lineRule="auto"/>
        <w:rPr>
          <w:rFonts w:ascii="宋体" w:hAnsi="宋体"/>
          <w:color w:val="auto"/>
          <w:sz w:val="48"/>
          <w:szCs w:val="48"/>
        </w:rPr>
      </w:pPr>
      <w:r>
        <w:rPr>
          <w:rFonts w:ascii="宋体" w:hAnsi="宋体"/>
          <w:b w:val="0"/>
          <w:color w:val="auto"/>
          <w:sz w:val="24"/>
          <w:szCs w:val="24"/>
        </w:rPr>
        <w:br w:type="page"/>
      </w:r>
      <w:bookmarkStart w:id="124" w:name="_Toc29404"/>
      <w:bookmarkStart w:id="125" w:name="_Toc109133135"/>
      <w:bookmarkStart w:id="126" w:name="_Toc444715745"/>
      <w:r>
        <w:rPr>
          <w:rFonts w:hint="eastAsia" w:ascii="宋体" w:hAnsi="宋体"/>
          <w:color w:val="auto"/>
          <w:sz w:val="48"/>
          <w:szCs w:val="48"/>
        </w:rPr>
        <w:t>第六部分  采购项目要求及技术参数</w:t>
      </w:r>
      <w:bookmarkEnd w:id="124"/>
      <w:bookmarkEnd w:id="125"/>
      <w:bookmarkEnd w:id="126"/>
    </w:p>
    <w:p>
      <w:pPr>
        <w:pStyle w:val="4"/>
        <w:keepNext/>
        <w:keepLines/>
        <w:numPr>
          <w:ilvl w:val="0"/>
          <w:numId w:val="0"/>
        </w:numPr>
        <w:tabs>
          <w:tab w:val="clear" w:pos="425"/>
        </w:tabs>
        <w:snapToGrid/>
        <w:ind w:left="567" w:hanging="567"/>
        <w:rPr>
          <w:rFonts w:hAnsi="宋体"/>
          <w:b/>
          <w:bCs/>
          <w:color w:val="auto"/>
          <w:kern w:val="0"/>
          <w:sz w:val="24"/>
          <w:szCs w:val="24"/>
        </w:rPr>
      </w:pPr>
      <w:bookmarkStart w:id="127" w:name="_Toc428180595"/>
      <w:bookmarkStart w:id="128" w:name="_Toc109133136"/>
      <w:r>
        <w:rPr>
          <w:rFonts w:hint="eastAsia" w:hAnsi="宋体"/>
          <w:b/>
          <w:bCs/>
          <w:color w:val="auto"/>
          <w:kern w:val="0"/>
          <w:sz w:val="24"/>
          <w:szCs w:val="24"/>
        </w:rPr>
        <w:t>一、磋商要求</w:t>
      </w:r>
      <w:bookmarkEnd w:id="127"/>
      <w:bookmarkEnd w:id="128"/>
    </w:p>
    <w:p>
      <w:pPr>
        <w:adjustRightInd w:val="0"/>
        <w:snapToGrid w:val="0"/>
        <w:spacing w:line="360" w:lineRule="auto"/>
        <w:ind w:left="425" w:hanging="425"/>
        <w:rPr>
          <w:rFonts w:ascii="宋体" w:hAnsi="宋体"/>
          <w:color w:val="auto"/>
          <w:kern w:val="0"/>
          <w:sz w:val="24"/>
        </w:rPr>
      </w:pPr>
      <w:bookmarkStart w:id="129" w:name="_Toc428180596"/>
      <w:r>
        <w:rPr>
          <w:rFonts w:ascii="宋体" w:hAnsi="宋体"/>
          <w:color w:val="auto"/>
          <w:kern w:val="0"/>
          <w:sz w:val="24"/>
        </w:rPr>
        <w:t>1.</w:t>
      </w:r>
      <w:r>
        <w:rPr>
          <w:rFonts w:hint="eastAsia" w:ascii="宋体" w:hAnsi="宋体"/>
          <w:color w:val="auto"/>
          <w:kern w:val="0"/>
          <w:sz w:val="24"/>
        </w:rPr>
        <w:t>磋商说明</w:t>
      </w:r>
      <w:bookmarkEnd w:id="129"/>
    </w:p>
    <w:p>
      <w:pPr>
        <w:autoSpaceDE w:val="0"/>
        <w:autoSpaceDN w:val="0"/>
        <w:adjustRightIn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1.1.</w:t>
      </w:r>
      <w:r>
        <w:rPr>
          <w:rFonts w:hint="eastAsia" w:ascii="宋体" w:hAnsi="宋体" w:cs="宋体"/>
          <w:color w:val="auto"/>
          <w:kern w:val="0"/>
          <w:sz w:val="24"/>
          <w:lang w:val="zh-CN"/>
        </w:rPr>
        <w:t>磋商供应商可以按照磋商文件的规定磋商，但必须对所投包号中的所有内容作为一个整体进行磋商，不能拆分或少报。否则，磋商无效。</w:t>
      </w:r>
    </w:p>
    <w:p>
      <w:pPr>
        <w:autoSpaceDE w:val="0"/>
        <w:autoSpaceDN w:val="0"/>
        <w:adjustRightIn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1.2.</w:t>
      </w:r>
      <w:r>
        <w:rPr>
          <w:rFonts w:hint="eastAsia" w:ascii="宋体" w:hAnsi="宋体" w:cs="宋体"/>
          <w:color w:val="auto"/>
          <w:kern w:val="0"/>
          <w:sz w:val="24"/>
          <w:lang w:val="zh-CN"/>
        </w:rPr>
        <w:t>磋商报价应包括</w:t>
      </w:r>
      <w:r>
        <w:rPr>
          <w:rFonts w:hint="eastAsia" w:ascii="宋体" w:hAnsi="宋体"/>
          <w:color w:val="auto"/>
          <w:sz w:val="24"/>
        </w:rPr>
        <w:t>产品费、</w:t>
      </w:r>
      <w:r>
        <w:rPr>
          <w:rFonts w:hint="eastAsia" w:hAnsi="宋体"/>
          <w:color w:val="auto"/>
          <w:sz w:val="24"/>
        </w:rPr>
        <w:t>维护费、</w:t>
      </w:r>
      <w:r>
        <w:rPr>
          <w:rFonts w:hint="eastAsia" w:ascii="宋体" w:hAnsi="宋体"/>
          <w:color w:val="auto"/>
          <w:sz w:val="24"/>
        </w:rPr>
        <w:t>检验费、手续费、保险费、售后服务费、税金、招标代理费以及其他不可预见费等全部费用（说明：具体内容应根据项目特点实事求是的填写）</w:t>
      </w:r>
      <w:r>
        <w:rPr>
          <w:rFonts w:hint="eastAsia" w:ascii="宋体" w:hAnsi="宋体" w:cs="宋体"/>
          <w:color w:val="auto"/>
          <w:kern w:val="0"/>
          <w:sz w:val="24"/>
          <w:lang w:val="zh-CN"/>
        </w:rPr>
        <w:t>。若磋商报价不能完全包括上述内容，该磋商将被认为非实质性响应。</w:t>
      </w:r>
    </w:p>
    <w:p>
      <w:pPr>
        <w:autoSpaceDE w:val="0"/>
        <w:autoSpaceDN w:val="0"/>
        <w:adjustRightIn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1.3.</w:t>
      </w:r>
      <w:r>
        <w:rPr>
          <w:rFonts w:hint="eastAsia" w:ascii="宋体" w:hAnsi="宋体" w:cs="宋体"/>
          <w:color w:val="auto"/>
          <w:kern w:val="0"/>
          <w:sz w:val="24"/>
          <w:lang w:val="zh-CN"/>
        </w:rPr>
        <w:t>磋商供应商必须如实填写</w:t>
      </w:r>
      <w:r>
        <w:rPr>
          <w:rFonts w:ascii="宋体" w:hAnsi="宋体" w:cs="宋体"/>
          <w:color w:val="auto"/>
          <w:kern w:val="0"/>
          <w:sz w:val="24"/>
          <w:lang w:val="zh-CN"/>
        </w:rPr>
        <w:t>“</w:t>
      </w:r>
      <w:r>
        <w:rPr>
          <w:rFonts w:hint="eastAsia" w:ascii="宋体" w:hAnsi="宋体" w:cs="宋体"/>
          <w:color w:val="auto"/>
          <w:kern w:val="0"/>
          <w:sz w:val="24"/>
          <w:lang w:val="zh-CN"/>
        </w:rPr>
        <w:t>技术规格响应表</w:t>
      </w:r>
      <w:r>
        <w:rPr>
          <w:rFonts w:ascii="宋体" w:hAnsi="宋体" w:cs="宋体"/>
          <w:color w:val="auto"/>
          <w:kern w:val="0"/>
          <w:sz w:val="24"/>
          <w:lang w:val="zh-CN"/>
        </w:rPr>
        <w:t>”</w:t>
      </w:r>
      <w:r>
        <w:rPr>
          <w:rFonts w:hint="eastAsia" w:ascii="宋体" w:hAnsi="宋体" w:cs="宋体"/>
          <w:color w:val="auto"/>
          <w:kern w:val="0"/>
          <w:sz w:val="24"/>
          <w:lang w:val="zh-CN"/>
        </w:rPr>
        <w:t>，在</w:t>
      </w:r>
      <w:r>
        <w:rPr>
          <w:rFonts w:ascii="宋体" w:hAnsi="宋体" w:cs="宋体"/>
          <w:color w:val="auto"/>
          <w:kern w:val="0"/>
          <w:sz w:val="24"/>
          <w:lang w:val="zh-CN"/>
        </w:rPr>
        <w:t>“</w:t>
      </w:r>
      <w:r>
        <w:rPr>
          <w:rFonts w:hint="eastAsia" w:ascii="宋体" w:hAnsi="宋体" w:cs="宋体"/>
          <w:color w:val="auto"/>
          <w:kern w:val="0"/>
          <w:sz w:val="24"/>
          <w:lang w:val="zh-CN"/>
        </w:rPr>
        <w:t>磋商产品技术参数、指标</w:t>
      </w:r>
      <w:r>
        <w:rPr>
          <w:rFonts w:ascii="宋体" w:hAnsi="宋体" w:cs="宋体"/>
          <w:color w:val="auto"/>
          <w:kern w:val="0"/>
          <w:sz w:val="24"/>
          <w:lang w:val="zh-CN"/>
        </w:rPr>
        <w:t>”</w:t>
      </w:r>
      <w:r>
        <w:rPr>
          <w:rFonts w:hint="eastAsia" w:ascii="宋体" w:hAnsi="宋体" w:cs="宋体"/>
          <w:color w:val="auto"/>
          <w:kern w:val="0"/>
          <w:sz w:val="24"/>
          <w:lang w:val="zh-CN"/>
        </w:rPr>
        <w:t>栏中列出所投产品的具体规格型号和具体技术参数、指标；以招标人需求为最低指标要求，磋商供应商对超出或不满足最低指标要求的指标需列出</w:t>
      </w:r>
      <w:r>
        <w:rPr>
          <w:rFonts w:ascii="宋体" w:hAnsi="宋体" w:cs="宋体"/>
          <w:color w:val="auto"/>
          <w:kern w:val="0"/>
          <w:sz w:val="24"/>
          <w:lang w:val="zh-CN"/>
        </w:rPr>
        <w:t>“</w:t>
      </w:r>
      <w:r>
        <w:rPr>
          <w:rFonts w:hint="eastAsia" w:ascii="宋体" w:hAnsi="宋体" w:cs="宋体"/>
          <w:color w:val="auto"/>
          <w:kern w:val="0"/>
          <w:sz w:val="24"/>
          <w:lang w:val="zh-CN"/>
        </w:rPr>
        <w:t>＋、</w:t>
      </w:r>
      <w:r>
        <w:rPr>
          <w:rFonts w:ascii="宋体" w:hAnsi="宋体" w:cs="宋体"/>
          <w:color w:val="auto"/>
          <w:kern w:val="0"/>
          <w:sz w:val="24"/>
          <w:lang w:val="zh-CN"/>
        </w:rPr>
        <w:t>-</w:t>
      </w:r>
      <w:r>
        <w:rPr>
          <w:rFonts w:hint="eastAsia" w:ascii="宋体" w:hAnsi="宋体" w:cs="宋体"/>
          <w:color w:val="auto"/>
          <w:kern w:val="0"/>
          <w:sz w:val="24"/>
          <w:lang w:val="zh-CN"/>
        </w:rPr>
        <w:t>偏差。如果与磋商响应文件中提供的产品检测报告等证明材料中的实质性响应情况不一致或直接复制磋商文件</w:t>
      </w:r>
      <w:r>
        <w:rPr>
          <w:rFonts w:ascii="宋体" w:hAnsi="宋体" w:cs="宋体"/>
          <w:color w:val="auto"/>
          <w:kern w:val="0"/>
          <w:sz w:val="24"/>
          <w:lang w:val="zh-CN"/>
        </w:rPr>
        <w:t>“</w:t>
      </w:r>
      <w:r>
        <w:rPr>
          <w:rFonts w:hint="eastAsia" w:ascii="宋体" w:hAnsi="宋体" w:cs="宋体"/>
          <w:color w:val="auto"/>
          <w:kern w:val="0"/>
          <w:sz w:val="24"/>
          <w:lang w:val="zh-CN"/>
        </w:rPr>
        <w:t>采购需求技术参数、指标</w:t>
      </w:r>
      <w:r>
        <w:rPr>
          <w:rFonts w:ascii="宋体" w:hAnsi="宋体" w:cs="宋体"/>
          <w:color w:val="auto"/>
          <w:kern w:val="0"/>
          <w:sz w:val="24"/>
          <w:lang w:val="zh-CN"/>
        </w:rPr>
        <w:t>”</w:t>
      </w:r>
      <w:r>
        <w:rPr>
          <w:rFonts w:hint="eastAsia" w:ascii="宋体" w:hAnsi="宋体" w:cs="宋体"/>
          <w:color w:val="auto"/>
          <w:kern w:val="0"/>
          <w:sz w:val="24"/>
          <w:lang w:val="zh-CN"/>
        </w:rPr>
        <w:t>内容的，按无效磋商处理。</w:t>
      </w:r>
    </w:p>
    <w:p>
      <w:pPr>
        <w:autoSpaceDE w:val="0"/>
        <w:autoSpaceDN w:val="0"/>
        <w:adjustRightIn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1.</w:t>
      </w:r>
      <w:r>
        <w:rPr>
          <w:rFonts w:hint="eastAsia" w:ascii="宋体" w:hAnsi="宋体" w:cs="宋体"/>
          <w:color w:val="auto"/>
          <w:kern w:val="0"/>
          <w:sz w:val="24"/>
          <w:lang w:val="zh-CN"/>
        </w:rPr>
        <w:t>4交货时间、地点：按采购单位指定的时间、地点交货并安装交付使用。</w:t>
      </w:r>
    </w:p>
    <w:p>
      <w:pPr>
        <w:adjustRightInd w:val="0"/>
        <w:snapToGrid w:val="0"/>
        <w:spacing w:line="360" w:lineRule="auto"/>
        <w:ind w:left="425" w:hanging="425"/>
        <w:rPr>
          <w:rFonts w:ascii="宋体" w:hAnsi="宋体"/>
          <w:color w:val="auto"/>
          <w:kern w:val="0"/>
          <w:sz w:val="24"/>
        </w:rPr>
      </w:pPr>
      <w:bookmarkStart w:id="130" w:name="_Toc428180597"/>
      <w:r>
        <w:rPr>
          <w:rFonts w:ascii="宋体" w:hAnsi="宋体"/>
          <w:color w:val="auto"/>
          <w:kern w:val="0"/>
          <w:sz w:val="24"/>
        </w:rPr>
        <w:t>2.</w:t>
      </w:r>
      <w:r>
        <w:rPr>
          <w:rFonts w:hint="eastAsia" w:ascii="宋体" w:hAnsi="宋体"/>
          <w:color w:val="auto"/>
          <w:kern w:val="0"/>
          <w:sz w:val="24"/>
        </w:rPr>
        <w:t>报价说明</w:t>
      </w:r>
      <w:bookmarkEnd w:id="130"/>
    </w:p>
    <w:p>
      <w:pPr>
        <w:autoSpaceDE w:val="0"/>
        <w:autoSpaceDN w:val="0"/>
        <w:adjustRightIn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本次磋商文件中规定的采购预算额度为磋商最高限价，磋商供应商的磋商报价不得超出此额度。否则，磋商无效。</w:t>
      </w:r>
    </w:p>
    <w:p>
      <w:pPr>
        <w:adjustRightInd w:val="0"/>
        <w:snapToGrid w:val="0"/>
        <w:spacing w:line="360" w:lineRule="auto"/>
        <w:ind w:left="425" w:hanging="425"/>
        <w:rPr>
          <w:rFonts w:ascii="宋体" w:hAnsi="宋体"/>
          <w:color w:val="auto"/>
          <w:kern w:val="0"/>
          <w:sz w:val="24"/>
        </w:rPr>
      </w:pPr>
      <w:bookmarkStart w:id="131" w:name="_Toc428180598"/>
      <w:r>
        <w:rPr>
          <w:rFonts w:ascii="宋体" w:hAnsi="宋体"/>
          <w:color w:val="auto"/>
          <w:kern w:val="0"/>
          <w:sz w:val="24"/>
        </w:rPr>
        <w:t>3.</w:t>
      </w:r>
      <w:r>
        <w:rPr>
          <w:rFonts w:hint="eastAsia" w:ascii="宋体" w:hAnsi="宋体"/>
          <w:color w:val="auto"/>
          <w:kern w:val="0"/>
          <w:sz w:val="24"/>
        </w:rPr>
        <w:t>重要指标</w:t>
      </w:r>
      <w:bookmarkEnd w:id="131"/>
    </w:p>
    <w:p>
      <w:pPr>
        <w:adjustRightInd w:val="0"/>
        <w:snapToGrid w:val="0"/>
        <w:spacing w:line="360" w:lineRule="auto"/>
        <w:ind w:left="425" w:hanging="425"/>
        <w:rPr>
          <w:rFonts w:ascii="宋体" w:hAnsi="宋体"/>
          <w:color w:val="auto"/>
          <w:kern w:val="0"/>
          <w:sz w:val="24"/>
        </w:rPr>
      </w:pPr>
      <w:bookmarkStart w:id="132" w:name="_Toc428180599"/>
      <w:r>
        <w:rPr>
          <w:rFonts w:ascii="宋体" w:hAnsi="宋体"/>
          <w:color w:val="auto"/>
          <w:kern w:val="0"/>
          <w:sz w:val="24"/>
        </w:rPr>
        <w:t>4.</w:t>
      </w:r>
      <w:r>
        <w:rPr>
          <w:rFonts w:hint="eastAsia" w:ascii="宋体" w:hAnsi="宋体"/>
          <w:color w:val="auto"/>
          <w:kern w:val="0"/>
          <w:sz w:val="24"/>
        </w:rPr>
        <w:t>商务要求</w:t>
      </w:r>
      <w:bookmarkEnd w:id="132"/>
    </w:p>
    <w:p>
      <w:pPr>
        <w:spacing w:line="360" w:lineRule="auto"/>
        <w:ind w:firstLine="240" w:firstLineChars="100"/>
        <w:rPr>
          <w:rFonts w:hint="eastAsia" w:ascii="宋体" w:hAnsi="宋体" w:eastAsia="宋体" w:cs="宋体"/>
          <w:color w:val="auto"/>
          <w:kern w:val="0"/>
          <w:sz w:val="24"/>
          <w:lang w:val="zh-CN"/>
        </w:rPr>
      </w:pPr>
      <w:bookmarkStart w:id="133" w:name="_Toc488673674"/>
      <w:r>
        <w:rPr>
          <w:rFonts w:ascii="宋体" w:hAnsi="宋体" w:cs="宋体"/>
          <w:color w:val="auto"/>
          <w:kern w:val="0"/>
          <w:sz w:val="24"/>
          <w:lang w:val="zh-CN"/>
        </w:rPr>
        <w:t>4.1.</w:t>
      </w:r>
      <w:r>
        <w:rPr>
          <w:rFonts w:hint="eastAsia" w:ascii="宋体" w:hAnsi="宋体" w:eastAsia="宋体" w:cs="宋体"/>
          <w:color w:val="auto"/>
          <w:kern w:val="0"/>
          <w:sz w:val="24"/>
          <w:lang w:val="zh-CN"/>
        </w:rPr>
        <w:t>交货期：</w:t>
      </w:r>
      <w:bookmarkEnd w:id="133"/>
      <w:bookmarkStart w:id="134" w:name="_Toc488673675"/>
      <w:r>
        <w:rPr>
          <w:rFonts w:hint="eastAsia" w:ascii="宋体" w:hAnsi="宋体"/>
          <w:color w:val="auto"/>
          <w:sz w:val="24"/>
        </w:rPr>
        <w:t>自合同签订之日起30日历日内</w:t>
      </w:r>
      <w:r>
        <w:rPr>
          <w:rFonts w:hint="eastAsia" w:ascii="宋体" w:hAnsi="宋体" w:eastAsia="宋体" w:cs="宋体"/>
          <w:color w:val="auto"/>
          <w:kern w:val="0"/>
          <w:sz w:val="24"/>
          <w:lang w:val="zh-CN"/>
        </w:rPr>
        <w:t>；</w:t>
      </w:r>
    </w:p>
    <w:p>
      <w:pPr>
        <w:spacing w:line="360" w:lineRule="auto"/>
        <w:ind w:firstLine="240" w:firstLineChars="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4.2.交货地点：</w:t>
      </w:r>
      <w:bookmarkEnd w:id="134"/>
      <w:r>
        <w:rPr>
          <w:rFonts w:hint="eastAsia" w:ascii="宋体" w:hAnsi="宋体" w:cs="宋体"/>
          <w:color w:val="auto"/>
          <w:kern w:val="0"/>
          <w:sz w:val="24"/>
          <w:lang w:val="zh-CN"/>
        </w:rPr>
        <w:t>海北藏族自治州第二人民医院</w:t>
      </w:r>
      <w:r>
        <w:rPr>
          <w:rFonts w:hint="eastAsia" w:ascii="宋体" w:hAnsi="宋体" w:eastAsia="宋体" w:cs="宋体"/>
          <w:color w:val="auto"/>
          <w:kern w:val="0"/>
          <w:sz w:val="24"/>
          <w:lang w:val="zh-CN"/>
        </w:rPr>
        <w:t>；</w:t>
      </w:r>
    </w:p>
    <w:p>
      <w:pPr>
        <w:pStyle w:val="12"/>
        <w:ind w:firstLine="240" w:firstLineChars="100"/>
        <w:rPr>
          <w:rFonts w:hint="default" w:ascii="宋体" w:hAnsi="宋体" w:eastAsia="宋体"/>
          <w:color w:val="auto"/>
          <w:sz w:val="24"/>
          <w:lang w:val="en-US" w:eastAsia="zh-CN"/>
        </w:rPr>
      </w:pPr>
      <w:r>
        <w:rPr>
          <w:rFonts w:hint="eastAsia" w:ascii="宋体" w:hAnsi="宋体"/>
          <w:color w:val="auto"/>
          <w:sz w:val="24"/>
        </w:rPr>
        <w:t>4.3.</w:t>
      </w:r>
      <w:bookmarkStart w:id="135" w:name="_Toc488673676"/>
      <w:r>
        <w:rPr>
          <w:rFonts w:hint="eastAsia" w:ascii="宋体" w:hAnsi="宋体"/>
          <w:color w:val="auto"/>
          <w:sz w:val="24"/>
          <w:lang w:eastAsia="zh-CN"/>
        </w:rPr>
        <w:t>质保期：</w:t>
      </w:r>
      <w:r>
        <w:rPr>
          <w:rFonts w:hint="eastAsia" w:ascii="宋体" w:hAnsi="Calibri" w:cs="宋体"/>
          <w:color w:val="auto"/>
          <w:kern w:val="0"/>
          <w:sz w:val="24"/>
          <w:lang w:val="en-US" w:eastAsia="zh-CN"/>
        </w:rPr>
        <w:t>质保金满两年无质量问题可以支付，免费质保期限时两年；</w:t>
      </w:r>
    </w:p>
    <w:p>
      <w:pPr>
        <w:autoSpaceDE w:val="0"/>
        <w:autoSpaceDN w:val="0"/>
        <w:adjustRightInd w:val="0"/>
        <w:spacing w:line="360" w:lineRule="auto"/>
        <w:ind w:firstLine="220" w:firstLineChars="100"/>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4.4.</w:t>
      </w:r>
      <w:r>
        <w:rPr>
          <w:rFonts w:hint="eastAsia" w:ascii="宋体" w:hAnsi="宋体" w:cs="宋体"/>
          <w:color w:val="auto"/>
          <w:kern w:val="0"/>
          <w:sz w:val="24"/>
          <w:lang w:val="zh-CN"/>
        </w:rPr>
        <w:t>付款方式：</w:t>
      </w:r>
      <w:bookmarkEnd w:id="135"/>
      <w:bookmarkStart w:id="136" w:name="_Hlk486599483"/>
      <w:bookmarkStart w:id="137" w:name="_Toc459377899"/>
      <w:bookmarkStart w:id="138" w:name="_Toc480468113"/>
      <w:r>
        <w:rPr>
          <w:rFonts w:ascii="宋体" w:hAnsi="宋体"/>
          <w:color w:val="auto"/>
          <w:kern w:val="0"/>
          <w:sz w:val="24"/>
        </w:rPr>
        <w:t>详见“第</w:t>
      </w:r>
      <w:r>
        <w:rPr>
          <w:rFonts w:hint="eastAsia" w:ascii="宋体" w:hAnsi="宋体"/>
          <w:color w:val="auto"/>
          <w:kern w:val="0"/>
          <w:sz w:val="24"/>
        </w:rPr>
        <w:t>四</w:t>
      </w:r>
      <w:r>
        <w:rPr>
          <w:rFonts w:ascii="宋体" w:hAnsi="宋体"/>
          <w:color w:val="auto"/>
          <w:kern w:val="0"/>
          <w:sz w:val="24"/>
        </w:rPr>
        <w:t>部分青海省政府采购项目合同书范本”中“四、付款方式”的规定。</w:t>
      </w:r>
      <w:r>
        <w:rPr>
          <w:rFonts w:hint="eastAsia" w:ascii="宋体" w:hAnsi="宋体" w:cs="宋体"/>
          <w:color w:val="auto"/>
          <w:kern w:val="0"/>
          <w:sz w:val="22"/>
          <w:szCs w:val="22"/>
        </w:rPr>
        <w:br w:type="textWrapping"/>
      </w:r>
      <w:bookmarkStart w:id="139" w:name="_Toc109133137"/>
    </w:p>
    <w:p>
      <w:pPr>
        <w:rPr>
          <w:rFonts w:hint="eastAsia" w:ascii="宋体" w:hAnsi="宋体" w:cs="宋体"/>
          <w:color w:val="auto"/>
          <w:kern w:val="0"/>
          <w:sz w:val="22"/>
          <w:szCs w:val="22"/>
        </w:rPr>
      </w:pPr>
      <w:r>
        <w:rPr>
          <w:rFonts w:hint="eastAsia" w:ascii="宋体" w:hAnsi="宋体" w:cs="宋体"/>
          <w:color w:val="auto"/>
          <w:kern w:val="0"/>
          <w:sz w:val="22"/>
          <w:szCs w:val="22"/>
        </w:rPr>
        <w:br w:type="page"/>
      </w:r>
    </w:p>
    <w:p>
      <w:pPr>
        <w:autoSpaceDE w:val="0"/>
        <w:autoSpaceDN w:val="0"/>
        <w:adjustRightInd w:val="0"/>
        <w:spacing w:line="360" w:lineRule="auto"/>
        <w:ind w:firstLine="241" w:firstLineChars="100"/>
        <w:rPr>
          <w:rFonts w:hint="eastAsia"/>
          <w:color w:val="auto"/>
          <w:sz w:val="36"/>
          <w:szCs w:val="22"/>
        </w:rPr>
      </w:pPr>
      <w:r>
        <w:rPr>
          <w:rFonts w:hint="eastAsia" w:ascii="宋体" w:hAnsi="宋体" w:eastAsia="宋体" w:cs="Times New Roman"/>
          <w:b/>
          <w:bCs/>
          <w:color w:val="auto"/>
          <w:kern w:val="0"/>
          <w:sz w:val="24"/>
          <w:szCs w:val="24"/>
          <w:lang w:val="en-US" w:eastAsia="zh-CN" w:bidi="ar-SA"/>
        </w:rPr>
        <w:t>二、</w:t>
      </w:r>
      <w:bookmarkStart w:id="140" w:name="_Hlk497464497"/>
      <w:r>
        <w:rPr>
          <w:rFonts w:hint="eastAsia" w:ascii="宋体" w:hAnsi="宋体" w:eastAsia="宋体" w:cs="Times New Roman"/>
          <w:b/>
          <w:bCs/>
          <w:color w:val="auto"/>
          <w:kern w:val="0"/>
          <w:sz w:val="24"/>
          <w:szCs w:val="24"/>
          <w:lang w:val="en-US" w:eastAsia="zh-CN" w:bidi="ar-SA"/>
        </w:rPr>
        <w:t>采购项目参数及要求</w:t>
      </w:r>
      <w:bookmarkEnd w:id="136"/>
      <w:bookmarkEnd w:id="137"/>
      <w:bookmarkEnd w:id="138"/>
      <w:bookmarkEnd w:id="139"/>
      <w:bookmarkEnd w:id="140"/>
    </w:p>
    <w:tbl>
      <w:tblPr>
        <w:tblStyle w:val="3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1086"/>
        <w:gridCol w:w="7508"/>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right"/>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名称</w:t>
            </w:r>
          </w:p>
        </w:tc>
        <w:tc>
          <w:tcPr>
            <w:tcW w:w="75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技术参数</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口腔无油空压机</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1.设备用途：用于3-4台牙椅的动力气源及医疗用压缩空气的生成设备装置，达到医疗用压缩空气的标准要求。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 技术规格及要求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2.1电源条件：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2.1.1额定电压：220V±10%</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2.1.2 频率：50Hz</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2.1.3 电源消耗：≤1.5 KW</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 .2 结构形式整台牙科电动无油空压机由压缩机机头、储气罐等组成，具有稳定、安全、节能、环保等特点，。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  技术指标及特点：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2.3.1产气量最大每台≥300L/分钟，0.4bar下产气量≥180 L/min；</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2.3.2每台空压机为2个机头组成</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2.3.3噪音:≤70分贝；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2.3.4储气罐容积为≥60L，内外喷塑，保证气体的洁净；罐体安装有安全阀、压力表、排水阀及单向阀。</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2.3.最小占地面积：≤1m*1m</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超声骨刀</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一、主要技术参数：</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1.电源电压：100V-240V~  50Hz/60Hz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2、最大输入功率：170VA</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 工作尖尖端主振幅：20~200μm</w:t>
            </w:r>
            <w:r>
              <w:rPr>
                <w:rFonts w:hint="eastAsia" w:ascii="仿宋" w:hAnsi="仿宋" w:eastAsia="仿宋" w:cs="仿宋"/>
                <w:i w:val="0"/>
                <w:iCs w:val="0"/>
                <w:color w:val="auto"/>
                <w:kern w:val="0"/>
                <w:sz w:val="24"/>
                <w:szCs w:val="24"/>
                <w:u w:val="none"/>
                <w:lang w:val="en-US" w:eastAsia="zh-CN" w:bidi="ar"/>
              </w:rPr>
              <w:tab/>
            </w:r>
            <w:r>
              <w:rPr>
                <w:rFonts w:hint="eastAsia" w:ascii="仿宋" w:hAnsi="仿宋" w:eastAsia="仿宋" w:cs="仿宋"/>
                <w:i w:val="0"/>
                <w:iCs w:val="0"/>
                <w:color w:val="auto"/>
                <w:kern w:val="0"/>
                <w:sz w:val="24"/>
                <w:szCs w:val="24"/>
                <w:u w:val="none"/>
                <w:lang w:val="en-US" w:eastAsia="zh-CN" w:bidi="ar"/>
              </w:rPr>
              <w:tab/>
            </w:r>
            <w:r>
              <w:rPr>
                <w:rFonts w:hint="eastAsia" w:ascii="仿宋" w:hAnsi="仿宋" w:eastAsia="仿宋" w:cs="仿宋"/>
                <w:i w:val="0"/>
                <w:iCs w:val="0"/>
                <w:color w:val="auto"/>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 工作尖尖端横向振幅：＜5μm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 工作尖振动频率：24.0 kHz ~36.0 kHz</w:t>
            </w:r>
            <w:r>
              <w:rPr>
                <w:rFonts w:hint="eastAsia" w:ascii="仿宋" w:hAnsi="仿宋" w:eastAsia="仿宋" w:cs="仿宋"/>
                <w:i w:val="0"/>
                <w:iCs w:val="0"/>
                <w:color w:val="auto"/>
                <w:kern w:val="0"/>
                <w:sz w:val="24"/>
                <w:szCs w:val="24"/>
                <w:u w:val="none"/>
                <w:lang w:val="en-US" w:eastAsia="zh-CN" w:bidi="ar"/>
              </w:rPr>
              <w:tab/>
            </w:r>
            <w:r>
              <w:rPr>
                <w:rFonts w:hint="eastAsia" w:ascii="仿宋" w:hAnsi="仿宋" w:eastAsia="仿宋" w:cs="仿宋"/>
                <w:i w:val="0"/>
                <w:iCs w:val="0"/>
                <w:color w:val="auto"/>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 蠕动泵流量：30~110mL/min</w:t>
            </w:r>
            <w:r>
              <w:rPr>
                <w:rFonts w:hint="eastAsia" w:ascii="仿宋" w:hAnsi="仿宋" w:eastAsia="仿宋" w:cs="仿宋"/>
                <w:i w:val="0"/>
                <w:iCs w:val="0"/>
                <w:color w:val="auto"/>
                <w:kern w:val="0"/>
                <w:sz w:val="24"/>
                <w:szCs w:val="24"/>
                <w:u w:val="none"/>
                <w:lang w:val="en-US" w:eastAsia="zh-CN" w:bidi="ar"/>
              </w:rPr>
              <w:tab/>
            </w:r>
            <w:r>
              <w:rPr>
                <w:rFonts w:hint="eastAsia" w:ascii="仿宋" w:hAnsi="仿宋" w:eastAsia="仿宋" w:cs="仿宋"/>
                <w:i w:val="0"/>
                <w:iCs w:val="0"/>
                <w:color w:val="auto"/>
                <w:kern w:val="0"/>
                <w:sz w:val="24"/>
                <w:szCs w:val="24"/>
                <w:u w:val="none"/>
                <w:lang w:val="en-US" w:eastAsia="zh-CN" w:bidi="ar"/>
              </w:rPr>
              <w:tab/>
            </w:r>
            <w:r>
              <w:rPr>
                <w:rFonts w:hint="eastAsia" w:ascii="仿宋" w:hAnsi="仿宋" w:eastAsia="仿宋" w:cs="仿宋"/>
                <w:i w:val="0"/>
                <w:iCs w:val="0"/>
                <w:color w:val="auto"/>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 导出的输出声功率：200~490mW</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 主声输出面积：&lt;10 mm</w:t>
            </w:r>
            <w:r>
              <w:rPr>
                <w:rFonts w:hint="eastAsia" w:ascii="仿宋" w:hAnsi="仿宋" w:eastAsia="仿宋" w:cs="仿宋"/>
                <w:i w:val="0"/>
                <w:iCs w:val="0"/>
                <w:color w:val="auto"/>
                <w:kern w:val="0"/>
                <w:sz w:val="24"/>
                <w:szCs w:val="24"/>
                <w:u w:val="none"/>
                <w:vertAlign w:val="superscript"/>
                <w:lang w:val="en-US" w:eastAsia="zh-CN" w:bidi="ar"/>
              </w:rPr>
              <w:t>2</w:t>
            </w:r>
            <w:r>
              <w:rPr>
                <w:rFonts w:hint="eastAsia" w:ascii="仿宋" w:hAnsi="仿宋" w:eastAsia="仿宋" w:cs="仿宋"/>
                <w:i w:val="0"/>
                <w:iCs w:val="0"/>
                <w:color w:val="auto"/>
                <w:kern w:val="0"/>
                <w:sz w:val="24"/>
                <w:szCs w:val="24"/>
                <w:u w:val="none"/>
                <w:vertAlign w:val="superscript"/>
                <w:lang w:val="en-US" w:eastAsia="zh-CN" w:bidi="ar"/>
              </w:rPr>
              <w:tab/>
            </w:r>
            <w:r>
              <w:rPr>
                <w:rFonts w:hint="eastAsia" w:ascii="仿宋" w:hAnsi="仿宋" w:eastAsia="仿宋" w:cs="仿宋"/>
                <w:i w:val="0"/>
                <w:iCs w:val="0"/>
                <w:color w:val="auto"/>
                <w:kern w:val="0"/>
                <w:sz w:val="24"/>
                <w:szCs w:val="24"/>
                <w:u w:val="none"/>
                <w:lang w:val="en-US" w:eastAsia="zh-CN" w:bidi="ar"/>
              </w:rPr>
              <w:tab/>
            </w:r>
            <w:r>
              <w:rPr>
                <w:rFonts w:hint="eastAsia" w:ascii="仿宋" w:hAnsi="仿宋" w:eastAsia="仿宋" w:cs="仿宋"/>
                <w:i w:val="0"/>
                <w:iCs w:val="0"/>
                <w:color w:val="auto"/>
                <w:kern w:val="0"/>
                <w:sz w:val="24"/>
                <w:szCs w:val="24"/>
                <w:u w:val="none"/>
                <w:lang w:val="en-US" w:eastAsia="zh-CN" w:bidi="ar"/>
              </w:rPr>
              <w:tab/>
            </w:r>
            <w:r>
              <w:rPr>
                <w:rFonts w:hint="eastAsia" w:ascii="仿宋" w:hAnsi="仿宋" w:eastAsia="仿宋" w:cs="仿宋"/>
                <w:i w:val="0"/>
                <w:iCs w:val="0"/>
                <w:color w:val="auto"/>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 次级横振声输出面积：&lt;20 mm</w:t>
            </w:r>
            <w:r>
              <w:rPr>
                <w:rFonts w:hint="eastAsia" w:ascii="仿宋" w:hAnsi="仿宋" w:eastAsia="仿宋" w:cs="仿宋"/>
                <w:i w:val="0"/>
                <w:iCs w:val="0"/>
                <w:color w:val="auto"/>
                <w:kern w:val="0"/>
                <w:sz w:val="24"/>
                <w:szCs w:val="24"/>
                <w:u w:val="none"/>
                <w:vertAlign w:val="superscript"/>
                <w:lang w:val="en-US" w:eastAsia="zh-CN" w:bidi="ar"/>
              </w:rPr>
              <w:t>2</w:t>
            </w:r>
            <w:r>
              <w:rPr>
                <w:rFonts w:hint="eastAsia" w:ascii="仿宋" w:hAnsi="仿宋" w:eastAsia="仿宋" w:cs="仿宋"/>
                <w:i w:val="0"/>
                <w:iCs w:val="0"/>
                <w:color w:val="auto"/>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 多功能脚踏，可灵活控制模式、功率和水量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11.脚踏防水等级：≥IPX8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12.可反复高温高压灭菌的供水泵管；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二、功能简介：</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1.全新≥7英寸彩色触控屏，中文显示。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2.选择性切割识别，以微米切割，手术精确。</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3.快速频率跟踪，性能更稳定、切割高效。</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4.微动力系统，引领微创潮流。</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5.经典故障报警，为安全保驾护航。</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6.手柄能耐≥134℃高温和≥0.22MPa高压消毒。</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7.静音泵供水系统，衬托舒适体验。</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8.≥10档功率控制，每档功率对应骨密度。</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9.≥10档水量控制，直接显示输出流量速度数值</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10.一键增强，瞬时提高当前功率≥25%。</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11.双模式输出选择，自由调整切割效果。</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12.具备专门冲水模式，可精准定量输出水量。</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13.一键控制手柄灯光开关。</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14.具备硬件搜频技术，零延时震动输出，即时响应操作。</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15.手柄水路管道分离设计，可使用一次性输水管道。</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三、主要配置：</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手柄：接插式手柄（带光）3支；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多功能脚踏；1个</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工作尖：共25枚:     </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干切设备</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功能：氧化锆加工技术指的是以加工氧化锆或树脂材料为主的数控切削。解决了传统人工效率问题，以及满足制作精度要求。加工类型包含了内冠、全冠、桥体、嵌体、贴面、桩核、个性化基台上部结构、种植上部桥。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技术参数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 机身规格：≤530mm（长）*470mm（宽）*560mm（高）；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 机体重量：设备净重 ≤110KG；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 电 压：220v，具有断电保护装置；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 功 率：≤1.2KW；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 加工精度：≤0.01mm，提升就位率；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 运行气压：≥0.5MP ；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7) 主轴转速：≥60000 转/分，快的更加细腻；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8) 刀具数量：≥6 个刀库，自动换刀功能；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9) 五轴运转：X 轴、Y 轴、Z 轴、A 轴（旋转轴）、B 轴＋25°/－18°；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10) 冷却方式：风冷；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11) 夹具类型：圆形全夹、c 型夹具任选其一；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12) 支持切削材质：氧化锆、树脂、蜡；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13) 加工类型：全冠、内冠、贴面、嵌体、桥体、桩核、个性化基台、种植上部桥、Base；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14) 加工速度：氧化锆、树脂（10 分钟左右/颗）、蜡（3 分钟/颗）、 支架（45 分钟左右/个）；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15) 高性能铸件，航空铝合金结构；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16) 低电压保护，让切削更顺利；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17) 高性能主轴，高稳定性，高精确度；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18) 24 小时连续工作，满足时效与数量的要求；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19) 数据导入方式：共享、网线、U 盘，多种方式选择；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20) 支持 STL 文件类型，一键导入切削；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 设备采用的是“平板密缝位移式”的隔尘方案；</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 主轴下方设计有高效的喷嘴结构有效清除车针上所吸附的粉尘；</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结晶炉</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氧化锆烧结炉，使用硅钼棒加热，45分钟快速烧结，保证美学效果，一炉两用，速度可选</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额定电压：230V±10%</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额定功率：2,000W</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最大工作温度：≥1550°C</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防护等级：≥IP21</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外形尺寸/重量：≤32.5*58.5*74.5cm / 70kg</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烤瓷炉</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烤瓷炉，炉膛双层金属保护设计，带独立真空路径，能有效的提高保温性能，炉丝使用石英管保护，结构设计优化，能延长使用寿命，受热更均匀有效，便于维护。</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2.额定电压：220V±10%</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3.额定功率：1,200+350W</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4.最终真空度：＜35mmHg</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5.最大工作温度：≥1100°C</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6.防护等级：≥IPX1</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7.外形尺寸：≤33*42*56cm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8.炉膛可用尺寸：≥85*55mm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9，重量：≤26.5kg</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right"/>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上颌窦内外提升工具盒</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配置清单：</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牙科种植用钻</w:t>
            </w:r>
            <w:r>
              <w:rPr>
                <w:rFonts w:hint="eastAsia" w:ascii="仿宋" w:hAnsi="仿宋" w:eastAsia="仿宋" w:cs="仿宋"/>
                <w:i w:val="0"/>
                <w:iCs w:val="0"/>
                <w:color w:val="auto"/>
                <w:kern w:val="0"/>
                <w:sz w:val="24"/>
                <w:szCs w:val="24"/>
                <w:u w:val="none"/>
                <w:lang w:val="en-US" w:eastAsia="zh-CN" w:bidi="ar"/>
              </w:rPr>
              <w:t>：5支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牙科种植用延长器</w:t>
            </w:r>
            <w:r>
              <w:rPr>
                <w:rFonts w:hint="eastAsia" w:ascii="仿宋" w:hAnsi="仿宋" w:eastAsia="仿宋" w:cs="仿宋"/>
                <w:i w:val="0"/>
                <w:iCs w:val="0"/>
                <w:color w:val="auto"/>
                <w:kern w:val="0"/>
                <w:sz w:val="24"/>
                <w:szCs w:val="24"/>
                <w:u w:val="none"/>
                <w:lang w:val="en-US" w:eastAsia="zh-CN" w:bidi="ar"/>
              </w:rPr>
              <w:t>：2支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牙科种植用扩骨器</w:t>
            </w:r>
            <w:r>
              <w:rPr>
                <w:rFonts w:hint="eastAsia" w:ascii="仿宋" w:hAnsi="仿宋" w:eastAsia="仿宋" w:cs="仿宋"/>
                <w:i w:val="0"/>
                <w:iCs w:val="0"/>
                <w:color w:val="auto"/>
                <w:kern w:val="0"/>
                <w:sz w:val="24"/>
                <w:szCs w:val="24"/>
                <w:u w:val="none"/>
                <w:lang w:val="en-US" w:eastAsia="zh-CN" w:bidi="ar"/>
              </w:rPr>
              <w:t>：6支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牙科种植用扳手</w:t>
            </w:r>
            <w:r>
              <w:rPr>
                <w:rFonts w:hint="eastAsia" w:ascii="仿宋" w:hAnsi="仿宋" w:eastAsia="仿宋" w:cs="仿宋"/>
                <w:i w:val="0"/>
                <w:iCs w:val="0"/>
                <w:color w:val="auto"/>
                <w:kern w:val="0"/>
                <w:sz w:val="24"/>
                <w:szCs w:val="24"/>
                <w:u w:val="none"/>
                <w:lang w:val="en-US" w:eastAsia="zh-CN" w:bidi="ar"/>
              </w:rPr>
              <w:t>：1支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牙骨凿：2支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color w:val="auto"/>
                <w:lang w:val="en-US" w:eastAsia="zh-CN"/>
              </w:rPr>
            </w:pPr>
            <w:r>
              <w:rPr>
                <w:rFonts w:hint="eastAsia" w:ascii="仿宋" w:hAnsi="仿宋" w:eastAsia="仿宋" w:cs="仿宋"/>
                <w:i w:val="0"/>
                <w:iCs w:val="0"/>
                <w:color w:val="auto"/>
                <w:kern w:val="0"/>
                <w:sz w:val="24"/>
                <w:szCs w:val="24"/>
                <w:u w:val="none"/>
                <w:lang w:val="en-US" w:eastAsia="zh-CN" w:bidi="ar"/>
              </w:rPr>
              <w:t>器械管理盒1个</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口腔内窥镜</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一、主要技术参数要求：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1、设备基本要求及用途：本产品用于对口腔局部观察。</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2、原理：采集影像转换成数字图像信号并传输到高清一体机上进行图像的显示、分析和管理。</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3、高清一体机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屏幕尺寸：≥21.5寸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触摸屏：电容式触摸屏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屏幕分辨率：≥1920*1080</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系统：嵌入式系统</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存储：≥1GB+8GB</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WIFI连接：支持</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扩展接口：1*百兆网口、HDMI、2*USB2.0、耳机、micro sd卡扩展口</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声音：双喇叭立体声</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4、摄像手柄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相机厚度：≥12mm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分辨率：≥1920*1080</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工作距离：10~30mm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图像比例：16:9</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视野：≥80°</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LED照明：≥10颗高亮LED</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亮度调节：≥10档调节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5、图像存储格式：图像能以PNG、JPG 格式存储。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r>
              <w:rPr>
                <w:rFonts w:hint="eastAsia" w:ascii="仿宋" w:hAnsi="仿宋" w:eastAsia="仿宋" w:cs="仿宋"/>
                <w:i w:val="0"/>
                <w:iCs w:val="0"/>
                <w:color w:val="auto"/>
                <w:kern w:val="0"/>
                <w:sz w:val="24"/>
                <w:szCs w:val="24"/>
                <w:u w:val="none"/>
                <w:lang w:val="en-US" w:eastAsia="zh-Hans" w:bidi="ar"/>
              </w:rPr>
              <w:t>支持软件内置截图功能（安卓系统自带截屏功能）</w:t>
            </w:r>
            <w:r>
              <w:rPr>
                <w:rFonts w:hint="eastAsia" w:ascii="仿宋" w:hAnsi="仿宋" w:eastAsia="仿宋" w:cs="仿宋"/>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7、机身物理按键：具备。</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8、数据操作：（1）支持扫码分享图像（2）可以实现效能最大化：口内数据采集-----医患沟通----数据处理，多场景应用</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高速手机</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一、产品功能总体要求：本产品适用于口腔科钻、磨牙手术用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二、技术参数要求：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1、手机接口为ISO 9168 类型2(Midwest 4 孔)</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2、标准机头大小，头部直径：Φ11.2×H13.4mm，满足大部分手术要求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3、不锈钢机身，陶瓷轴承</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4、防回吸卫生机头，逆止阀设计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5、转速：350,000 - 450,000r/min</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6、驱动气压：0.20 - 0.25MPa (2.0 - 2.5kgf/cm2)</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7、上针方式：按钮式夹头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8、车针类型：ISO1797-1 类型3 ø1.59~1.60mm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9、照明：无</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10、车针最大长度：≥21mm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11、功率：20W</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12、喷雾方式：单点喷雾</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三、详细配置</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手机：1</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注油喷嘴：1</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扳手：1</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光固化机</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一、功能简介：</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1.≥7种工作模式：标准模式、强光模式、超强模式、正畸模式、渐进模式、脉冲模式和检查模式</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2.OLED显示屏，中文显示界面，清晰直观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3.配备金属前接头，可实现360°旋转</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4.全金属机身，防摔耐用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5.准直光束输出，出光夹角≤15.8°，光照更集中，有效减少光损耗</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6.恒定光功率输出，不因电池电量下降而影响固化效果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7.充电底座支持无线充电，避免因接触不良，导致无法充电</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8.充电座内置测光表，可实时线性显示光照强度</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9.开机自动切换至上次使用模式，专属“存档”功能</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二、主要技术参数：</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1.电源输入：100-240V～  50/60Hz  0.4A Max</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2.输出：DC 5V/1A</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3.电池：≥18500</w:t>
            </w:r>
            <w:r>
              <w:rPr>
                <w:rFonts w:hint="eastAsia" w:ascii="仿宋" w:hAnsi="仿宋" w:eastAsia="仿宋" w:cs="仿宋"/>
                <w:i w:val="0"/>
                <w:iCs w:val="0"/>
                <w:color w:val="auto"/>
                <w:kern w:val="0"/>
                <w:sz w:val="24"/>
                <w:szCs w:val="24"/>
                <w:u w:val="none"/>
                <w:lang w:val="en-US" w:eastAsia="zh-CN" w:bidi="ar"/>
              </w:rPr>
              <w:tab/>
            </w:r>
            <w:r>
              <w:rPr>
                <w:rFonts w:hint="eastAsia" w:ascii="仿宋" w:hAnsi="仿宋" w:eastAsia="仿宋" w:cs="仿宋"/>
                <w:i w:val="0"/>
                <w:iCs w:val="0"/>
                <w:color w:val="auto"/>
                <w:kern w:val="0"/>
                <w:sz w:val="24"/>
                <w:szCs w:val="24"/>
                <w:u w:val="none"/>
                <w:lang w:val="en-US" w:eastAsia="zh-CN" w:bidi="ar"/>
              </w:rPr>
              <w:t>3.7V</w:t>
            </w:r>
            <w:r>
              <w:rPr>
                <w:rFonts w:hint="eastAsia" w:ascii="仿宋" w:hAnsi="仿宋" w:eastAsia="仿宋" w:cs="仿宋"/>
                <w:i w:val="0"/>
                <w:iCs w:val="0"/>
                <w:color w:val="auto"/>
                <w:kern w:val="0"/>
                <w:sz w:val="24"/>
                <w:szCs w:val="24"/>
                <w:u w:val="none"/>
                <w:lang w:val="en-US" w:eastAsia="zh-CN" w:bidi="ar"/>
              </w:rPr>
              <w:tab/>
            </w:r>
            <w:r>
              <w:rPr>
                <w:rFonts w:hint="eastAsia" w:ascii="仿宋" w:hAnsi="仿宋" w:eastAsia="仿宋" w:cs="仿宋"/>
                <w:i w:val="0"/>
                <w:iCs w:val="0"/>
                <w:color w:val="auto"/>
                <w:kern w:val="0"/>
                <w:sz w:val="24"/>
                <w:szCs w:val="24"/>
                <w:u w:val="none"/>
                <w:lang w:val="en-US" w:eastAsia="zh-CN" w:bidi="ar"/>
              </w:rPr>
              <w:t>≥2000mAh</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4.工作模式：检查、标准、强光、超强、正畸、渐进、脉冲</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5.光照强度及定时时间：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标准模式下定时时间：5秒、10秒、15秒、20秒；光强：1000-1200mW/cm2</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强光模式下定时时间：3秒、5秒；光强：1800-2000mW/cm2</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超强模式下定时时间：1秒、3秒；光强：2700-3000mW/cm2</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正畸模式下定时时间：3*5秒、3*10秒； 光强：2700-3000mW/cm2</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渐进模式下定时时间：5秒、10秒、15秒、20秒； 光强：1000-1200mW/cm2</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脉冲模式下定时时间：5秒、10秒、15秒、20秒；光强：1000-1200mW/cm2</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脉冲模式下定时时间：30秒、60秒；光强：/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6.导光元件出光端面直径：≥10mm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7.光学有效面积：≥78mm²</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8.波长：≥385nm—515nm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9.运行模式：间歇运行</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三、配置清单：</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主机*1</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前接头*1</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遮光片*1</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高度块*1</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点固话头*1</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电源适配器*1</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充电座*1</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一次性隔离套*100</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儿童牙科综合治疗机</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1.1、侧面式悬浮升降牙科椅，外观采用全卡通外形,形象美观。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720" w:firstLineChars="30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最低椅位≤500mm，最高椅位≥650mm；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椅位载重量135kg±5kg（不含治疗机）；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椅位升降速度≥10mm\s，升降十分稳定；</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      靠背运动0度至70度。</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1.2、头枕可调整，头靠伸缩长度≤120mm。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1.3、噪音≤45分贝，转动电机采用静音直流进口电机。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1.4、该机有手控及脚控四个方向椅位操作方式，具有微机控制系统，设有复位及PLC（可编程控制器：根据用户要求和用已经编程的逻辑来对电路等进行控制）功能。</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1.5、电源电压：220V-50Hz</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电机电压：24V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水源水压：0.2MPa～0.4MPa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气源气压：0.5MPa～0.8MPa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2、治疗机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2.1、全电脑控制、平面操作开关面板。</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2.1.1椅位控制：分别有上升、下降、后仰、前倾、复位及PLC功能。</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2.1.2 口腔灯控制：拔动操控无影灯的强弱光开关。</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2.1.3热水器控制：点动操作开、关。</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2.1.4漱口给水控制：点动操作开、关，可定量给水设定功能及自动给水器给水功能。</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2.1.5痰盂冲水控制：点动操作开、关及自动定时关闭功能，关闭时间可自行设定。</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2.1.6LED观片灯控制：拔动操作开、关。</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2.2、器械盘</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2.21二条四孔标准高速手机管。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2.22一条四孔标准低速手机管。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2.23配置：一套三用喷枪。（喷枪头与外壳可快速分离，可高温消毒）。</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2.24配置易清洁器械盘一套及LED观片灯一套。</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2.25器械盘气压表位于前方，能直观调节气压大小。</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2.26器械盘为360度移动式，采用卡通外形,形象美观。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2.3、助手侧置</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2.3.1一支强吸，一支弱吸。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2.3.2吸唾管能轻易取下清洁消毒。</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2.3.3配置一套三用枪。（喷枪头与外壳可快速分离，可高温消毒）一支弱吸。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2.3.4助手架外壳为注塑外壳，有卡通装饰，形象美观。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出厂配置：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可拆卸新型痰盂( 防摔）                    一套</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电磁阀                                    一套</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冲痰漱口定量给水自动系统                  一套</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移动式器械盘                              一套</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铸铝多功能脚踏控制开关（带脚踏自锁功能）  一套</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LED观片灯                                 一套</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三用喷枪（冷、热）                         二支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电动牙科椅控制系统                        一套</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8孔豪华LED双色口腔灯（感应/手动）        一套</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24V静音直流进口电机(带九个记忆椅位）      一套</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医生转椅C型                              一张</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牙科排号叫号系统</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金属外观：全金属机身，表面喷塑处理，耐腐蚀，适用于复杂的医院环境</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精准触控：采用G+G 10点电容触摸技术，触控顺滑跟手，操作灵敏便捷</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多样识别：集成多合一读卡模块，可识别一维码、二维码、身份证、银行卡、就诊卡、磁条卡等</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凭条打印：内置热敏打印机，可打印业务凭条，前维护设计，换纸更便捷</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便捷支付：支持扫码支付、银联支付、刷脸支付等支付方式</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业务联动：支持与智慧分诊系统无缝对接，实现分诊签到等多种业务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屏幕：≥21.5寸，16:9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外设：支付摄像头、热敏打印机、读码器、身份证、接触式、非接触、词条读卡器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电源：200–240V AC，50/60Hz</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壳体：白色外壳</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可视角度：水平≥178°，垂直≥178°</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数字口内影像板扫描处理系统</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一、基础参数</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1.数字口内影像板扫描处理系统</w:t>
            </w:r>
            <w:r>
              <w:rPr>
                <w:rFonts w:hint="default"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300kHz</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r>
              <w:rPr>
                <w:rFonts w:hint="default" w:ascii="仿宋" w:hAnsi="仿宋" w:eastAsia="仿宋" w:cs="仿宋"/>
                <w:i w:val="0"/>
                <w:iCs w:val="0"/>
                <w:color w:val="auto"/>
                <w:kern w:val="0"/>
                <w:sz w:val="24"/>
                <w:szCs w:val="24"/>
                <w:u w:val="none"/>
                <w:lang w:val="en-US" w:eastAsia="zh-CN" w:bidi="ar"/>
              </w:rPr>
              <w:t>焦点：≤0.7mm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r>
              <w:rPr>
                <w:rFonts w:hint="default" w:ascii="仿宋" w:hAnsi="仿宋" w:eastAsia="仿宋" w:cs="仿宋"/>
                <w:i w:val="0"/>
                <w:iCs w:val="0"/>
                <w:color w:val="auto"/>
                <w:kern w:val="0"/>
                <w:sz w:val="24"/>
                <w:szCs w:val="24"/>
                <w:u w:val="none"/>
                <w:lang w:val="en-US" w:eastAsia="zh-CN" w:bidi="ar"/>
              </w:rPr>
              <w:t>管电压：</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60Kv</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r>
              <w:rPr>
                <w:rFonts w:hint="default" w:ascii="仿宋" w:hAnsi="仿宋" w:eastAsia="仿宋" w:cs="仿宋"/>
                <w:i w:val="0"/>
                <w:iCs w:val="0"/>
                <w:color w:val="auto"/>
                <w:kern w:val="0"/>
                <w:sz w:val="24"/>
                <w:szCs w:val="24"/>
                <w:u w:val="none"/>
                <w:lang w:val="en-US" w:eastAsia="zh-CN" w:bidi="ar"/>
              </w:rPr>
              <w:t>管电流：</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7mA</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r>
              <w:rPr>
                <w:rFonts w:hint="default" w:ascii="仿宋" w:hAnsi="仿宋" w:eastAsia="仿宋" w:cs="仿宋"/>
                <w:i w:val="0"/>
                <w:iCs w:val="0"/>
                <w:color w:val="auto"/>
                <w:kern w:val="0"/>
                <w:sz w:val="24"/>
                <w:szCs w:val="24"/>
                <w:u w:val="none"/>
                <w:lang w:val="en-US" w:eastAsia="zh-CN" w:bidi="ar"/>
              </w:rPr>
              <w:t>电源：220-240V交流电(10%),50Hz</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r>
              <w:rPr>
                <w:rFonts w:hint="default" w:ascii="仿宋" w:hAnsi="仿宋" w:eastAsia="仿宋" w:cs="仿宋"/>
                <w:i w:val="0"/>
                <w:iCs w:val="0"/>
                <w:color w:val="auto"/>
                <w:kern w:val="0"/>
                <w:sz w:val="24"/>
                <w:szCs w:val="24"/>
                <w:u w:val="none"/>
                <w:lang w:val="en-US" w:eastAsia="zh-CN" w:bidi="ar"/>
              </w:rPr>
              <w:t>球管头及平衡臂：球管头360全方位旋转，3个伸缩臂操作，任意点精确定位</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曝光控制器：数字显示，参数可调，可设置手动，自动，数字模式</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r>
              <w:rPr>
                <w:rFonts w:hint="default" w:ascii="仿宋" w:hAnsi="仿宋" w:eastAsia="仿宋" w:cs="仿宋"/>
                <w:i w:val="0"/>
                <w:iCs w:val="0"/>
                <w:color w:val="auto"/>
                <w:kern w:val="0"/>
                <w:sz w:val="24"/>
                <w:szCs w:val="24"/>
                <w:u w:val="none"/>
                <w:lang w:val="en-US" w:eastAsia="zh-CN" w:bidi="ar"/>
              </w:rPr>
              <w:t>安装方式：</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3种</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r>
              <w:rPr>
                <w:rFonts w:hint="default" w:ascii="仿宋" w:hAnsi="仿宋" w:eastAsia="仿宋" w:cs="仿宋"/>
                <w:i w:val="0"/>
                <w:iCs w:val="0"/>
                <w:color w:val="auto"/>
                <w:kern w:val="0"/>
                <w:sz w:val="24"/>
                <w:szCs w:val="24"/>
                <w:u w:val="none"/>
                <w:lang w:val="en-US" w:eastAsia="zh-CN" w:bidi="ar"/>
              </w:rPr>
              <w:t>曝光时间范围：0.02-3.2秒</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r>
              <w:rPr>
                <w:rFonts w:hint="default" w:ascii="仿宋" w:hAnsi="仿宋" w:eastAsia="仿宋" w:cs="仿宋"/>
                <w:i w:val="0"/>
                <w:iCs w:val="0"/>
                <w:color w:val="auto"/>
                <w:kern w:val="0"/>
                <w:sz w:val="24"/>
                <w:szCs w:val="24"/>
                <w:u w:val="none"/>
                <w:lang w:val="en-US" w:eastAsia="zh-CN" w:bidi="ar"/>
              </w:rPr>
              <w:t>可直接选择成人或儿童模式</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r>
              <w:rPr>
                <w:rFonts w:hint="default" w:ascii="仿宋" w:hAnsi="仿宋" w:eastAsia="仿宋" w:cs="仿宋"/>
                <w:i w:val="0"/>
                <w:iCs w:val="0"/>
                <w:color w:val="auto"/>
                <w:kern w:val="0"/>
                <w:sz w:val="24"/>
                <w:szCs w:val="24"/>
                <w:u w:val="none"/>
                <w:lang w:val="en-US" w:eastAsia="zh-CN" w:bidi="ar"/>
              </w:rPr>
              <w:t>可直接选择胶片或数字模式</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r>
              <w:rPr>
                <w:rFonts w:hint="default" w:ascii="仿宋" w:hAnsi="仿宋" w:eastAsia="仿宋" w:cs="仿宋"/>
                <w:i w:val="0"/>
                <w:iCs w:val="0"/>
                <w:color w:val="auto"/>
                <w:kern w:val="0"/>
                <w:sz w:val="24"/>
                <w:szCs w:val="24"/>
                <w:u w:val="none"/>
                <w:lang w:val="en-US" w:eastAsia="zh-CN" w:bidi="ar"/>
              </w:rPr>
              <w:t>支撑臂稳定，易于定位，拥有抗微动结构防止定位漂移</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r>
              <w:rPr>
                <w:rFonts w:hint="default" w:ascii="仿宋" w:hAnsi="仿宋" w:eastAsia="仿宋" w:cs="仿宋"/>
                <w:i w:val="0"/>
                <w:iCs w:val="0"/>
                <w:color w:val="auto"/>
                <w:kern w:val="0"/>
                <w:sz w:val="24"/>
                <w:szCs w:val="24"/>
                <w:u w:val="none"/>
                <w:lang w:val="en-US" w:eastAsia="zh-CN" w:bidi="ar"/>
              </w:rPr>
              <w:t>伸展臂灵活，满足360度任意角度定位，拉伸长度可达</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2160mm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r>
              <w:rPr>
                <w:rFonts w:hint="default" w:ascii="仿宋" w:hAnsi="仿宋" w:eastAsia="仿宋" w:cs="仿宋"/>
                <w:i w:val="0"/>
                <w:iCs w:val="0"/>
                <w:color w:val="auto"/>
                <w:kern w:val="0"/>
                <w:sz w:val="24"/>
                <w:szCs w:val="24"/>
                <w:u w:val="none"/>
                <w:lang w:val="en-US" w:eastAsia="zh-CN" w:bidi="ar"/>
              </w:rPr>
              <w:t>遥控装置及远程曝光控制</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w:t>
            </w:r>
            <w:r>
              <w:rPr>
                <w:rFonts w:hint="default" w:ascii="仿宋" w:hAnsi="仿宋" w:eastAsia="仿宋" w:cs="仿宋"/>
                <w:i w:val="0"/>
                <w:iCs w:val="0"/>
                <w:color w:val="auto"/>
                <w:kern w:val="0"/>
                <w:sz w:val="24"/>
                <w:szCs w:val="24"/>
                <w:u w:val="none"/>
                <w:lang w:val="en-US" w:eastAsia="zh-CN" w:bidi="ar"/>
              </w:rPr>
              <w:t>符合人体解剖学的多种预设程序，实现智能化曝光控制</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r>
              <w:rPr>
                <w:rFonts w:hint="default" w:ascii="仿宋" w:hAnsi="仿宋" w:eastAsia="仿宋" w:cs="仿宋"/>
                <w:i w:val="0"/>
                <w:iCs w:val="0"/>
                <w:color w:val="auto"/>
                <w:kern w:val="0"/>
                <w:sz w:val="24"/>
                <w:szCs w:val="24"/>
                <w:u w:val="none"/>
                <w:lang w:val="en-US" w:eastAsia="zh-CN" w:bidi="ar"/>
              </w:rPr>
              <w:t>可以根据实际需要手动对曝光设置值进行调整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r>
              <w:rPr>
                <w:rFonts w:hint="default" w:ascii="仿宋" w:hAnsi="仿宋" w:eastAsia="仿宋" w:cs="仿宋"/>
                <w:i w:val="0"/>
                <w:iCs w:val="0"/>
                <w:color w:val="auto"/>
                <w:kern w:val="0"/>
                <w:sz w:val="24"/>
                <w:szCs w:val="24"/>
                <w:u w:val="none"/>
                <w:lang w:val="en-US" w:eastAsia="zh-CN" w:bidi="ar"/>
              </w:rPr>
              <w:t>可对常用的曝光参数设定值进行程序预设并储存</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r>
              <w:rPr>
                <w:rFonts w:hint="default" w:ascii="仿宋" w:hAnsi="仿宋" w:eastAsia="仿宋" w:cs="仿宋"/>
                <w:i w:val="0"/>
                <w:iCs w:val="0"/>
                <w:color w:val="auto"/>
                <w:kern w:val="0"/>
                <w:sz w:val="24"/>
                <w:szCs w:val="24"/>
                <w:u w:val="none"/>
                <w:lang w:val="en-US" w:eastAsia="zh-CN" w:bidi="ar"/>
              </w:rPr>
              <w:t>内置液晶显示器，显示曝光剂量</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次氯酸发射器</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一、系统主要组成</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1.</w:t>
            </w:r>
            <w:r>
              <w:rPr>
                <w:rFonts w:hint="eastAsia" w:ascii="仿宋" w:hAnsi="仿宋" w:eastAsia="仿宋" w:cs="仿宋"/>
                <w:i w:val="0"/>
                <w:iCs w:val="0"/>
                <w:color w:val="auto"/>
                <w:kern w:val="0"/>
                <w:sz w:val="24"/>
                <w:szCs w:val="24"/>
                <w:u w:val="none"/>
                <w:lang w:val="en-US" w:eastAsia="zh-CN" w:bidi="ar"/>
              </w:rPr>
              <w:t>次氯酸发生器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2.</w:t>
            </w:r>
            <w:r>
              <w:rPr>
                <w:rFonts w:hint="eastAsia" w:ascii="仿宋" w:hAnsi="仿宋" w:eastAsia="仿宋" w:cs="仿宋"/>
                <w:i w:val="0"/>
                <w:iCs w:val="0"/>
                <w:color w:val="auto"/>
                <w:kern w:val="0"/>
                <w:sz w:val="24"/>
                <w:szCs w:val="24"/>
                <w:u w:val="none"/>
                <w:lang w:val="en-US" w:eastAsia="zh-CN" w:bidi="ar"/>
              </w:rPr>
              <w:t>专用合成耗材（常温常压下可使用）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3.</w:t>
            </w:r>
            <w:r>
              <w:rPr>
                <w:rFonts w:hint="eastAsia" w:ascii="仿宋" w:hAnsi="仿宋" w:eastAsia="仿宋" w:cs="仿宋"/>
                <w:i w:val="0"/>
                <w:iCs w:val="0"/>
                <w:color w:val="auto"/>
                <w:kern w:val="0"/>
                <w:sz w:val="24"/>
                <w:szCs w:val="24"/>
                <w:u w:val="none"/>
                <w:lang w:val="en-US" w:eastAsia="zh-CN" w:bidi="ar"/>
              </w:rPr>
              <w:t>次氯酸水的储存和加压供应系统</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4.</w:t>
            </w:r>
            <w:r>
              <w:rPr>
                <w:rFonts w:hint="eastAsia" w:ascii="仿宋" w:hAnsi="仿宋" w:eastAsia="仿宋" w:cs="仿宋"/>
                <w:i w:val="0"/>
                <w:iCs w:val="0"/>
                <w:color w:val="auto"/>
                <w:kern w:val="0"/>
                <w:sz w:val="24"/>
                <w:szCs w:val="24"/>
                <w:u w:val="none"/>
                <w:lang w:val="en-US" w:eastAsia="zh-CN" w:bidi="ar"/>
              </w:rPr>
              <w:t>水路微电脑消毒控制</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5.</w:t>
            </w:r>
            <w:r>
              <w:rPr>
                <w:rFonts w:hint="eastAsia" w:ascii="仿宋" w:hAnsi="仿宋" w:eastAsia="仿宋" w:cs="仿宋"/>
                <w:i w:val="0"/>
                <w:iCs w:val="0"/>
                <w:color w:val="auto"/>
                <w:kern w:val="0"/>
                <w:sz w:val="24"/>
                <w:szCs w:val="24"/>
                <w:u w:val="none"/>
                <w:lang w:val="en-US" w:eastAsia="zh-CN" w:bidi="ar"/>
              </w:rPr>
              <w:t>外部材质ABS，内部主要配件采用日本进口</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6.系统单台功率≤40W、电压220V</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二、系统主要技术要求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1.次氯酸发生器采用化学合成法生产的次氯酸分子（ClO-+H+=HClO）为杀菌因子的弱酸性次氯酸水的装置，有效氯含量分别5pm/100ppm用于不同使用场景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2.产量：≥300L/h ，设备自带在线流量监测系统，可实时在线监测，并显示于人机交互屏幕上。</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3.PH值为5.5-6.9，设备在线自动检测，误差范围±0.1，分度值0.01级，含保修期内的校准液。</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4.次氯酸发生器：专用耗材(常温常压下使用)，两种耗材合成反应生成次氯酸水，符合2升耗材100ppm能生产出600L次氯酸水和5ppm能生产出12000L的次氯酸水。系统维护成本低，为必备工艺。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5.具有远程故障预警与诊断功能、具有液位报警提示功能、具有远程参数调节功能。</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6.无需专人看管，可实现全自动开停机，主机采用PLC微电脑控制。储液桶带有自动液位补给功能。设备带有无水保护装置。</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牙科X射线机</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1、用途和要求：供医疗机构作口腔牙齿 X 线摄片诊断用。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2、工作条件：放在平稳的地点操作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3、结构：产品主要由 X 射线管头、控制器、机架组成。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4、技术参数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4.1电源电压 AC 220V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4.2频 率 50/60Hz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4.3电线插头 国标三芯/欧标三芯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4.4最大功率 ≥900VA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4.4电 流 4A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4.5熔 丝 6.3A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4.6射线焦点 ≥0.7mm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4.7球管电压 ≥70KV 10%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4.8阳极电流 ≥7mA 20%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4.9阳 极 角 ≥16°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4.10负载循环 ≥1/30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4.11半 价 层 70KV 时 1.6 mm Al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4.12固有滤过 ≥2.1mm Al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4.13泄漏辐射 1 米处&lt; 0.14mGy/h </w:t>
            </w:r>
          </w:p>
          <w:p>
            <w:pPr>
              <w:keepNext w:val="0"/>
              <w:keepLines w:val="0"/>
              <w:pageBreakBefore w:val="0"/>
              <w:widowControl/>
              <w:numPr>
                <w:ilvl w:val="0"/>
                <w:numId w:val="41"/>
              </w:numPr>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特点：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5.1在球管头内装有微小焦点的球管（≤0.7mm） ，距照射中心半径 1 米外的空气散射线和漏射线量均接近为 0，管头窗口用 ≤1.5mm 纯铝滤过 X 线射线。</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5.2采用组装 X 射线发生器。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5.3精确的时间控制：微处理器技术将曝光时间精确到百分之一秒，并用数字显示，而且对任何警报都能立刻给出准确的提示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5.4具有平衡臂，使定位即灵活又稳定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5.5主柱用铝合金型材，外观豪华，精美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5.6平行聚焦，超清晰映像轻松可得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5.7近无辐射，拍片操作无后顾之忧：微小的 X 射线源加之球管套被铅板严密封牢，在开发式曝光条件下，距照射中心 1 米以外，其漏射线比国家标准低 ≥68 倍，比规定的人体安全值 0.5mGy/h 更低（0-0.007mGy/h)无需 X 线防护室， 真正的保护医生和患者健康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5.8具有故障代码显示功能，参数可重新设置并保存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5.9预留数字化拍摄模式，可升级为数字化牙片机</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牙胶尖切断器</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一、功能简介</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本仪器适用于各类牙髓炎、牙髓坏死和各类根尖周炎的牙齿根管的填充治疗。</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二、特点</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1.充电底座可实时监控电池温度，充电更安全；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2.显示屏可设置为适应左手或者右手操作；</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3.热熔牙胶充填机釆用无线设计，有效加大了操作范围；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4.温控灵敏，显示简洁，操作方便；</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5.热熔牙胶充填机有四种预设温度可选择：150℃、180℃、200℃、230℃；</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6.安全的保护机制，在无操作十分钟后将自动关机；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7.且电池可更换，操作灵活，整机寿命更长；</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三、设备安全分类</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1.按运行模式分类：短时运行</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2.按防电击类型分类：Ⅱ类设备</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3.按防电击程度分类：B类应用部分</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4.对进液的防护程度：普通器材（IPXO）</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5.在与空气混合的易燃麻醉气或与氧或氧化亚氮混合的易燃麻醉气情况下使用时的安全程度：不能在有与空气混合的易燃麻醉气或与氧或氧化亚氮混合的易燃麻醉气情况下使用的设备。</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四、主要技术参数</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zh-TW" w:eastAsia="zh-TW" w:bidi="ar"/>
              </w:rPr>
            </w:pPr>
            <w:r>
              <w:rPr>
                <w:rFonts w:hint="eastAsia" w:ascii="仿宋" w:hAnsi="仿宋" w:eastAsia="仿宋" w:cs="仿宋"/>
                <w:i w:val="0"/>
                <w:iCs w:val="0"/>
                <w:color w:val="auto"/>
                <w:kern w:val="0"/>
                <w:sz w:val="24"/>
                <w:szCs w:val="24"/>
                <w:u w:val="none"/>
                <w:lang w:val="zh-TW" w:eastAsia="zh-TW" w:bidi="ar"/>
              </w:rPr>
              <w:t>电源输入</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en-US" w:bidi="ar"/>
              </w:rPr>
              <w:t xml:space="preserve">AC100—240V, 50/60Hz, </w:t>
            </w:r>
            <w:r>
              <w:rPr>
                <w:rFonts w:hint="eastAsia" w:ascii="仿宋" w:hAnsi="仿宋" w:eastAsia="仿宋" w:cs="仿宋"/>
                <w:i w:val="0"/>
                <w:iCs w:val="0"/>
                <w:color w:val="auto"/>
                <w:kern w:val="0"/>
                <w:sz w:val="24"/>
                <w:szCs w:val="24"/>
                <w:u w:val="none"/>
                <w:lang w:val="en-US" w:eastAsia="zh-CN" w:bidi="ar"/>
              </w:rPr>
              <w:t>0.8A</w:t>
            </w:r>
            <w:r>
              <w:rPr>
                <w:rFonts w:hint="eastAsia" w:ascii="仿宋" w:hAnsi="仿宋" w:eastAsia="仿宋" w:cs="仿宋"/>
                <w:i w:val="0"/>
                <w:iCs w:val="0"/>
                <w:color w:val="auto"/>
                <w:kern w:val="0"/>
                <w:sz w:val="24"/>
                <w:szCs w:val="24"/>
                <w:u w:val="none"/>
                <w:lang w:val="en-US" w:eastAsia="en-US" w:bidi="ar"/>
              </w:rPr>
              <w:t xml:space="preserve"> Max</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zh-TW" w:eastAsia="zh-TW" w:bidi="ar"/>
              </w:rPr>
              <w:t>电源输出</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en-US" w:bidi="ar"/>
              </w:rPr>
              <w:t>DC15. 0V/1. 6A</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zh-TW" w:eastAsia="zh-TW" w:bidi="ar"/>
              </w:rPr>
              <w:t>电池</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en-US" w:bidi="ar"/>
              </w:rPr>
              <w:t>3. 7V/2000mAh</w:t>
            </w:r>
            <w:r>
              <w:rPr>
                <w:rFonts w:hint="eastAsia" w:ascii="仿宋" w:hAnsi="仿宋" w:eastAsia="仿宋" w:cs="仿宋"/>
                <w:i w:val="0"/>
                <w:iCs w:val="0"/>
                <w:color w:val="auto"/>
                <w:kern w:val="0"/>
                <w:sz w:val="24"/>
                <w:szCs w:val="24"/>
                <w:u w:val="none"/>
                <w:lang w:val="zh-TW" w:eastAsia="zh-TW" w:bidi="ar"/>
              </w:rPr>
              <w:t>可充电锂电池</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zh-TW" w:eastAsia="zh-TW" w:bidi="ar"/>
              </w:rPr>
              <w:t>可选温度值</w:t>
            </w: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zh-TW" w:eastAsia="zh-TW" w:bidi="ar"/>
              </w:rPr>
              <w:t>150°C、180</w:t>
            </w:r>
            <w:r>
              <w:rPr>
                <w:rFonts w:hint="eastAsia" w:ascii="仿宋" w:hAnsi="仿宋" w:eastAsia="仿宋" w:cs="仿宋"/>
                <w:i w:val="0"/>
                <w:iCs w:val="0"/>
                <w:color w:val="auto"/>
                <w:kern w:val="0"/>
                <w:sz w:val="24"/>
                <w:szCs w:val="24"/>
                <w:u w:val="none"/>
                <w:lang w:val="en-US" w:eastAsia="en-US" w:bidi="ar"/>
              </w:rPr>
              <w:t xml:space="preserve">°C. </w:t>
            </w:r>
            <w:r>
              <w:rPr>
                <w:rFonts w:hint="eastAsia" w:ascii="仿宋" w:hAnsi="仿宋" w:eastAsia="仿宋" w:cs="仿宋"/>
                <w:i w:val="0"/>
                <w:iCs w:val="0"/>
                <w:color w:val="auto"/>
                <w:kern w:val="0"/>
                <w:sz w:val="24"/>
                <w:szCs w:val="24"/>
                <w:u w:val="none"/>
                <w:lang w:val="zh-TW" w:eastAsia="zh-TW" w:bidi="ar"/>
              </w:rPr>
              <w:t>200</w:t>
            </w:r>
            <w:r>
              <w:rPr>
                <w:rFonts w:hint="eastAsia" w:ascii="仿宋" w:hAnsi="仿宋" w:eastAsia="仿宋" w:cs="仿宋"/>
                <w:i w:val="0"/>
                <w:iCs w:val="0"/>
                <w:color w:val="auto"/>
                <w:kern w:val="0"/>
                <w:sz w:val="24"/>
                <w:szCs w:val="24"/>
                <w:u w:val="none"/>
                <w:lang w:val="en-US" w:eastAsia="en-US" w:bidi="ar"/>
              </w:rPr>
              <w:t>°C</w:t>
            </w:r>
            <w:r>
              <w:rPr>
                <w:rFonts w:hint="eastAsia" w:ascii="仿宋" w:hAnsi="仿宋" w:eastAsia="仿宋" w:cs="仿宋"/>
                <w:i w:val="0"/>
                <w:iCs w:val="0"/>
                <w:color w:val="auto"/>
                <w:kern w:val="0"/>
                <w:sz w:val="24"/>
                <w:szCs w:val="24"/>
                <w:u w:val="none"/>
                <w:lang w:val="zh-TW" w:eastAsia="zh-TW" w:bidi="ar"/>
              </w:rPr>
              <w:t>230</w:t>
            </w:r>
            <w:r>
              <w:rPr>
                <w:rFonts w:hint="eastAsia" w:ascii="仿宋" w:hAnsi="仿宋" w:eastAsia="仿宋" w:cs="仿宋"/>
                <w:i w:val="0"/>
                <w:iCs w:val="0"/>
                <w:color w:val="auto"/>
                <w:kern w:val="0"/>
                <w:sz w:val="24"/>
                <w:szCs w:val="24"/>
                <w:u w:val="none"/>
                <w:lang w:val="en-US" w:eastAsia="en-US" w:bidi="ar"/>
              </w:rPr>
              <w:t>°C</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bookmarkStart w:id="141" w:name="bookmark27"/>
            <w:bookmarkStart w:id="142" w:name="bookmark26"/>
            <w:bookmarkStart w:id="143" w:name="bookmark29"/>
            <w:r>
              <w:rPr>
                <w:rFonts w:hint="eastAsia" w:ascii="仿宋" w:hAnsi="仿宋" w:eastAsia="仿宋" w:cs="仿宋"/>
                <w:i w:val="0"/>
                <w:iCs w:val="0"/>
                <w:color w:val="auto"/>
                <w:kern w:val="0"/>
                <w:sz w:val="24"/>
                <w:szCs w:val="24"/>
                <w:u w:val="none"/>
                <w:lang w:val="en-US" w:eastAsia="zh-CN" w:bidi="ar"/>
              </w:rPr>
              <w:t>主要配置</w:t>
            </w:r>
            <w:bookmarkEnd w:id="141"/>
            <w:bookmarkEnd w:id="142"/>
            <w:bookmarkEnd w:id="143"/>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1.加热充填手柄1个</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2充电底座1个</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3电源适配器1个</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4工作尖4枚</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5.工作尖隔热套4个</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牙骨膜分离器</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产品用途该产品主要用于分离骨膜。</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1、器械清洗消毒必须符合国家和有关部门规定。</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2、对金属材质的器械绝不能使用含有氯离子的消毒剂，否则将对器械造成永久性的破坏。</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3、浸泡消毒时消毒液中应添加一定的缓蚀剂。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4.包装后的产品应贮存在相对湿度不超过80%、无腐蚀性气体和通风良好的室内。</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牙刮匙</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1．头柄连接牢固，硬度高</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2．良好的耐压力，性能和热性能</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4．优异的耐腐蚀性能</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3．经久耐用</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拔牙钳</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产品应以行标规定的材料制成，供口腔拔除成人、儿童的牙齿和牙根或切断儿童牙冠用。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主要技术指标：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lang w:val="en-US" w:eastAsia="zh-CN" w:bidi="ar"/>
              </w:rPr>
              <w:t>1、</w:t>
            </w:r>
            <w:r>
              <w:rPr>
                <w:rFonts w:hint="eastAsia" w:ascii="仿宋" w:hAnsi="仿宋" w:eastAsia="仿宋" w:cs="仿宋"/>
                <w:i w:val="0"/>
                <w:iCs w:val="0"/>
                <w:color w:val="auto"/>
                <w:kern w:val="0"/>
                <w:sz w:val="24"/>
                <w:szCs w:val="24"/>
                <w:u w:val="none"/>
                <w:lang w:val="en-US" w:eastAsia="zh-CN" w:bidi="ar"/>
              </w:rPr>
              <w:t>产品开闭应轻松灵活，不应有卡塞；</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2、叠鳃式产品的螺钉应固定在左片上，开闭时，螺钉应无跟动现象；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3、产品应有足够的强度；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4、产品的刃口应锋利；</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5、产品应有良好的耐腐蚀性。</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豆瓣成型夹</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采用不锈钢材料制成。非无菌提供。</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用于固定成形片等牙科材料，为牙科修复做准备</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1．打开成形片夹环的力量不能超过合金的弹性极限，即扩大不超过10mm。避免断裂。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2．使用前治疗区域要上橡皮障，保证安全使用。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3．钳子头部要放置于夹环专用部位打开，防止松脱，</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4．使用前应消毒或高温高压灭菌。</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right"/>
        </w:trPr>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助推器</w:t>
            </w:r>
          </w:p>
        </w:tc>
        <w:tc>
          <w:tcPr>
            <w:tcW w:w="75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1、不锈钢材质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2、优异的耐腐蚀性能</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3、经久耐用</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10套</w:t>
            </w:r>
          </w:p>
        </w:tc>
      </w:tr>
    </w:tbl>
    <w:p>
      <w:pPr>
        <w:spacing w:line="360" w:lineRule="auto"/>
        <w:rPr>
          <w:color w:val="auto"/>
          <w:sz w:val="24"/>
          <w:szCs w:val="32"/>
        </w:rPr>
      </w:pPr>
    </w:p>
    <w:p>
      <w:pPr>
        <w:spacing w:line="360" w:lineRule="auto"/>
        <w:rPr>
          <w:rFonts w:ascii="宋体" w:hAnsi="宋体"/>
          <w:color w:val="auto"/>
          <w:sz w:val="24"/>
        </w:rPr>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GE Inspira Pitch">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ヒラギノ角ゴ Pro W3">
    <w:altName w:val="MS Mincho"/>
    <w:panose1 w:val="00000000000000000000"/>
    <w:charset w:val="80"/>
    <w:family w:val="auto"/>
    <w:pitch w:val="default"/>
    <w:sig w:usb0="00000000" w:usb1="00000000" w:usb2="00000012" w:usb3="00000000" w:csb0="0002000D"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63</w:t>
    </w:r>
    <w:r>
      <w:rPr>
        <w:rFonts w:ascii="宋体" w:hAnsi="宋体"/>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89" w:firstLineChars="49"/>
      <w:jc w:val="left"/>
      <w:rPr>
        <w:rFonts w:ascii="楷体" w:hAnsi="楷体" w:eastAsia="楷体"/>
        <w:sz w:val="15"/>
      </w:rPr>
    </w:pPr>
    <w:r>
      <w:rPr>
        <w:rFonts w:hint="eastAsia" w:ascii="楷体" w:hAnsi="楷体" w:eastAsia="楷体"/>
        <w:b/>
        <w:szCs w:val="21"/>
        <w:lang w:eastAsia="zh-CN"/>
      </w:rPr>
      <w:t>海北州第二人民医院医疗服务能力提升(口腔)专科建设项目</w:t>
    </w:r>
    <w:r>
      <w:rPr>
        <w:rFonts w:hint="eastAsia" w:ascii="楷体" w:hAnsi="楷体" w:eastAsia="楷体"/>
        <w:b/>
        <w:szCs w:val="21"/>
        <w:lang w:val="en-US" w:eastAsia="zh-CN"/>
      </w:rPr>
      <w:t xml:space="preserve">                                              </w:t>
    </w:r>
    <w:r>
      <w:rPr>
        <w:rFonts w:hint="eastAsia" w:ascii="楷体" w:hAnsi="楷体" w:eastAsia="楷体"/>
        <w:b/>
        <w:szCs w:val="21"/>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4">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1E920307"/>
    <w:multiLevelType w:val="multilevel"/>
    <w:tmpl w:val="1E920307"/>
    <w:lvl w:ilvl="0" w:tentative="0">
      <w:start w:val="21"/>
      <w:numFmt w:val="decimal"/>
      <w:lvlText w:val="%1"/>
      <w:lvlJc w:val="left"/>
      <w:pPr>
        <w:ind w:left="480" w:hanging="480"/>
      </w:pPr>
      <w:rPr>
        <w:rFonts w:hint="default"/>
        <w:b w:val="0"/>
        <w:sz w:val="24"/>
      </w:rPr>
    </w:lvl>
    <w:lvl w:ilvl="1" w:tentative="0">
      <w:start w:val="1"/>
      <w:numFmt w:val="decimal"/>
      <w:lvlText w:val="17.%2."/>
      <w:lvlJc w:val="left"/>
      <w:pPr>
        <w:ind w:left="861" w:hanging="720"/>
      </w:pPr>
      <w:rPr>
        <w:rFonts w:hint="eastAsia"/>
        <w:b w:val="0"/>
        <w:sz w:val="24"/>
      </w:rPr>
    </w:lvl>
    <w:lvl w:ilvl="2" w:tentative="0">
      <w:start w:val="1"/>
      <w:numFmt w:val="decimal"/>
      <w:lvlText w:val="%1.%2.%3"/>
      <w:lvlJc w:val="left"/>
      <w:pPr>
        <w:ind w:left="2040" w:hanging="1080"/>
      </w:pPr>
      <w:rPr>
        <w:rFonts w:hint="default"/>
        <w:b w:val="0"/>
        <w:sz w:val="24"/>
      </w:rPr>
    </w:lvl>
    <w:lvl w:ilvl="3" w:tentative="0">
      <w:start w:val="1"/>
      <w:numFmt w:val="decimal"/>
      <w:lvlText w:val="%1.%2.%3.%4"/>
      <w:lvlJc w:val="left"/>
      <w:pPr>
        <w:ind w:left="2880" w:hanging="1440"/>
      </w:pPr>
      <w:rPr>
        <w:rFonts w:hint="default"/>
        <w:b w:val="0"/>
        <w:sz w:val="24"/>
      </w:rPr>
    </w:lvl>
    <w:lvl w:ilvl="4" w:tentative="0">
      <w:start w:val="1"/>
      <w:numFmt w:val="decimal"/>
      <w:lvlText w:val="%1.%2.%3.%4.%5"/>
      <w:lvlJc w:val="left"/>
      <w:pPr>
        <w:ind w:left="3720" w:hanging="1800"/>
      </w:pPr>
      <w:rPr>
        <w:rFonts w:hint="default"/>
        <w:b w:val="0"/>
        <w:sz w:val="24"/>
      </w:rPr>
    </w:lvl>
    <w:lvl w:ilvl="5" w:tentative="0">
      <w:start w:val="1"/>
      <w:numFmt w:val="decimal"/>
      <w:lvlText w:val="%1.%2.%3.%4.%5.%6"/>
      <w:lvlJc w:val="left"/>
      <w:pPr>
        <w:ind w:left="4200" w:hanging="1800"/>
      </w:pPr>
      <w:rPr>
        <w:rFonts w:hint="default"/>
        <w:b w:val="0"/>
        <w:sz w:val="24"/>
      </w:rPr>
    </w:lvl>
    <w:lvl w:ilvl="6" w:tentative="0">
      <w:start w:val="1"/>
      <w:numFmt w:val="decimal"/>
      <w:lvlText w:val="%1.%2.%3.%4.%5.%6.%7"/>
      <w:lvlJc w:val="left"/>
      <w:pPr>
        <w:ind w:left="5040" w:hanging="2160"/>
      </w:pPr>
      <w:rPr>
        <w:rFonts w:hint="default"/>
        <w:b w:val="0"/>
        <w:sz w:val="24"/>
      </w:rPr>
    </w:lvl>
    <w:lvl w:ilvl="7" w:tentative="0">
      <w:start w:val="1"/>
      <w:numFmt w:val="decimal"/>
      <w:lvlText w:val="%1.%2.%3.%4.%5.%6.%7.%8"/>
      <w:lvlJc w:val="left"/>
      <w:pPr>
        <w:ind w:left="5880" w:hanging="2520"/>
      </w:pPr>
      <w:rPr>
        <w:rFonts w:hint="default"/>
        <w:b w:val="0"/>
        <w:sz w:val="24"/>
      </w:rPr>
    </w:lvl>
    <w:lvl w:ilvl="8" w:tentative="0">
      <w:start w:val="1"/>
      <w:numFmt w:val="decimal"/>
      <w:lvlText w:val="%1.%2.%3.%4.%5.%6.%7.%8.%9"/>
      <w:lvlJc w:val="left"/>
      <w:pPr>
        <w:ind w:left="6720" w:hanging="2880"/>
      </w:pPr>
      <w:rPr>
        <w:rFonts w:hint="default"/>
        <w:b w:val="0"/>
        <w:sz w:val="24"/>
      </w:rPr>
    </w:lvl>
  </w:abstractNum>
  <w:abstractNum w:abstractNumId="9">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2A583DFB"/>
    <w:multiLevelType w:val="multilevel"/>
    <w:tmpl w:val="2A583DFB"/>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1">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12">
    <w:nsid w:val="40512C37"/>
    <w:multiLevelType w:val="multilevel"/>
    <w:tmpl w:val="40512C3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2836"/>
        </w:tabs>
        <w:ind w:left="2836" w:hanging="709"/>
      </w:pPr>
      <w:rPr>
        <w:rFonts w:hint="eastAsia"/>
        <w:b/>
        <w:spacing w:val="-20"/>
        <w:lang w:val="en-US"/>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5">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6">
    <w:nsid w:val="4C1111BD"/>
    <w:multiLevelType w:val="singleLevel"/>
    <w:tmpl w:val="4C1111BD"/>
    <w:lvl w:ilvl="0" w:tentative="0">
      <w:start w:val="5"/>
      <w:numFmt w:val="decimal"/>
      <w:lvlText w:val="%1."/>
      <w:lvlJc w:val="left"/>
      <w:pPr>
        <w:tabs>
          <w:tab w:val="left" w:pos="312"/>
        </w:tabs>
      </w:pPr>
    </w:lvl>
  </w:abstractNum>
  <w:abstractNum w:abstractNumId="17">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8">
    <w:nsid w:val="4EFA17D5"/>
    <w:multiLevelType w:val="multilevel"/>
    <w:tmpl w:val="4EFA17D5"/>
    <w:lvl w:ilvl="0" w:tentative="0">
      <w:start w:val="19"/>
      <w:numFmt w:val="decimal"/>
      <w:lvlText w:val="%1"/>
      <w:lvlJc w:val="left"/>
      <w:pPr>
        <w:ind w:left="480" w:hanging="480"/>
      </w:pPr>
      <w:rPr>
        <w:rFonts w:hint="default"/>
      </w:rPr>
    </w:lvl>
    <w:lvl w:ilvl="1" w:tentative="0">
      <w:start w:val="1"/>
      <w:numFmt w:val="decimal"/>
      <w:lvlText w:val="15.%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9">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1">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3">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57912FC9"/>
    <w:multiLevelType w:val="multilevel"/>
    <w:tmpl w:val="57912FC9"/>
    <w:lvl w:ilvl="0" w:tentative="0">
      <w:start w:val="23"/>
      <w:numFmt w:val="decimal"/>
      <w:lvlText w:val="%1"/>
      <w:lvlJc w:val="left"/>
      <w:pPr>
        <w:ind w:left="465" w:hanging="465"/>
      </w:pPr>
      <w:rPr>
        <w:rFonts w:hint="default" w:ascii="Arial" w:hAnsi="Arial" w:cs="Arial"/>
      </w:rPr>
    </w:lvl>
    <w:lvl w:ilvl="1" w:tentative="0">
      <w:start w:val="1"/>
      <w:numFmt w:val="decimal"/>
      <w:lvlText w:val="19.%2."/>
      <w:lvlJc w:val="left"/>
      <w:pPr>
        <w:ind w:left="606" w:hanging="465"/>
      </w:pPr>
      <w:rPr>
        <w:rFonts w:hint="eastAsia"/>
      </w:rPr>
    </w:lvl>
    <w:lvl w:ilvl="2" w:tentative="0">
      <w:start w:val="1"/>
      <w:numFmt w:val="decimal"/>
      <w:lvlText w:val="%1.%2.%3"/>
      <w:lvlJc w:val="left"/>
      <w:pPr>
        <w:ind w:left="1680" w:hanging="720"/>
      </w:pPr>
      <w:rPr>
        <w:rFonts w:hint="default" w:ascii="Arial" w:hAnsi="Arial" w:cs="Arial"/>
      </w:rPr>
    </w:lvl>
    <w:lvl w:ilvl="3" w:tentative="0">
      <w:start w:val="1"/>
      <w:numFmt w:val="decimal"/>
      <w:lvlText w:val="%1.%2.%3.%4"/>
      <w:lvlJc w:val="left"/>
      <w:pPr>
        <w:ind w:left="2520" w:hanging="1080"/>
      </w:pPr>
      <w:rPr>
        <w:rFonts w:hint="default" w:ascii="Arial" w:hAnsi="Arial" w:cs="Arial"/>
      </w:rPr>
    </w:lvl>
    <w:lvl w:ilvl="4" w:tentative="0">
      <w:start w:val="1"/>
      <w:numFmt w:val="decimal"/>
      <w:lvlText w:val="%1.%2.%3.%4.%5"/>
      <w:lvlJc w:val="left"/>
      <w:pPr>
        <w:ind w:left="3000" w:hanging="1080"/>
      </w:pPr>
      <w:rPr>
        <w:rFonts w:hint="default" w:ascii="Arial" w:hAnsi="Arial" w:cs="Arial"/>
      </w:rPr>
    </w:lvl>
    <w:lvl w:ilvl="5" w:tentative="0">
      <w:start w:val="1"/>
      <w:numFmt w:val="decimal"/>
      <w:lvlText w:val="%1.%2.%3.%4.%5.%6"/>
      <w:lvlJc w:val="left"/>
      <w:pPr>
        <w:ind w:left="3840" w:hanging="1440"/>
      </w:pPr>
      <w:rPr>
        <w:rFonts w:hint="default" w:ascii="Arial" w:hAnsi="Arial" w:cs="Arial"/>
      </w:rPr>
    </w:lvl>
    <w:lvl w:ilvl="6" w:tentative="0">
      <w:start w:val="1"/>
      <w:numFmt w:val="decimal"/>
      <w:lvlText w:val="%1.%2.%3.%4.%5.%6.%7"/>
      <w:lvlJc w:val="left"/>
      <w:pPr>
        <w:ind w:left="4680" w:hanging="1800"/>
      </w:pPr>
      <w:rPr>
        <w:rFonts w:hint="default" w:ascii="Arial" w:hAnsi="Arial" w:cs="Arial"/>
      </w:rPr>
    </w:lvl>
    <w:lvl w:ilvl="7" w:tentative="0">
      <w:start w:val="1"/>
      <w:numFmt w:val="decimal"/>
      <w:lvlText w:val="%1.%2.%3.%4.%5.%6.%7.%8"/>
      <w:lvlJc w:val="left"/>
      <w:pPr>
        <w:ind w:left="5160" w:hanging="1800"/>
      </w:pPr>
      <w:rPr>
        <w:rFonts w:hint="default" w:ascii="Arial" w:hAnsi="Arial" w:cs="Arial"/>
      </w:rPr>
    </w:lvl>
    <w:lvl w:ilvl="8" w:tentative="0">
      <w:start w:val="1"/>
      <w:numFmt w:val="decimal"/>
      <w:lvlText w:val="%1.%2.%3.%4.%5.%6.%7.%8.%9"/>
      <w:lvlJc w:val="left"/>
      <w:pPr>
        <w:ind w:left="6000" w:hanging="2160"/>
      </w:pPr>
      <w:rPr>
        <w:rFonts w:hint="default" w:ascii="Arial" w:hAnsi="Arial" w:cs="Arial"/>
      </w:rPr>
    </w:lvl>
  </w:abstractNum>
  <w:abstractNum w:abstractNumId="25">
    <w:nsid w:val="59FC3E95"/>
    <w:multiLevelType w:val="singleLevel"/>
    <w:tmpl w:val="59FC3E95"/>
    <w:lvl w:ilvl="0" w:tentative="0">
      <w:start w:val="1"/>
      <w:numFmt w:val="decimal"/>
      <w:lvlText w:val="(%1)"/>
      <w:lvlJc w:val="left"/>
      <w:pPr>
        <w:tabs>
          <w:tab w:val="left" w:pos="312"/>
        </w:tabs>
      </w:pPr>
    </w:lvl>
  </w:abstractNum>
  <w:abstractNum w:abstractNumId="26">
    <w:nsid w:val="5D4B4CB4"/>
    <w:multiLevelType w:val="multilevel"/>
    <w:tmpl w:val="5D4B4C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8">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9">
    <w:nsid w:val="6B626D06"/>
    <w:multiLevelType w:val="multilevel"/>
    <w:tmpl w:val="6B626D06"/>
    <w:lvl w:ilvl="0" w:tentative="0">
      <w:start w:val="17"/>
      <w:numFmt w:val="decimal"/>
      <w:lvlText w:val="%1"/>
      <w:lvlJc w:val="left"/>
      <w:pPr>
        <w:ind w:left="480" w:hanging="480"/>
      </w:pPr>
      <w:rPr>
        <w:rFonts w:hint="default"/>
      </w:rPr>
    </w:lvl>
    <w:lvl w:ilvl="1" w:tentative="0">
      <w:start w:val="1"/>
      <w:numFmt w:val="decimal"/>
      <w:lvlText w:val="13.%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0">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1">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2">
    <w:nsid w:val="6FBA724A"/>
    <w:multiLevelType w:val="multilevel"/>
    <w:tmpl w:val="6FBA724A"/>
    <w:lvl w:ilvl="0" w:tentative="0">
      <w:start w:val="22"/>
      <w:numFmt w:val="decimal"/>
      <w:lvlText w:val="%1"/>
      <w:lvlJc w:val="left"/>
      <w:pPr>
        <w:ind w:left="480" w:hanging="480"/>
      </w:pPr>
      <w:rPr>
        <w:rFonts w:hint="default"/>
      </w:rPr>
    </w:lvl>
    <w:lvl w:ilvl="1" w:tentative="0">
      <w:start w:val="1"/>
      <w:numFmt w:val="decimal"/>
      <w:lvlText w:val="18.%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3">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4">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5">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6">
    <w:nsid w:val="76DB7DEA"/>
    <w:multiLevelType w:val="multilevel"/>
    <w:tmpl w:val="76DB7D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7B216D2B"/>
    <w:multiLevelType w:val="multilevel"/>
    <w:tmpl w:val="7B216D2B"/>
    <w:lvl w:ilvl="0" w:tentative="0">
      <w:start w:val="20"/>
      <w:numFmt w:val="decimal"/>
      <w:lvlText w:val="%1"/>
      <w:lvlJc w:val="left"/>
      <w:pPr>
        <w:ind w:left="480" w:hanging="480"/>
      </w:pPr>
      <w:rPr>
        <w:rFonts w:hint="default"/>
      </w:rPr>
    </w:lvl>
    <w:lvl w:ilvl="1" w:tentative="0">
      <w:start w:val="1"/>
      <w:numFmt w:val="decimal"/>
      <w:lvlText w:val="16.%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9">
    <w:nsid w:val="7B9E3C32"/>
    <w:multiLevelType w:val="multilevel"/>
    <w:tmpl w:val="7B9E3C32"/>
    <w:lvl w:ilvl="0" w:tentative="0">
      <w:start w:val="18"/>
      <w:numFmt w:val="decimal"/>
      <w:lvlText w:val="%1"/>
      <w:lvlJc w:val="left"/>
      <w:pPr>
        <w:ind w:left="480" w:hanging="480"/>
      </w:pPr>
      <w:rPr>
        <w:rFonts w:hint="default"/>
      </w:rPr>
    </w:lvl>
    <w:lvl w:ilvl="1" w:tentative="0">
      <w:start w:val="1"/>
      <w:numFmt w:val="decimal"/>
      <w:lvlText w:val="14.%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0">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3"/>
  </w:num>
  <w:num w:numId="2">
    <w:abstractNumId w:val="26"/>
  </w:num>
  <w:num w:numId="3">
    <w:abstractNumId w:val="20"/>
  </w:num>
  <w:num w:numId="4">
    <w:abstractNumId w:val="36"/>
  </w:num>
  <w:num w:numId="5">
    <w:abstractNumId w:val="1"/>
  </w:num>
  <w:num w:numId="6">
    <w:abstractNumId w:val="6"/>
  </w:num>
  <w:num w:numId="7">
    <w:abstractNumId w:val="12"/>
  </w:num>
  <w:num w:numId="8">
    <w:abstractNumId w:val="10"/>
  </w:num>
  <w:num w:numId="9">
    <w:abstractNumId w:val="35"/>
  </w:num>
  <w:num w:numId="10">
    <w:abstractNumId w:val="5"/>
  </w:num>
  <w:num w:numId="11">
    <w:abstractNumId w:val="31"/>
  </w:num>
  <w:num w:numId="12">
    <w:abstractNumId w:val="7"/>
  </w:num>
  <w:num w:numId="13">
    <w:abstractNumId w:val="28"/>
  </w:num>
  <w:num w:numId="14">
    <w:abstractNumId w:val="33"/>
  </w:num>
  <w:num w:numId="15">
    <w:abstractNumId w:val="30"/>
  </w:num>
  <w:num w:numId="16">
    <w:abstractNumId w:val="34"/>
  </w:num>
  <w:num w:numId="17">
    <w:abstractNumId w:val="19"/>
  </w:num>
  <w:num w:numId="18">
    <w:abstractNumId w:val="9"/>
  </w:num>
  <w:num w:numId="19">
    <w:abstractNumId w:val="11"/>
  </w:num>
  <w:num w:numId="20">
    <w:abstractNumId w:val="25"/>
  </w:num>
  <w:num w:numId="21">
    <w:abstractNumId w:val="29"/>
  </w:num>
  <w:num w:numId="22">
    <w:abstractNumId w:val="37"/>
  </w:num>
  <w:num w:numId="23">
    <w:abstractNumId w:val="23"/>
  </w:num>
  <w:num w:numId="24">
    <w:abstractNumId w:val="39"/>
  </w:num>
  <w:num w:numId="25">
    <w:abstractNumId w:val="17"/>
  </w:num>
  <w:num w:numId="26">
    <w:abstractNumId w:val="27"/>
  </w:num>
  <w:num w:numId="27">
    <w:abstractNumId w:val="4"/>
  </w:num>
  <w:num w:numId="28">
    <w:abstractNumId w:val="14"/>
  </w:num>
  <w:num w:numId="29">
    <w:abstractNumId w:val="18"/>
  </w:num>
  <w:num w:numId="30">
    <w:abstractNumId w:val="38"/>
  </w:num>
  <w:num w:numId="31">
    <w:abstractNumId w:val="0"/>
  </w:num>
  <w:num w:numId="32">
    <w:abstractNumId w:val="8"/>
  </w:num>
  <w:num w:numId="33">
    <w:abstractNumId w:val="32"/>
  </w:num>
  <w:num w:numId="34">
    <w:abstractNumId w:val="24"/>
  </w:num>
  <w:num w:numId="35">
    <w:abstractNumId w:val="22"/>
  </w:num>
  <w:num w:numId="36">
    <w:abstractNumId w:val="3"/>
  </w:num>
  <w:num w:numId="37">
    <w:abstractNumId w:val="15"/>
  </w:num>
  <w:num w:numId="38">
    <w:abstractNumId w:val="2"/>
  </w:num>
  <w:num w:numId="39">
    <w:abstractNumId w:val="21"/>
  </w:num>
  <w:num w:numId="40">
    <w:abstractNumId w:val="4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MGFhOGM3MDYzM2JlOTE2ZmU3NGVjZmMyNzBhNjkifQ=="/>
  </w:docVars>
  <w:rsids>
    <w:rsidRoot w:val="00B64A69"/>
    <w:rsid w:val="00002BF7"/>
    <w:rsid w:val="000038F3"/>
    <w:rsid w:val="0000523C"/>
    <w:rsid w:val="00005A48"/>
    <w:rsid w:val="000067C2"/>
    <w:rsid w:val="00006833"/>
    <w:rsid w:val="00007EA5"/>
    <w:rsid w:val="00010612"/>
    <w:rsid w:val="0001239E"/>
    <w:rsid w:val="000138A2"/>
    <w:rsid w:val="00014941"/>
    <w:rsid w:val="000150EB"/>
    <w:rsid w:val="00015785"/>
    <w:rsid w:val="0001710E"/>
    <w:rsid w:val="0001758F"/>
    <w:rsid w:val="00020295"/>
    <w:rsid w:val="0002211A"/>
    <w:rsid w:val="000224C6"/>
    <w:rsid w:val="00023E42"/>
    <w:rsid w:val="0002411A"/>
    <w:rsid w:val="00024EED"/>
    <w:rsid w:val="00025E8C"/>
    <w:rsid w:val="000270B5"/>
    <w:rsid w:val="00030AFF"/>
    <w:rsid w:val="0003102F"/>
    <w:rsid w:val="0003112F"/>
    <w:rsid w:val="000337CD"/>
    <w:rsid w:val="00033C36"/>
    <w:rsid w:val="00033CB3"/>
    <w:rsid w:val="00034AC1"/>
    <w:rsid w:val="00037BC9"/>
    <w:rsid w:val="000404B0"/>
    <w:rsid w:val="000436A5"/>
    <w:rsid w:val="00043AA4"/>
    <w:rsid w:val="00044157"/>
    <w:rsid w:val="000446E2"/>
    <w:rsid w:val="000457A3"/>
    <w:rsid w:val="00045810"/>
    <w:rsid w:val="00046F57"/>
    <w:rsid w:val="00047649"/>
    <w:rsid w:val="00047F62"/>
    <w:rsid w:val="00051006"/>
    <w:rsid w:val="00051784"/>
    <w:rsid w:val="00053076"/>
    <w:rsid w:val="000532B7"/>
    <w:rsid w:val="00053663"/>
    <w:rsid w:val="00053BD8"/>
    <w:rsid w:val="00053D3B"/>
    <w:rsid w:val="0005473E"/>
    <w:rsid w:val="00054D79"/>
    <w:rsid w:val="00054EB9"/>
    <w:rsid w:val="000558CC"/>
    <w:rsid w:val="000562AC"/>
    <w:rsid w:val="00057DDD"/>
    <w:rsid w:val="00060656"/>
    <w:rsid w:val="0006091D"/>
    <w:rsid w:val="00060A80"/>
    <w:rsid w:val="00060CCE"/>
    <w:rsid w:val="00061A61"/>
    <w:rsid w:val="00064C22"/>
    <w:rsid w:val="00067AEA"/>
    <w:rsid w:val="00070389"/>
    <w:rsid w:val="00071AFA"/>
    <w:rsid w:val="00071E6B"/>
    <w:rsid w:val="0007370E"/>
    <w:rsid w:val="0007472D"/>
    <w:rsid w:val="00075EB8"/>
    <w:rsid w:val="0007617E"/>
    <w:rsid w:val="00076F9D"/>
    <w:rsid w:val="000806B7"/>
    <w:rsid w:val="00081442"/>
    <w:rsid w:val="00081E42"/>
    <w:rsid w:val="00082C27"/>
    <w:rsid w:val="00083F67"/>
    <w:rsid w:val="000846AA"/>
    <w:rsid w:val="0008494D"/>
    <w:rsid w:val="00085560"/>
    <w:rsid w:val="000872D0"/>
    <w:rsid w:val="00090332"/>
    <w:rsid w:val="00091565"/>
    <w:rsid w:val="00091938"/>
    <w:rsid w:val="0009193B"/>
    <w:rsid w:val="00092BBF"/>
    <w:rsid w:val="00094715"/>
    <w:rsid w:val="00095A45"/>
    <w:rsid w:val="00095B69"/>
    <w:rsid w:val="00095B6F"/>
    <w:rsid w:val="00095F54"/>
    <w:rsid w:val="000A2FE2"/>
    <w:rsid w:val="000A34B2"/>
    <w:rsid w:val="000A3E69"/>
    <w:rsid w:val="000A4266"/>
    <w:rsid w:val="000A4A29"/>
    <w:rsid w:val="000A5B2E"/>
    <w:rsid w:val="000A5D96"/>
    <w:rsid w:val="000A5E33"/>
    <w:rsid w:val="000A63AE"/>
    <w:rsid w:val="000A6482"/>
    <w:rsid w:val="000A670C"/>
    <w:rsid w:val="000A6B77"/>
    <w:rsid w:val="000A79BC"/>
    <w:rsid w:val="000A7AA9"/>
    <w:rsid w:val="000A7E78"/>
    <w:rsid w:val="000B04C5"/>
    <w:rsid w:val="000B0C19"/>
    <w:rsid w:val="000B1F19"/>
    <w:rsid w:val="000B46FC"/>
    <w:rsid w:val="000B4836"/>
    <w:rsid w:val="000B6728"/>
    <w:rsid w:val="000B6C24"/>
    <w:rsid w:val="000C18FF"/>
    <w:rsid w:val="000C2843"/>
    <w:rsid w:val="000C3092"/>
    <w:rsid w:val="000C336D"/>
    <w:rsid w:val="000C3CC9"/>
    <w:rsid w:val="000C4278"/>
    <w:rsid w:val="000C43F0"/>
    <w:rsid w:val="000C57AF"/>
    <w:rsid w:val="000C60A4"/>
    <w:rsid w:val="000C6505"/>
    <w:rsid w:val="000C6579"/>
    <w:rsid w:val="000C6B3B"/>
    <w:rsid w:val="000D019E"/>
    <w:rsid w:val="000D0A99"/>
    <w:rsid w:val="000D0CF3"/>
    <w:rsid w:val="000D19A1"/>
    <w:rsid w:val="000D1FC0"/>
    <w:rsid w:val="000D3929"/>
    <w:rsid w:val="000D64A4"/>
    <w:rsid w:val="000D6DF6"/>
    <w:rsid w:val="000D7068"/>
    <w:rsid w:val="000D7CD3"/>
    <w:rsid w:val="000E0567"/>
    <w:rsid w:val="000E09CB"/>
    <w:rsid w:val="000E0E00"/>
    <w:rsid w:val="000E1298"/>
    <w:rsid w:val="000E346D"/>
    <w:rsid w:val="000E4967"/>
    <w:rsid w:val="000E4C8C"/>
    <w:rsid w:val="000E791D"/>
    <w:rsid w:val="000F00E5"/>
    <w:rsid w:val="000F03C2"/>
    <w:rsid w:val="000F095F"/>
    <w:rsid w:val="000F3469"/>
    <w:rsid w:val="000F5C6D"/>
    <w:rsid w:val="00100215"/>
    <w:rsid w:val="001003FB"/>
    <w:rsid w:val="00100A96"/>
    <w:rsid w:val="00101C28"/>
    <w:rsid w:val="001033A1"/>
    <w:rsid w:val="0010348C"/>
    <w:rsid w:val="001039CF"/>
    <w:rsid w:val="00103A39"/>
    <w:rsid w:val="001042F0"/>
    <w:rsid w:val="00104CCA"/>
    <w:rsid w:val="0010631C"/>
    <w:rsid w:val="001068A3"/>
    <w:rsid w:val="00107D30"/>
    <w:rsid w:val="001100C2"/>
    <w:rsid w:val="0011027C"/>
    <w:rsid w:val="00110842"/>
    <w:rsid w:val="00110AF9"/>
    <w:rsid w:val="00110EB7"/>
    <w:rsid w:val="00110EE4"/>
    <w:rsid w:val="0011125A"/>
    <w:rsid w:val="0011163B"/>
    <w:rsid w:val="00112129"/>
    <w:rsid w:val="00112CB9"/>
    <w:rsid w:val="001135A0"/>
    <w:rsid w:val="00114C0A"/>
    <w:rsid w:val="00114D98"/>
    <w:rsid w:val="001164D8"/>
    <w:rsid w:val="00117E99"/>
    <w:rsid w:val="001209A9"/>
    <w:rsid w:val="00120EB7"/>
    <w:rsid w:val="00120F9A"/>
    <w:rsid w:val="00121135"/>
    <w:rsid w:val="00121727"/>
    <w:rsid w:val="0012381B"/>
    <w:rsid w:val="00123F0F"/>
    <w:rsid w:val="00124055"/>
    <w:rsid w:val="001254F6"/>
    <w:rsid w:val="00125A2E"/>
    <w:rsid w:val="0012666C"/>
    <w:rsid w:val="001309C1"/>
    <w:rsid w:val="00130B08"/>
    <w:rsid w:val="00130E28"/>
    <w:rsid w:val="00132691"/>
    <w:rsid w:val="00133612"/>
    <w:rsid w:val="001337D1"/>
    <w:rsid w:val="00134A4A"/>
    <w:rsid w:val="00135CE1"/>
    <w:rsid w:val="0013606C"/>
    <w:rsid w:val="00137081"/>
    <w:rsid w:val="00141D84"/>
    <w:rsid w:val="0014227A"/>
    <w:rsid w:val="0014346E"/>
    <w:rsid w:val="00143668"/>
    <w:rsid w:val="00144745"/>
    <w:rsid w:val="00144849"/>
    <w:rsid w:val="00144F80"/>
    <w:rsid w:val="00146FA2"/>
    <w:rsid w:val="001509BD"/>
    <w:rsid w:val="00150B55"/>
    <w:rsid w:val="00151434"/>
    <w:rsid w:val="00153051"/>
    <w:rsid w:val="001538F6"/>
    <w:rsid w:val="00153B72"/>
    <w:rsid w:val="00157CBF"/>
    <w:rsid w:val="001605B9"/>
    <w:rsid w:val="00161442"/>
    <w:rsid w:val="001624DE"/>
    <w:rsid w:val="00163370"/>
    <w:rsid w:val="00164B21"/>
    <w:rsid w:val="00165018"/>
    <w:rsid w:val="001655A7"/>
    <w:rsid w:val="001659BA"/>
    <w:rsid w:val="001673A5"/>
    <w:rsid w:val="001702B3"/>
    <w:rsid w:val="00170482"/>
    <w:rsid w:val="001714CB"/>
    <w:rsid w:val="00171BAC"/>
    <w:rsid w:val="00172D02"/>
    <w:rsid w:val="00173A17"/>
    <w:rsid w:val="00174D3A"/>
    <w:rsid w:val="00174F7A"/>
    <w:rsid w:val="00175689"/>
    <w:rsid w:val="00176770"/>
    <w:rsid w:val="001773F2"/>
    <w:rsid w:val="00177C16"/>
    <w:rsid w:val="001801DD"/>
    <w:rsid w:val="00180A83"/>
    <w:rsid w:val="001810DF"/>
    <w:rsid w:val="00181301"/>
    <w:rsid w:val="001829C0"/>
    <w:rsid w:val="0018443D"/>
    <w:rsid w:val="00184ADA"/>
    <w:rsid w:val="00185FA7"/>
    <w:rsid w:val="00187489"/>
    <w:rsid w:val="0018749E"/>
    <w:rsid w:val="00187629"/>
    <w:rsid w:val="0018786E"/>
    <w:rsid w:val="00191300"/>
    <w:rsid w:val="00191B3C"/>
    <w:rsid w:val="00194DC7"/>
    <w:rsid w:val="00197375"/>
    <w:rsid w:val="001A1F4C"/>
    <w:rsid w:val="001A27B9"/>
    <w:rsid w:val="001A589B"/>
    <w:rsid w:val="001A5D19"/>
    <w:rsid w:val="001A6164"/>
    <w:rsid w:val="001A6395"/>
    <w:rsid w:val="001A7AF7"/>
    <w:rsid w:val="001B1AB2"/>
    <w:rsid w:val="001B258F"/>
    <w:rsid w:val="001B290C"/>
    <w:rsid w:val="001B3668"/>
    <w:rsid w:val="001B3A0B"/>
    <w:rsid w:val="001B5289"/>
    <w:rsid w:val="001B5A29"/>
    <w:rsid w:val="001B6849"/>
    <w:rsid w:val="001B6AEF"/>
    <w:rsid w:val="001C100B"/>
    <w:rsid w:val="001C12BF"/>
    <w:rsid w:val="001C1E19"/>
    <w:rsid w:val="001C3362"/>
    <w:rsid w:val="001C3EEB"/>
    <w:rsid w:val="001C4112"/>
    <w:rsid w:val="001C4B2F"/>
    <w:rsid w:val="001C5860"/>
    <w:rsid w:val="001C7E11"/>
    <w:rsid w:val="001D0224"/>
    <w:rsid w:val="001D0BB0"/>
    <w:rsid w:val="001D20DD"/>
    <w:rsid w:val="001D2B64"/>
    <w:rsid w:val="001D5003"/>
    <w:rsid w:val="001D5386"/>
    <w:rsid w:val="001D6048"/>
    <w:rsid w:val="001D67A1"/>
    <w:rsid w:val="001D704B"/>
    <w:rsid w:val="001D7FF7"/>
    <w:rsid w:val="001E08C0"/>
    <w:rsid w:val="001E1452"/>
    <w:rsid w:val="001E1C73"/>
    <w:rsid w:val="001E3597"/>
    <w:rsid w:val="001E3D4B"/>
    <w:rsid w:val="001E4FBC"/>
    <w:rsid w:val="001E62CF"/>
    <w:rsid w:val="001E7448"/>
    <w:rsid w:val="001E78D7"/>
    <w:rsid w:val="001F06E7"/>
    <w:rsid w:val="001F15AA"/>
    <w:rsid w:val="001F165B"/>
    <w:rsid w:val="001F197B"/>
    <w:rsid w:val="001F263D"/>
    <w:rsid w:val="001F37EE"/>
    <w:rsid w:val="001F4C47"/>
    <w:rsid w:val="001F5EF3"/>
    <w:rsid w:val="001F6128"/>
    <w:rsid w:val="001F63F1"/>
    <w:rsid w:val="001F6CA1"/>
    <w:rsid w:val="001F7EBE"/>
    <w:rsid w:val="002002AB"/>
    <w:rsid w:val="00200B28"/>
    <w:rsid w:val="00202142"/>
    <w:rsid w:val="00202149"/>
    <w:rsid w:val="002027BC"/>
    <w:rsid w:val="002032A7"/>
    <w:rsid w:val="002062BB"/>
    <w:rsid w:val="00206488"/>
    <w:rsid w:val="002069D8"/>
    <w:rsid w:val="00206D2B"/>
    <w:rsid w:val="00210596"/>
    <w:rsid w:val="00210EAD"/>
    <w:rsid w:val="00210EEA"/>
    <w:rsid w:val="00211082"/>
    <w:rsid w:val="00211346"/>
    <w:rsid w:val="0021138A"/>
    <w:rsid w:val="002118EC"/>
    <w:rsid w:val="00212E60"/>
    <w:rsid w:val="002136BF"/>
    <w:rsid w:val="00213F9D"/>
    <w:rsid w:val="00215C84"/>
    <w:rsid w:val="00221B90"/>
    <w:rsid w:val="002229E0"/>
    <w:rsid w:val="00224136"/>
    <w:rsid w:val="0022430C"/>
    <w:rsid w:val="002249FE"/>
    <w:rsid w:val="00224B53"/>
    <w:rsid w:val="002250D0"/>
    <w:rsid w:val="002307FD"/>
    <w:rsid w:val="0023168C"/>
    <w:rsid w:val="0023487E"/>
    <w:rsid w:val="00234B46"/>
    <w:rsid w:val="00234FAA"/>
    <w:rsid w:val="0023585A"/>
    <w:rsid w:val="00235CAF"/>
    <w:rsid w:val="00235ED3"/>
    <w:rsid w:val="00237D6B"/>
    <w:rsid w:val="00240485"/>
    <w:rsid w:val="002411CA"/>
    <w:rsid w:val="00242D84"/>
    <w:rsid w:val="002461F4"/>
    <w:rsid w:val="002471F8"/>
    <w:rsid w:val="002475F8"/>
    <w:rsid w:val="00247938"/>
    <w:rsid w:val="00250300"/>
    <w:rsid w:val="00250602"/>
    <w:rsid w:val="00250E1D"/>
    <w:rsid w:val="00250E41"/>
    <w:rsid w:val="00250E43"/>
    <w:rsid w:val="0025211E"/>
    <w:rsid w:val="00253C8B"/>
    <w:rsid w:val="00253CA5"/>
    <w:rsid w:val="002550B8"/>
    <w:rsid w:val="002554DC"/>
    <w:rsid w:val="002565A6"/>
    <w:rsid w:val="00256BE3"/>
    <w:rsid w:val="00260023"/>
    <w:rsid w:val="0026098D"/>
    <w:rsid w:val="002612E7"/>
    <w:rsid w:val="00262A92"/>
    <w:rsid w:val="002634E7"/>
    <w:rsid w:val="00263995"/>
    <w:rsid w:val="00263C2D"/>
    <w:rsid w:val="00263CBE"/>
    <w:rsid w:val="00263CC7"/>
    <w:rsid w:val="00264625"/>
    <w:rsid w:val="00264E70"/>
    <w:rsid w:val="00265C78"/>
    <w:rsid w:val="00266104"/>
    <w:rsid w:val="00266513"/>
    <w:rsid w:val="00267C26"/>
    <w:rsid w:val="00270623"/>
    <w:rsid w:val="00271723"/>
    <w:rsid w:val="0027217E"/>
    <w:rsid w:val="00273870"/>
    <w:rsid w:val="00273EF6"/>
    <w:rsid w:val="0027411F"/>
    <w:rsid w:val="002759C5"/>
    <w:rsid w:val="00275ED0"/>
    <w:rsid w:val="0027632C"/>
    <w:rsid w:val="00280EEC"/>
    <w:rsid w:val="002812BE"/>
    <w:rsid w:val="00281F11"/>
    <w:rsid w:val="0028262A"/>
    <w:rsid w:val="002839E2"/>
    <w:rsid w:val="00284776"/>
    <w:rsid w:val="00285653"/>
    <w:rsid w:val="00286271"/>
    <w:rsid w:val="002863DA"/>
    <w:rsid w:val="002867B9"/>
    <w:rsid w:val="00287023"/>
    <w:rsid w:val="00287946"/>
    <w:rsid w:val="00292A1E"/>
    <w:rsid w:val="0029314E"/>
    <w:rsid w:val="0029318E"/>
    <w:rsid w:val="00293A57"/>
    <w:rsid w:val="00293AFC"/>
    <w:rsid w:val="002948C0"/>
    <w:rsid w:val="00294A2B"/>
    <w:rsid w:val="00295B9A"/>
    <w:rsid w:val="002965BE"/>
    <w:rsid w:val="002A0F8E"/>
    <w:rsid w:val="002A23E3"/>
    <w:rsid w:val="002A252B"/>
    <w:rsid w:val="002A4AFC"/>
    <w:rsid w:val="002A5FC8"/>
    <w:rsid w:val="002B0774"/>
    <w:rsid w:val="002B0B5B"/>
    <w:rsid w:val="002B3906"/>
    <w:rsid w:val="002B3C13"/>
    <w:rsid w:val="002B3D73"/>
    <w:rsid w:val="002B3D9A"/>
    <w:rsid w:val="002B3E7B"/>
    <w:rsid w:val="002B40F9"/>
    <w:rsid w:val="002B4366"/>
    <w:rsid w:val="002B67F7"/>
    <w:rsid w:val="002B6CF5"/>
    <w:rsid w:val="002B7080"/>
    <w:rsid w:val="002C03FE"/>
    <w:rsid w:val="002C0A84"/>
    <w:rsid w:val="002C1B1B"/>
    <w:rsid w:val="002C225A"/>
    <w:rsid w:val="002C59C7"/>
    <w:rsid w:val="002C5A13"/>
    <w:rsid w:val="002C68CB"/>
    <w:rsid w:val="002C6A48"/>
    <w:rsid w:val="002C6AFF"/>
    <w:rsid w:val="002C709C"/>
    <w:rsid w:val="002C7491"/>
    <w:rsid w:val="002C7F49"/>
    <w:rsid w:val="002D26C0"/>
    <w:rsid w:val="002D471D"/>
    <w:rsid w:val="002D49D1"/>
    <w:rsid w:val="002D5143"/>
    <w:rsid w:val="002D56ED"/>
    <w:rsid w:val="002D7C5E"/>
    <w:rsid w:val="002E0050"/>
    <w:rsid w:val="002E00A6"/>
    <w:rsid w:val="002E120E"/>
    <w:rsid w:val="002E18F2"/>
    <w:rsid w:val="002E27F1"/>
    <w:rsid w:val="002E2E37"/>
    <w:rsid w:val="002E3341"/>
    <w:rsid w:val="002E5582"/>
    <w:rsid w:val="002E5C15"/>
    <w:rsid w:val="002E6972"/>
    <w:rsid w:val="002F1F0A"/>
    <w:rsid w:val="002F29A0"/>
    <w:rsid w:val="002F2BA1"/>
    <w:rsid w:val="002F3442"/>
    <w:rsid w:val="002F3D64"/>
    <w:rsid w:val="002F45B9"/>
    <w:rsid w:val="002F4602"/>
    <w:rsid w:val="002F4AE4"/>
    <w:rsid w:val="002F5A06"/>
    <w:rsid w:val="002F611D"/>
    <w:rsid w:val="002F750C"/>
    <w:rsid w:val="002F7D44"/>
    <w:rsid w:val="002F7F12"/>
    <w:rsid w:val="00301408"/>
    <w:rsid w:val="00301577"/>
    <w:rsid w:val="003015BD"/>
    <w:rsid w:val="00301D59"/>
    <w:rsid w:val="00301D7F"/>
    <w:rsid w:val="003028D3"/>
    <w:rsid w:val="00302F31"/>
    <w:rsid w:val="003035D3"/>
    <w:rsid w:val="003035EC"/>
    <w:rsid w:val="00305706"/>
    <w:rsid w:val="00305E0E"/>
    <w:rsid w:val="003072F8"/>
    <w:rsid w:val="003103AB"/>
    <w:rsid w:val="003106A7"/>
    <w:rsid w:val="00310A22"/>
    <w:rsid w:val="00310E13"/>
    <w:rsid w:val="00311075"/>
    <w:rsid w:val="003110B2"/>
    <w:rsid w:val="0031377B"/>
    <w:rsid w:val="00314AA7"/>
    <w:rsid w:val="00315066"/>
    <w:rsid w:val="003158A9"/>
    <w:rsid w:val="00315EC4"/>
    <w:rsid w:val="003163D0"/>
    <w:rsid w:val="0031651E"/>
    <w:rsid w:val="00317608"/>
    <w:rsid w:val="0031780A"/>
    <w:rsid w:val="00317891"/>
    <w:rsid w:val="00320182"/>
    <w:rsid w:val="00321269"/>
    <w:rsid w:val="00321E99"/>
    <w:rsid w:val="003233E5"/>
    <w:rsid w:val="00324D72"/>
    <w:rsid w:val="00326CD6"/>
    <w:rsid w:val="0032741F"/>
    <w:rsid w:val="003304B9"/>
    <w:rsid w:val="0033150D"/>
    <w:rsid w:val="00331ABE"/>
    <w:rsid w:val="0033290B"/>
    <w:rsid w:val="00333D06"/>
    <w:rsid w:val="0034157D"/>
    <w:rsid w:val="00341D0D"/>
    <w:rsid w:val="00342F14"/>
    <w:rsid w:val="003440F7"/>
    <w:rsid w:val="00344401"/>
    <w:rsid w:val="00345385"/>
    <w:rsid w:val="00345721"/>
    <w:rsid w:val="0034606E"/>
    <w:rsid w:val="00346740"/>
    <w:rsid w:val="00347405"/>
    <w:rsid w:val="0034743D"/>
    <w:rsid w:val="00347C5C"/>
    <w:rsid w:val="0035056F"/>
    <w:rsid w:val="003529E5"/>
    <w:rsid w:val="00353663"/>
    <w:rsid w:val="00354055"/>
    <w:rsid w:val="00355C6E"/>
    <w:rsid w:val="003560BD"/>
    <w:rsid w:val="00356255"/>
    <w:rsid w:val="0035748A"/>
    <w:rsid w:val="00357C79"/>
    <w:rsid w:val="003612B2"/>
    <w:rsid w:val="0036137E"/>
    <w:rsid w:val="00361505"/>
    <w:rsid w:val="003628E3"/>
    <w:rsid w:val="00362A2D"/>
    <w:rsid w:val="00362BCC"/>
    <w:rsid w:val="00363694"/>
    <w:rsid w:val="0036418A"/>
    <w:rsid w:val="00370C11"/>
    <w:rsid w:val="00370F9B"/>
    <w:rsid w:val="00372C89"/>
    <w:rsid w:val="00373EBB"/>
    <w:rsid w:val="00374189"/>
    <w:rsid w:val="00374879"/>
    <w:rsid w:val="00375A67"/>
    <w:rsid w:val="00376663"/>
    <w:rsid w:val="00377A32"/>
    <w:rsid w:val="00380B68"/>
    <w:rsid w:val="00381CA9"/>
    <w:rsid w:val="00382732"/>
    <w:rsid w:val="00386E74"/>
    <w:rsid w:val="003871E6"/>
    <w:rsid w:val="003873A3"/>
    <w:rsid w:val="00390084"/>
    <w:rsid w:val="00390AF1"/>
    <w:rsid w:val="00393A63"/>
    <w:rsid w:val="00393E2C"/>
    <w:rsid w:val="00394D96"/>
    <w:rsid w:val="00395FBC"/>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0E5"/>
    <w:rsid w:val="003A7E68"/>
    <w:rsid w:val="003B0ABE"/>
    <w:rsid w:val="003B45D2"/>
    <w:rsid w:val="003B4D0F"/>
    <w:rsid w:val="003B6101"/>
    <w:rsid w:val="003C0201"/>
    <w:rsid w:val="003C4D8F"/>
    <w:rsid w:val="003C644F"/>
    <w:rsid w:val="003C7A96"/>
    <w:rsid w:val="003D0248"/>
    <w:rsid w:val="003D041C"/>
    <w:rsid w:val="003D0529"/>
    <w:rsid w:val="003D1776"/>
    <w:rsid w:val="003D1CBD"/>
    <w:rsid w:val="003D322B"/>
    <w:rsid w:val="003D4271"/>
    <w:rsid w:val="003D4506"/>
    <w:rsid w:val="003D46EA"/>
    <w:rsid w:val="003D4CB9"/>
    <w:rsid w:val="003D5661"/>
    <w:rsid w:val="003D5817"/>
    <w:rsid w:val="003D6B4E"/>
    <w:rsid w:val="003D7DDD"/>
    <w:rsid w:val="003E02F7"/>
    <w:rsid w:val="003E0378"/>
    <w:rsid w:val="003E0459"/>
    <w:rsid w:val="003E0BFB"/>
    <w:rsid w:val="003E1052"/>
    <w:rsid w:val="003E416E"/>
    <w:rsid w:val="003E4F99"/>
    <w:rsid w:val="003E536F"/>
    <w:rsid w:val="003E625F"/>
    <w:rsid w:val="003E68AA"/>
    <w:rsid w:val="003E7FCD"/>
    <w:rsid w:val="003F1EDC"/>
    <w:rsid w:val="003F6B9A"/>
    <w:rsid w:val="003F70BB"/>
    <w:rsid w:val="003F7545"/>
    <w:rsid w:val="003F7710"/>
    <w:rsid w:val="003F78B4"/>
    <w:rsid w:val="003F794B"/>
    <w:rsid w:val="00400FFB"/>
    <w:rsid w:val="00402BE9"/>
    <w:rsid w:val="004049D9"/>
    <w:rsid w:val="004060D8"/>
    <w:rsid w:val="004066EF"/>
    <w:rsid w:val="00411025"/>
    <w:rsid w:val="004116F3"/>
    <w:rsid w:val="004152C0"/>
    <w:rsid w:val="00415784"/>
    <w:rsid w:val="00415A34"/>
    <w:rsid w:val="004165A2"/>
    <w:rsid w:val="00416962"/>
    <w:rsid w:val="004172E0"/>
    <w:rsid w:val="00417367"/>
    <w:rsid w:val="0041793E"/>
    <w:rsid w:val="00417C36"/>
    <w:rsid w:val="004204FB"/>
    <w:rsid w:val="00420E67"/>
    <w:rsid w:val="004216E2"/>
    <w:rsid w:val="004239FA"/>
    <w:rsid w:val="004245B7"/>
    <w:rsid w:val="00425183"/>
    <w:rsid w:val="00426720"/>
    <w:rsid w:val="00426906"/>
    <w:rsid w:val="004273F5"/>
    <w:rsid w:val="004318C5"/>
    <w:rsid w:val="00432419"/>
    <w:rsid w:val="004325F1"/>
    <w:rsid w:val="00433A07"/>
    <w:rsid w:val="00436011"/>
    <w:rsid w:val="00437DE0"/>
    <w:rsid w:val="004429E4"/>
    <w:rsid w:val="004435F8"/>
    <w:rsid w:val="00443800"/>
    <w:rsid w:val="00443869"/>
    <w:rsid w:val="004443A4"/>
    <w:rsid w:val="00446641"/>
    <w:rsid w:val="0044682A"/>
    <w:rsid w:val="00447F80"/>
    <w:rsid w:val="00450E42"/>
    <w:rsid w:val="00451525"/>
    <w:rsid w:val="00451913"/>
    <w:rsid w:val="00451ED2"/>
    <w:rsid w:val="0045206A"/>
    <w:rsid w:val="00452B6F"/>
    <w:rsid w:val="00452FAD"/>
    <w:rsid w:val="00454BA4"/>
    <w:rsid w:val="004569F1"/>
    <w:rsid w:val="0045707F"/>
    <w:rsid w:val="00457735"/>
    <w:rsid w:val="00457D5F"/>
    <w:rsid w:val="00461142"/>
    <w:rsid w:val="00461184"/>
    <w:rsid w:val="00461E9F"/>
    <w:rsid w:val="0046364C"/>
    <w:rsid w:val="00463BB6"/>
    <w:rsid w:val="00464556"/>
    <w:rsid w:val="00464C20"/>
    <w:rsid w:val="0046591C"/>
    <w:rsid w:val="00466044"/>
    <w:rsid w:val="004704BB"/>
    <w:rsid w:val="004714C6"/>
    <w:rsid w:val="004719A0"/>
    <w:rsid w:val="00471ACC"/>
    <w:rsid w:val="00472193"/>
    <w:rsid w:val="004737FD"/>
    <w:rsid w:val="00473A04"/>
    <w:rsid w:val="00473DDA"/>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87974"/>
    <w:rsid w:val="00490F61"/>
    <w:rsid w:val="004938FF"/>
    <w:rsid w:val="00494755"/>
    <w:rsid w:val="004955F0"/>
    <w:rsid w:val="0049591A"/>
    <w:rsid w:val="004969B3"/>
    <w:rsid w:val="00496CD5"/>
    <w:rsid w:val="0049768E"/>
    <w:rsid w:val="004A070E"/>
    <w:rsid w:val="004A1B0D"/>
    <w:rsid w:val="004A2070"/>
    <w:rsid w:val="004A2FAE"/>
    <w:rsid w:val="004A3ED2"/>
    <w:rsid w:val="004A4982"/>
    <w:rsid w:val="004A732D"/>
    <w:rsid w:val="004A7887"/>
    <w:rsid w:val="004A7B50"/>
    <w:rsid w:val="004A7C28"/>
    <w:rsid w:val="004B08FC"/>
    <w:rsid w:val="004B244C"/>
    <w:rsid w:val="004B2D23"/>
    <w:rsid w:val="004B489F"/>
    <w:rsid w:val="004B52B3"/>
    <w:rsid w:val="004B5A65"/>
    <w:rsid w:val="004B5C58"/>
    <w:rsid w:val="004B6399"/>
    <w:rsid w:val="004C0CD5"/>
    <w:rsid w:val="004C1069"/>
    <w:rsid w:val="004C366C"/>
    <w:rsid w:val="004C37FF"/>
    <w:rsid w:val="004C6759"/>
    <w:rsid w:val="004D162B"/>
    <w:rsid w:val="004D1921"/>
    <w:rsid w:val="004D249E"/>
    <w:rsid w:val="004D282F"/>
    <w:rsid w:val="004D2858"/>
    <w:rsid w:val="004D3CFB"/>
    <w:rsid w:val="004E0FA5"/>
    <w:rsid w:val="004E131E"/>
    <w:rsid w:val="004E1822"/>
    <w:rsid w:val="004E229C"/>
    <w:rsid w:val="004E26CF"/>
    <w:rsid w:val="004E3E7D"/>
    <w:rsid w:val="004E4BA3"/>
    <w:rsid w:val="004E6363"/>
    <w:rsid w:val="004E6710"/>
    <w:rsid w:val="004E6FBE"/>
    <w:rsid w:val="004F0575"/>
    <w:rsid w:val="004F1001"/>
    <w:rsid w:val="004F193D"/>
    <w:rsid w:val="004F24AD"/>
    <w:rsid w:val="004F2EB9"/>
    <w:rsid w:val="004F305B"/>
    <w:rsid w:val="004F3214"/>
    <w:rsid w:val="004F3B9C"/>
    <w:rsid w:val="004F4D1B"/>
    <w:rsid w:val="004F5D79"/>
    <w:rsid w:val="004F6F8B"/>
    <w:rsid w:val="004F7309"/>
    <w:rsid w:val="004F7C4F"/>
    <w:rsid w:val="004F7C5A"/>
    <w:rsid w:val="004F7E68"/>
    <w:rsid w:val="00500775"/>
    <w:rsid w:val="00500AC0"/>
    <w:rsid w:val="00504944"/>
    <w:rsid w:val="005053C9"/>
    <w:rsid w:val="00505B0A"/>
    <w:rsid w:val="00505F31"/>
    <w:rsid w:val="00506FCA"/>
    <w:rsid w:val="00510EB0"/>
    <w:rsid w:val="00511E57"/>
    <w:rsid w:val="00511FD7"/>
    <w:rsid w:val="0051425A"/>
    <w:rsid w:val="005146F9"/>
    <w:rsid w:val="005151EB"/>
    <w:rsid w:val="0051535D"/>
    <w:rsid w:val="00515EE5"/>
    <w:rsid w:val="00515EF3"/>
    <w:rsid w:val="005166FC"/>
    <w:rsid w:val="005167CD"/>
    <w:rsid w:val="00521E96"/>
    <w:rsid w:val="00522BAA"/>
    <w:rsid w:val="005234AC"/>
    <w:rsid w:val="00525A2F"/>
    <w:rsid w:val="005278AC"/>
    <w:rsid w:val="00527F7E"/>
    <w:rsid w:val="005315A3"/>
    <w:rsid w:val="0053187E"/>
    <w:rsid w:val="00531A76"/>
    <w:rsid w:val="0053263F"/>
    <w:rsid w:val="00532D7A"/>
    <w:rsid w:val="005345CD"/>
    <w:rsid w:val="005354DE"/>
    <w:rsid w:val="00535DA6"/>
    <w:rsid w:val="00536BD8"/>
    <w:rsid w:val="00541737"/>
    <w:rsid w:val="00541B49"/>
    <w:rsid w:val="00541D7E"/>
    <w:rsid w:val="00542A0D"/>
    <w:rsid w:val="00542DED"/>
    <w:rsid w:val="00545FD8"/>
    <w:rsid w:val="00546516"/>
    <w:rsid w:val="005468E9"/>
    <w:rsid w:val="00546EDF"/>
    <w:rsid w:val="005476BB"/>
    <w:rsid w:val="0055015E"/>
    <w:rsid w:val="00552132"/>
    <w:rsid w:val="005527D5"/>
    <w:rsid w:val="00552880"/>
    <w:rsid w:val="0055309F"/>
    <w:rsid w:val="005530FE"/>
    <w:rsid w:val="00553AC2"/>
    <w:rsid w:val="00553E6B"/>
    <w:rsid w:val="00554665"/>
    <w:rsid w:val="00554E99"/>
    <w:rsid w:val="005553DD"/>
    <w:rsid w:val="00556754"/>
    <w:rsid w:val="00557648"/>
    <w:rsid w:val="00561DC2"/>
    <w:rsid w:val="00562FD5"/>
    <w:rsid w:val="00563186"/>
    <w:rsid w:val="0056552C"/>
    <w:rsid w:val="005657BF"/>
    <w:rsid w:val="00570371"/>
    <w:rsid w:val="005707E0"/>
    <w:rsid w:val="00574582"/>
    <w:rsid w:val="00574777"/>
    <w:rsid w:val="00574CC1"/>
    <w:rsid w:val="00576FFD"/>
    <w:rsid w:val="005825C6"/>
    <w:rsid w:val="00582885"/>
    <w:rsid w:val="00583185"/>
    <w:rsid w:val="005831E3"/>
    <w:rsid w:val="00584921"/>
    <w:rsid w:val="00585198"/>
    <w:rsid w:val="00585D4A"/>
    <w:rsid w:val="00585F1B"/>
    <w:rsid w:val="0058630A"/>
    <w:rsid w:val="005864CE"/>
    <w:rsid w:val="00586E2B"/>
    <w:rsid w:val="00586FC3"/>
    <w:rsid w:val="00591B28"/>
    <w:rsid w:val="00592C00"/>
    <w:rsid w:val="00592F25"/>
    <w:rsid w:val="0059310B"/>
    <w:rsid w:val="005936E2"/>
    <w:rsid w:val="005A075B"/>
    <w:rsid w:val="005A0DD0"/>
    <w:rsid w:val="005A0E7D"/>
    <w:rsid w:val="005A196F"/>
    <w:rsid w:val="005A2653"/>
    <w:rsid w:val="005A36AE"/>
    <w:rsid w:val="005A3726"/>
    <w:rsid w:val="005A3934"/>
    <w:rsid w:val="005A4403"/>
    <w:rsid w:val="005A47D2"/>
    <w:rsid w:val="005A4B0F"/>
    <w:rsid w:val="005A61A6"/>
    <w:rsid w:val="005A7358"/>
    <w:rsid w:val="005A79D9"/>
    <w:rsid w:val="005B11B1"/>
    <w:rsid w:val="005B19E3"/>
    <w:rsid w:val="005B1A5F"/>
    <w:rsid w:val="005B22A0"/>
    <w:rsid w:val="005B2A68"/>
    <w:rsid w:val="005B2E24"/>
    <w:rsid w:val="005B2E8A"/>
    <w:rsid w:val="005B3715"/>
    <w:rsid w:val="005B4000"/>
    <w:rsid w:val="005B4707"/>
    <w:rsid w:val="005B583F"/>
    <w:rsid w:val="005B6F0F"/>
    <w:rsid w:val="005B71FE"/>
    <w:rsid w:val="005B7FD5"/>
    <w:rsid w:val="005C0030"/>
    <w:rsid w:val="005C1590"/>
    <w:rsid w:val="005C16B4"/>
    <w:rsid w:val="005C23CC"/>
    <w:rsid w:val="005C3128"/>
    <w:rsid w:val="005C3AFA"/>
    <w:rsid w:val="005C519E"/>
    <w:rsid w:val="005C5AFA"/>
    <w:rsid w:val="005C77E3"/>
    <w:rsid w:val="005C7CEC"/>
    <w:rsid w:val="005C7E66"/>
    <w:rsid w:val="005D0243"/>
    <w:rsid w:val="005D07AC"/>
    <w:rsid w:val="005D1809"/>
    <w:rsid w:val="005D2508"/>
    <w:rsid w:val="005D43E8"/>
    <w:rsid w:val="005D62D3"/>
    <w:rsid w:val="005D6984"/>
    <w:rsid w:val="005D7465"/>
    <w:rsid w:val="005D79B3"/>
    <w:rsid w:val="005D7FE4"/>
    <w:rsid w:val="005E10F4"/>
    <w:rsid w:val="005E4535"/>
    <w:rsid w:val="005E70AC"/>
    <w:rsid w:val="005E713D"/>
    <w:rsid w:val="005E76A8"/>
    <w:rsid w:val="005F1FE4"/>
    <w:rsid w:val="005F20E0"/>
    <w:rsid w:val="005F449B"/>
    <w:rsid w:val="005F47F0"/>
    <w:rsid w:val="005F489F"/>
    <w:rsid w:val="005F4AC9"/>
    <w:rsid w:val="005F50B1"/>
    <w:rsid w:val="005F51C8"/>
    <w:rsid w:val="005F54A6"/>
    <w:rsid w:val="005F5C48"/>
    <w:rsid w:val="005F6F5E"/>
    <w:rsid w:val="005F7412"/>
    <w:rsid w:val="005F76F1"/>
    <w:rsid w:val="00600293"/>
    <w:rsid w:val="0060118C"/>
    <w:rsid w:val="00601782"/>
    <w:rsid w:val="00601B0F"/>
    <w:rsid w:val="00604F61"/>
    <w:rsid w:val="00605754"/>
    <w:rsid w:val="00607D57"/>
    <w:rsid w:val="00610616"/>
    <w:rsid w:val="00610BBD"/>
    <w:rsid w:val="00612183"/>
    <w:rsid w:val="00615373"/>
    <w:rsid w:val="0061611B"/>
    <w:rsid w:val="00617319"/>
    <w:rsid w:val="0061747E"/>
    <w:rsid w:val="00617B01"/>
    <w:rsid w:val="00617C82"/>
    <w:rsid w:val="00617E12"/>
    <w:rsid w:val="00620D6A"/>
    <w:rsid w:val="006212DE"/>
    <w:rsid w:val="006222CF"/>
    <w:rsid w:val="00623CEE"/>
    <w:rsid w:val="00623FB7"/>
    <w:rsid w:val="0062417C"/>
    <w:rsid w:val="0062460E"/>
    <w:rsid w:val="006259AB"/>
    <w:rsid w:val="00625C34"/>
    <w:rsid w:val="00627D6F"/>
    <w:rsid w:val="00627E81"/>
    <w:rsid w:val="00630182"/>
    <w:rsid w:val="00630504"/>
    <w:rsid w:val="00631565"/>
    <w:rsid w:val="00633C11"/>
    <w:rsid w:val="006341AF"/>
    <w:rsid w:val="006348D7"/>
    <w:rsid w:val="00637049"/>
    <w:rsid w:val="00640890"/>
    <w:rsid w:val="00640AEB"/>
    <w:rsid w:val="00640CB5"/>
    <w:rsid w:val="00641042"/>
    <w:rsid w:val="006412F8"/>
    <w:rsid w:val="00643FA8"/>
    <w:rsid w:val="00645286"/>
    <w:rsid w:val="00645415"/>
    <w:rsid w:val="006461C6"/>
    <w:rsid w:val="0065005F"/>
    <w:rsid w:val="006503EB"/>
    <w:rsid w:val="006509E1"/>
    <w:rsid w:val="0065116F"/>
    <w:rsid w:val="0065148E"/>
    <w:rsid w:val="00651C89"/>
    <w:rsid w:val="00652325"/>
    <w:rsid w:val="0065351A"/>
    <w:rsid w:val="00654177"/>
    <w:rsid w:val="00654E30"/>
    <w:rsid w:val="006552D2"/>
    <w:rsid w:val="006553E6"/>
    <w:rsid w:val="00656667"/>
    <w:rsid w:val="006613FE"/>
    <w:rsid w:val="006629DD"/>
    <w:rsid w:val="00662A00"/>
    <w:rsid w:val="00663BC1"/>
    <w:rsid w:val="00664BB0"/>
    <w:rsid w:val="00664EBE"/>
    <w:rsid w:val="00665CD3"/>
    <w:rsid w:val="0066628F"/>
    <w:rsid w:val="00667584"/>
    <w:rsid w:val="00670377"/>
    <w:rsid w:val="0067134C"/>
    <w:rsid w:val="0067228E"/>
    <w:rsid w:val="00672F27"/>
    <w:rsid w:val="006730A4"/>
    <w:rsid w:val="006730CA"/>
    <w:rsid w:val="006734DC"/>
    <w:rsid w:val="00677B8E"/>
    <w:rsid w:val="00680F53"/>
    <w:rsid w:val="006823C9"/>
    <w:rsid w:val="00682AAA"/>
    <w:rsid w:val="00683DB1"/>
    <w:rsid w:val="00684781"/>
    <w:rsid w:val="0068487D"/>
    <w:rsid w:val="006856F1"/>
    <w:rsid w:val="00685850"/>
    <w:rsid w:val="00685DC3"/>
    <w:rsid w:val="00690057"/>
    <w:rsid w:val="006911C8"/>
    <w:rsid w:val="006915A7"/>
    <w:rsid w:val="00691E36"/>
    <w:rsid w:val="006923A3"/>
    <w:rsid w:val="00692C09"/>
    <w:rsid w:val="0069396F"/>
    <w:rsid w:val="006939DB"/>
    <w:rsid w:val="00693AFF"/>
    <w:rsid w:val="0069447F"/>
    <w:rsid w:val="00694FA6"/>
    <w:rsid w:val="00695987"/>
    <w:rsid w:val="0069635D"/>
    <w:rsid w:val="006968BC"/>
    <w:rsid w:val="006977B3"/>
    <w:rsid w:val="006A13F2"/>
    <w:rsid w:val="006A2514"/>
    <w:rsid w:val="006A4AEA"/>
    <w:rsid w:val="006A5AF6"/>
    <w:rsid w:val="006A5C90"/>
    <w:rsid w:val="006A757E"/>
    <w:rsid w:val="006A7D4C"/>
    <w:rsid w:val="006B011C"/>
    <w:rsid w:val="006B1E3B"/>
    <w:rsid w:val="006B2D82"/>
    <w:rsid w:val="006B489C"/>
    <w:rsid w:val="006B7A72"/>
    <w:rsid w:val="006C00C2"/>
    <w:rsid w:val="006C0BFD"/>
    <w:rsid w:val="006C17EB"/>
    <w:rsid w:val="006C3BB6"/>
    <w:rsid w:val="006C498A"/>
    <w:rsid w:val="006C58B9"/>
    <w:rsid w:val="006C722E"/>
    <w:rsid w:val="006C76D2"/>
    <w:rsid w:val="006C7D4B"/>
    <w:rsid w:val="006D0531"/>
    <w:rsid w:val="006D08B1"/>
    <w:rsid w:val="006D23BD"/>
    <w:rsid w:val="006D2F46"/>
    <w:rsid w:val="006D5378"/>
    <w:rsid w:val="006D6A3A"/>
    <w:rsid w:val="006D6A9B"/>
    <w:rsid w:val="006D7AB0"/>
    <w:rsid w:val="006D7AF3"/>
    <w:rsid w:val="006E07CE"/>
    <w:rsid w:val="006E17F0"/>
    <w:rsid w:val="006E2449"/>
    <w:rsid w:val="006E2581"/>
    <w:rsid w:val="006E2C48"/>
    <w:rsid w:val="006E2CE6"/>
    <w:rsid w:val="006E3235"/>
    <w:rsid w:val="006E3F95"/>
    <w:rsid w:val="006E46B1"/>
    <w:rsid w:val="006E4D3F"/>
    <w:rsid w:val="006E62FC"/>
    <w:rsid w:val="006E747E"/>
    <w:rsid w:val="006E74BE"/>
    <w:rsid w:val="006E78EB"/>
    <w:rsid w:val="006E7AD5"/>
    <w:rsid w:val="006F0558"/>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06038"/>
    <w:rsid w:val="007060D2"/>
    <w:rsid w:val="00706D7A"/>
    <w:rsid w:val="007073CA"/>
    <w:rsid w:val="0071067E"/>
    <w:rsid w:val="007147AC"/>
    <w:rsid w:val="00716145"/>
    <w:rsid w:val="007161D7"/>
    <w:rsid w:val="007173C3"/>
    <w:rsid w:val="00721E68"/>
    <w:rsid w:val="00721ED0"/>
    <w:rsid w:val="00722462"/>
    <w:rsid w:val="0072511C"/>
    <w:rsid w:val="00725686"/>
    <w:rsid w:val="00725CB3"/>
    <w:rsid w:val="00727D04"/>
    <w:rsid w:val="00731069"/>
    <w:rsid w:val="00731F3C"/>
    <w:rsid w:val="00732CB0"/>
    <w:rsid w:val="00733BE5"/>
    <w:rsid w:val="007344C1"/>
    <w:rsid w:val="007355A5"/>
    <w:rsid w:val="00736326"/>
    <w:rsid w:val="00736341"/>
    <w:rsid w:val="007364E9"/>
    <w:rsid w:val="00737626"/>
    <w:rsid w:val="007376A4"/>
    <w:rsid w:val="0074048C"/>
    <w:rsid w:val="0074198E"/>
    <w:rsid w:val="00741F64"/>
    <w:rsid w:val="00743A70"/>
    <w:rsid w:val="007444D7"/>
    <w:rsid w:val="007449A3"/>
    <w:rsid w:val="007457F3"/>
    <w:rsid w:val="00747B55"/>
    <w:rsid w:val="00747D95"/>
    <w:rsid w:val="007503A1"/>
    <w:rsid w:val="007511E0"/>
    <w:rsid w:val="0075218F"/>
    <w:rsid w:val="007521B4"/>
    <w:rsid w:val="0075230D"/>
    <w:rsid w:val="0075345E"/>
    <w:rsid w:val="00754CA7"/>
    <w:rsid w:val="0075612C"/>
    <w:rsid w:val="0075640C"/>
    <w:rsid w:val="00756511"/>
    <w:rsid w:val="00757391"/>
    <w:rsid w:val="00757473"/>
    <w:rsid w:val="007574F7"/>
    <w:rsid w:val="00757975"/>
    <w:rsid w:val="00761D4E"/>
    <w:rsid w:val="007625B4"/>
    <w:rsid w:val="00763072"/>
    <w:rsid w:val="007636B2"/>
    <w:rsid w:val="00765424"/>
    <w:rsid w:val="00766562"/>
    <w:rsid w:val="00770111"/>
    <w:rsid w:val="007716E5"/>
    <w:rsid w:val="00775E29"/>
    <w:rsid w:val="0077662D"/>
    <w:rsid w:val="00777E33"/>
    <w:rsid w:val="00781110"/>
    <w:rsid w:val="007828D0"/>
    <w:rsid w:val="00784E87"/>
    <w:rsid w:val="007857CA"/>
    <w:rsid w:val="00786C50"/>
    <w:rsid w:val="00786E76"/>
    <w:rsid w:val="00790229"/>
    <w:rsid w:val="00790933"/>
    <w:rsid w:val="007915B0"/>
    <w:rsid w:val="00793135"/>
    <w:rsid w:val="007946C1"/>
    <w:rsid w:val="007965CC"/>
    <w:rsid w:val="00796C6D"/>
    <w:rsid w:val="0079732D"/>
    <w:rsid w:val="00797DEF"/>
    <w:rsid w:val="007A04A0"/>
    <w:rsid w:val="007A1690"/>
    <w:rsid w:val="007A1AE0"/>
    <w:rsid w:val="007A3EC8"/>
    <w:rsid w:val="007A4F27"/>
    <w:rsid w:val="007A6867"/>
    <w:rsid w:val="007A6A33"/>
    <w:rsid w:val="007B0205"/>
    <w:rsid w:val="007B0EBE"/>
    <w:rsid w:val="007B1510"/>
    <w:rsid w:val="007B17C3"/>
    <w:rsid w:val="007B1E2E"/>
    <w:rsid w:val="007B33D6"/>
    <w:rsid w:val="007B4264"/>
    <w:rsid w:val="007B43E9"/>
    <w:rsid w:val="007B6126"/>
    <w:rsid w:val="007B663F"/>
    <w:rsid w:val="007B6896"/>
    <w:rsid w:val="007B6E26"/>
    <w:rsid w:val="007B71CF"/>
    <w:rsid w:val="007B7DFC"/>
    <w:rsid w:val="007C012C"/>
    <w:rsid w:val="007C04BF"/>
    <w:rsid w:val="007C08A8"/>
    <w:rsid w:val="007C13B5"/>
    <w:rsid w:val="007C1D0A"/>
    <w:rsid w:val="007C2716"/>
    <w:rsid w:val="007C2854"/>
    <w:rsid w:val="007C299B"/>
    <w:rsid w:val="007C3F17"/>
    <w:rsid w:val="007C541F"/>
    <w:rsid w:val="007C5D11"/>
    <w:rsid w:val="007C5EEB"/>
    <w:rsid w:val="007C6874"/>
    <w:rsid w:val="007C6F59"/>
    <w:rsid w:val="007D2A5A"/>
    <w:rsid w:val="007D440C"/>
    <w:rsid w:val="007D452A"/>
    <w:rsid w:val="007D4AC6"/>
    <w:rsid w:val="007D510B"/>
    <w:rsid w:val="007D6EA0"/>
    <w:rsid w:val="007E14CA"/>
    <w:rsid w:val="007E1910"/>
    <w:rsid w:val="007E1990"/>
    <w:rsid w:val="007E378F"/>
    <w:rsid w:val="007E3A0B"/>
    <w:rsid w:val="007E3CEB"/>
    <w:rsid w:val="007E4B54"/>
    <w:rsid w:val="007E4D18"/>
    <w:rsid w:val="007E6A9F"/>
    <w:rsid w:val="007E6FBA"/>
    <w:rsid w:val="007E75C5"/>
    <w:rsid w:val="007F040A"/>
    <w:rsid w:val="007F1082"/>
    <w:rsid w:val="007F2DE5"/>
    <w:rsid w:val="007F39A1"/>
    <w:rsid w:val="007F5058"/>
    <w:rsid w:val="007F71F0"/>
    <w:rsid w:val="007F77E1"/>
    <w:rsid w:val="007F79F5"/>
    <w:rsid w:val="007F7A13"/>
    <w:rsid w:val="00802677"/>
    <w:rsid w:val="00802AB0"/>
    <w:rsid w:val="00802F71"/>
    <w:rsid w:val="00803213"/>
    <w:rsid w:val="00803E4F"/>
    <w:rsid w:val="0080415B"/>
    <w:rsid w:val="008043DC"/>
    <w:rsid w:val="00806850"/>
    <w:rsid w:val="00807336"/>
    <w:rsid w:val="00813AD2"/>
    <w:rsid w:val="008146D3"/>
    <w:rsid w:val="00814F4D"/>
    <w:rsid w:val="008152A0"/>
    <w:rsid w:val="0081697B"/>
    <w:rsid w:val="00817241"/>
    <w:rsid w:val="00817A13"/>
    <w:rsid w:val="008251D4"/>
    <w:rsid w:val="00825455"/>
    <w:rsid w:val="008255A3"/>
    <w:rsid w:val="00826813"/>
    <w:rsid w:val="00827040"/>
    <w:rsid w:val="00831B33"/>
    <w:rsid w:val="00833978"/>
    <w:rsid w:val="00834EEF"/>
    <w:rsid w:val="00836013"/>
    <w:rsid w:val="00836A7A"/>
    <w:rsid w:val="00842137"/>
    <w:rsid w:val="0084233F"/>
    <w:rsid w:val="008423D9"/>
    <w:rsid w:val="0084267A"/>
    <w:rsid w:val="008441EC"/>
    <w:rsid w:val="0084557F"/>
    <w:rsid w:val="0084590C"/>
    <w:rsid w:val="008470AC"/>
    <w:rsid w:val="0084772E"/>
    <w:rsid w:val="00855577"/>
    <w:rsid w:val="00855832"/>
    <w:rsid w:val="00856A9B"/>
    <w:rsid w:val="00861847"/>
    <w:rsid w:val="00861D6D"/>
    <w:rsid w:val="0086215A"/>
    <w:rsid w:val="008625C7"/>
    <w:rsid w:val="00863419"/>
    <w:rsid w:val="00863D0C"/>
    <w:rsid w:val="00866226"/>
    <w:rsid w:val="0087022A"/>
    <w:rsid w:val="0087096E"/>
    <w:rsid w:val="0087111C"/>
    <w:rsid w:val="0087147A"/>
    <w:rsid w:val="00871CDC"/>
    <w:rsid w:val="00872472"/>
    <w:rsid w:val="00873425"/>
    <w:rsid w:val="00877BF5"/>
    <w:rsid w:val="0088147A"/>
    <w:rsid w:val="00882BF7"/>
    <w:rsid w:val="00882C8F"/>
    <w:rsid w:val="00882D04"/>
    <w:rsid w:val="00884917"/>
    <w:rsid w:val="0088681B"/>
    <w:rsid w:val="00886D76"/>
    <w:rsid w:val="00887206"/>
    <w:rsid w:val="00887706"/>
    <w:rsid w:val="0089181E"/>
    <w:rsid w:val="0089572A"/>
    <w:rsid w:val="008958F5"/>
    <w:rsid w:val="00897386"/>
    <w:rsid w:val="0089797F"/>
    <w:rsid w:val="008A02DB"/>
    <w:rsid w:val="008A2660"/>
    <w:rsid w:val="008A35BE"/>
    <w:rsid w:val="008A3E2F"/>
    <w:rsid w:val="008A46F7"/>
    <w:rsid w:val="008A560A"/>
    <w:rsid w:val="008A6B8E"/>
    <w:rsid w:val="008A7E5E"/>
    <w:rsid w:val="008B3C23"/>
    <w:rsid w:val="008B3D37"/>
    <w:rsid w:val="008B54D7"/>
    <w:rsid w:val="008B57CD"/>
    <w:rsid w:val="008B5E77"/>
    <w:rsid w:val="008B5E94"/>
    <w:rsid w:val="008B6A4E"/>
    <w:rsid w:val="008C0630"/>
    <w:rsid w:val="008C3631"/>
    <w:rsid w:val="008C4B00"/>
    <w:rsid w:val="008C5683"/>
    <w:rsid w:val="008C748A"/>
    <w:rsid w:val="008C74AF"/>
    <w:rsid w:val="008D02C8"/>
    <w:rsid w:val="008D0DE3"/>
    <w:rsid w:val="008D1E9D"/>
    <w:rsid w:val="008D267D"/>
    <w:rsid w:val="008D2A93"/>
    <w:rsid w:val="008D3380"/>
    <w:rsid w:val="008D5F9D"/>
    <w:rsid w:val="008D72FE"/>
    <w:rsid w:val="008D7A9C"/>
    <w:rsid w:val="008E004E"/>
    <w:rsid w:val="008E2AD5"/>
    <w:rsid w:val="008E389D"/>
    <w:rsid w:val="008E4609"/>
    <w:rsid w:val="008E5310"/>
    <w:rsid w:val="008E5FAD"/>
    <w:rsid w:val="008E61A9"/>
    <w:rsid w:val="008E673D"/>
    <w:rsid w:val="008F1533"/>
    <w:rsid w:val="008F1D46"/>
    <w:rsid w:val="008F3DCD"/>
    <w:rsid w:val="008F51A5"/>
    <w:rsid w:val="008F6925"/>
    <w:rsid w:val="008F6F19"/>
    <w:rsid w:val="008F72EF"/>
    <w:rsid w:val="008F730B"/>
    <w:rsid w:val="008F7A5D"/>
    <w:rsid w:val="00900D9A"/>
    <w:rsid w:val="00901DE2"/>
    <w:rsid w:val="0090236C"/>
    <w:rsid w:val="009026AD"/>
    <w:rsid w:val="00903D22"/>
    <w:rsid w:val="0090541D"/>
    <w:rsid w:val="009054B8"/>
    <w:rsid w:val="009101C1"/>
    <w:rsid w:val="00910519"/>
    <w:rsid w:val="00910B88"/>
    <w:rsid w:val="00911107"/>
    <w:rsid w:val="0091331B"/>
    <w:rsid w:val="00913443"/>
    <w:rsid w:val="00913919"/>
    <w:rsid w:val="00914219"/>
    <w:rsid w:val="0091458B"/>
    <w:rsid w:val="009149DA"/>
    <w:rsid w:val="00914C82"/>
    <w:rsid w:val="00915FF3"/>
    <w:rsid w:val="00917D96"/>
    <w:rsid w:val="00920A97"/>
    <w:rsid w:val="00921BBA"/>
    <w:rsid w:val="00923521"/>
    <w:rsid w:val="00923BFF"/>
    <w:rsid w:val="00924654"/>
    <w:rsid w:val="0092580E"/>
    <w:rsid w:val="009261BF"/>
    <w:rsid w:val="009268CF"/>
    <w:rsid w:val="00926B75"/>
    <w:rsid w:val="009276A8"/>
    <w:rsid w:val="009301E4"/>
    <w:rsid w:val="00930A61"/>
    <w:rsid w:val="00930D70"/>
    <w:rsid w:val="00932FB4"/>
    <w:rsid w:val="009335A7"/>
    <w:rsid w:val="00934652"/>
    <w:rsid w:val="00934E60"/>
    <w:rsid w:val="0093621F"/>
    <w:rsid w:val="009375C4"/>
    <w:rsid w:val="00937DD0"/>
    <w:rsid w:val="00940C26"/>
    <w:rsid w:val="00940ED1"/>
    <w:rsid w:val="0094161D"/>
    <w:rsid w:val="00942C2C"/>
    <w:rsid w:val="00943987"/>
    <w:rsid w:val="00944FFC"/>
    <w:rsid w:val="00950149"/>
    <w:rsid w:val="00951B84"/>
    <w:rsid w:val="00952A67"/>
    <w:rsid w:val="00956908"/>
    <w:rsid w:val="0095717A"/>
    <w:rsid w:val="00957DE8"/>
    <w:rsid w:val="00960790"/>
    <w:rsid w:val="00960E06"/>
    <w:rsid w:val="00961428"/>
    <w:rsid w:val="00963271"/>
    <w:rsid w:val="009639A1"/>
    <w:rsid w:val="00966D4C"/>
    <w:rsid w:val="009674BE"/>
    <w:rsid w:val="00970037"/>
    <w:rsid w:val="009719EB"/>
    <w:rsid w:val="00973A76"/>
    <w:rsid w:val="00975B67"/>
    <w:rsid w:val="00976557"/>
    <w:rsid w:val="0097741C"/>
    <w:rsid w:val="00977562"/>
    <w:rsid w:val="0097795F"/>
    <w:rsid w:val="009828B4"/>
    <w:rsid w:val="00982F4D"/>
    <w:rsid w:val="00985A6C"/>
    <w:rsid w:val="00985FB9"/>
    <w:rsid w:val="009869B9"/>
    <w:rsid w:val="009873DE"/>
    <w:rsid w:val="009915BB"/>
    <w:rsid w:val="00993AF9"/>
    <w:rsid w:val="0099454B"/>
    <w:rsid w:val="0099627A"/>
    <w:rsid w:val="009975EF"/>
    <w:rsid w:val="00997DE3"/>
    <w:rsid w:val="009A5600"/>
    <w:rsid w:val="009A718F"/>
    <w:rsid w:val="009B0593"/>
    <w:rsid w:val="009B2F53"/>
    <w:rsid w:val="009B5C2D"/>
    <w:rsid w:val="009B6178"/>
    <w:rsid w:val="009B6658"/>
    <w:rsid w:val="009B6D0A"/>
    <w:rsid w:val="009B756E"/>
    <w:rsid w:val="009C03D7"/>
    <w:rsid w:val="009C25BA"/>
    <w:rsid w:val="009C3E03"/>
    <w:rsid w:val="009C40F6"/>
    <w:rsid w:val="009C42D4"/>
    <w:rsid w:val="009C48AA"/>
    <w:rsid w:val="009C4AFD"/>
    <w:rsid w:val="009C7CA6"/>
    <w:rsid w:val="009C7DED"/>
    <w:rsid w:val="009D297C"/>
    <w:rsid w:val="009D2CDA"/>
    <w:rsid w:val="009D6249"/>
    <w:rsid w:val="009D6CAB"/>
    <w:rsid w:val="009D71F5"/>
    <w:rsid w:val="009D7643"/>
    <w:rsid w:val="009E296C"/>
    <w:rsid w:val="009E3F8B"/>
    <w:rsid w:val="009E3FE4"/>
    <w:rsid w:val="009E4D06"/>
    <w:rsid w:val="009E6666"/>
    <w:rsid w:val="009E6B13"/>
    <w:rsid w:val="009E6C38"/>
    <w:rsid w:val="009E74F3"/>
    <w:rsid w:val="009E7ABE"/>
    <w:rsid w:val="009F0213"/>
    <w:rsid w:val="009F0DD2"/>
    <w:rsid w:val="009F0F68"/>
    <w:rsid w:val="009F14AA"/>
    <w:rsid w:val="009F29D6"/>
    <w:rsid w:val="009F2B3A"/>
    <w:rsid w:val="009F4D27"/>
    <w:rsid w:val="009F5CA3"/>
    <w:rsid w:val="009F61B2"/>
    <w:rsid w:val="009F683A"/>
    <w:rsid w:val="00A00AE9"/>
    <w:rsid w:val="00A01C46"/>
    <w:rsid w:val="00A01FB1"/>
    <w:rsid w:val="00A02BE6"/>
    <w:rsid w:val="00A047DC"/>
    <w:rsid w:val="00A04A8C"/>
    <w:rsid w:val="00A11B77"/>
    <w:rsid w:val="00A124DF"/>
    <w:rsid w:val="00A128E0"/>
    <w:rsid w:val="00A12AD7"/>
    <w:rsid w:val="00A1312D"/>
    <w:rsid w:val="00A13BC5"/>
    <w:rsid w:val="00A14D97"/>
    <w:rsid w:val="00A16C28"/>
    <w:rsid w:val="00A171B4"/>
    <w:rsid w:val="00A1777E"/>
    <w:rsid w:val="00A17C8F"/>
    <w:rsid w:val="00A20362"/>
    <w:rsid w:val="00A20614"/>
    <w:rsid w:val="00A21327"/>
    <w:rsid w:val="00A21E8B"/>
    <w:rsid w:val="00A223C2"/>
    <w:rsid w:val="00A26A7D"/>
    <w:rsid w:val="00A27724"/>
    <w:rsid w:val="00A27E65"/>
    <w:rsid w:val="00A27EEB"/>
    <w:rsid w:val="00A34447"/>
    <w:rsid w:val="00A348F7"/>
    <w:rsid w:val="00A3544C"/>
    <w:rsid w:val="00A37371"/>
    <w:rsid w:val="00A40343"/>
    <w:rsid w:val="00A40760"/>
    <w:rsid w:val="00A415F3"/>
    <w:rsid w:val="00A416E7"/>
    <w:rsid w:val="00A4197A"/>
    <w:rsid w:val="00A423F8"/>
    <w:rsid w:val="00A435B7"/>
    <w:rsid w:val="00A43CEB"/>
    <w:rsid w:val="00A440F7"/>
    <w:rsid w:val="00A44FCA"/>
    <w:rsid w:val="00A45044"/>
    <w:rsid w:val="00A4547C"/>
    <w:rsid w:val="00A459EE"/>
    <w:rsid w:val="00A50462"/>
    <w:rsid w:val="00A50BA2"/>
    <w:rsid w:val="00A51AFC"/>
    <w:rsid w:val="00A54024"/>
    <w:rsid w:val="00A5428B"/>
    <w:rsid w:val="00A54DFA"/>
    <w:rsid w:val="00A552A0"/>
    <w:rsid w:val="00A5540B"/>
    <w:rsid w:val="00A556BC"/>
    <w:rsid w:val="00A60436"/>
    <w:rsid w:val="00A60C9B"/>
    <w:rsid w:val="00A619FF"/>
    <w:rsid w:val="00A621C5"/>
    <w:rsid w:val="00A63CB1"/>
    <w:rsid w:val="00A646A6"/>
    <w:rsid w:val="00A64B39"/>
    <w:rsid w:val="00A65348"/>
    <w:rsid w:val="00A6568B"/>
    <w:rsid w:val="00A662CA"/>
    <w:rsid w:val="00A700C1"/>
    <w:rsid w:val="00A71155"/>
    <w:rsid w:val="00A71750"/>
    <w:rsid w:val="00A72050"/>
    <w:rsid w:val="00A73684"/>
    <w:rsid w:val="00A736AD"/>
    <w:rsid w:val="00A73900"/>
    <w:rsid w:val="00A74CA3"/>
    <w:rsid w:val="00A773C2"/>
    <w:rsid w:val="00A77C28"/>
    <w:rsid w:val="00A81823"/>
    <w:rsid w:val="00A81829"/>
    <w:rsid w:val="00A8257C"/>
    <w:rsid w:val="00A83458"/>
    <w:rsid w:val="00A8349D"/>
    <w:rsid w:val="00A84448"/>
    <w:rsid w:val="00A848CA"/>
    <w:rsid w:val="00A8710E"/>
    <w:rsid w:val="00A87FBA"/>
    <w:rsid w:val="00A901F7"/>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02BE"/>
    <w:rsid w:val="00AA1ABB"/>
    <w:rsid w:val="00AA1C23"/>
    <w:rsid w:val="00AA4361"/>
    <w:rsid w:val="00AA4700"/>
    <w:rsid w:val="00AA4C43"/>
    <w:rsid w:val="00AA672B"/>
    <w:rsid w:val="00AB2871"/>
    <w:rsid w:val="00AB2A08"/>
    <w:rsid w:val="00AB2A35"/>
    <w:rsid w:val="00AB2BD5"/>
    <w:rsid w:val="00AB3145"/>
    <w:rsid w:val="00AB317D"/>
    <w:rsid w:val="00AB3751"/>
    <w:rsid w:val="00AB4A16"/>
    <w:rsid w:val="00AB51B3"/>
    <w:rsid w:val="00AB5DBA"/>
    <w:rsid w:val="00AB5EF9"/>
    <w:rsid w:val="00AB6A3E"/>
    <w:rsid w:val="00AB6D16"/>
    <w:rsid w:val="00AB720B"/>
    <w:rsid w:val="00AC1C92"/>
    <w:rsid w:val="00AC3302"/>
    <w:rsid w:val="00AC6E70"/>
    <w:rsid w:val="00AC74BF"/>
    <w:rsid w:val="00AD01D4"/>
    <w:rsid w:val="00AD20C4"/>
    <w:rsid w:val="00AD385A"/>
    <w:rsid w:val="00AD3FC7"/>
    <w:rsid w:val="00AD47C8"/>
    <w:rsid w:val="00AD5D1E"/>
    <w:rsid w:val="00AD6081"/>
    <w:rsid w:val="00AD72EB"/>
    <w:rsid w:val="00AE02A9"/>
    <w:rsid w:val="00AE0954"/>
    <w:rsid w:val="00AE130E"/>
    <w:rsid w:val="00AE161C"/>
    <w:rsid w:val="00AE4A3B"/>
    <w:rsid w:val="00AE51B0"/>
    <w:rsid w:val="00AE5F1F"/>
    <w:rsid w:val="00AE67E5"/>
    <w:rsid w:val="00AF1295"/>
    <w:rsid w:val="00AF1588"/>
    <w:rsid w:val="00AF22E0"/>
    <w:rsid w:val="00AF2438"/>
    <w:rsid w:val="00AF3224"/>
    <w:rsid w:val="00AF3266"/>
    <w:rsid w:val="00AF4B5B"/>
    <w:rsid w:val="00B02254"/>
    <w:rsid w:val="00B04E1D"/>
    <w:rsid w:val="00B05826"/>
    <w:rsid w:val="00B059F4"/>
    <w:rsid w:val="00B0621B"/>
    <w:rsid w:val="00B0638F"/>
    <w:rsid w:val="00B07F2F"/>
    <w:rsid w:val="00B10ABF"/>
    <w:rsid w:val="00B12831"/>
    <w:rsid w:val="00B13683"/>
    <w:rsid w:val="00B13CBF"/>
    <w:rsid w:val="00B13E9E"/>
    <w:rsid w:val="00B14E75"/>
    <w:rsid w:val="00B15173"/>
    <w:rsid w:val="00B15E51"/>
    <w:rsid w:val="00B16183"/>
    <w:rsid w:val="00B167C9"/>
    <w:rsid w:val="00B20452"/>
    <w:rsid w:val="00B20740"/>
    <w:rsid w:val="00B2088A"/>
    <w:rsid w:val="00B2323D"/>
    <w:rsid w:val="00B2366B"/>
    <w:rsid w:val="00B23916"/>
    <w:rsid w:val="00B2428A"/>
    <w:rsid w:val="00B2652E"/>
    <w:rsid w:val="00B26A9F"/>
    <w:rsid w:val="00B273F1"/>
    <w:rsid w:val="00B274E3"/>
    <w:rsid w:val="00B300A5"/>
    <w:rsid w:val="00B34B22"/>
    <w:rsid w:val="00B34D80"/>
    <w:rsid w:val="00B3682F"/>
    <w:rsid w:val="00B369DB"/>
    <w:rsid w:val="00B408B8"/>
    <w:rsid w:val="00B40F0D"/>
    <w:rsid w:val="00B438A2"/>
    <w:rsid w:val="00B469A4"/>
    <w:rsid w:val="00B4732C"/>
    <w:rsid w:val="00B51B59"/>
    <w:rsid w:val="00B51C9E"/>
    <w:rsid w:val="00B51D27"/>
    <w:rsid w:val="00B53B19"/>
    <w:rsid w:val="00B53FB6"/>
    <w:rsid w:val="00B54AA4"/>
    <w:rsid w:val="00B56EAB"/>
    <w:rsid w:val="00B573B8"/>
    <w:rsid w:val="00B575A6"/>
    <w:rsid w:val="00B615F5"/>
    <w:rsid w:val="00B61E76"/>
    <w:rsid w:val="00B62512"/>
    <w:rsid w:val="00B637DC"/>
    <w:rsid w:val="00B63876"/>
    <w:rsid w:val="00B64A69"/>
    <w:rsid w:val="00B67CFB"/>
    <w:rsid w:val="00B703C9"/>
    <w:rsid w:val="00B708D8"/>
    <w:rsid w:val="00B7155D"/>
    <w:rsid w:val="00B71C5F"/>
    <w:rsid w:val="00B728BB"/>
    <w:rsid w:val="00B73B3C"/>
    <w:rsid w:val="00B740AE"/>
    <w:rsid w:val="00B74A90"/>
    <w:rsid w:val="00B76BB1"/>
    <w:rsid w:val="00B80BB1"/>
    <w:rsid w:val="00B80E7E"/>
    <w:rsid w:val="00B81EC6"/>
    <w:rsid w:val="00B82083"/>
    <w:rsid w:val="00B83CEA"/>
    <w:rsid w:val="00B84AA6"/>
    <w:rsid w:val="00B855A5"/>
    <w:rsid w:val="00B8715D"/>
    <w:rsid w:val="00B92AAF"/>
    <w:rsid w:val="00B92CE2"/>
    <w:rsid w:val="00B953CD"/>
    <w:rsid w:val="00B95544"/>
    <w:rsid w:val="00B96459"/>
    <w:rsid w:val="00B96E1A"/>
    <w:rsid w:val="00B97CDB"/>
    <w:rsid w:val="00B97D84"/>
    <w:rsid w:val="00BA02C4"/>
    <w:rsid w:val="00BA06DE"/>
    <w:rsid w:val="00BA13FA"/>
    <w:rsid w:val="00BA2610"/>
    <w:rsid w:val="00BA2C35"/>
    <w:rsid w:val="00BA3189"/>
    <w:rsid w:val="00BA4E56"/>
    <w:rsid w:val="00BA5209"/>
    <w:rsid w:val="00BA7388"/>
    <w:rsid w:val="00BB29A0"/>
    <w:rsid w:val="00BB3A70"/>
    <w:rsid w:val="00BB48F2"/>
    <w:rsid w:val="00BB4F06"/>
    <w:rsid w:val="00BB564A"/>
    <w:rsid w:val="00BB6646"/>
    <w:rsid w:val="00BB7194"/>
    <w:rsid w:val="00BB7E4E"/>
    <w:rsid w:val="00BB7F5E"/>
    <w:rsid w:val="00BC21FF"/>
    <w:rsid w:val="00BC38C0"/>
    <w:rsid w:val="00BC4190"/>
    <w:rsid w:val="00BC429B"/>
    <w:rsid w:val="00BC5685"/>
    <w:rsid w:val="00BC7C40"/>
    <w:rsid w:val="00BD107F"/>
    <w:rsid w:val="00BD2868"/>
    <w:rsid w:val="00BD3873"/>
    <w:rsid w:val="00BD3C3F"/>
    <w:rsid w:val="00BD4955"/>
    <w:rsid w:val="00BD56EE"/>
    <w:rsid w:val="00BD6AB1"/>
    <w:rsid w:val="00BE00AE"/>
    <w:rsid w:val="00BE0C25"/>
    <w:rsid w:val="00BE0E79"/>
    <w:rsid w:val="00BE1010"/>
    <w:rsid w:val="00BF0F1D"/>
    <w:rsid w:val="00BF2453"/>
    <w:rsid w:val="00BF252F"/>
    <w:rsid w:val="00BF29BD"/>
    <w:rsid w:val="00BF303B"/>
    <w:rsid w:val="00BF3A9B"/>
    <w:rsid w:val="00BF41B3"/>
    <w:rsid w:val="00BF52B7"/>
    <w:rsid w:val="00BF6684"/>
    <w:rsid w:val="00BF739E"/>
    <w:rsid w:val="00BF7442"/>
    <w:rsid w:val="00BF76F9"/>
    <w:rsid w:val="00BF7DC4"/>
    <w:rsid w:val="00BF7E77"/>
    <w:rsid w:val="00C00EB6"/>
    <w:rsid w:val="00C02CDD"/>
    <w:rsid w:val="00C035D4"/>
    <w:rsid w:val="00C04555"/>
    <w:rsid w:val="00C048D5"/>
    <w:rsid w:val="00C05D98"/>
    <w:rsid w:val="00C0668E"/>
    <w:rsid w:val="00C076D8"/>
    <w:rsid w:val="00C1140D"/>
    <w:rsid w:val="00C11C36"/>
    <w:rsid w:val="00C1234B"/>
    <w:rsid w:val="00C13FD0"/>
    <w:rsid w:val="00C1647E"/>
    <w:rsid w:val="00C16FED"/>
    <w:rsid w:val="00C173FB"/>
    <w:rsid w:val="00C17C0C"/>
    <w:rsid w:val="00C17C46"/>
    <w:rsid w:val="00C203B8"/>
    <w:rsid w:val="00C20400"/>
    <w:rsid w:val="00C2056C"/>
    <w:rsid w:val="00C209BD"/>
    <w:rsid w:val="00C22117"/>
    <w:rsid w:val="00C244C2"/>
    <w:rsid w:val="00C24756"/>
    <w:rsid w:val="00C24764"/>
    <w:rsid w:val="00C26D03"/>
    <w:rsid w:val="00C26EC5"/>
    <w:rsid w:val="00C30ADD"/>
    <w:rsid w:val="00C319FD"/>
    <w:rsid w:val="00C32130"/>
    <w:rsid w:val="00C3338E"/>
    <w:rsid w:val="00C34BD8"/>
    <w:rsid w:val="00C364B0"/>
    <w:rsid w:val="00C3714A"/>
    <w:rsid w:val="00C41A7D"/>
    <w:rsid w:val="00C422C2"/>
    <w:rsid w:val="00C426E1"/>
    <w:rsid w:val="00C42A87"/>
    <w:rsid w:val="00C44494"/>
    <w:rsid w:val="00C44B37"/>
    <w:rsid w:val="00C4514F"/>
    <w:rsid w:val="00C45893"/>
    <w:rsid w:val="00C46213"/>
    <w:rsid w:val="00C46BF5"/>
    <w:rsid w:val="00C50234"/>
    <w:rsid w:val="00C507E6"/>
    <w:rsid w:val="00C5177F"/>
    <w:rsid w:val="00C52C62"/>
    <w:rsid w:val="00C53499"/>
    <w:rsid w:val="00C56065"/>
    <w:rsid w:val="00C57973"/>
    <w:rsid w:val="00C57BB8"/>
    <w:rsid w:val="00C57C50"/>
    <w:rsid w:val="00C60B36"/>
    <w:rsid w:val="00C61328"/>
    <w:rsid w:val="00C626DC"/>
    <w:rsid w:val="00C63BB4"/>
    <w:rsid w:val="00C6442A"/>
    <w:rsid w:val="00C64D9E"/>
    <w:rsid w:val="00C659CE"/>
    <w:rsid w:val="00C66EFD"/>
    <w:rsid w:val="00C675A6"/>
    <w:rsid w:val="00C703BD"/>
    <w:rsid w:val="00C71456"/>
    <w:rsid w:val="00C71599"/>
    <w:rsid w:val="00C71DCD"/>
    <w:rsid w:val="00C720A9"/>
    <w:rsid w:val="00C73244"/>
    <w:rsid w:val="00C75470"/>
    <w:rsid w:val="00C75C88"/>
    <w:rsid w:val="00C75DC6"/>
    <w:rsid w:val="00C76992"/>
    <w:rsid w:val="00C774D6"/>
    <w:rsid w:val="00C7769A"/>
    <w:rsid w:val="00C77A03"/>
    <w:rsid w:val="00C77D83"/>
    <w:rsid w:val="00C8015D"/>
    <w:rsid w:val="00C80213"/>
    <w:rsid w:val="00C80A7A"/>
    <w:rsid w:val="00C80B98"/>
    <w:rsid w:val="00C810B6"/>
    <w:rsid w:val="00C81676"/>
    <w:rsid w:val="00C817EB"/>
    <w:rsid w:val="00C840B7"/>
    <w:rsid w:val="00C84C9A"/>
    <w:rsid w:val="00C854C8"/>
    <w:rsid w:val="00C8556B"/>
    <w:rsid w:val="00C864FA"/>
    <w:rsid w:val="00C8720D"/>
    <w:rsid w:val="00C87AA4"/>
    <w:rsid w:val="00C91AF0"/>
    <w:rsid w:val="00C922CC"/>
    <w:rsid w:val="00C9234F"/>
    <w:rsid w:val="00C92394"/>
    <w:rsid w:val="00C92C12"/>
    <w:rsid w:val="00C93443"/>
    <w:rsid w:val="00C93F2B"/>
    <w:rsid w:val="00C94B4B"/>
    <w:rsid w:val="00CA4273"/>
    <w:rsid w:val="00CA5E08"/>
    <w:rsid w:val="00CA79B5"/>
    <w:rsid w:val="00CB082D"/>
    <w:rsid w:val="00CB11F5"/>
    <w:rsid w:val="00CB2357"/>
    <w:rsid w:val="00CB2E01"/>
    <w:rsid w:val="00CB3DF0"/>
    <w:rsid w:val="00CB434F"/>
    <w:rsid w:val="00CB49BC"/>
    <w:rsid w:val="00CB4A65"/>
    <w:rsid w:val="00CB5B01"/>
    <w:rsid w:val="00CB6A73"/>
    <w:rsid w:val="00CB747B"/>
    <w:rsid w:val="00CB754D"/>
    <w:rsid w:val="00CC00A9"/>
    <w:rsid w:val="00CC1EAF"/>
    <w:rsid w:val="00CC23F6"/>
    <w:rsid w:val="00CC24CC"/>
    <w:rsid w:val="00CC2CE4"/>
    <w:rsid w:val="00CC307B"/>
    <w:rsid w:val="00CC3F73"/>
    <w:rsid w:val="00CC5B22"/>
    <w:rsid w:val="00CC5B72"/>
    <w:rsid w:val="00CC5E24"/>
    <w:rsid w:val="00CC5F73"/>
    <w:rsid w:val="00CC6C0B"/>
    <w:rsid w:val="00CD0766"/>
    <w:rsid w:val="00CD0F39"/>
    <w:rsid w:val="00CD10D2"/>
    <w:rsid w:val="00CD2294"/>
    <w:rsid w:val="00CD24E8"/>
    <w:rsid w:val="00CD3105"/>
    <w:rsid w:val="00CD428D"/>
    <w:rsid w:val="00CD4F1F"/>
    <w:rsid w:val="00CD4F9B"/>
    <w:rsid w:val="00CD5D8A"/>
    <w:rsid w:val="00CD67EF"/>
    <w:rsid w:val="00CE0062"/>
    <w:rsid w:val="00CE274E"/>
    <w:rsid w:val="00CE410A"/>
    <w:rsid w:val="00CE5BC0"/>
    <w:rsid w:val="00CE67C0"/>
    <w:rsid w:val="00CE78DF"/>
    <w:rsid w:val="00CE7E82"/>
    <w:rsid w:val="00CF181E"/>
    <w:rsid w:val="00CF2690"/>
    <w:rsid w:val="00D00C1C"/>
    <w:rsid w:val="00D019FE"/>
    <w:rsid w:val="00D01A2B"/>
    <w:rsid w:val="00D03459"/>
    <w:rsid w:val="00D038BD"/>
    <w:rsid w:val="00D04FAA"/>
    <w:rsid w:val="00D052C7"/>
    <w:rsid w:val="00D05DDF"/>
    <w:rsid w:val="00D077DF"/>
    <w:rsid w:val="00D11D09"/>
    <w:rsid w:val="00D120C5"/>
    <w:rsid w:val="00D12AD0"/>
    <w:rsid w:val="00D1720C"/>
    <w:rsid w:val="00D2087D"/>
    <w:rsid w:val="00D21155"/>
    <w:rsid w:val="00D2152B"/>
    <w:rsid w:val="00D22568"/>
    <w:rsid w:val="00D22C37"/>
    <w:rsid w:val="00D24E43"/>
    <w:rsid w:val="00D24EFD"/>
    <w:rsid w:val="00D25417"/>
    <w:rsid w:val="00D25E80"/>
    <w:rsid w:val="00D264DF"/>
    <w:rsid w:val="00D30074"/>
    <w:rsid w:val="00D333FD"/>
    <w:rsid w:val="00D34B01"/>
    <w:rsid w:val="00D34E96"/>
    <w:rsid w:val="00D352F6"/>
    <w:rsid w:val="00D35BB3"/>
    <w:rsid w:val="00D4019B"/>
    <w:rsid w:val="00D41775"/>
    <w:rsid w:val="00D46659"/>
    <w:rsid w:val="00D469F5"/>
    <w:rsid w:val="00D47322"/>
    <w:rsid w:val="00D47F14"/>
    <w:rsid w:val="00D50684"/>
    <w:rsid w:val="00D50B93"/>
    <w:rsid w:val="00D50E50"/>
    <w:rsid w:val="00D56943"/>
    <w:rsid w:val="00D5791C"/>
    <w:rsid w:val="00D57BBF"/>
    <w:rsid w:val="00D623F0"/>
    <w:rsid w:val="00D636E4"/>
    <w:rsid w:val="00D640C3"/>
    <w:rsid w:val="00D6426D"/>
    <w:rsid w:val="00D648D1"/>
    <w:rsid w:val="00D65475"/>
    <w:rsid w:val="00D66787"/>
    <w:rsid w:val="00D67014"/>
    <w:rsid w:val="00D716AA"/>
    <w:rsid w:val="00D71830"/>
    <w:rsid w:val="00D72D4B"/>
    <w:rsid w:val="00D72DCC"/>
    <w:rsid w:val="00D74BFD"/>
    <w:rsid w:val="00D76370"/>
    <w:rsid w:val="00D766E2"/>
    <w:rsid w:val="00D779CB"/>
    <w:rsid w:val="00D80175"/>
    <w:rsid w:val="00D80FB0"/>
    <w:rsid w:val="00D82045"/>
    <w:rsid w:val="00D8324F"/>
    <w:rsid w:val="00D8437A"/>
    <w:rsid w:val="00D854AA"/>
    <w:rsid w:val="00D87241"/>
    <w:rsid w:val="00D87345"/>
    <w:rsid w:val="00D9131E"/>
    <w:rsid w:val="00D918F7"/>
    <w:rsid w:val="00D91CF5"/>
    <w:rsid w:val="00D952AA"/>
    <w:rsid w:val="00D976CD"/>
    <w:rsid w:val="00D97BAF"/>
    <w:rsid w:val="00D97C77"/>
    <w:rsid w:val="00DA0F99"/>
    <w:rsid w:val="00DA17E9"/>
    <w:rsid w:val="00DA1FF7"/>
    <w:rsid w:val="00DA476B"/>
    <w:rsid w:val="00DA4D53"/>
    <w:rsid w:val="00DA58FB"/>
    <w:rsid w:val="00DA65FD"/>
    <w:rsid w:val="00DA726B"/>
    <w:rsid w:val="00DB1B9F"/>
    <w:rsid w:val="00DB2057"/>
    <w:rsid w:val="00DB3397"/>
    <w:rsid w:val="00DB3ADD"/>
    <w:rsid w:val="00DB640C"/>
    <w:rsid w:val="00DB6C1F"/>
    <w:rsid w:val="00DC1256"/>
    <w:rsid w:val="00DC13ED"/>
    <w:rsid w:val="00DC2156"/>
    <w:rsid w:val="00DC2A7A"/>
    <w:rsid w:val="00DC3828"/>
    <w:rsid w:val="00DC472A"/>
    <w:rsid w:val="00DC490C"/>
    <w:rsid w:val="00DC50A3"/>
    <w:rsid w:val="00DC7A94"/>
    <w:rsid w:val="00DD0A67"/>
    <w:rsid w:val="00DD17A9"/>
    <w:rsid w:val="00DD2D34"/>
    <w:rsid w:val="00DD2ED1"/>
    <w:rsid w:val="00DD37B9"/>
    <w:rsid w:val="00DD3F6D"/>
    <w:rsid w:val="00DD40DE"/>
    <w:rsid w:val="00DD5399"/>
    <w:rsid w:val="00DD5B38"/>
    <w:rsid w:val="00DD5BF5"/>
    <w:rsid w:val="00DD7DCF"/>
    <w:rsid w:val="00DE026E"/>
    <w:rsid w:val="00DE0DC0"/>
    <w:rsid w:val="00DE1C04"/>
    <w:rsid w:val="00DE2173"/>
    <w:rsid w:val="00DE2316"/>
    <w:rsid w:val="00DE3FB4"/>
    <w:rsid w:val="00DE4CAE"/>
    <w:rsid w:val="00DE5B86"/>
    <w:rsid w:val="00DE5DD3"/>
    <w:rsid w:val="00DE7ED3"/>
    <w:rsid w:val="00DF28E7"/>
    <w:rsid w:val="00DF3580"/>
    <w:rsid w:val="00DF3B1E"/>
    <w:rsid w:val="00DF46B3"/>
    <w:rsid w:val="00DF56B6"/>
    <w:rsid w:val="00DF57FE"/>
    <w:rsid w:val="00DF62BB"/>
    <w:rsid w:val="00DF6345"/>
    <w:rsid w:val="00DF6742"/>
    <w:rsid w:val="00DF7194"/>
    <w:rsid w:val="00E001EA"/>
    <w:rsid w:val="00E01198"/>
    <w:rsid w:val="00E02E1D"/>
    <w:rsid w:val="00E03C78"/>
    <w:rsid w:val="00E04515"/>
    <w:rsid w:val="00E0603E"/>
    <w:rsid w:val="00E063A0"/>
    <w:rsid w:val="00E066B7"/>
    <w:rsid w:val="00E06791"/>
    <w:rsid w:val="00E10C55"/>
    <w:rsid w:val="00E11399"/>
    <w:rsid w:val="00E137C3"/>
    <w:rsid w:val="00E13C8E"/>
    <w:rsid w:val="00E15F4A"/>
    <w:rsid w:val="00E160FD"/>
    <w:rsid w:val="00E1650E"/>
    <w:rsid w:val="00E16611"/>
    <w:rsid w:val="00E175D1"/>
    <w:rsid w:val="00E205D8"/>
    <w:rsid w:val="00E22299"/>
    <w:rsid w:val="00E22AB6"/>
    <w:rsid w:val="00E22C3A"/>
    <w:rsid w:val="00E2417D"/>
    <w:rsid w:val="00E25ABF"/>
    <w:rsid w:val="00E26D9D"/>
    <w:rsid w:val="00E32DDB"/>
    <w:rsid w:val="00E32F66"/>
    <w:rsid w:val="00E34872"/>
    <w:rsid w:val="00E3515E"/>
    <w:rsid w:val="00E4041F"/>
    <w:rsid w:val="00E4106A"/>
    <w:rsid w:val="00E41B77"/>
    <w:rsid w:val="00E428A4"/>
    <w:rsid w:val="00E42E05"/>
    <w:rsid w:val="00E42E3F"/>
    <w:rsid w:val="00E43626"/>
    <w:rsid w:val="00E43BDB"/>
    <w:rsid w:val="00E471C9"/>
    <w:rsid w:val="00E47254"/>
    <w:rsid w:val="00E50214"/>
    <w:rsid w:val="00E50999"/>
    <w:rsid w:val="00E51289"/>
    <w:rsid w:val="00E51566"/>
    <w:rsid w:val="00E51E31"/>
    <w:rsid w:val="00E523AA"/>
    <w:rsid w:val="00E523D3"/>
    <w:rsid w:val="00E5353D"/>
    <w:rsid w:val="00E53721"/>
    <w:rsid w:val="00E53E51"/>
    <w:rsid w:val="00E54143"/>
    <w:rsid w:val="00E54494"/>
    <w:rsid w:val="00E56C6B"/>
    <w:rsid w:val="00E56DBD"/>
    <w:rsid w:val="00E6152A"/>
    <w:rsid w:val="00E629B0"/>
    <w:rsid w:val="00E629C2"/>
    <w:rsid w:val="00E6339F"/>
    <w:rsid w:val="00E63B15"/>
    <w:rsid w:val="00E6407B"/>
    <w:rsid w:val="00E64F05"/>
    <w:rsid w:val="00E66CEF"/>
    <w:rsid w:val="00E6724A"/>
    <w:rsid w:val="00E676AC"/>
    <w:rsid w:val="00E70005"/>
    <w:rsid w:val="00E71966"/>
    <w:rsid w:val="00E739D3"/>
    <w:rsid w:val="00E73A44"/>
    <w:rsid w:val="00E7503E"/>
    <w:rsid w:val="00E75194"/>
    <w:rsid w:val="00E76345"/>
    <w:rsid w:val="00E7754C"/>
    <w:rsid w:val="00E807B0"/>
    <w:rsid w:val="00E80A49"/>
    <w:rsid w:val="00E81042"/>
    <w:rsid w:val="00E850EA"/>
    <w:rsid w:val="00E85497"/>
    <w:rsid w:val="00E85F02"/>
    <w:rsid w:val="00E863E4"/>
    <w:rsid w:val="00E903F3"/>
    <w:rsid w:val="00E91FDC"/>
    <w:rsid w:val="00E94002"/>
    <w:rsid w:val="00E94594"/>
    <w:rsid w:val="00E9488F"/>
    <w:rsid w:val="00E94CFB"/>
    <w:rsid w:val="00E94E2B"/>
    <w:rsid w:val="00E9526F"/>
    <w:rsid w:val="00E96018"/>
    <w:rsid w:val="00E975C9"/>
    <w:rsid w:val="00E97934"/>
    <w:rsid w:val="00EA07FD"/>
    <w:rsid w:val="00EA08BE"/>
    <w:rsid w:val="00EA2E63"/>
    <w:rsid w:val="00EA4BE2"/>
    <w:rsid w:val="00EA4FD4"/>
    <w:rsid w:val="00EB05A8"/>
    <w:rsid w:val="00EB155B"/>
    <w:rsid w:val="00EB32DF"/>
    <w:rsid w:val="00EB3B69"/>
    <w:rsid w:val="00EB453C"/>
    <w:rsid w:val="00EC33AB"/>
    <w:rsid w:val="00EC3658"/>
    <w:rsid w:val="00EC3783"/>
    <w:rsid w:val="00EC3F72"/>
    <w:rsid w:val="00EC4AE2"/>
    <w:rsid w:val="00EC5FA5"/>
    <w:rsid w:val="00ED00C2"/>
    <w:rsid w:val="00ED11C5"/>
    <w:rsid w:val="00ED13D2"/>
    <w:rsid w:val="00ED2034"/>
    <w:rsid w:val="00ED2B6B"/>
    <w:rsid w:val="00ED69EA"/>
    <w:rsid w:val="00ED6D93"/>
    <w:rsid w:val="00ED76EB"/>
    <w:rsid w:val="00EE0FA3"/>
    <w:rsid w:val="00EE12FB"/>
    <w:rsid w:val="00EE1CC1"/>
    <w:rsid w:val="00EE2BDA"/>
    <w:rsid w:val="00EE3D8E"/>
    <w:rsid w:val="00EE4DAC"/>
    <w:rsid w:val="00EE5AE5"/>
    <w:rsid w:val="00EE65FC"/>
    <w:rsid w:val="00EE69CB"/>
    <w:rsid w:val="00EF0785"/>
    <w:rsid w:val="00EF24B6"/>
    <w:rsid w:val="00EF2894"/>
    <w:rsid w:val="00EF352F"/>
    <w:rsid w:val="00EF7276"/>
    <w:rsid w:val="00F01A98"/>
    <w:rsid w:val="00F0360C"/>
    <w:rsid w:val="00F03990"/>
    <w:rsid w:val="00F0406C"/>
    <w:rsid w:val="00F040F9"/>
    <w:rsid w:val="00F05964"/>
    <w:rsid w:val="00F06065"/>
    <w:rsid w:val="00F06FDA"/>
    <w:rsid w:val="00F10E2E"/>
    <w:rsid w:val="00F14DDC"/>
    <w:rsid w:val="00F1551E"/>
    <w:rsid w:val="00F1566D"/>
    <w:rsid w:val="00F16A51"/>
    <w:rsid w:val="00F17B79"/>
    <w:rsid w:val="00F20904"/>
    <w:rsid w:val="00F20CAA"/>
    <w:rsid w:val="00F23E16"/>
    <w:rsid w:val="00F24004"/>
    <w:rsid w:val="00F24250"/>
    <w:rsid w:val="00F2591F"/>
    <w:rsid w:val="00F2646C"/>
    <w:rsid w:val="00F26FA3"/>
    <w:rsid w:val="00F307EE"/>
    <w:rsid w:val="00F32226"/>
    <w:rsid w:val="00F331F2"/>
    <w:rsid w:val="00F33B79"/>
    <w:rsid w:val="00F35D0E"/>
    <w:rsid w:val="00F40076"/>
    <w:rsid w:val="00F40354"/>
    <w:rsid w:val="00F40436"/>
    <w:rsid w:val="00F40AE3"/>
    <w:rsid w:val="00F414AB"/>
    <w:rsid w:val="00F41A6C"/>
    <w:rsid w:val="00F435A4"/>
    <w:rsid w:val="00F43D6A"/>
    <w:rsid w:val="00F44A0B"/>
    <w:rsid w:val="00F45240"/>
    <w:rsid w:val="00F50184"/>
    <w:rsid w:val="00F513DB"/>
    <w:rsid w:val="00F52472"/>
    <w:rsid w:val="00F52B42"/>
    <w:rsid w:val="00F5320D"/>
    <w:rsid w:val="00F545E6"/>
    <w:rsid w:val="00F54911"/>
    <w:rsid w:val="00F5607B"/>
    <w:rsid w:val="00F56300"/>
    <w:rsid w:val="00F5647B"/>
    <w:rsid w:val="00F565AD"/>
    <w:rsid w:val="00F63C45"/>
    <w:rsid w:val="00F63F44"/>
    <w:rsid w:val="00F64E03"/>
    <w:rsid w:val="00F6717C"/>
    <w:rsid w:val="00F67930"/>
    <w:rsid w:val="00F67FB6"/>
    <w:rsid w:val="00F70B79"/>
    <w:rsid w:val="00F71700"/>
    <w:rsid w:val="00F71AC7"/>
    <w:rsid w:val="00F7303F"/>
    <w:rsid w:val="00F73226"/>
    <w:rsid w:val="00F736B7"/>
    <w:rsid w:val="00F738C7"/>
    <w:rsid w:val="00F7660C"/>
    <w:rsid w:val="00F83881"/>
    <w:rsid w:val="00F84B06"/>
    <w:rsid w:val="00F86599"/>
    <w:rsid w:val="00F8784A"/>
    <w:rsid w:val="00F87FC7"/>
    <w:rsid w:val="00F904DE"/>
    <w:rsid w:val="00F909FE"/>
    <w:rsid w:val="00F90CA3"/>
    <w:rsid w:val="00F92111"/>
    <w:rsid w:val="00F93087"/>
    <w:rsid w:val="00F93535"/>
    <w:rsid w:val="00F96460"/>
    <w:rsid w:val="00F96834"/>
    <w:rsid w:val="00F969AA"/>
    <w:rsid w:val="00FA3153"/>
    <w:rsid w:val="00FA4299"/>
    <w:rsid w:val="00FA4582"/>
    <w:rsid w:val="00FA5A06"/>
    <w:rsid w:val="00FA6451"/>
    <w:rsid w:val="00FB0738"/>
    <w:rsid w:val="00FB1454"/>
    <w:rsid w:val="00FB1504"/>
    <w:rsid w:val="00FB260D"/>
    <w:rsid w:val="00FB3A04"/>
    <w:rsid w:val="00FB3BEB"/>
    <w:rsid w:val="00FB5063"/>
    <w:rsid w:val="00FB7EE7"/>
    <w:rsid w:val="00FC1155"/>
    <w:rsid w:val="00FC13A8"/>
    <w:rsid w:val="00FC296D"/>
    <w:rsid w:val="00FC2B56"/>
    <w:rsid w:val="00FC31C0"/>
    <w:rsid w:val="00FC3B2E"/>
    <w:rsid w:val="00FC4E85"/>
    <w:rsid w:val="00FC53FC"/>
    <w:rsid w:val="00FC60C2"/>
    <w:rsid w:val="00FC7019"/>
    <w:rsid w:val="00FD0A4E"/>
    <w:rsid w:val="00FD1E2C"/>
    <w:rsid w:val="00FD3B08"/>
    <w:rsid w:val="00FD45C7"/>
    <w:rsid w:val="00FD5632"/>
    <w:rsid w:val="00FD6E57"/>
    <w:rsid w:val="00FD74CC"/>
    <w:rsid w:val="00FE18DB"/>
    <w:rsid w:val="00FE1D0D"/>
    <w:rsid w:val="00FE1FC5"/>
    <w:rsid w:val="00FE4B4B"/>
    <w:rsid w:val="00FE5BFA"/>
    <w:rsid w:val="00FE749B"/>
    <w:rsid w:val="00FF1031"/>
    <w:rsid w:val="00FF3A7D"/>
    <w:rsid w:val="00FF3BC6"/>
    <w:rsid w:val="00FF529F"/>
    <w:rsid w:val="00FF7082"/>
    <w:rsid w:val="015F78F1"/>
    <w:rsid w:val="018F0027"/>
    <w:rsid w:val="01A544B3"/>
    <w:rsid w:val="01BF19D1"/>
    <w:rsid w:val="020804A4"/>
    <w:rsid w:val="028E0B7F"/>
    <w:rsid w:val="029455AD"/>
    <w:rsid w:val="0374586D"/>
    <w:rsid w:val="03B804CE"/>
    <w:rsid w:val="03E406E3"/>
    <w:rsid w:val="041D6970"/>
    <w:rsid w:val="057C07A9"/>
    <w:rsid w:val="05C23925"/>
    <w:rsid w:val="05FB4A52"/>
    <w:rsid w:val="06CC17C8"/>
    <w:rsid w:val="06DA5D19"/>
    <w:rsid w:val="071D3B0E"/>
    <w:rsid w:val="0749688F"/>
    <w:rsid w:val="075E40BB"/>
    <w:rsid w:val="07846244"/>
    <w:rsid w:val="079F0861"/>
    <w:rsid w:val="08E9509F"/>
    <w:rsid w:val="09CC63BD"/>
    <w:rsid w:val="0A3854DD"/>
    <w:rsid w:val="0AA42F62"/>
    <w:rsid w:val="0AAC1E5E"/>
    <w:rsid w:val="0B2D4F70"/>
    <w:rsid w:val="0C59767E"/>
    <w:rsid w:val="0CE97D42"/>
    <w:rsid w:val="0D091F4F"/>
    <w:rsid w:val="0D423770"/>
    <w:rsid w:val="0E3A3B6B"/>
    <w:rsid w:val="0E687A3B"/>
    <w:rsid w:val="0F2904D1"/>
    <w:rsid w:val="10C83D1A"/>
    <w:rsid w:val="117874EE"/>
    <w:rsid w:val="1252082F"/>
    <w:rsid w:val="12C543F6"/>
    <w:rsid w:val="133B2B8B"/>
    <w:rsid w:val="1365144E"/>
    <w:rsid w:val="13890ABD"/>
    <w:rsid w:val="143E0385"/>
    <w:rsid w:val="14540018"/>
    <w:rsid w:val="146548AF"/>
    <w:rsid w:val="14893727"/>
    <w:rsid w:val="14BA1BCC"/>
    <w:rsid w:val="14C21A25"/>
    <w:rsid w:val="14D3666F"/>
    <w:rsid w:val="15FC19AC"/>
    <w:rsid w:val="15FF7E6C"/>
    <w:rsid w:val="16BC0F4E"/>
    <w:rsid w:val="17290CBC"/>
    <w:rsid w:val="17B15508"/>
    <w:rsid w:val="18364045"/>
    <w:rsid w:val="18BE53BE"/>
    <w:rsid w:val="18EE0FF5"/>
    <w:rsid w:val="19EB139B"/>
    <w:rsid w:val="1A417530"/>
    <w:rsid w:val="1A6E4810"/>
    <w:rsid w:val="1A8B2106"/>
    <w:rsid w:val="1AE51725"/>
    <w:rsid w:val="1BB12787"/>
    <w:rsid w:val="1BC47DF2"/>
    <w:rsid w:val="1C316C17"/>
    <w:rsid w:val="1C6052B0"/>
    <w:rsid w:val="1C821C88"/>
    <w:rsid w:val="1C8F2752"/>
    <w:rsid w:val="1CEE6210"/>
    <w:rsid w:val="1D951CB1"/>
    <w:rsid w:val="1D9B470A"/>
    <w:rsid w:val="1D9C4C6D"/>
    <w:rsid w:val="1E1359D3"/>
    <w:rsid w:val="1EAE27A1"/>
    <w:rsid w:val="1F681F5F"/>
    <w:rsid w:val="1F7509E0"/>
    <w:rsid w:val="1FAF4A23"/>
    <w:rsid w:val="20074AC3"/>
    <w:rsid w:val="20285CD0"/>
    <w:rsid w:val="202D2A69"/>
    <w:rsid w:val="2039388E"/>
    <w:rsid w:val="20854F59"/>
    <w:rsid w:val="208C2AF3"/>
    <w:rsid w:val="20D70139"/>
    <w:rsid w:val="20D858B3"/>
    <w:rsid w:val="20DF1A81"/>
    <w:rsid w:val="211041EB"/>
    <w:rsid w:val="21BD4D61"/>
    <w:rsid w:val="21DA33D9"/>
    <w:rsid w:val="22371E1E"/>
    <w:rsid w:val="22DC4764"/>
    <w:rsid w:val="239B2561"/>
    <w:rsid w:val="24B35853"/>
    <w:rsid w:val="24E43AF1"/>
    <w:rsid w:val="2579114B"/>
    <w:rsid w:val="25801CD3"/>
    <w:rsid w:val="25907302"/>
    <w:rsid w:val="260F4DA8"/>
    <w:rsid w:val="2644534A"/>
    <w:rsid w:val="26D14BE0"/>
    <w:rsid w:val="27401E28"/>
    <w:rsid w:val="27414C32"/>
    <w:rsid w:val="286B0675"/>
    <w:rsid w:val="286D2C2F"/>
    <w:rsid w:val="288E652B"/>
    <w:rsid w:val="289E1564"/>
    <w:rsid w:val="28B11256"/>
    <w:rsid w:val="28C12209"/>
    <w:rsid w:val="2983407D"/>
    <w:rsid w:val="29A12B82"/>
    <w:rsid w:val="29DC7068"/>
    <w:rsid w:val="2A5874ED"/>
    <w:rsid w:val="2A866EAD"/>
    <w:rsid w:val="2A975E74"/>
    <w:rsid w:val="2B8605FF"/>
    <w:rsid w:val="2BE71A4E"/>
    <w:rsid w:val="2C087541"/>
    <w:rsid w:val="2C3B29A6"/>
    <w:rsid w:val="2C726454"/>
    <w:rsid w:val="2C7E6EC0"/>
    <w:rsid w:val="2CAA43CA"/>
    <w:rsid w:val="2CF32D2B"/>
    <w:rsid w:val="2CF408D0"/>
    <w:rsid w:val="2D866342"/>
    <w:rsid w:val="2DAE2509"/>
    <w:rsid w:val="2E645916"/>
    <w:rsid w:val="2EA702F2"/>
    <w:rsid w:val="2EBC3D59"/>
    <w:rsid w:val="2EF7683B"/>
    <w:rsid w:val="2FF17810"/>
    <w:rsid w:val="30032221"/>
    <w:rsid w:val="30B75264"/>
    <w:rsid w:val="30F47A27"/>
    <w:rsid w:val="31242D00"/>
    <w:rsid w:val="31594340"/>
    <w:rsid w:val="317A4765"/>
    <w:rsid w:val="31811153"/>
    <w:rsid w:val="31943A79"/>
    <w:rsid w:val="328A2480"/>
    <w:rsid w:val="32D5191B"/>
    <w:rsid w:val="33552D94"/>
    <w:rsid w:val="33622CC4"/>
    <w:rsid w:val="33A37FA3"/>
    <w:rsid w:val="33C550B4"/>
    <w:rsid w:val="33CE2331"/>
    <w:rsid w:val="341E08CC"/>
    <w:rsid w:val="342F62F6"/>
    <w:rsid w:val="345B1B06"/>
    <w:rsid w:val="34BF1578"/>
    <w:rsid w:val="36225D9D"/>
    <w:rsid w:val="362E26F6"/>
    <w:rsid w:val="363E4EDB"/>
    <w:rsid w:val="36E63575"/>
    <w:rsid w:val="37115432"/>
    <w:rsid w:val="37152F66"/>
    <w:rsid w:val="37DF6525"/>
    <w:rsid w:val="37F35FAD"/>
    <w:rsid w:val="38A80A21"/>
    <w:rsid w:val="390A723C"/>
    <w:rsid w:val="3A765BAE"/>
    <w:rsid w:val="3A8D3755"/>
    <w:rsid w:val="3AEA6116"/>
    <w:rsid w:val="3B473250"/>
    <w:rsid w:val="3C195B71"/>
    <w:rsid w:val="3C221B9E"/>
    <w:rsid w:val="3C357E53"/>
    <w:rsid w:val="3C8138E7"/>
    <w:rsid w:val="3C956475"/>
    <w:rsid w:val="3CCA7406"/>
    <w:rsid w:val="3D6040CD"/>
    <w:rsid w:val="3D691E7B"/>
    <w:rsid w:val="3DA54918"/>
    <w:rsid w:val="3E0A11D3"/>
    <w:rsid w:val="3E405056"/>
    <w:rsid w:val="3EB946D3"/>
    <w:rsid w:val="3EF92BC7"/>
    <w:rsid w:val="3F023BCC"/>
    <w:rsid w:val="3FD95863"/>
    <w:rsid w:val="3FDB71DF"/>
    <w:rsid w:val="4038660A"/>
    <w:rsid w:val="40A13ABC"/>
    <w:rsid w:val="411D3F26"/>
    <w:rsid w:val="4126289F"/>
    <w:rsid w:val="416C1B62"/>
    <w:rsid w:val="420325CD"/>
    <w:rsid w:val="42366486"/>
    <w:rsid w:val="4254472C"/>
    <w:rsid w:val="42D67925"/>
    <w:rsid w:val="430711AD"/>
    <w:rsid w:val="43351D02"/>
    <w:rsid w:val="43B86F03"/>
    <w:rsid w:val="43EA6609"/>
    <w:rsid w:val="4404603C"/>
    <w:rsid w:val="442D57E5"/>
    <w:rsid w:val="45771A4C"/>
    <w:rsid w:val="45EA0448"/>
    <w:rsid w:val="45F46866"/>
    <w:rsid w:val="46200992"/>
    <w:rsid w:val="46E841F3"/>
    <w:rsid w:val="473D2589"/>
    <w:rsid w:val="47C8032A"/>
    <w:rsid w:val="487F6336"/>
    <w:rsid w:val="492D2E04"/>
    <w:rsid w:val="4A4D10FA"/>
    <w:rsid w:val="4A592E3B"/>
    <w:rsid w:val="4AA344B3"/>
    <w:rsid w:val="4AE57112"/>
    <w:rsid w:val="4AFD1B3E"/>
    <w:rsid w:val="4B426D6F"/>
    <w:rsid w:val="4C335D8A"/>
    <w:rsid w:val="4C4F261E"/>
    <w:rsid w:val="4E374BEF"/>
    <w:rsid w:val="4E4E1648"/>
    <w:rsid w:val="4EE01C53"/>
    <w:rsid w:val="4EEF5437"/>
    <w:rsid w:val="4F1D0113"/>
    <w:rsid w:val="4F374ABE"/>
    <w:rsid w:val="4F3C4A5A"/>
    <w:rsid w:val="4F9F58D6"/>
    <w:rsid w:val="4FDE4134"/>
    <w:rsid w:val="506C1094"/>
    <w:rsid w:val="5097052E"/>
    <w:rsid w:val="50DA3CA7"/>
    <w:rsid w:val="51C9452A"/>
    <w:rsid w:val="52326683"/>
    <w:rsid w:val="52B97E69"/>
    <w:rsid w:val="52C51423"/>
    <w:rsid w:val="531B2857"/>
    <w:rsid w:val="532C41E9"/>
    <w:rsid w:val="533D58C6"/>
    <w:rsid w:val="53A12D82"/>
    <w:rsid w:val="53C945FB"/>
    <w:rsid w:val="54333971"/>
    <w:rsid w:val="543A5061"/>
    <w:rsid w:val="548D462B"/>
    <w:rsid w:val="549876F9"/>
    <w:rsid w:val="54AF45A2"/>
    <w:rsid w:val="54EB627C"/>
    <w:rsid w:val="554F7B33"/>
    <w:rsid w:val="559770A6"/>
    <w:rsid w:val="561065A1"/>
    <w:rsid w:val="56B45E9F"/>
    <w:rsid w:val="56B927C0"/>
    <w:rsid w:val="56C836F9"/>
    <w:rsid w:val="57AF48B9"/>
    <w:rsid w:val="57F549C2"/>
    <w:rsid w:val="58D27FFF"/>
    <w:rsid w:val="58DA63FA"/>
    <w:rsid w:val="593A19F0"/>
    <w:rsid w:val="597E4AFB"/>
    <w:rsid w:val="598B0010"/>
    <w:rsid w:val="59987307"/>
    <w:rsid w:val="5A174D6B"/>
    <w:rsid w:val="5A3B477C"/>
    <w:rsid w:val="5A7539E6"/>
    <w:rsid w:val="5BDE1D97"/>
    <w:rsid w:val="5BE663CF"/>
    <w:rsid w:val="5C4D3844"/>
    <w:rsid w:val="5CA47C75"/>
    <w:rsid w:val="5CCE3AC3"/>
    <w:rsid w:val="5D306882"/>
    <w:rsid w:val="5D7067F8"/>
    <w:rsid w:val="5DA867B5"/>
    <w:rsid w:val="5DCE1B11"/>
    <w:rsid w:val="5DE35530"/>
    <w:rsid w:val="5E4044BD"/>
    <w:rsid w:val="5E6A0B90"/>
    <w:rsid w:val="5E9A15F3"/>
    <w:rsid w:val="5EAC6562"/>
    <w:rsid w:val="5F321485"/>
    <w:rsid w:val="5F8E6C0B"/>
    <w:rsid w:val="61103AC0"/>
    <w:rsid w:val="618A6458"/>
    <w:rsid w:val="61C1676D"/>
    <w:rsid w:val="621B77C4"/>
    <w:rsid w:val="622A2EA4"/>
    <w:rsid w:val="62315D38"/>
    <w:rsid w:val="62A02C94"/>
    <w:rsid w:val="6312369C"/>
    <w:rsid w:val="639030FC"/>
    <w:rsid w:val="63E55E3D"/>
    <w:rsid w:val="64375256"/>
    <w:rsid w:val="64D5039D"/>
    <w:rsid w:val="656E5DB3"/>
    <w:rsid w:val="658048F8"/>
    <w:rsid w:val="6615324D"/>
    <w:rsid w:val="665151C5"/>
    <w:rsid w:val="665920ED"/>
    <w:rsid w:val="666C02D2"/>
    <w:rsid w:val="668D26EF"/>
    <w:rsid w:val="66E162E3"/>
    <w:rsid w:val="66EA7895"/>
    <w:rsid w:val="676043F9"/>
    <w:rsid w:val="67C008D0"/>
    <w:rsid w:val="67C70996"/>
    <w:rsid w:val="67F15358"/>
    <w:rsid w:val="692763AF"/>
    <w:rsid w:val="6979382E"/>
    <w:rsid w:val="69D168ED"/>
    <w:rsid w:val="6AC16EF6"/>
    <w:rsid w:val="6AF16C29"/>
    <w:rsid w:val="6C083ECD"/>
    <w:rsid w:val="6CA32054"/>
    <w:rsid w:val="6D140FEE"/>
    <w:rsid w:val="6D4142E7"/>
    <w:rsid w:val="6D561607"/>
    <w:rsid w:val="6D6C1258"/>
    <w:rsid w:val="6D87324C"/>
    <w:rsid w:val="6DA27ACC"/>
    <w:rsid w:val="6DB02BA2"/>
    <w:rsid w:val="6DFE351E"/>
    <w:rsid w:val="6E2E5999"/>
    <w:rsid w:val="6EE5105C"/>
    <w:rsid w:val="6F021872"/>
    <w:rsid w:val="6F1F338C"/>
    <w:rsid w:val="6FAB69B9"/>
    <w:rsid w:val="6FF9271D"/>
    <w:rsid w:val="70022FC2"/>
    <w:rsid w:val="703E5D1A"/>
    <w:rsid w:val="70512711"/>
    <w:rsid w:val="70F73796"/>
    <w:rsid w:val="71536AB4"/>
    <w:rsid w:val="717520A8"/>
    <w:rsid w:val="724315AE"/>
    <w:rsid w:val="727C60DF"/>
    <w:rsid w:val="728C6382"/>
    <w:rsid w:val="738D4A3C"/>
    <w:rsid w:val="74151D55"/>
    <w:rsid w:val="747F57CA"/>
    <w:rsid w:val="75450BB9"/>
    <w:rsid w:val="759A4470"/>
    <w:rsid w:val="76631A40"/>
    <w:rsid w:val="76FC3A86"/>
    <w:rsid w:val="77660698"/>
    <w:rsid w:val="781474DC"/>
    <w:rsid w:val="781F2AEE"/>
    <w:rsid w:val="7831145A"/>
    <w:rsid w:val="78365536"/>
    <w:rsid w:val="784968FE"/>
    <w:rsid w:val="78E0626B"/>
    <w:rsid w:val="799A7EFC"/>
    <w:rsid w:val="79A61220"/>
    <w:rsid w:val="79DD5495"/>
    <w:rsid w:val="7A2B1FDC"/>
    <w:rsid w:val="7A31764D"/>
    <w:rsid w:val="7A651918"/>
    <w:rsid w:val="7ADC1DBC"/>
    <w:rsid w:val="7AE868E6"/>
    <w:rsid w:val="7B1C052F"/>
    <w:rsid w:val="7C4B2553"/>
    <w:rsid w:val="7D6E353D"/>
    <w:rsid w:val="7D714BF8"/>
    <w:rsid w:val="7D752C71"/>
    <w:rsid w:val="7D9648D2"/>
    <w:rsid w:val="7DC31396"/>
    <w:rsid w:val="7E0B0FBF"/>
    <w:rsid w:val="7E80705E"/>
    <w:rsid w:val="7F142A4D"/>
    <w:rsid w:val="7FEA2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1"/>
    <w:link w:val="68"/>
    <w:qFormat/>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link w:val="76"/>
    <w:qFormat/>
    <w:uiPriority w:val="0"/>
    <w:pPr>
      <w:numPr>
        <w:ilvl w:val="2"/>
      </w:numPr>
      <w:tabs>
        <w:tab w:val="left" w:pos="1985"/>
        <w:tab w:val="left" w:pos="7088"/>
      </w:tabs>
      <w:outlineLvl w:val="2"/>
    </w:pPr>
  </w:style>
  <w:style w:type="paragraph" w:styleId="5">
    <w:name w:val="heading 4"/>
    <w:basedOn w:val="1"/>
    <w:next w:val="1"/>
    <w:link w:val="71"/>
    <w:qFormat/>
    <w:uiPriority w:val="0"/>
    <w:pPr>
      <w:keepNext/>
      <w:keepLines/>
      <w:spacing w:before="280" w:after="290" w:line="376" w:lineRule="auto"/>
      <w:outlineLvl w:val="3"/>
    </w:pPr>
    <w:rPr>
      <w:rFonts w:ascii="Calibri Light" w:hAnsi="Calibri Light"/>
      <w:b/>
      <w:bCs/>
      <w:kern w:val="0"/>
      <w:sz w:val="28"/>
      <w:szCs w:val="28"/>
    </w:rPr>
  </w:style>
  <w:style w:type="paragraph" w:styleId="6">
    <w:name w:val="heading 5"/>
    <w:basedOn w:val="1"/>
    <w:next w:val="1"/>
    <w:link w:val="74"/>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67"/>
    <w:qFormat/>
    <w:uiPriority w:val="0"/>
    <w:pPr>
      <w:keepNext/>
      <w:keepLines/>
      <w:spacing w:before="240" w:after="64" w:line="320" w:lineRule="auto"/>
      <w:outlineLvl w:val="5"/>
    </w:pPr>
    <w:rPr>
      <w:rFonts w:ascii="Calibri Light" w:hAnsi="Calibri Light"/>
      <w:b/>
      <w:bCs/>
      <w:kern w:val="0"/>
      <w:sz w:val="24"/>
    </w:rPr>
  </w:style>
  <w:style w:type="paragraph" w:styleId="8">
    <w:name w:val="heading 7"/>
    <w:basedOn w:val="1"/>
    <w:next w:val="1"/>
    <w:link w:val="84"/>
    <w:qFormat/>
    <w:uiPriority w:val="9"/>
    <w:pPr>
      <w:keepNext/>
      <w:keepLines/>
      <w:spacing w:before="240" w:after="64" w:line="320" w:lineRule="auto"/>
      <w:outlineLvl w:val="6"/>
    </w:pPr>
    <w:rPr>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16"/>
    <w:qFormat/>
    <w:uiPriority w:val="0"/>
    <w:pPr>
      <w:ind w:firstLine="420" w:firstLineChars="200"/>
    </w:pPr>
  </w:style>
  <w:style w:type="paragraph" w:styleId="10">
    <w:name w:val="Document Map"/>
    <w:basedOn w:val="1"/>
    <w:link w:val="69"/>
    <w:unhideWhenUsed/>
    <w:qFormat/>
    <w:uiPriority w:val="99"/>
    <w:rPr>
      <w:rFonts w:ascii="Microsoft YaHei UI" w:eastAsia="Microsoft YaHei UI"/>
      <w:kern w:val="0"/>
      <w:sz w:val="18"/>
      <w:szCs w:val="18"/>
    </w:rPr>
  </w:style>
  <w:style w:type="paragraph" w:styleId="11">
    <w:name w:val="annotation text"/>
    <w:basedOn w:val="1"/>
    <w:link w:val="85"/>
    <w:qFormat/>
    <w:uiPriority w:val="99"/>
    <w:rPr>
      <w:kern w:val="0"/>
      <w:sz w:val="20"/>
    </w:rPr>
  </w:style>
  <w:style w:type="paragraph" w:styleId="12">
    <w:name w:val="Body Text"/>
    <w:basedOn w:val="1"/>
    <w:link w:val="78"/>
    <w:qFormat/>
    <w:uiPriority w:val="0"/>
    <w:pPr>
      <w:spacing w:after="120"/>
    </w:pPr>
    <w:rPr>
      <w:kern w:val="0"/>
      <w:sz w:val="20"/>
    </w:rPr>
  </w:style>
  <w:style w:type="paragraph" w:styleId="13">
    <w:name w:val="Body Text Indent"/>
    <w:basedOn w:val="1"/>
    <w:link w:val="87"/>
    <w:qFormat/>
    <w:uiPriority w:val="0"/>
    <w:pPr>
      <w:tabs>
        <w:tab w:val="left" w:pos="2160"/>
      </w:tabs>
      <w:ind w:left="2159" w:leftChars="1028" w:firstLine="1"/>
    </w:pPr>
    <w:rPr>
      <w:rFonts w:ascii="宋体" w:hAnsi="宋体"/>
      <w:kern w:val="0"/>
      <w:sz w:val="20"/>
      <w:szCs w:val="21"/>
    </w:rPr>
  </w:style>
  <w:style w:type="paragraph" w:styleId="14">
    <w:name w:val="index 4"/>
    <w:basedOn w:val="1"/>
    <w:next w:val="1"/>
    <w:semiHidden/>
    <w:unhideWhenUsed/>
    <w:qFormat/>
    <w:uiPriority w:val="99"/>
    <w:pPr>
      <w:ind w:left="600" w:leftChars="600"/>
    </w:pPr>
  </w:style>
  <w:style w:type="paragraph" w:styleId="15">
    <w:name w:val="toc 3"/>
    <w:basedOn w:val="1"/>
    <w:next w:val="1"/>
    <w:unhideWhenUsed/>
    <w:qFormat/>
    <w:uiPriority w:val="39"/>
    <w:pPr>
      <w:spacing w:after="100" w:line="259" w:lineRule="auto"/>
      <w:ind w:left="440"/>
    </w:pPr>
    <w:rPr>
      <w:rFonts w:ascii="Calibri" w:hAnsi="Calibri"/>
      <w:kern w:val="0"/>
      <w:sz w:val="22"/>
      <w:szCs w:val="22"/>
    </w:rPr>
  </w:style>
  <w:style w:type="paragraph" w:styleId="16">
    <w:name w:val="Plain Text"/>
    <w:basedOn w:val="1"/>
    <w:link w:val="80"/>
    <w:qFormat/>
    <w:uiPriority w:val="0"/>
    <w:rPr>
      <w:rFonts w:ascii="宋体" w:hAnsi="Courier New"/>
      <w:kern w:val="0"/>
      <w:sz w:val="20"/>
      <w:szCs w:val="20"/>
    </w:rPr>
  </w:style>
  <w:style w:type="paragraph" w:styleId="17">
    <w:name w:val="Date"/>
    <w:basedOn w:val="1"/>
    <w:next w:val="1"/>
    <w:link w:val="88"/>
    <w:qFormat/>
    <w:uiPriority w:val="0"/>
    <w:pPr>
      <w:ind w:left="100" w:leftChars="2500"/>
    </w:pPr>
    <w:rPr>
      <w:kern w:val="0"/>
      <w:sz w:val="20"/>
    </w:rPr>
  </w:style>
  <w:style w:type="paragraph" w:styleId="18">
    <w:name w:val="Balloon Text"/>
    <w:basedOn w:val="1"/>
    <w:link w:val="65"/>
    <w:qFormat/>
    <w:uiPriority w:val="99"/>
    <w:rPr>
      <w:kern w:val="0"/>
      <w:sz w:val="18"/>
      <w:szCs w:val="18"/>
    </w:rPr>
  </w:style>
  <w:style w:type="paragraph" w:styleId="19">
    <w:name w:val="footer"/>
    <w:basedOn w:val="1"/>
    <w:link w:val="64"/>
    <w:qFormat/>
    <w:uiPriority w:val="0"/>
    <w:pPr>
      <w:tabs>
        <w:tab w:val="center" w:pos="4153"/>
        <w:tab w:val="right" w:pos="8306"/>
      </w:tabs>
      <w:snapToGrid w:val="0"/>
    </w:pPr>
    <w:rPr>
      <w:kern w:val="0"/>
      <w:sz w:val="18"/>
      <w:szCs w:val="20"/>
    </w:rPr>
  </w:style>
  <w:style w:type="paragraph" w:styleId="20">
    <w:name w:val="header"/>
    <w:basedOn w:val="1"/>
    <w:link w:val="83"/>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toc 1"/>
    <w:basedOn w:val="1"/>
    <w:next w:val="1"/>
    <w:qFormat/>
    <w:uiPriority w:val="39"/>
    <w:pPr>
      <w:tabs>
        <w:tab w:val="right" w:leader="dot" w:pos="8296"/>
      </w:tabs>
    </w:pPr>
  </w:style>
  <w:style w:type="paragraph" w:styleId="22">
    <w:name w:val="Subtitle"/>
    <w:basedOn w:val="1"/>
    <w:next w:val="1"/>
    <w:link w:val="70"/>
    <w:qFormat/>
    <w:uiPriority w:val="0"/>
    <w:pPr>
      <w:spacing w:before="240" w:after="60" w:line="312" w:lineRule="auto"/>
      <w:jc w:val="center"/>
      <w:outlineLvl w:val="1"/>
    </w:pPr>
    <w:rPr>
      <w:rFonts w:ascii="Calibri Light" w:hAnsi="Calibri Light"/>
      <w:b/>
      <w:bCs/>
      <w:kern w:val="28"/>
      <w:sz w:val="32"/>
      <w:szCs w:val="32"/>
    </w:rPr>
  </w:style>
  <w:style w:type="paragraph" w:styleId="23">
    <w:name w:val="Body Text Indent 3"/>
    <w:basedOn w:val="1"/>
    <w:link w:val="66"/>
    <w:qFormat/>
    <w:uiPriority w:val="0"/>
    <w:pPr>
      <w:spacing w:after="120"/>
      <w:ind w:left="420" w:leftChars="200"/>
    </w:pPr>
    <w:rPr>
      <w:kern w:val="0"/>
      <w:sz w:val="16"/>
      <w:szCs w:val="16"/>
    </w:rPr>
  </w:style>
  <w:style w:type="paragraph" w:styleId="24">
    <w:name w:val="toc 2"/>
    <w:basedOn w:val="1"/>
    <w:next w:val="1"/>
    <w:unhideWhenUsed/>
    <w:qFormat/>
    <w:uiPriority w:val="39"/>
    <w:pPr>
      <w:spacing w:after="100" w:line="259" w:lineRule="auto"/>
      <w:ind w:left="220"/>
    </w:pPr>
    <w:rPr>
      <w:rFonts w:ascii="Calibri" w:hAnsi="Calibri"/>
      <w:kern w:val="0"/>
      <w:sz w:val="22"/>
      <w:szCs w:val="22"/>
    </w:rPr>
  </w:style>
  <w:style w:type="paragraph" w:styleId="25">
    <w:name w:val="toc 9"/>
    <w:basedOn w:val="1"/>
    <w:next w:val="1"/>
    <w:qFormat/>
    <w:uiPriority w:val="0"/>
    <w:pPr>
      <w:ind w:left="3360" w:leftChars="1600"/>
    </w:pPr>
  </w:style>
  <w:style w:type="paragraph" w:styleId="26">
    <w:name w:val="Body Text 2"/>
    <w:basedOn w:val="1"/>
    <w:qFormat/>
    <w:uiPriority w:val="0"/>
    <w:rPr>
      <w:rFonts w:ascii="Times New Roman" w:hAnsi="Times New Roman" w:eastAsia="宋体"/>
      <w:color w:val="000000"/>
    </w:rPr>
  </w:style>
  <w:style w:type="paragraph" w:styleId="27">
    <w:name w:val="HTML Preformatted"/>
    <w:basedOn w:val="1"/>
    <w:link w:val="10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rPr>
  </w:style>
  <w:style w:type="paragraph" w:styleId="28">
    <w:name w:val="Normal (Web)"/>
    <w:basedOn w:val="1"/>
    <w:unhideWhenUsed/>
    <w:qFormat/>
    <w:uiPriority w:val="0"/>
    <w:pPr>
      <w:spacing w:before="100" w:beforeAutospacing="1" w:after="100" w:afterAutospacing="1"/>
    </w:pPr>
    <w:rPr>
      <w:rFonts w:ascii="宋体" w:hAnsi="宋体" w:cs="宋体"/>
      <w:kern w:val="0"/>
      <w:sz w:val="24"/>
    </w:rPr>
  </w:style>
  <w:style w:type="paragraph" w:styleId="29">
    <w:name w:val="Title"/>
    <w:basedOn w:val="1"/>
    <w:next w:val="1"/>
    <w:link w:val="86"/>
    <w:qFormat/>
    <w:uiPriority w:val="0"/>
    <w:pPr>
      <w:spacing w:before="240" w:after="60"/>
      <w:jc w:val="center"/>
      <w:outlineLvl w:val="0"/>
    </w:pPr>
    <w:rPr>
      <w:rFonts w:ascii="Cambria" w:hAnsi="Cambria"/>
      <w:b/>
      <w:bCs/>
      <w:kern w:val="0"/>
      <w:sz w:val="36"/>
      <w:szCs w:val="32"/>
    </w:rPr>
  </w:style>
  <w:style w:type="paragraph" w:styleId="30">
    <w:name w:val="annotation subject"/>
    <w:basedOn w:val="11"/>
    <w:next w:val="11"/>
    <w:link w:val="62"/>
    <w:qFormat/>
    <w:uiPriority w:val="99"/>
    <w:rPr>
      <w:b/>
      <w:bCs/>
    </w:rPr>
  </w:style>
  <w:style w:type="paragraph" w:styleId="31">
    <w:name w:val="Body Text First Indent"/>
    <w:basedOn w:val="12"/>
    <w:link w:val="77"/>
    <w:qFormat/>
    <w:uiPriority w:val="0"/>
    <w:pPr>
      <w:ind w:firstLine="420" w:firstLineChars="100"/>
    </w:p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qFormat/>
    <w:uiPriority w:val="0"/>
  </w:style>
  <w:style w:type="character" w:styleId="37">
    <w:name w:val="FollowedHyperlink"/>
    <w:qFormat/>
    <w:uiPriority w:val="99"/>
    <w:rPr>
      <w:color w:val="0000FF"/>
      <w:u w:val="single"/>
    </w:rPr>
  </w:style>
  <w:style w:type="character" w:styleId="38">
    <w:name w:val="Emphasis"/>
    <w:qFormat/>
    <w:uiPriority w:val="20"/>
    <w:rPr>
      <w:i/>
      <w:iCs/>
    </w:rPr>
  </w:style>
  <w:style w:type="character" w:styleId="39">
    <w:name w:val="Hyperlink"/>
    <w:qFormat/>
    <w:uiPriority w:val="99"/>
    <w:rPr>
      <w:color w:val="000099"/>
      <w:u w:val="none"/>
    </w:rPr>
  </w:style>
  <w:style w:type="character" w:styleId="40">
    <w:name w:val="annotation reference"/>
    <w:qFormat/>
    <w:uiPriority w:val="99"/>
    <w:rPr>
      <w:sz w:val="21"/>
      <w:szCs w:val="21"/>
    </w:rPr>
  </w:style>
  <w:style w:type="character" w:styleId="41">
    <w:name w:val="HTML Cite"/>
    <w:unhideWhenUsed/>
    <w:qFormat/>
    <w:uiPriority w:val="99"/>
    <w:rPr>
      <w:color w:val="008000"/>
    </w:rPr>
  </w:style>
  <w:style w:type="character" w:styleId="42">
    <w:name w:val="HTML Sample"/>
    <w:basedOn w:val="34"/>
    <w:semiHidden/>
    <w:unhideWhenUsed/>
    <w:qFormat/>
    <w:uiPriority w:val="99"/>
    <w:rPr>
      <w:rFonts w:ascii="Courier New" w:hAnsi="Courier New"/>
    </w:rPr>
  </w:style>
  <w:style w:type="paragraph" w:customStyle="1" w:styleId="43">
    <w:name w:val="一级条标题"/>
    <w:basedOn w:val="44"/>
    <w:next w:val="45"/>
    <w:link w:val="101"/>
    <w:qFormat/>
    <w:uiPriority w:val="0"/>
    <w:pPr>
      <w:tabs>
        <w:tab w:val="left" w:pos="720"/>
      </w:tabs>
      <w:spacing w:beforeLines="0" w:afterLines="0"/>
      <w:outlineLvl w:val="2"/>
    </w:pPr>
  </w:style>
  <w:style w:type="paragraph" w:customStyle="1" w:styleId="44">
    <w:name w:val="章标题"/>
    <w:next w:val="1"/>
    <w:link w:val="100"/>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45">
    <w:name w:val="段"/>
    <w:link w:val="95"/>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6">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8">
    <w:name w:val="3"/>
    <w:basedOn w:val="1"/>
    <w:qFormat/>
    <w:uiPriority w:val="34"/>
    <w:pPr>
      <w:ind w:firstLine="420" w:firstLineChars="200"/>
    </w:pPr>
  </w:style>
  <w:style w:type="paragraph" w:customStyle="1" w:styleId="49">
    <w:name w:val="xl54"/>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0">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2"/>
    <w:link w:val="8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xl52"/>
    <w:basedOn w:val="1"/>
    <w:qFormat/>
    <w:uiPriority w:val="0"/>
    <w:pPr>
      <w:spacing w:before="100" w:beforeAutospacing="1" w:after="100" w:afterAutospacing="1"/>
      <w:jc w:val="center"/>
      <w:textAlignment w:val="top"/>
    </w:pPr>
    <w:rPr>
      <w:kern w:val="0"/>
      <w:sz w:val="20"/>
      <w:szCs w:val="20"/>
    </w:rPr>
  </w:style>
  <w:style w:type="paragraph" w:customStyle="1" w:styleId="53">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54">
    <w:name w:val="_Style 3"/>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Char1"/>
    <w:basedOn w:val="10"/>
    <w:qFormat/>
    <w:uiPriority w:val="0"/>
    <w:pPr>
      <w:shd w:val="clear" w:color="auto" w:fill="000080"/>
    </w:pPr>
    <w:rPr>
      <w:rFonts w:ascii="Times New Roman" w:eastAsia="宋体"/>
      <w:sz w:val="21"/>
      <w:szCs w:val="20"/>
      <w:shd w:val="clear" w:color="auto" w:fill="000080"/>
    </w:rPr>
  </w:style>
  <w:style w:type="paragraph" w:customStyle="1" w:styleId="56">
    <w:name w:val="Table Text"/>
    <w:basedOn w:val="1"/>
    <w:qFormat/>
    <w:uiPriority w:val="0"/>
    <w:pPr>
      <w:tabs>
        <w:tab w:val="decimal" w:pos="0"/>
      </w:tabs>
      <w:autoSpaceDE w:val="0"/>
      <w:autoSpaceDN w:val="0"/>
      <w:adjustRightInd w:val="0"/>
      <w:spacing w:before="80" w:after="80"/>
    </w:pPr>
    <w:rPr>
      <w:rFonts w:ascii="Arial" w:hAnsi="Arial"/>
      <w:kern w:val="0"/>
      <w:sz w:val="18"/>
      <w:szCs w:val="20"/>
    </w:rPr>
  </w:style>
  <w:style w:type="paragraph" w:customStyle="1" w:styleId="57">
    <w:name w:val="列出段落111"/>
    <w:basedOn w:val="1"/>
    <w:qFormat/>
    <w:uiPriority w:val="0"/>
    <w:pPr>
      <w:ind w:firstLine="420" w:firstLineChars="200"/>
    </w:pPr>
    <w:rPr>
      <w:rFonts w:ascii="Calibri" w:hAnsi="Calibri"/>
      <w:sz w:val="28"/>
    </w:rPr>
  </w:style>
  <w:style w:type="paragraph" w:customStyle="1" w:styleId="58">
    <w:name w:val="样式1"/>
    <w:basedOn w:val="1"/>
    <w:qFormat/>
    <w:uiPriority w:val="0"/>
    <w:rPr>
      <w:rFonts w:eastAsia="仿宋_GB2312"/>
      <w:kern w:val="0"/>
      <w:sz w:val="32"/>
      <w:szCs w:val="20"/>
    </w:rPr>
  </w:style>
  <w:style w:type="paragraph" w:customStyle="1" w:styleId="59">
    <w:name w:val="1"/>
    <w:basedOn w:val="2"/>
    <w:next w:val="1"/>
    <w:qFormat/>
    <w:uiPriority w:val="39"/>
    <w:pPr>
      <w:numPr>
        <w:numId w:val="0"/>
      </w:numPr>
      <w:snapToGrid/>
      <w:spacing w:before="240" w:line="259" w:lineRule="auto"/>
      <w:outlineLvl w:val="9"/>
    </w:pPr>
    <w:rPr>
      <w:rFonts w:ascii="Calibri Light" w:hAnsi="Calibri Light" w:eastAsia="宋体"/>
      <w:color w:val="2E74B5"/>
      <w:kern w:val="0"/>
      <w:sz w:val="32"/>
      <w:szCs w:val="32"/>
    </w:rPr>
  </w:style>
  <w:style w:type="paragraph" w:customStyle="1" w:styleId="60">
    <w:name w:val="列出段落11"/>
    <w:basedOn w:val="1"/>
    <w:qFormat/>
    <w:uiPriority w:val="0"/>
    <w:pPr>
      <w:ind w:firstLine="420" w:firstLineChars="200"/>
    </w:pPr>
  </w:style>
  <w:style w:type="paragraph" w:customStyle="1" w:styleId="61">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2">
    <w:name w:val="批注主题 Char1"/>
    <w:link w:val="30"/>
    <w:qFormat/>
    <w:uiPriority w:val="99"/>
    <w:rPr>
      <w:rFonts w:ascii="Times New Roman" w:hAnsi="Times New Roman" w:eastAsia="宋体" w:cs="Times New Roman"/>
      <w:b/>
      <w:bCs/>
      <w:szCs w:val="24"/>
    </w:rPr>
  </w:style>
  <w:style w:type="character" w:customStyle="1" w:styleId="63">
    <w:name w:val="标题 1 Char"/>
    <w:link w:val="2"/>
    <w:qFormat/>
    <w:uiPriority w:val="0"/>
    <w:rPr>
      <w:rFonts w:ascii="宋体" w:eastAsia="黑体"/>
      <w:kern w:val="28"/>
      <w:sz w:val="28"/>
    </w:rPr>
  </w:style>
  <w:style w:type="character" w:customStyle="1" w:styleId="64">
    <w:name w:val="页脚 Char"/>
    <w:link w:val="19"/>
    <w:qFormat/>
    <w:uiPriority w:val="99"/>
    <w:rPr>
      <w:rFonts w:ascii="Times New Roman" w:hAnsi="Times New Roman" w:eastAsia="宋体" w:cs="Times New Roman"/>
      <w:sz w:val="18"/>
      <w:szCs w:val="20"/>
    </w:rPr>
  </w:style>
  <w:style w:type="character" w:customStyle="1" w:styleId="65">
    <w:name w:val="批注框文本 Char"/>
    <w:link w:val="18"/>
    <w:qFormat/>
    <w:uiPriority w:val="99"/>
    <w:rPr>
      <w:rFonts w:ascii="Times New Roman" w:hAnsi="Times New Roman" w:eastAsia="宋体" w:cs="Times New Roman"/>
      <w:sz w:val="18"/>
      <w:szCs w:val="18"/>
    </w:rPr>
  </w:style>
  <w:style w:type="character" w:customStyle="1" w:styleId="66">
    <w:name w:val="正文文本缩进 3 Char"/>
    <w:link w:val="23"/>
    <w:qFormat/>
    <w:uiPriority w:val="0"/>
    <w:rPr>
      <w:rFonts w:ascii="Times New Roman" w:hAnsi="Times New Roman" w:eastAsia="宋体" w:cs="Times New Roman"/>
      <w:sz w:val="16"/>
      <w:szCs w:val="16"/>
    </w:rPr>
  </w:style>
  <w:style w:type="character" w:customStyle="1" w:styleId="67">
    <w:name w:val="标题 6 Char"/>
    <w:link w:val="7"/>
    <w:qFormat/>
    <w:uiPriority w:val="0"/>
    <w:rPr>
      <w:rFonts w:ascii="Calibri Light" w:hAnsi="Calibri Light" w:eastAsia="宋体" w:cs="Times New Roman"/>
      <w:b/>
      <w:bCs/>
      <w:sz w:val="24"/>
      <w:szCs w:val="24"/>
    </w:rPr>
  </w:style>
  <w:style w:type="character" w:customStyle="1" w:styleId="68">
    <w:name w:val="标题 2 Char"/>
    <w:link w:val="3"/>
    <w:qFormat/>
    <w:uiPriority w:val="0"/>
    <w:rPr>
      <w:rFonts w:ascii="宋体"/>
      <w:kern w:val="2"/>
      <w:sz w:val="28"/>
    </w:rPr>
  </w:style>
  <w:style w:type="character" w:customStyle="1" w:styleId="69">
    <w:name w:val="文档结构图 Char"/>
    <w:link w:val="10"/>
    <w:semiHidden/>
    <w:qFormat/>
    <w:uiPriority w:val="99"/>
    <w:rPr>
      <w:rFonts w:ascii="Microsoft YaHei UI" w:hAnsi="Times New Roman" w:eastAsia="Microsoft YaHei UI" w:cs="Times New Roman"/>
      <w:sz w:val="18"/>
      <w:szCs w:val="18"/>
    </w:rPr>
  </w:style>
  <w:style w:type="character" w:customStyle="1" w:styleId="70">
    <w:name w:val="副标题 Char"/>
    <w:link w:val="22"/>
    <w:qFormat/>
    <w:uiPriority w:val="0"/>
    <w:rPr>
      <w:rFonts w:ascii="Calibri Light" w:hAnsi="Calibri Light" w:eastAsia="宋体" w:cs="Times New Roman"/>
      <w:b/>
      <w:bCs/>
      <w:kern w:val="28"/>
      <w:sz w:val="32"/>
      <w:szCs w:val="32"/>
    </w:rPr>
  </w:style>
  <w:style w:type="character" w:customStyle="1" w:styleId="71">
    <w:name w:val="标题 4 Char"/>
    <w:link w:val="5"/>
    <w:qFormat/>
    <w:uiPriority w:val="0"/>
    <w:rPr>
      <w:rFonts w:ascii="Calibri Light" w:hAnsi="Calibri Light" w:eastAsia="宋体" w:cs="Times New Roman"/>
      <w:b/>
      <w:bCs/>
      <w:sz w:val="28"/>
      <w:szCs w:val="28"/>
    </w:rPr>
  </w:style>
  <w:style w:type="character" w:customStyle="1" w:styleId="72">
    <w:name w:val="标题 Char1"/>
    <w:qFormat/>
    <w:uiPriority w:val="0"/>
    <w:rPr>
      <w:rFonts w:ascii="Calibri Light" w:hAnsi="Calibri Light" w:eastAsia="宋体" w:cs="Times New Roman"/>
      <w:b/>
      <w:bCs/>
      <w:sz w:val="32"/>
      <w:szCs w:val="32"/>
    </w:rPr>
  </w:style>
  <w:style w:type="character" w:customStyle="1" w:styleId="73">
    <w:name w:val="批注文字 Char"/>
    <w:qFormat/>
    <w:uiPriority w:val="99"/>
    <w:rPr>
      <w:rFonts w:ascii="Times New Roman" w:hAnsi="Times New Roman" w:eastAsia="宋体" w:cs="Times New Roman"/>
      <w:szCs w:val="24"/>
    </w:rPr>
  </w:style>
  <w:style w:type="character" w:customStyle="1" w:styleId="74">
    <w:name w:val="标题 5 Char"/>
    <w:link w:val="6"/>
    <w:qFormat/>
    <w:uiPriority w:val="0"/>
    <w:rPr>
      <w:rFonts w:ascii="Times New Roman" w:hAnsi="Times New Roman" w:eastAsia="宋体" w:cs="Times New Roman"/>
      <w:b/>
      <w:bCs/>
      <w:sz w:val="28"/>
      <w:szCs w:val="28"/>
    </w:rPr>
  </w:style>
  <w:style w:type="character" w:customStyle="1" w:styleId="75">
    <w:name w:val="Table Text Char Char Char"/>
    <w:qFormat/>
    <w:uiPriority w:val="0"/>
    <w:rPr>
      <w:rFonts w:ascii="Arial" w:hAnsi="Arial" w:eastAsia="宋体" w:cs="Arial"/>
      <w:sz w:val="18"/>
      <w:szCs w:val="18"/>
      <w:lang w:val="en-US" w:eastAsia="zh-CN" w:bidi="ar-SA"/>
    </w:rPr>
  </w:style>
  <w:style w:type="character" w:customStyle="1" w:styleId="76">
    <w:name w:val="标题 3 Char"/>
    <w:link w:val="4"/>
    <w:qFormat/>
    <w:uiPriority w:val="0"/>
    <w:rPr>
      <w:rFonts w:ascii="宋体"/>
      <w:kern w:val="2"/>
      <w:sz w:val="28"/>
    </w:rPr>
  </w:style>
  <w:style w:type="character" w:customStyle="1" w:styleId="77">
    <w:name w:val="正文首行缩进 Char"/>
    <w:link w:val="31"/>
    <w:qFormat/>
    <w:uiPriority w:val="0"/>
    <w:rPr>
      <w:rFonts w:ascii="Times New Roman" w:hAnsi="Times New Roman" w:eastAsia="宋体" w:cs="Times New Roman"/>
      <w:szCs w:val="24"/>
    </w:rPr>
  </w:style>
  <w:style w:type="character" w:customStyle="1" w:styleId="78">
    <w:name w:val="正文文本 Char"/>
    <w:link w:val="12"/>
    <w:qFormat/>
    <w:uiPriority w:val="0"/>
    <w:rPr>
      <w:rFonts w:ascii="Times New Roman" w:hAnsi="Times New Roman" w:eastAsia="宋体" w:cs="Times New Roman"/>
      <w:szCs w:val="24"/>
    </w:rPr>
  </w:style>
  <w:style w:type="character" w:customStyle="1" w:styleId="79">
    <w:name w:val="纯文本 Char"/>
    <w:qFormat/>
    <w:uiPriority w:val="0"/>
    <w:rPr>
      <w:rFonts w:ascii="宋体" w:hAnsi="Courier New" w:eastAsia="宋体" w:cs="Courier New"/>
      <w:szCs w:val="21"/>
    </w:rPr>
  </w:style>
  <w:style w:type="character" w:customStyle="1" w:styleId="80">
    <w:name w:val="纯文本 Char2"/>
    <w:link w:val="16"/>
    <w:qFormat/>
    <w:uiPriority w:val="0"/>
    <w:rPr>
      <w:rFonts w:ascii="宋体" w:hAnsi="Courier New" w:eastAsia="宋体" w:cs="Times New Roman"/>
      <w:szCs w:val="20"/>
    </w:rPr>
  </w:style>
  <w:style w:type="character" w:customStyle="1" w:styleId="81">
    <w:name w:val="Table Text Char"/>
    <w:qFormat/>
    <w:uiPriority w:val="0"/>
    <w:rPr>
      <w:rFonts w:ascii="Arial" w:hAnsi="Arial" w:eastAsia="宋体"/>
      <w:sz w:val="18"/>
      <w:lang w:val="en-US" w:eastAsia="zh-CN" w:bidi="ar-SA"/>
    </w:rPr>
  </w:style>
  <w:style w:type="character" w:customStyle="1" w:styleId="82">
    <w:name w:val="无间隔 Char"/>
    <w:link w:val="51"/>
    <w:qFormat/>
    <w:uiPriority w:val="1"/>
    <w:rPr>
      <w:rFonts w:ascii="Times New Roman" w:hAnsi="Times New Roman"/>
      <w:kern w:val="2"/>
      <w:sz w:val="21"/>
      <w:szCs w:val="24"/>
      <w:lang w:val="en-US" w:eastAsia="zh-CN" w:bidi="ar-SA"/>
    </w:rPr>
  </w:style>
  <w:style w:type="character" w:customStyle="1" w:styleId="83">
    <w:name w:val="页眉 Char1"/>
    <w:link w:val="20"/>
    <w:qFormat/>
    <w:uiPriority w:val="99"/>
    <w:rPr>
      <w:rFonts w:ascii="Times New Roman" w:hAnsi="Times New Roman" w:eastAsia="宋体" w:cs="Times New Roman"/>
      <w:sz w:val="18"/>
      <w:szCs w:val="20"/>
    </w:rPr>
  </w:style>
  <w:style w:type="character" w:customStyle="1" w:styleId="84">
    <w:name w:val="标题 7 Char"/>
    <w:link w:val="8"/>
    <w:semiHidden/>
    <w:qFormat/>
    <w:uiPriority w:val="9"/>
    <w:rPr>
      <w:rFonts w:ascii="Times New Roman" w:hAnsi="Times New Roman"/>
      <w:b/>
      <w:bCs/>
      <w:kern w:val="2"/>
      <w:sz w:val="24"/>
      <w:szCs w:val="24"/>
    </w:rPr>
  </w:style>
  <w:style w:type="character" w:customStyle="1" w:styleId="85">
    <w:name w:val="批注文字 Char1"/>
    <w:link w:val="11"/>
    <w:qFormat/>
    <w:uiPriority w:val="0"/>
    <w:rPr>
      <w:rFonts w:ascii="Times New Roman" w:hAnsi="Times New Roman" w:eastAsia="宋体" w:cs="Times New Roman"/>
      <w:szCs w:val="24"/>
    </w:rPr>
  </w:style>
  <w:style w:type="character" w:customStyle="1" w:styleId="86">
    <w:name w:val="标题 Char"/>
    <w:link w:val="29"/>
    <w:qFormat/>
    <w:uiPriority w:val="0"/>
    <w:rPr>
      <w:rFonts w:ascii="Cambria" w:hAnsi="Cambria"/>
      <w:b/>
      <w:bCs/>
      <w:sz w:val="36"/>
      <w:szCs w:val="32"/>
    </w:rPr>
  </w:style>
  <w:style w:type="character" w:customStyle="1" w:styleId="87">
    <w:name w:val="正文文本缩进 Char"/>
    <w:link w:val="13"/>
    <w:qFormat/>
    <w:uiPriority w:val="0"/>
    <w:rPr>
      <w:rFonts w:ascii="宋体" w:hAnsi="宋体" w:eastAsia="宋体" w:cs="Times New Roman"/>
      <w:szCs w:val="21"/>
    </w:rPr>
  </w:style>
  <w:style w:type="character" w:customStyle="1" w:styleId="88">
    <w:name w:val="日期 Char"/>
    <w:link w:val="17"/>
    <w:qFormat/>
    <w:uiPriority w:val="0"/>
    <w:rPr>
      <w:rFonts w:ascii="Times New Roman" w:hAnsi="Times New Roman" w:eastAsia="宋体" w:cs="Times New Roman"/>
      <w:szCs w:val="24"/>
    </w:rPr>
  </w:style>
  <w:style w:type="character" w:customStyle="1" w:styleId="89">
    <w:name w:val="批注主题 Char"/>
    <w:semiHidden/>
    <w:qFormat/>
    <w:uiPriority w:val="99"/>
    <w:rPr>
      <w:rFonts w:ascii="Times New Roman" w:hAnsi="Times New Roman" w:eastAsia="宋体" w:cs="Times New Roman"/>
      <w:b/>
      <w:bCs/>
      <w:szCs w:val="24"/>
    </w:rPr>
  </w:style>
  <w:style w:type="paragraph" w:customStyle="1" w:styleId="90">
    <w:name w:val="p16"/>
    <w:basedOn w:val="1"/>
    <w:qFormat/>
    <w:uiPriority w:val="0"/>
    <w:rPr>
      <w:rFonts w:ascii="宋体" w:hAnsi="宋体" w:cs="宋体"/>
      <w:kern w:val="0"/>
      <w:szCs w:val="21"/>
    </w:rPr>
  </w:style>
  <w:style w:type="paragraph" w:styleId="91">
    <w:name w:val="List Paragraph"/>
    <w:basedOn w:val="1"/>
    <w:link w:val="123"/>
    <w:unhideWhenUsed/>
    <w:qFormat/>
    <w:uiPriority w:val="34"/>
    <w:pPr>
      <w:ind w:firstLine="420" w:firstLineChars="200"/>
    </w:pPr>
  </w:style>
  <w:style w:type="paragraph" w:customStyle="1" w:styleId="9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93">
    <w:name w:val="列出段落1"/>
    <w:basedOn w:val="1"/>
    <w:qFormat/>
    <w:uiPriority w:val="0"/>
    <w:pPr>
      <w:ind w:firstLine="420" w:firstLineChars="200"/>
    </w:pPr>
    <w:rPr>
      <w:rFonts w:ascii="Calibri" w:hAnsi="Calibri" w:cs="黑体"/>
      <w:szCs w:val="22"/>
    </w:rPr>
  </w:style>
  <w:style w:type="paragraph" w:styleId="94">
    <w:name w:val="No Spacing"/>
    <w:link w:val="10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段 Char Char"/>
    <w:link w:val="45"/>
    <w:qFormat/>
    <w:uiPriority w:val="0"/>
    <w:rPr>
      <w:rFonts w:ascii="宋体"/>
      <w:sz w:val="21"/>
      <w:lang w:val="en-US" w:eastAsia="zh-CN" w:bidi="ar-SA"/>
    </w:rPr>
  </w:style>
  <w:style w:type="character" w:customStyle="1" w:styleId="96">
    <w:name w:val="三级条标题 Char Char"/>
    <w:link w:val="97"/>
    <w:qFormat/>
    <w:uiPriority w:val="0"/>
    <w:rPr>
      <w:rFonts w:ascii="黑体" w:eastAsia="黑体"/>
      <w:sz w:val="21"/>
    </w:rPr>
  </w:style>
  <w:style w:type="paragraph" w:customStyle="1" w:styleId="97">
    <w:name w:val="三级条标题"/>
    <w:basedOn w:val="98"/>
    <w:next w:val="45"/>
    <w:link w:val="96"/>
    <w:qFormat/>
    <w:uiPriority w:val="0"/>
    <w:pPr>
      <w:tabs>
        <w:tab w:val="left" w:pos="720"/>
        <w:tab w:val="left" w:pos="992"/>
      </w:tabs>
      <w:ind w:left="992" w:hanging="992"/>
      <w:outlineLvl w:val="4"/>
    </w:pPr>
  </w:style>
  <w:style w:type="paragraph" w:customStyle="1" w:styleId="98">
    <w:name w:val="二级条标题"/>
    <w:basedOn w:val="43"/>
    <w:next w:val="45"/>
    <w:link w:val="99"/>
    <w:qFormat/>
    <w:uiPriority w:val="0"/>
    <w:pPr>
      <w:outlineLvl w:val="3"/>
    </w:pPr>
  </w:style>
  <w:style w:type="character" w:customStyle="1" w:styleId="99">
    <w:name w:val="二级条标题 Char Char"/>
    <w:link w:val="98"/>
    <w:qFormat/>
    <w:uiPriority w:val="0"/>
    <w:rPr>
      <w:rFonts w:ascii="黑体" w:eastAsia="黑体"/>
      <w:sz w:val="21"/>
    </w:rPr>
  </w:style>
  <w:style w:type="character" w:customStyle="1" w:styleId="100">
    <w:name w:val="章标题 Char Char"/>
    <w:link w:val="44"/>
    <w:qFormat/>
    <w:uiPriority w:val="0"/>
    <w:rPr>
      <w:rFonts w:ascii="黑体" w:eastAsia="黑体"/>
      <w:sz w:val="21"/>
      <w:lang w:val="en-US" w:eastAsia="zh-CN" w:bidi="ar-SA"/>
    </w:rPr>
  </w:style>
  <w:style w:type="character" w:customStyle="1" w:styleId="101">
    <w:name w:val="一级条标题 Char Char"/>
    <w:link w:val="43"/>
    <w:qFormat/>
    <w:uiPriority w:val="0"/>
    <w:rPr>
      <w:rFonts w:ascii="黑体" w:eastAsia="黑体"/>
      <w:sz w:val="21"/>
    </w:rPr>
  </w:style>
  <w:style w:type="paragraph" w:customStyle="1" w:styleId="102">
    <w:name w:val="正文图标题"/>
    <w:next w:val="45"/>
    <w:qFormat/>
    <w:uiPriority w:val="0"/>
    <w:pPr>
      <w:ind w:left="360" w:hanging="360"/>
      <w:jc w:val="center"/>
    </w:pPr>
    <w:rPr>
      <w:rFonts w:ascii="黑体" w:hAnsi="Times New Roman" w:eastAsia="黑体" w:cs="Times New Roman"/>
      <w:sz w:val="21"/>
      <w:lang w:val="en-US" w:eastAsia="zh-CN" w:bidi="ar-SA"/>
    </w:rPr>
  </w:style>
  <w:style w:type="paragraph" w:customStyle="1" w:styleId="103">
    <w:name w:val="正文表标题"/>
    <w:next w:val="45"/>
    <w:qFormat/>
    <w:uiPriority w:val="0"/>
    <w:pPr>
      <w:ind w:left="360" w:hanging="360"/>
      <w:jc w:val="center"/>
    </w:pPr>
    <w:rPr>
      <w:rFonts w:ascii="黑体" w:hAnsi="Times New Roman" w:eastAsia="黑体" w:cs="Times New Roman"/>
      <w:sz w:val="21"/>
      <w:lang w:val="en-US" w:eastAsia="zh-CN" w:bidi="ar-SA"/>
    </w:rPr>
  </w:style>
  <w:style w:type="paragraph" w:customStyle="1" w:styleId="104">
    <w:name w:val="目次、标准名称标题"/>
    <w:basedOn w:val="1"/>
    <w:next w:val="45"/>
    <w:qFormat/>
    <w:uiPriority w:val="0"/>
    <w:pPr>
      <w:shd w:val="clear" w:color="FFFFFF" w:fill="FFFFFF"/>
      <w:spacing w:before="640" w:after="560" w:line="460" w:lineRule="exact"/>
      <w:jc w:val="center"/>
      <w:outlineLvl w:val="0"/>
    </w:pPr>
    <w:rPr>
      <w:rFonts w:ascii="黑体" w:eastAsia="黑体"/>
      <w:kern w:val="0"/>
      <w:sz w:val="32"/>
      <w:szCs w:val="20"/>
    </w:rPr>
  </w:style>
  <w:style w:type="character" w:customStyle="1" w:styleId="105">
    <w:name w:val="纯文本 Char1"/>
    <w:qFormat/>
    <w:uiPriority w:val="0"/>
    <w:rPr>
      <w:rFonts w:ascii="宋体" w:hAnsi="Courier New" w:eastAsia="宋体" w:cs="Courier New"/>
      <w:sz w:val="21"/>
      <w:szCs w:val="21"/>
    </w:rPr>
  </w:style>
  <w:style w:type="character" w:customStyle="1" w:styleId="106">
    <w:name w:val="无间隔 Char1"/>
    <w:link w:val="94"/>
    <w:qFormat/>
    <w:uiPriority w:val="1"/>
    <w:rPr>
      <w:rFonts w:ascii="Times New Roman" w:hAnsi="Times New Roman"/>
      <w:kern w:val="2"/>
      <w:sz w:val="21"/>
      <w:szCs w:val="24"/>
      <w:lang w:bidi="ar-SA"/>
    </w:rPr>
  </w:style>
  <w:style w:type="character" w:customStyle="1" w:styleId="107">
    <w:name w:val="HTML 预设格式 Char"/>
    <w:link w:val="27"/>
    <w:qFormat/>
    <w:uiPriority w:val="99"/>
    <w:rPr>
      <w:rFonts w:ascii="宋体" w:hAnsi="宋体" w:cs="宋体"/>
      <w:sz w:val="24"/>
      <w:szCs w:val="24"/>
    </w:rPr>
  </w:style>
  <w:style w:type="character" w:customStyle="1" w:styleId="108">
    <w:name w:val="页眉 Char"/>
    <w:qFormat/>
    <w:uiPriority w:val="99"/>
    <w:rPr>
      <w:lang w:eastAsia="zh-CN"/>
    </w:rPr>
  </w:style>
  <w:style w:type="character" w:customStyle="1" w:styleId="109">
    <w:name w:val="textcontents"/>
    <w:qFormat/>
    <w:uiPriority w:val="0"/>
    <w:rPr>
      <w:rFonts w:cs="Times New Roman"/>
    </w:rPr>
  </w:style>
  <w:style w:type="character" w:customStyle="1" w:styleId="110">
    <w:name w:val="标题4 Char Char"/>
    <w:link w:val="111"/>
    <w:qFormat/>
    <w:uiPriority w:val="0"/>
    <w:rPr>
      <w:rFonts w:ascii="Arial" w:hAnsi="Arial"/>
      <w:b/>
      <w:bCs/>
      <w:sz w:val="24"/>
      <w:szCs w:val="32"/>
    </w:rPr>
  </w:style>
  <w:style w:type="paragraph" w:customStyle="1" w:styleId="111">
    <w:name w:val="标题4"/>
    <w:basedOn w:val="3"/>
    <w:next w:val="14"/>
    <w:link w:val="110"/>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12">
    <w:name w:val="tabg"/>
    <w:qFormat/>
    <w:uiPriority w:val="0"/>
    <w:rPr>
      <w:rFonts w:ascii="微软雅黑" w:hAnsi="微软雅黑" w:eastAsia="微软雅黑" w:cs="微软雅黑"/>
      <w:color w:val="FFFFFF"/>
      <w:sz w:val="27"/>
      <w:szCs w:val="27"/>
    </w:rPr>
  </w:style>
  <w:style w:type="paragraph" w:customStyle="1" w:styleId="113">
    <w:name w:val="xl154"/>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textAlignment w:val="center"/>
    </w:pPr>
    <w:rPr>
      <w:rFonts w:ascii="Arial" w:hAnsi="Arial" w:cs="Arial"/>
      <w:b/>
      <w:bCs/>
      <w:i/>
      <w:iCs/>
      <w:kern w:val="0"/>
      <w:sz w:val="20"/>
      <w:szCs w:val="20"/>
    </w:rPr>
  </w:style>
  <w:style w:type="paragraph" w:customStyle="1" w:styleId="114">
    <w:name w:val="表内文字  居左"/>
    <w:basedOn w:val="1"/>
    <w:qFormat/>
    <w:uiPriority w:val="0"/>
    <w:rPr>
      <w:snapToGrid w:val="0"/>
      <w:szCs w:val="20"/>
    </w:rPr>
  </w:style>
  <w:style w:type="paragraph" w:customStyle="1" w:styleId="115">
    <w:name w:val="_Style 32"/>
    <w:qFormat/>
    <w:uiPriority w:val="1"/>
    <w:pPr>
      <w:widowControl w:val="0"/>
      <w:jc w:val="both"/>
    </w:pPr>
    <w:rPr>
      <w:rFonts w:ascii="Calibri" w:hAnsi="Calibri" w:eastAsia="微软雅黑" w:cs="Times New Roman"/>
      <w:kern w:val="2"/>
      <w:sz w:val="21"/>
      <w:szCs w:val="24"/>
      <w:lang w:val="en-US" w:eastAsia="zh-CN" w:bidi="ar-SA"/>
    </w:rPr>
  </w:style>
  <w:style w:type="character" w:customStyle="1" w:styleId="116">
    <w:name w:val="正文缩进 Char"/>
    <w:link w:val="9"/>
    <w:qFormat/>
    <w:uiPriority w:val="0"/>
    <w:rPr>
      <w:kern w:val="2"/>
      <w:sz w:val="21"/>
      <w:szCs w:val="24"/>
    </w:rPr>
  </w:style>
  <w:style w:type="character" w:customStyle="1" w:styleId="117">
    <w:name w:val="font41"/>
    <w:qFormat/>
    <w:uiPriority w:val="0"/>
    <w:rPr>
      <w:rFonts w:hint="default" w:ascii="GE Inspira Pitch" w:hAnsi="GE Inspira Pitch" w:eastAsia="GE Inspira Pitch" w:cs="GE Inspira Pitch"/>
      <w:color w:val="FF0000"/>
      <w:sz w:val="22"/>
      <w:szCs w:val="22"/>
      <w:u w:val="none"/>
    </w:rPr>
  </w:style>
  <w:style w:type="character" w:customStyle="1" w:styleId="118">
    <w:name w:val="日期 Char1"/>
    <w:semiHidden/>
    <w:qFormat/>
    <w:uiPriority w:val="99"/>
    <w:rPr>
      <w:kern w:val="2"/>
      <w:sz w:val="21"/>
      <w:szCs w:val="24"/>
    </w:rPr>
  </w:style>
  <w:style w:type="character" w:customStyle="1" w:styleId="119">
    <w:name w:val="font21"/>
    <w:qFormat/>
    <w:uiPriority w:val="0"/>
    <w:rPr>
      <w:rFonts w:hint="default" w:ascii="GE Inspira Pitch" w:hAnsi="GE Inspira Pitch" w:eastAsia="GE Inspira Pitch" w:cs="GE Inspira Pitch"/>
      <w:b/>
      <w:color w:val="000000"/>
      <w:sz w:val="22"/>
      <w:szCs w:val="22"/>
      <w:u w:val="none"/>
    </w:rPr>
  </w:style>
  <w:style w:type="character" w:customStyle="1" w:styleId="120">
    <w:name w:val="font01"/>
    <w:qFormat/>
    <w:uiPriority w:val="0"/>
    <w:rPr>
      <w:rFonts w:hint="eastAsia" w:ascii="宋体" w:hAnsi="宋体" w:eastAsia="宋体" w:cs="宋体"/>
      <w:color w:val="000000"/>
      <w:sz w:val="22"/>
      <w:szCs w:val="22"/>
      <w:u w:val="none"/>
    </w:rPr>
  </w:style>
  <w:style w:type="character" w:customStyle="1" w:styleId="121">
    <w:name w:val="font61"/>
    <w:qFormat/>
    <w:uiPriority w:val="0"/>
    <w:rPr>
      <w:rFonts w:hint="default" w:ascii="GE Inspira Pitch" w:hAnsi="GE Inspira Pitch" w:eastAsia="GE Inspira Pitch" w:cs="GE Inspira Pitch"/>
      <w:color w:val="000000"/>
      <w:sz w:val="22"/>
      <w:szCs w:val="22"/>
      <w:u w:val="none"/>
    </w:rPr>
  </w:style>
  <w:style w:type="character" w:customStyle="1" w:styleId="122">
    <w:name w:val="font71"/>
    <w:qFormat/>
    <w:uiPriority w:val="0"/>
    <w:rPr>
      <w:rFonts w:hint="default" w:ascii="幼圆" w:hAnsi="幼圆" w:eastAsia="幼圆" w:cs="幼圆"/>
      <w:color w:val="000000"/>
      <w:sz w:val="22"/>
      <w:szCs w:val="22"/>
      <w:u w:val="none"/>
    </w:rPr>
  </w:style>
  <w:style w:type="character" w:customStyle="1" w:styleId="123">
    <w:name w:val="列出段落 Char"/>
    <w:link w:val="91"/>
    <w:qFormat/>
    <w:uiPriority w:val="34"/>
    <w:rPr>
      <w:kern w:val="2"/>
      <w:sz w:val="21"/>
      <w:szCs w:val="24"/>
    </w:rPr>
  </w:style>
  <w:style w:type="character" w:customStyle="1" w:styleId="124">
    <w:name w:val="font51"/>
    <w:qFormat/>
    <w:uiPriority w:val="0"/>
    <w:rPr>
      <w:rFonts w:hint="default" w:ascii="幼圆" w:hAnsi="幼圆" w:eastAsia="幼圆" w:cs="幼圆"/>
      <w:color w:val="FF0000"/>
      <w:sz w:val="22"/>
      <w:szCs w:val="22"/>
      <w:u w:val="none"/>
    </w:rPr>
  </w:style>
  <w:style w:type="character" w:customStyle="1" w:styleId="125">
    <w:name w:val="font101"/>
    <w:qFormat/>
    <w:uiPriority w:val="0"/>
    <w:rPr>
      <w:rFonts w:hint="default" w:ascii="GE Inspira Pitch" w:hAnsi="GE Inspira Pitch" w:eastAsia="GE Inspira Pitch" w:cs="GE Inspira Pitch"/>
      <w:color w:val="0000FF"/>
      <w:sz w:val="22"/>
      <w:szCs w:val="22"/>
      <w:u w:val="none"/>
    </w:rPr>
  </w:style>
  <w:style w:type="character" w:customStyle="1" w:styleId="126">
    <w:name w:val="font91"/>
    <w:qFormat/>
    <w:uiPriority w:val="0"/>
    <w:rPr>
      <w:rFonts w:hint="default" w:ascii="幼圆" w:hAnsi="幼圆" w:eastAsia="幼圆" w:cs="幼圆"/>
      <w:b/>
      <w:color w:val="000000"/>
      <w:sz w:val="32"/>
      <w:szCs w:val="32"/>
      <w:u w:val="none"/>
    </w:rPr>
  </w:style>
  <w:style w:type="character" w:customStyle="1" w:styleId="127">
    <w:name w:val="font11"/>
    <w:qFormat/>
    <w:uiPriority w:val="0"/>
    <w:rPr>
      <w:rFonts w:hint="eastAsia" w:ascii="宋体" w:hAnsi="宋体" w:eastAsia="宋体" w:cs="宋体"/>
      <w:color w:val="333333"/>
      <w:sz w:val="13"/>
      <w:szCs w:val="13"/>
      <w:u w:val="none"/>
    </w:rPr>
  </w:style>
  <w:style w:type="character" w:customStyle="1" w:styleId="128">
    <w:name w:val="font31"/>
    <w:qFormat/>
    <w:uiPriority w:val="0"/>
    <w:rPr>
      <w:rFonts w:ascii="幼圆" w:hAnsi="幼圆" w:eastAsia="幼圆" w:cs="幼圆"/>
      <w:b/>
      <w:color w:val="000000"/>
      <w:sz w:val="22"/>
      <w:szCs w:val="22"/>
      <w:u w:val="none"/>
    </w:rPr>
  </w:style>
  <w:style w:type="paragraph" w:customStyle="1" w:styleId="129">
    <w:name w:val="新正文"/>
    <w:basedOn w:val="1"/>
    <w:qFormat/>
    <w:uiPriority w:val="0"/>
    <w:pPr>
      <w:spacing w:line="440" w:lineRule="exact"/>
    </w:pPr>
    <w:rPr>
      <w:rFonts w:hAnsi="宋体" w:cs="Arial"/>
      <w:sz w:val="28"/>
      <w:szCs w:val="28"/>
    </w:rPr>
  </w:style>
  <w:style w:type="paragraph" w:customStyle="1" w:styleId="130">
    <w:name w:val="Char"/>
    <w:basedOn w:val="1"/>
    <w:qFormat/>
    <w:uiPriority w:val="0"/>
  </w:style>
  <w:style w:type="paragraph" w:customStyle="1" w:styleId="131">
    <w:name w:val="List Paragraph1"/>
    <w:basedOn w:val="1"/>
    <w:qFormat/>
    <w:uiPriority w:val="0"/>
    <w:pPr>
      <w:ind w:firstLine="420" w:firstLineChars="200"/>
    </w:pPr>
    <w:rPr>
      <w:szCs w:val="20"/>
    </w:rPr>
  </w:style>
  <w:style w:type="paragraph" w:customStyle="1" w:styleId="132">
    <w:name w:val="Free Form"/>
    <w:qFormat/>
    <w:uiPriority w:val="0"/>
    <w:rPr>
      <w:rFonts w:ascii="Helvetica" w:hAnsi="Helvetica" w:eastAsia="ヒラギノ角ゴ Pro W3" w:cs="Times New Roman"/>
      <w:color w:val="000000"/>
      <w:sz w:val="24"/>
      <w:lang w:val="en-US" w:eastAsia="en-US" w:bidi="ar-SA"/>
    </w:rPr>
  </w:style>
  <w:style w:type="paragraph" w:customStyle="1" w:styleId="133">
    <w:name w:val="Char Char"/>
    <w:basedOn w:val="1"/>
    <w:qFormat/>
    <w:uiPriority w:val="0"/>
    <w:pPr>
      <w:spacing w:after="160" w:line="240" w:lineRule="exact"/>
    </w:pPr>
  </w:style>
  <w:style w:type="paragraph" w:customStyle="1" w:styleId="134">
    <w:name w:val="Body"/>
    <w:qFormat/>
    <w:uiPriority w:val="0"/>
    <w:rPr>
      <w:rFonts w:ascii="Helvetica" w:hAnsi="Helvetica" w:eastAsia="ヒラギノ角ゴ Pro W3" w:cs="Times New Roman"/>
      <w:color w:val="000000"/>
      <w:sz w:val="24"/>
      <w:lang w:val="en-US" w:eastAsia="en-US" w:bidi="ar-SA"/>
    </w:rPr>
  </w:style>
  <w:style w:type="character" w:customStyle="1" w:styleId="135">
    <w:name w:val="apple-converted-space"/>
    <w:qFormat/>
    <w:uiPriority w:val="0"/>
  </w:style>
  <w:style w:type="paragraph" w:customStyle="1" w:styleId="136">
    <w:name w:val="正文1"/>
    <w:basedOn w:val="1"/>
    <w:qFormat/>
    <w:uiPriority w:val="0"/>
    <w:pPr>
      <w:adjustRightInd w:val="0"/>
      <w:spacing w:line="312" w:lineRule="atLeast"/>
    </w:pPr>
    <w:rPr>
      <w:rFonts w:ascii="宋体" w:hAnsi="宋体" w:eastAsia="宋体" w:cs="宋体"/>
      <w:kern w:val="0"/>
      <w:sz w:val="34"/>
      <w:szCs w:val="3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EABC-1AAA-4E50-8DE6-409D5A2438D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71</Pages>
  <Words>34320</Words>
  <Characters>36413</Characters>
  <Lines>356</Lines>
  <Paragraphs>100</Paragraphs>
  <TotalTime>0</TotalTime>
  <ScaleCrop>false</ScaleCrop>
  <LinksUpToDate>false</LinksUpToDate>
  <CharactersWithSpaces>38881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2022-04-27T09:27:00Z</dcterms:created>
  <dc:creator>李青</dc:creator>
  <cp:lastModifiedBy>Administrator</cp:lastModifiedBy>
  <cp:lastPrinted>2020-09-25T06:32:00Z</cp:lastPrinted>
  <dcterms:modified xsi:type="dcterms:W3CDTF">2024-06-20T13:23:11Z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95FAF84F70324DB9AF8CA5832617CE5F_13</vt:lpwstr>
  </property>
</Properties>
</file>