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A818E">
      <w:pPr>
        <w:spacing w:line="353" w:lineRule="auto"/>
        <w:rPr>
          <w:color w:val="auto"/>
        </w:rPr>
      </w:pPr>
    </w:p>
    <w:p w14:paraId="7D692D54">
      <w:pPr>
        <w:spacing w:line="354" w:lineRule="auto"/>
        <w:rPr>
          <w:color w:val="auto"/>
        </w:rPr>
      </w:pPr>
    </w:p>
    <w:p w14:paraId="46FCDC63">
      <w:pPr>
        <w:spacing w:line="360" w:lineRule="auto"/>
        <w:jc w:val="both"/>
        <w:outlineLvl w:val="0"/>
        <w:rPr>
          <w:rFonts w:ascii="宋体"/>
          <w:b/>
          <w:bCs/>
          <w:color w:val="auto"/>
          <w:sz w:val="48"/>
          <w:szCs w:val="48"/>
          <w:lang w:eastAsia="zh-CN"/>
        </w:rPr>
      </w:pPr>
      <w:bookmarkStart w:id="0" w:name="_Toc2723"/>
      <w:bookmarkStart w:id="1" w:name="_Toc25688"/>
      <w:bookmarkStart w:id="2" w:name="_Toc5999"/>
      <w:bookmarkStart w:id="3" w:name="_Toc13950"/>
      <w:bookmarkStart w:id="4" w:name="_Toc16835"/>
    </w:p>
    <w:bookmarkEnd w:id="0"/>
    <w:bookmarkEnd w:id="1"/>
    <w:bookmarkEnd w:id="2"/>
    <w:bookmarkEnd w:id="3"/>
    <w:bookmarkEnd w:id="4"/>
    <w:p w14:paraId="6D9F98F4">
      <w:pPr>
        <w:spacing w:line="360" w:lineRule="auto"/>
        <w:jc w:val="center"/>
        <w:outlineLvl w:val="0"/>
        <w:rPr>
          <w:rFonts w:hint="eastAsia" w:ascii="宋体" w:hAnsi="宋体" w:eastAsia="宋体" w:cs="宋体"/>
          <w:b/>
          <w:bCs/>
          <w:color w:val="auto"/>
          <w:sz w:val="56"/>
          <w:szCs w:val="56"/>
          <w:lang w:eastAsia="zh-CN"/>
        </w:rPr>
      </w:pPr>
      <w:r>
        <w:rPr>
          <w:rFonts w:hint="eastAsia" w:ascii="宋体" w:hAnsi="宋体" w:eastAsia="宋体" w:cs="宋体"/>
          <w:b/>
          <w:bCs/>
          <w:color w:val="auto"/>
          <w:sz w:val="56"/>
          <w:szCs w:val="56"/>
          <w:lang w:eastAsia="zh-CN"/>
        </w:rPr>
        <w:t>延吉市朝阳川镇中心卫生院县域医疗分中心建设医疗设备采购项目</w:t>
      </w:r>
    </w:p>
    <w:p w14:paraId="1EBBC46D">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246B3FC6">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417A4EEB">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0C326BDC">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05608C46">
      <w:pPr>
        <w:spacing w:line="360" w:lineRule="auto"/>
        <w:jc w:val="center"/>
        <w:outlineLvl w:val="0"/>
        <w:rPr>
          <w:rFonts w:hint="eastAsia" w:ascii="宋体" w:hAnsi="宋体" w:eastAsia="宋体" w:cs="宋体"/>
          <w:b/>
          <w:bCs/>
          <w:color w:val="auto"/>
          <w:sz w:val="60"/>
          <w:szCs w:val="60"/>
          <w:lang w:eastAsia="zh-CN"/>
        </w:rPr>
      </w:pPr>
      <w:bookmarkStart w:id="5" w:name="_Toc14568"/>
      <w:bookmarkStart w:id="6" w:name="_Toc17134"/>
      <w:bookmarkStart w:id="7" w:name="_Toc4675"/>
      <w:bookmarkStart w:id="8" w:name="_Toc17122"/>
      <w:bookmarkStart w:id="9" w:name="_Toc22249"/>
      <w:bookmarkStart w:id="10" w:name="_Toc2252"/>
      <w:bookmarkStart w:id="11" w:name="_Toc30689"/>
      <w:r>
        <w:rPr>
          <w:rFonts w:hint="eastAsia" w:ascii="宋体" w:hAnsi="宋体" w:eastAsia="宋体" w:cs="宋体"/>
          <w:b/>
          <w:bCs/>
          <w:color w:val="auto"/>
          <w:sz w:val="60"/>
          <w:szCs w:val="60"/>
          <w:lang w:eastAsia="zh-CN"/>
        </w:rPr>
        <w:t>招 标 文 件</w:t>
      </w:r>
      <w:bookmarkEnd w:id="5"/>
      <w:bookmarkEnd w:id="6"/>
      <w:bookmarkEnd w:id="7"/>
      <w:bookmarkEnd w:id="8"/>
      <w:bookmarkEnd w:id="9"/>
      <w:bookmarkEnd w:id="10"/>
      <w:bookmarkEnd w:id="11"/>
    </w:p>
    <w:p w14:paraId="63F2197E">
      <w:pPr>
        <w:widowControl w:val="0"/>
        <w:kinsoku/>
        <w:autoSpaceDE/>
        <w:autoSpaceDN/>
        <w:adjustRightInd/>
        <w:snapToGrid/>
        <w:spacing w:before="120" w:beforeLines="50"/>
        <w:jc w:val="center"/>
        <w:textAlignment w:val="auto"/>
        <w:rPr>
          <w:rFonts w:hint="eastAsia" w:ascii="宋体" w:hAnsi="宋体" w:eastAsia="宋体" w:cs="宋体"/>
          <w:b/>
          <w:bCs/>
          <w:color w:val="auto"/>
          <w:sz w:val="32"/>
          <w:szCs w:val="32"/>
          <w:lang w:eastAsia="zh-CN"/>
        </w:rPr>
      </w:pPr>
      <w:bookmarkStart w:id="12" w:name="_Toc1303"/>
      <w:bookmarkStart w:id="13" w:name="_Toc31309"/>
      <w:bookmarkStart w:id="14" w:name="_Toc17955"/>
      <w:bookmarkStart w:id="15" w:name="_Toc13447"/>
      <w:r>
        <w:rPr>
          <w:rFonts w:hint="eastAsia" w:ascii="宋体" w:hAnsi="宋体" w:eastAsia="宋体" w:cs="宋体"/>
          <w:b/>
          <w:bCs/>
          <w:color w:val="auto"/>
          <w:sz w:val="36"/>
          <w:szCs w:val="36"/>
          <w:lang w:eastAsia="zh-CN"/>
        </w:rPr>
        <w:t>项目编号：</w:t>
      </w:r>
      <w:bookmarkEnd w:id="12"/>
      <w:bookmarkEnd w:id="13"/>
      <w:bookmarkEnd w:id="14"/>
      <w:bookmarkEnd w:id="15"/>
      <w:r>
        <w:rPr>
          <w:rFonts w:hint="eastAsia" w:ascii="宋体" w:hAnsi="宋体" w:eastAsia="宋体" w:cs="宋体"/>
          <w:b/>
          <w:bCs/>
          <w:color w:val="auto"/>
          <w:sz w:val="36"/>
          <w:szCs w:val="36"/>
          <w:lang w:eastAsia="zh-CN"/>
        </w:rPr>
        <w:t>ZKGSF(ZB)-20250142</w:t>
      </w:r>
    </w:p>
    <w:p w14:paraId="59C8DC3A">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bookmarkStart w:id="16" w:name="_Toc20466"/>
    </w:p>
    <w:p w14:paraId="09B574AA">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11495E33">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46AF8618">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56B83011">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7318E4D9">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1D104F85">
      <w:pPr>
        <w:pStyle w:val="26"/>
        <w:rPr>
          <w:color w:val="auto"/>
        </w:rPr>
      </w:pPr>
    </w:p>
    <w:p w14:paraId="15C7705E">
      <w:pPr>
        <w:widowControl w:val="0"/>
        <w:kinsoku/>
        <w:autoSpaceDE/>
        <w:autoSpaceDN/>
        <w:adjustRightInd/>
        <w:snapToGrid/>
        <w:spacing w:line="360" w:lineRule="auto"/>
        <w:ind w:firstLine="900" w:firstLineChars="300"/>
        <w:jc w:val="center"/>
        <w:textAlignment w:val="auto"/>
        <w:outlineLvl w:val="0"/>
        <w:rPr>
          <w:rFonts w:eastAsia="宋体"/>
          <w:b/>
          <w:bCs/>
          <w:color w:val="auto"/>
          <w:sz w:val="30"/>
          <w:szCs w:val="30"/>
          <w:lang w:eastAsia="zh-CN"/>
        </w:rPr>
      </w:pPr>
      <w:bookmarkStart w:id="17" w:name="_Toc19489"/>
      <w:bookmarkStart w:id="18" w:name="_Toc17357"/>
      <w:bookmarkStart w:id="19" w:name="_Toc18741"/>
      <w:bookmarkStart w:id="20" w:name="_Toc10370"/>
      <w:bookmarkStart w:id="21" w:name="_Toc26824"/>
      <w:r>
        <w:rPr>
          <w:rFonts w:hint="eastAsia"/>
          <w:b/>
          <w:bCs/>
          <w:color w:val="auto"/>
          <w:sz w:val="30"/>
          <w:szCs w:val="30"/>
          <w:lang w:eastAsia="zh-CN"/>
        </w:rPr>
        <w:t>采 购 人：</w:t>
      </w:r>
      <w:bookmarkEnd w:id="16"/>
      <w:bookmarkEnd w:id="17"/>
      <w:bookmarkEnd w:id="18"/>
      <w:bookmarkEnd w:id="19"/>
      <w:bookmarkEnd w:id="20"/>
      <w:bookmarkEnd w:id="21"/>
      <w:r>
        <w:rPr>
          <w:rFonts w:hint="eastAsia" w:eastAsia="宋体"/>
          <w:b/>
          <w:bCs/>
          <w:color w:val="auto"/>
          <w:sz w:val="30"/>
          <w:szCs w:val="30"/>
          <w:lang w:eastAsia="zh-CN"/>
        </w:rPr>
        <w:t>延吉市朝阳川镇中心卫生院</w:t>
      </w:r>
    </w:p>
    <w:p w14:paraId="1F2E91D4">
      <w:pPr>
        <w:widowControl w:val="0"/>
        <w:kinsoku/>
        <w:autoSpaceDE/>
        <w:autoSpaceDN/>
        <w:adjustRightInd/>
        <w:snapToGrid/>
        <w:spacing w:line="360" w:lineRule="auto"/>
        <w:ind w:firstLine="900" w:firstLineChars="300"/>
        <w:jc w:val="center"/>
        <w:textAlignment w:val="auto"/>
        <w:rPr>
          <w:rFonts w:eastAsia="宋体"/>
          <w:b/>
          <w:bCs/>
          <w:color w:val="auto"/>
          <w:sz w:val="30"/>
          <w:szCs w:val="30"/>
          <w:lang w:eastAsia="zh-CN"/>
        </w:rPr>
      </w:pPr>
      <w:r>
        <w:rPr>
          <w:rFonts w:hint="eastAsia"/>
          <w:b/>
          <w:bCs/>
          <w:color w:val="auto"/>
          <w:sz w:val="30"/>
          <w:szCs w:val="30"/>
          <w:lang w:eastAsia="zh-CN"/>
        </w:rPr>
        <w:t>采购代理机构：</w:t>
      </w:r>
      <w:r>
        <w:rPr>
          <w:rFonts w:hint="eastAsia" w:eastAsia="宋体"/>
          <w:b/>
          <w:bCs/>
          <w:color w:val="auto"/>
          <w:sz w:val="30"/>
          <w:szCs w:val="30"/>
          <w:lang w:eastAsia="zh-CN"/>
        </w:rPr>
        <w:t>中科高盛咨询集团有限公司</w:t>
      </w:r>
    </w:p>
    <w:p w14:paraId="589D3706">
      <w:pPr>
        <w:widowControl w:val="0"/>
        <w:kinsoku/>
        <w:autoSpaceDE/>
        <w:autoSpaceDN/>
        <w:adjustRightInd/>
        <w:snapToGrid/>
        <w:spacing w:line="360" w:lineRule="auto"/>
        <w:ind w:firstLine="2701" w:firstLineChars="900"/>
        <w:jc w:val="both"/>
        <w:textAlignment w:val="auto"/>
        <w:outlineLvl w:val="0"/>
        <w:rPr>
          <w:b/>
          <w:bCs/>
          <w:color w:val="auto"/>
          <w:sz w:val="30"/>
          <w:szCs w:val="30"/>
          <w:lang w:eastAsia="zh-CN"/>
        </w:rPr>
      </w:pPr>
      <w:bookmarkStart w:id="22" w:name="_Toc7538"/>
      <w:bookmarkStart w:id="23" w:name="_Toc10255"/>
      <w:bookmarkStart w:id="24" w:name="_Toc8956"/>
      <w:bookmarkStart w:id="25" w:name="_Toc1588"/>
      <w:bookmarkStart w:id="26" w:name="_Toc17061"/>
      <w:bookmarkStart w:id="27" w:name="_Toc2467"/>
      <w:r>
        <w:rPr>
          <w:rFonts w:hint="eastAsia"/>
          <w:b/>
          <w:bCs/>
          <w:color w:val="auto"/>
          <w:sz w:val="30"/>
          <w:szCs w:val="30"/>
          <w:lang w:eastAsia="zh-CN"/>
        </w:rPr>
        <w:t>日 期：二〇二五年</w:t>
      </w:r>
      <w:r>
        <w:rPr>
          <w:rFonts w:hint="eastAsia"/>
          <w:b/>
          <w:bCs/>
          <w:color w:val="auto"/>
          <w:sz w:val="30"/>
          <w:szCs w:val="30"/>
          <w:lang w:val="en-US" w:eastAsia="zh-CN"/>
        </w:rPr>
        <w:t>二</w:t>
      </w:r>
      <w:r>
        <w:rPr>
          <w:rFonts w:hint="eastAsia"/>
          <w:b/>
          <w:bCs/>
          <w:color w:val="auto"/>
          <w:sz w:val="30"/>
          <w:szCs w:val="30"/>
          <w:lang w:eastAsia="zh-CN"/>
        </w:rPr>
        <w:t>月</w:t>
      </w:r>
      <w:bookmarkEnd w:id="22"/>
      <w:bookmarkEnd w:id="23"/>
      <w:bookmarkEnd w:id="24"/>
      <w:bookmarkEnd w:id="25"/>
      <w:bookmarkEnd w:id="26"/>
      <w:bookmarkEnd w:id="27"/>
    </w:p>
    <w:p w14:paraId="2254C62F">
      <w:pPr>
        <w:widowControl w:val="0"/>
        <w:kinsoku/>
        <w:autoSpaceDE/>
        <w:autoSpaceDN/>
        <w:adjustRightInd/>
        <w:snapToGrid/>
        <w:spacing w:line="360" w:lineRule="auto"/>
        <w:ind w:firstLine="900" w:firstLineChars="300"/>
        <w:textAlignment w:val="auto"/>
        <w:outlineLvl w:val="0"/>
        <w:rPr>
          <w:b/>
          <w:bCs/>
          <w:color w:val="auto"/>
          <w:sz w:val="30"/>
          <w:szCs w:val="30"/>
          <w:lang w:eastAsia="zh-CN"/>
        </w:rPr>
      </w:pPr>
    </w:p>
    <w:p w14:paraId="7C00B054">
      <w:pPr>
        <w:spacing w:line="360" w:lineRule="auto"/>
        <w:jc w:val="center"/>
        <w:rPr>
          <w:rFonts w:hint="eastAsia" w:ascii="宋体" w:hAnsi="宋体" w:eastAsia="宋体" w:cs="宋体"/>
          <w:b/>
          <w:bCs/>
          <w:color w:val="auto"/>
          <w:sz w:val="28"/>
          <w:szCs w:val="28"/>
          <w:lang w:eastAsia="zh-CN"/>
        </w:rPr>
        <w:sectPr>
          <w:footerReference r:id="rId3" w:type="default"/>
          <w:pgSz w:w="11906" w:h="16839"/>
          <w:pgMar w:top="1440" w:right="1310" w:bottom="1440" w:left="1310" w:header="0" w:footer="886" w:gutter="0"/>
          <w:cols w:space="720" w:num="1"/>
        </w:sectPr>
      </w:pPr>
    </w:p>
    <w:sdt>
      <w:sdtPr>
        <w:rPr>
          <w:rFonts w:hint="eastAsia" w:ascii="宋体" w:hAnsi="宋体" w:eastAsia="宋体" w:cs="宋体"/>
          <w:b/>
          <w:bCs/>
          <w:color w:val="auto"/>
          <w:sz w:val="28"/>
          <w:szCs w:val="28"/>
        </w:rPr>
        <w:id w:val="147481105"/>
        <w15:color w:val="DBDBDB"/>
        <w:docPartObj>
          <w:docPartGallery w:val="Table of Contents"/>
          <w:docPartUnique/>
        </w:docPartObj>
      </w:sdtPr>
      <w:sdtEndPr>
        <w:rPr>
          <w:rFonts w:hint="eastAsia" w:ascii="宋体" w:hAnsi="宋体" w:eastAsia="宋体" w:cs="宋体"/>
          <w:b/>
          <w:bCs/>
          <w:color w:val="auto"/>
          <w:sz w:val="28"/>
          <w:szCs w:val="28"/>
        </w:rPr>
      </w:sdtEndPr>
      <w:sdtContent>
        <w:p w14:paraId="2924B683">
          <w:pPr>
            <w:spacing w:line="360" w:lineRule="auto"/>
            <w:jc w:val="center"/>
            <w:rPr>
              <w:rFonts w:hint="eastAsia" w:ascii="宋体" w:hAnsi="宋体" w:eastAsia="宋体" w:cs="宋体"/>
              <w:b/>
              <w:bCs/>
              <w:color w:val="auto"/>
              <w:sz w:val="40"/>
              <w:szCs w:val="40"/>
              <w:lang w:eastAsia="zh-CN"/>
            </w:rPr>
          </w:pPr>
          <w:r>
            <w:rPr>
              <w:rFonts w:hint="eastAsia" w:ascii="宋体" w:hAnsi="宋体" w:eastAsia="宋体" w:cs="宋体"/>
              <w:b/>
              <w:bCs/>
              <w:color w:val="auto"/>
              <w:sz w:val="40"/>
              <w:szCs w:val="40"/>
              <w:lang w:eastAsia="zh-CN"/>
            </w:rPr>
            <w:t>目   录</w:t>
          </w:r>
        </w:p>
        <w:p w14:paraId="007A78EA">
          <w:pPr>
            <w:pStyle w:val="14"/>
            <w:tabs>
              <w:tab w:val="right" w:leader="dot" w:pos="9286"/>
            </w:tabs>
            <w:rPr>
              <w:color w:val="auto"/>
              <w:lang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lang w:eastAsia="zh-CN"/>
            </w:rPr>
            <w:instrText xml:space="preserve">TOC \o "1-1" \h \u </w:instrText>
          </w:r>
          <w:r>
            <w:rPr>
              <w:rFonts w:hint="eastAsia" w:ascii="宋体" w:hAnsi="宋体" w:eastAsia="宋体" w:cs="宋体"/>
              <w:b/>
              <w:bCs/>
              <w:color w:val="auto"/>
              <w:sz w:val="28"/>
              <w:szCs w:val="28"/>
            </w:rPr>
            <w:fldChar w:fldCharType="separate"/>
          </w:r>
        </w:p>
        <w:p w14:paraId="757D5AC2">
          <w:pPr>
            <w:pStyle w:val="14"/>
            <w:tabs>
              <w:tab w:val="right" w:leader="dot" w:pos="9286"/>
            </w:tabs>
            <w:spacing w:line="360" w:lineRule="auto"/>
            <w:rPr>
              <w:rFonts w:hint="eastAsia" w:ascii="宋体" w:hAnsi="宋体" w:eastAsia="宋体" w:cs="宋体"/>
              <w:b/>
              <w:bCs/>
              <w:color w:val="auto"/>
              <w:sz w:val="28"/>
              <w:szCs w:val="28"/>
            </w:rPr>
          </w:pPr>
          <w:r>
            <w:fldChar w:fldCharType="begin"/>
          </w:r>
          <w:r>
            <w:instrText xml:space="preserve"> HYPERLINK \l "_Toc27731" </w:instrText>
          </w:r>
          <w:r>
            <w:fldChar w:fldCharType="separate"/>
          </w:r>
          <w:r>
            <w:rPr>
              <w:rFonts w:hint="eastAsia" w:ascii="宋体" w:hAnsi="宋体" w:eastAsia="宋体" w:cs="宋体"/>
              <w:b/>
              <w:bCs/>
              <w:color w:val="auto"/>
              <w:sz w:val="28"/>
              <w:szCs w:val="28"/>
            </w:rPr>
            <w:t xml:space="preserve">第一章 </w:t>
          </w:r>
          <w:r>
            <w:rPr>
              <w:rFonts w:hint="eastAsia" w:ascii="宋体" w:hAnsi="宋体" w:eastAsia="宋体" w:cs="宋体"/>
              <w:b/>
              <w:bCs/>
              <w:color w:val="auto"/>
              <w:sz w:val="28"/>
              <w:szCs w:val="28"/>
              <w:lang w:eastAsia="zh-CN"/>
            </w:rPr>
            <w:t>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lang w:eastAsia="zh-CN"/>
            </w:rPr>
            <w:t>2</w:t>
          </w:r>
          <w:r>
            <w:rPr>
              <w:rFonts w:hint="eastAsia" w:ascii="宋体" w:hAnsi="宋体" w:eastAsia="宋体" w:cs="宋体"/>
              <w:b/>
              <w:bCs/>
              <w:color w:val="auto"/>
              <w:sz w:val="28"/>
              <w:szCs w:val="28"/>
              <w:lang w:eastAsia="zh-CN"/>
            </w:rPr>
            <w:fldChar w:fldCharType="end"/>
          </w:r>
        </w:p>
        <w:p w14:paraId="650FB5B1">
          <w:pPr>
            <w:pStyle w:val="14"/>
            <w:tabs>
              <w:tab w:val="right" w:leader="dot" w:pos="9286"/>
            </w:tabs>
            <w:spacing w:line="360" w:lineRule="auto"/>
            <w:rPr>
              <w:rFonts w:hint="eastAsia" w:ascii="宋体" w:hAnsi="宋体" w:eastAsia="宋体" w:cs="宋体"/>
              <w:b/>
              <w:bCs/>
              <w:color w:val="auto"/>
              <w:sz w:val="28"/>
              <w:szCs w:val="28"/>
            </w:rPr>
          </w:pPr>
          <w:r>
            <w:fldChar w:fldCharType="begin"/>
          </w:r>
          <w:r>
            <w:instrText xml:space="preserve"> HYPERLINK \l "_Toc23171" </w:instrText>
          </w:r>
          <w:r>
            <w:fldChar w:fldCharType="separate"/>
          </w:r>
          <w:r>
            <w:rPr>
              <w:rFonts w:hint="eastAsia" w:ascii="宋体" w:hAnsi="宋体" w:eastAsia="宋体" w:cs="宋体"/>
              <w:b/>
              <w:bCs/>
              <w:color w:val="auto"/>
              <w:sz w:val="28"/>
              <w:szCs w:val="28"/>
            </w:rPr>
            <w:t>第二章</w:t>
          </w:r>
          <w:r>
            <w:rPr>
              <w:rFonts w:hint="eastAsia" w:ascii="宋体" w:hAnsi="宋体" w:eastAsia="宋体" w:cs="宋体"/>
              <w:b/>
              <w:bCs/>
              <w:color w:val="auto"/>
              <w:sz w:val="28"/>
              <w:szCs w:val="28"/>
              <w:lang w:eastAsia="zh-CN"/>
            </w:rPr>
            <w:t xml:space="preserve"> 供应商</w:t>
          </w:r>
          <w:r>
            <w:rPr>
              <w:rFonts w:hint="eastAsia" w:ascii="宋体" w:hAnsi="宋体" w:eastAsia="宋体" w:cs="宋体"/>
              <w:b/>
              <w:bCs/>
              <w:color w:val="auto"/>
              <w:sz w:val="28"/>
              <w:szCs w:val="28"/>
            </w:rPr>
            <w:t>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_Toc23171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6</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26BA3E5D">
          <w:pPr>
            <w:pStyle w:val="14"/>
            <w:tabs>
              <w:tab w:val="right" w:leader="dot" w:pos="9286"/>
            </w:tabs>
            <w:spacing w:line="360" w:lineRule="auto"/>
            <w:rPr>
              <w:rFonts w:hint="eastAsia" w:ascii="宋体" w:hAnsi="宋体" w:eastAsia="宋体" w:cs="宋体"/>
              <w:b/>
              <w:bCs/>
              <w:color w:val="auto"/>
              <w:sz w:val="28"/>
              <w:szCs w:val="28"/>
              <w:lang w:eastAsia="zh-CN"/>
            </w:rPr>
          </w:pPr>
          <w:r>
            <w:fldChar w:fldCharType="begin"/>
          </w:r>
          <w:r>
            <w:instrText xml:space="preserve"> HYPERLINK \l "_Toc1701" </w:instrText>
          </w:r>
          <w:r>
            <w:fldChar w:fldCharType="separate"/>
          </w:r>
          <w:r>
            <w:rPr>
              <w:rFonts w:hint="eastAsia" w:ascii="宋体" w:hAnsi="宋体" w:eastAsia="宋体" w:cs="宋体"/>
              <w:b/>
              <w:bCs/>
              <w:color w:val="auto"/>
              <w:sz w:val="28"/>
              <w:szCs w:val="28"/>
            </w:rPr>
            <w:t>第三章</w:t>
          </w:r>
          <w:r>
            <w:rPr>
              <w:rFonts w:hint="eastAsia" w:ascii="宋体" w:hAnsi="宋体" w:eastAsia="宋体" w:cs="宋体"/>
              <w:b/>
              <w:bCs/>
              <w:color w:val="auto"/>
              <w:sz w:val="28"/>
              <w:szCs w:val="28"/>
              <w:lang w:eastAsia="zh-CN"/>
            </w:rPr>
            <w:t xml:space="preserve"> </w:t>
          </w:r>
          <w:r>
            <w:rPr>
              <w:rFonts w:hint="eastAsia" w:ascii="宋体" w:hAnsi="宋体" w:eastAsia="宋体" w:cs="宋体"/>
              <w:b/>
              <w:bCs/>
              <w:color w:val="auto"/>
              <w:sz w:val="28"/>
              <w:szCs w:val="28"/>
            </w:rPr>
            <w:t>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lang w:eastAsia="zh-CN"/>
            </w:rPr>
            <w:t>1</w:t>
          </w:r>
          <w:r>
            <w:rPr>
              <w:rFonts w:hint="eastAsia" w:ascii="宋体" w:hAnsi="宋体" w:eastAsia="宋体" w:cs="宋体"/>
              <w:b/>
              <w:bCs/>
              <w:color w:val="auto"/>
              <w:sz w:val="28"/>
              <w:szCs w:val="28"/>
              <w:lang w:eastAsia="zh-CN"/>
            </w:rPr>
            <w:fldChar w:fldCharType="end"/>
          </w:r>
          <w:r>
            <w:rPr>
              <w:rFonts w:hint="eastAsia" w:ascii="宋体" w:hAnsi="宋体" w:eastAsia="宋体" w:cs="宋体"/>
              <w:b/>
              <w:bCs/>
              <w:color w:val="auto"/>
              <w:sz w:val="28"/>
              <w:szCs w:val="28"/>
              <w:lang w:eastAsia="zh-CN"/>
            </w:rPr>
            <w:t>8</w:t>
          </w:r>
        </w:p>
        <w:p w14:paraId="51F74150">
          <w:pPr>
            <w:pStyle w:val="14"/>
            <w:tabs>
              <w:tab w:val="right" w:leader="dot" w:pos="9286"/>
            </w:tabs>
            <w:spacing w:line="360" w:lineRule="auto"/>
            <w:rPr>
              <w:rFonts w:hint="eastAsia" w:ascii="宋体" w:hAnsi="宋体" w:eastAsia="宋体" w:cs="宋体"/>
              <w:b/>
              <w:bCs/>
              <w:color w:val="auto"/>
              <w:sz w:val="28"/>
              <w:szCs w:val="28"/>
            </w:rPr>
          </w:pPr>
          <w:r>
            <w:fldChar w:fldCharType="begin"/>
          </w:r>
          <w:r>
            <w:instrText xml:space="preserve"> HYPERLINK \l "_Toc12764" </w:instrText>
          </w:r>
          <w:r>
            <w:fldChar w:fldCharType="separate"/>
          </w:r>
          <w:r>
            <w:rPr>
              <w:rFonts w:hint="eastAsia" w:ascii="宋体" w:hAnsi="宋体" w:eastAsia="宋体" w:cs="宋体"/>
              <w:b/>
              <w:bCs/>
              <w:color w:val="auto"/>
              <w:sz w:val="28"/>
              <w:szCs w:val="28"/>
            </w:rPr>
            <w:t>第四章 合同条款（参考格式）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_Toc12764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5917780">
          <w:pPr>
            <w:pStyle w:val="14"/>
            <w:tabs>
              <w:tab w:val="right" w:leader="dot" w:pos="9286"/>
            </w:tabs>
            <w:spacing w:line="360" w:lineRule="auto"/>
            <w:rPr>
              <w:rFonts w:hint="eastAsia" w:ascii="宋体" w:hAnsi="宋体" w:eastAsia="宋体" w:cs="宋体"/>
              <w:b/>
              <w:bCs/>
              <w:color w:val="auto"/>
              <w:sz w:val="28"/>
              <w:szCs w:val="28"/>
            </w:rPr>
          </w:pPr>
          <w:r>
            <w:fldChar w:fldCharType="begin"/>
          </w:r>
          <w:r>
            <w:instrText xml:space="preserve"> HYPERLINK \l "_Toc9810" </w:instrText>
          </w:r>
          <w:r>
            <w:fldChar w:fldCharType="separate"/>
          </w:r>
          <w:r>
            <w:rPr>
              <w:rFonts w:hint="eastAsia" w:ascii="宋体" w:hAnsi="宋体" w:eastAsia="宋体" w:cs="宋体"/>
              <w:b/>
              <w:bCs/>
              <w:color w:val="auto"/>
              <w:sz w:val="28"/>
              <w:szCs w:val="28"/>
            </w:rPr>
            <w:t>第五章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_Toc9810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08A23063">
          <w:pPr>
            <w:pStyle w:val="14"/>
            <w:tabs>
              <w:tab w:val="right" w:leader="dot" w:pos="9286"/>
            </w:tabs>
            <w:spacing w:line="360" w:lineRule="auto"/>
            <w:rPr>
              <w:color w:val="auto"/>
              <w:sz w:val="28"/>
              <w:szCs w:val="28"/>
            </w:rPr>
          </w:pPr>
          <w:r>
            <w:fldChar w:fldCharType="begin"/>
          </w:r>
          <w:r>
            <w:instrText xml:space="preserve"> HYPERLINK \l "_Toc6096" </w:instrText>
          </w:r>
          <w:r>
            <w:fldChar w:fldCharType="separate"/>
          </w:r>
          <w:r>
            <w:rPr>
              <w:rFonts w:hint="eastAsia" w:ascii="宋体" w:hAnsi="宋体" w:eastAsia="宋体" w:cs="宋体"/>
              <w:b/>
              <w:bCs/>
              <w:color w:val="auto"/>
              <w:sz w:val="28"/>
              <w:szCs w:val="28"/>
            </w:rPr>
            <w:t>第六章 投标文件构成及格式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_Toc6096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5126F2FF">
          <w:pPr>
            <w:pStyle w:val="14"/>
            <w:tabs>
              <w:tab w:val="right" w:leader="dot" w:pos="9286"/>
            </w:tabs>
            <w:rPr>
              <w:color w:val="auto"/>
            </w:rPr>
          </w:pPr>
        </w:p>
        <w:p w14:paraId="5E4500D8">
          <w:pPr>
            <w:spacing w:line="360" w:lineRule="auto"/>
            <w:rPr>
              <w:color w:val="auto"/>
            </w:rPr>
          </w:pPr>
          <w:r>
            <w:rPr>
              <w:rFonts w:hint="eastAsia" w:ascii="宋体" w:hAnsi="宋体" w:eastAsia="宋体" w:cs="宋体"/>
              <w:bCs/>
              <w:color w:val="auto"/>
              <w:szCs w:val="28"/>
            </w:rPr>
            <w:fldChar w:fldCharType="end"/>
          </w:r>
        </w:p>
      </w:sdtContent>
    </w:sdt>
    <w:p w14:paraId="183E4101">
      <w:pPr>
        <w:rPr>
          <w:rFonts w:hint="eastAsia" w:ascii="宋体" w:hAnsi="宋体" w:eastAsia="宋体" w:cs="宋体"/>
          <w:b/>
          <w:bCs/>
          <w:sz w:val="32"/>
          <w:szCs w:val="32"/>
        </w:rPr>
      </w:pPr>
      <w:bookmarkStart w:id="28" w:name="_Toc12043"/>
      <w:bookmarkStart w:id="29" w:name="_Toc18340"/>
    </w:p>
    <w:p w14:paraId="2750715F">
      <w:pPr>
        <w:rPr>
          <w:rFonts w:hint="eastAsia" w:ascii="宋体" w:hAnsi="宋体" w:eastAsia="宋体" w:cs="宋体"/>
          <w:b/>
          <w:bCs/>
          <w:sz w:val="32"/>
          <w:szCs w:val="32"/>
        </w:rPr>
      </w:pPr>
    </w:p>
    <w:p w14:paraId="541A1138">
      <w:pPr>
        <w:rPr>
          <w:rFonts w:hint="eastAsia" w:ascii="宋体" w:hAnsi="宋体" w:eastAsia="宋体" w:cs="宋体"/>
          <w:b/>
          <w:bCs/>
          <w:sz w:val="32"/>
          <w:szCs w:val="32"/>
        </w:rPr>
      </w:pPr>
    </w:p>
    <w:p w14:paraId="071364AB">
      <w:pPr>
        <w:rPr>
          <w:rFonts w:hint="eastAsia" w:ascii="宋体" w:hAnsi="宋体" w:eastAsia="宋体" w:cs="宋体"/>
          <w:b/>
          <w:bCs/>
          <w:sz w:val="32"/>
          <w:szCs w:val="32"/>
        </w:rPr>
      </w:pPr>
    </w:p>
    <w:p w14:paraId="0E09A700">
      <w:pPr>
        <w:rPr>
          <w:rFonts w:hint="eastAsia" w:ascii="宋体" w:hAnsi="宋体" w:eastAsia="宋体" w:cs="宋体"/>
          <w:b/>
          <w:bCs/>
          <w:sz w:val="32"/>
          <w:szCs w:val="32"/>
        </w:rPr>
      </w:pPr>
    </w:p>
    <w:p w14:paraId="23586B4A">
      <w:pPr>
        <w:rPr>
          <w:rFonts w:hint="eastAsia" w:ascii="宋体" w:hAnsi="宋体" w:eastAsia="宋体" w:cs="宋体"/>
          <w:b/>
          <w:bCs/>
          <w:sz w:val="32"/>
          <w:szCs w:val="32"/>
        </w:rPr>
      </w:pPr>
    </w:p>
    <w:p w14:paraId="1218C9E1">
      <w:pPr>
        <w:rPr>
          <w:rFonts w:hint="eastAsia" w:ascii="宋体" w:hAnsi="宋体" w:eastAsia="宋体" w:cs="宋体"/>
          <w:b/>
          <w:bCs/>
          <w:sz w:val="32"/>
          <w:szCs w:val="32"/>
        </w:rPr>
      </w:pPr>
    </w:p>
    <w:p w14:paraId="5C0587F7">
      <w:pPr>
        <w:rPr>
          <w:rFonts w:hint="eastAsia" w:ascii="宋体" w:hAnsi="宋体" w:eastAsia="宋体" w:cs="宋体"/>
          <w:b/>
          <w:bCs/>
          <w:sz w:val="32"/>
          <w:szCs w:val="32"/>
        </w:rPr>
      </w:pPr>
    </w:p>
    <w:p w14:paraId="5B3DF6A8">
      <w:pPr>
        <w:rPr>
          <w:rFonts w:hint="eastAsia" w:ascii="宋体" w:hAnsi="宋体" w:eastAsia="宋体" w:cs="宋体"/>
          <w:b/>
          <w:bCs/>
          <w:sz w:val="32"/>
          <w:szCs w:val="32"/>
        </w:rPr>
      </w:pPr>
    </w:p>
    <w:p w14:paraId="732C6265">
      <w:pPr>
        <w:rPr>
          <w:rFonts w:hint="eastAsia" w:ascii="宋体" w:hAnsi="宋体" w:eastAsia="宋体" w:cs="宋体"/>
          <w:b/>
          <w:bCs/>
          <w:sz w:val="32"/>
          <w:szCs w:val="32"/>
        </w:rPr>
      </w:pPr>
    </w:p>
    <w:p w14:paraId="08C7B4F4">
      <w:pPr>
        <w:rPr>
          <w:rFonts w:hint="eastAsia" w:ascii="宋体" w:hAnsi="宋体" w:eastAsia="宋体" w:cs="宋体"/>
          <w:b/>
          <w:bCs/>
          <w:sz w:val="32"/>
          <w:szCs w:val="32"/>
        </w:rPr>
      </w:pPr>
    </w:p>
    <w:p w14:paraId="7075BCA5">
      <w:pPr>
        <w:rPr>
          <w:rFonts w:hint="eastAsia" w:ascii="宋体" w:hAnsi="宋体" w:eastAsia="宋体" w:cs="宋体"/>
          <w:b/>
          <w:bCs/>
          <w:sz w:val="32"/>
          <w:szCs w:val="32"/>
        </w:rPr>
      </w:pPr>
    </w:p>
    <w:p w14:paraId="6FD2F522">
      <w:pPr>
        <w:rPr>
          <w:rFonts w:hint="eastAsia" w:ascii="宋体" w:hAnsi="宋体" w:eastAsia="宋体" w:cs="宋体"/>
          <w:b/>
          <w:bCs/>
          <w:sz w:val="32"/>
          <w:szCs w:val="32"/>
        </w:rPr>
      </w:pPr>
    </w:p>
    <w:p w14:paraId="0B130879">
      <w:pPr>
        <w:rPr>
          <w:rFonts w:hint="eastAsia" w:ascii="宋体" w:hAnsi="宋体" w:eastAsia="宋体" w:cs="宋体"/>
          <w:b/>
          <w:bCs/>
          <w:sz w:val="32"/>
          <w:szCs w:val="32"/>
        </w:rPr>
      </w:pPr>
    </w:p>
    <w:p w14:paraId="7438CBD1">
      <w:pPr>
        <w:rPr>
          <w:rFonts w:hint="eastAsia" w:ascii="宋体" w:hAnsi="宋体" w:eastAsia="宋体" w:cs="宋体"/>
          <w:b/>
          <w:bCs/>
          <w:sz w:val="32"/>
          <w:szCs w:val="32"/>
        </w:rPr>
      </w:pPr>
    </w:p>
    <w:p w14:paraId="41F0042A">
      <w:pPr>
        <w:rPr>
          <w:rFonts w:hint="eastAsia" w:ascii="宋体" w:hAnsi="宋体" w:eastAsia="宋体" w:cs="宋体"/>
          <w:b/>
          <w:bCs/>
          <w:sz w:val="32"/>
          <w:szCs w:val="32"/>
        </w:rPr>
      </w:pPr>
    </w:p>
    <w:p w14:paraId="2FDCA72F">
      <w:pPr>
        <w:rPr>
          <w:rFonts w:hint="eastAsia" w:ascii="宋体" w:hAnsi="宋体" w:eastAsia="宋体" w:cs="宋体"/>
          <w:b/>
          <w:bCs/>
          <w:sz w:val="32"/>
          <w:szCs w:val="32"/>
        </w:rPr>
      </w:pPr>
    </w:p>
    <w:p w14:paraId="3F068D71">
      <w:pPr>
        <w:rPr>
          <w:rFonts w:hint="eastAsia" w:ascii="宋体" w:hAnsi="宋体" w:eastAsia="宋体" w:cs="宋体"/>
          <w:b/>
          <w:bCs/>
          <w:sz w:val="32"/>
          <w:szCs w:val="32"/>
        </w:rPr>
      </w:pPr>
    </w:p>
    <w:p w14:paraId="796CF9F2">
      <w:pPr>
        <w:rPr>
          <w:rFonts w:hint="eastAsia" w:ascii="宋体" w:hAnsi="宋体" w:eastAsia="宋体" w:cs="宋体"/>
          <w:b/>
          <w:bCs/>
          <w:sz w:val="32"/>
          <w:szCs w:val="32"/>
        </w:rPr>
      </w:pPr>
    </w:p>
    <w:p w14:paraId="64BDA735">
      <w:pPr>
        <w:rPr>
          <w:rFonts w:hint="eastAsia" w:ascii="宋体" w:hAnsi="宋体" w:eastAsia="宋体" w:cs="宋体"/>
          <w:b/>
          <w:bCs/>
          <w:sz w:val="32"/>
          <w:szCs w:val="32"/>
        </w:rPr>
      </w:pPr>
    </w:p>
    <w:p w14:paraId="5AC4847A">
      <w:pPr>
        <w:rPr>
          <w:rFonts w:hint="eastAsia" w:ascii="宋体" w:hAnsi="宋体" w:eastAsia="宋体" w:cs="宋体"/>
          <w:b/>
          <w:bCs/>
          <w:sz w:val="32"/>
          <w:szCs w:val="32"/>
        </w:rPr>
      </w:pPr>
    </w:p>
    <w:p w14:paraId="401B2F8F">
      <w:pPr>
        <w:ind w:firstLine="3253" w:firstLineChars="900"/>
        <w:jc w:val="both"/>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第一章  招标公告</w:t>
      </w:r>
      <w:bookmarkEnd w:id="28"/>
      <w:bookmarkEnd w:id="29"/>
    </w:p>
    <w:p w14:paraId="6DFC68B9">
      <w:pPr>
        <w:kinsoku/>
        <w:autoSpaceDE/>
        <w:adjustRightInd/>
        <w:snapToGrid/>
        <w:spacing w:line="420" w:lineRule="exact"/>
        <w:jc w:val="center"/>
        <w:rPr>
          <w:rFonts w:hint="eastAsia" w:ascii="宋体" w:hAnsi="宋体" w:eastAsia="宋体" w:cs="宋体"/>
          <w:color w:val="auto"/>
          <w:spacing w:val="8"/>
          <w:sz w:val="28"/>
          <w:szCs w:val="28"/>
          <w:lang w:eastAsia="zh-CN"/>
          <w14:textOutline w14:w="6540" w14:cap="sq" w14:cmpd="sng" w14:algn="ctr">
            <w14:solidFill>
              <w14:srgbClr w14:val="000000"/>
            </w14:solidFill>
            <w14:prstDash w14:val="solid"/>
            <w14:bevel/>
          </w14:textOutline>
        </w:rPr>
      </w:pPr>
      <w:r>
        <w:rPr>
          <w:rFonts w:hint="eastAsia" w:ascii="宋体" w:hAnsi="宋体" w:eastAsia="宋体" w:cs="宋体"/>
          <w:b/>
          <w:bCs/>
          <w:sz w:val="28"/>
          <w:szCs w:val="28"/>
          <w:lang w:eastAsia="zh-CN" w:bidi="ar"/>
        </w:rPr>
        <w:t>（</w:t>
      </w:r>
      <w:bookmarkStart w:id="30" w:name="blank24_copy_1619581275000"/>
      <w:r>
        <w:rPr>
          <w:rFonts w:hint="eastAsia" w:ascii="宋体" w:hAnsi="宋体" w:eastAsia="宋体" w:cs="宋体"/>
          <w:b/>
          <w:bCs/>
          <w:snapToGrid/>
          <w:sz w:val="28"/>
          <w:szCs w:val="28"/>
          <w:lang w:eastAsia="zh-CN" w:bidi="ar"/>
        </w:rPr>
        <w:t>资格后审</w:t>
      </w:r>
      <w:bookmarkEnd w:id="30"/>
      <w:r>
        <w:rPr>
          <w:rFonts w:hint="eastAsia" w:ascii="宋体" w:hAnsi="宋体" w:eastAsia="宋体" w:cs="宋体"/>
          <w:b/>
          <w:bCs/>
          <w:sz w:val="28"/>
          <w:szCs w:val="28"/>
          <w:lang w:eastAsia="zh-CN" w:bidi="ar"/>
        </w:rPr>
        <w:t>）</w:t>
      </w:r>
    </w:p>
    <w:tbl>
      <w:tblPr>
        <w:tblStyle w:val="24"/>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54F9174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tcPr>
          <w:p w14:paraId="074A7101">
            <w:pPr>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4DDDE723">
            <w:pPr>
              <w:spacing w:line="288"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lang w:eastAsia="zh-CN"/>
              </w:rPr>
              <w:t>延吉市朝阳川镇中心卫生院县域医疗分中心建设医疗设备采购项目</w:t>
            </w:r>
            <w:r>
              <w:rPr>
                <w:rFonts w:hint="eastAsia" w:ascii="宋体" w:hAnsi="宋体" w:eastAsia="宋体" w:cs="宋体"/>
                <w:color w:val="auto"/>
                <w:sz w:val="24"/>
                <w:szCs w:val="24"/>
              </w:rPr>
              <w:t>的潜在投标人应在政采云平台（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）获取招标文件，并于202</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27</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09</w:t>
            </w:r>
            <w:r>
              <w:rPr>
                <w:rFonts w:hint="eastAsia" w:ascii="宋体" w:hAnsi="宋体" w:eastAsia="宋体" w:cs="宋体"/>
                <w:color w:val="auto"/>
                <w:sz w:val="24"/>
                <w:szCs w:val="24"/>
              </w:rPr>
              <w:t>点</w:t>
            </w:r>
            <w:r>
              <w:rPr>
                <w:rFonts w:hint="eastAsia" w:ascii="宋体" w:hAnsi="宋体" w:eastAsia="宋体" w:cs="宋体"/>
                <w:color w:val="auto"/>
                <w:sz w:val="24"/>
                <w:szCs w:val="24"/>
                <w:lang w:eastAsia="zh-CN"/>
              </w:rPr>
              <w:t>00</w:t>
            </w:r>
            <w:r>
              <w:rPr>
                <w:rFonts w:hint="eastAsia" w:ascii="宋体" w:hAnsi="宋体" w:eastAsia="宋体" w:cs="宋体"/>
                <w:color w:val="auto"/>
                <w:sz w:val="24"/>
                <w:szCs w:val="24"/>
              </w:rPr>
              <w:t>分（北京时间）前递交投标文件。</w:t>
            </w:r>
          </w:p>
        </w:tc>
      </w:tr>
    </w:tbl>
    <w:p w14:paraId="72FE2E3E">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一、项目基本情况</w:t>
      </w:r>
    </w:p>
    <w:p w14:paraId="1C40F69D">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1.1采购编号：采购计划-【2025】-00008号</w:t>
      </w:r>
    </w:p>
    <w:p w14:paraId="0341A2B5">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1.2项目编号：ZKGSF(ZB)-20250142</w:t>
      </w:r>
    </w:p>
    <w:p w14:paraId="080B99AD">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1.3项目名称：延吉市朝阳川镇中心卫生院县域医疗分中心建设医疗设备采购项目</w:t>
      </w:r>
    </w:p>
    <w:p w14:paraId="401343DD">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w:t>
      </w:r>
      <w:r>
        <w:rPr>
          <w:rFonts w:hint="eastAsia" w:ascii="宋体" w:hAnsi="宋体" w:eastAsia="宋体" w:cs="宋体"/>
          <w:color w:val="auto"/>
          <w:sz w:val="24"/>
          <w:szCs w:val="24"/>
          <w:lang w:val="zh-CN" w:eastAsia="zh-CN"/>
        </w:rPr>
        <w:t>采购方式：公开招标</w:t>
      </w:r>
    </w:p>
    <w:p w14:paraId="3E1F40BB">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1.5预算金额：800万元</w:t>
      </w:r>
    </w:p>
    <w:p w14:paraId="50030D1D">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1.6最高限价：800万元（其中标段一：</w:t>
      </w:r>
      <w:r>
        <w:rPr>
          <w:rFonts w:hint="eastAsia" w:ascii="宋体" w:hAnsi="宋体" w:eastAsia="宋体" w:cs="宋体"/>
          <w:color w:val="auto"/>
          <w:sz w:val="24"/>
          <w:szCs w:val="24"/>
          <w:lang w:eastAsia="zh-CN" w:bidi="ar"/>
        </w:rPr>
        <w:t>6127800</w:t>
      </w:r>
      <w:r>
        <w:rPr>
          <w:rFonts w:hint="eastAsia" w:ascii="宋体" w:hAnsi="宋体" w:eastAsia="宋体" w:cs="宋体"/>
          <w:color w:val="auto"/>
          <w:sz w:val="24"/>
          <w:szCs w:val="24"/>
          <w:lang w:eastAsia="zh-CN"/>
        </w:rPr>
        <w:t>元；标段二：</w:t>
      </w:r>
      <w:r>
        <w:rPr>
          <w:rFonts w:hint="eastAsia" w:ascii="宋体" w:hAnsi="宋体" w:eastAsia="宋体" w:cs="宋体"/>
          <w:color w:val="auto"/>
          <w:sz w:val="24"/>
          <w:szCs w:val="24"/>
          <w:lang w:eastAsia="zh-CN" w:bidi="ar"/>
        </w:rPr>
        <w:t>1872200</w:t>
      </w:r>
      <w:r>
        <w:rPr>
          <w:rFonts w:hint="eastAsia" w:ascii="宋体" w:hAnsi="宋体" w:eastAsia="宋体" w:cs="宋体"/>
          <w:color w:val="auto"/>
          <w:sz w:val="24"/>
          <w:szCs w:val="24"/>
          <w:lang w:eastAsia="zh-CN"/>
        </w:rPr>
        <w:t>元）</w:t>
      </w:r>
    </w:p>
    <w:p w14:paraId="201B00CE">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549"/>
        <w:gridCol w:w="3836"/>
        <w:gridCol w:w="1801"/>
      </w:tblGrid>
      <w:tr w14:paraId="18A1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11" w:type="dxa"/>
            <w:vAlign w:val="center"/>
          </w:tcPr>
          <w:p w14:paraId="46FAAE8F">
            <w:pPr>
              <w:pStyle w:val="29"/>
              <w:widowControl w:val="0"/>
              <w:ind w:firstLine="0" w:firstLineChars="0"/>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标段</w:t>
            </w:r>
          </w:p>
        </w:tc>
        <w:tc>
          <w:tcPr>
            <w:tcW w:w="2549" w:type="dxa"/>
            <w:vAlign w:val="center"/>
          </w:tcPr>
          <w:p w14:paraId="1A0787FB">
            <w:pPr>
              <w:pStyle w:val="29"/>
              <w:widowControl w:val="0"/>
              <w:ind w:firstLine="0" w:firstLineChars="0"/>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标段名称</w:t>
            </w:r>
          </w:p>
        </w:tc>
        <w:tc>
          <w:tcPr>
            <w:tcW w:w="3836" w:type="dxa"/>
            <w:vAlign w:val="center"/>
          </w:tcPr>
          <w:p w14:paraId="2DF86E78">
            <w:pPr>
              <w:widowControl/>
              <w:kinsoku/>
              <w:autoSpaceDE/>
              <w:adjustRightInd/>
              <w:snapToGrid/>
              <w:spacing w:line="420" w:lineRule="exact"/>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采购需求</w:t>
            </w:r>
          </w:p>
        </w:tc>
        <w:tc>
          <w:tcPr>
            <w:tcW w:w="1801" w:type="dxa"/>
          </w:tcPr>
          <w:p w14:paraId="2EB2B39B">
            <w:pPr>
              <w:widowControl/>
              <w:kinsoku/>
              <w:autoSpaceDE/>
              <w:adjustRightInd/>
              <w:snapToGrid/>
              <w:spacing w:line="420" w:lineRule="exact"/>
              <w:ind w:left="479" w:leftChars="114" w:hanging="240" w:hangingChars="100"/>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预算金额（元）</w:t>
            </w:r>
          </w:p>
        </w:tc>
      </w:tr>
      <w:tr w14:paraId="1E04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Align w:val="center"/>
          </w:tcPr>
          <w:p w14:paraId="77C0B0CB">
            <w:pPr>
              <w:pStyle w:val="29"/>
              <w:widowControl w:val="0"/>
              <w:ind w:firstLine="0" w:firstLineChars="0"/>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标段一</w:t>
            </w:r>
          </w:p>
        </w:tc>
        <w:tc>
          <w:tcPr>
            <w:tcW w:w="2549" w:type="dxa"/>
            <w:vAlign w:val="center"/>
          </w:tcPr>
          <w:p w14:paraId="364B4C4A">
            <w:pPr>
              <w:pStyle w:val="29"/>
              <w:widowControl w:val="0"/>
              <w:ind w:firstLine="0" w:firstLineChars="0"/>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化验室、B超室、影像科等设备采购</w:t>
            </w:r>
          </w:p>
        </w:tc>
        <w:tc>
          <w:tcPr>
            <w:tcW w:w="3836" w:type="dxa"/>
          </w:tcPr>
          <w:p w14:paraId="01BA8622">
            <w:pPr>
              <w:pStyle w:val="29"/>
              <w:widowControl w:val="0"/>
              <w:ind w:firstLine="0" w:firstLineChars="0"/>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全自动血细胞分析仪1台、医用数字化X射线摄影系统1套，彩色超声诊断系统1套等，详见采购需求</w:t>
            </w:r>
          </w:p>
        </w:tc>
        <w:tc>
          <w:tcPr>
            <w:tcW w:w="1801" w:type="dxa"/>
            <w:vAlign w:val="center"/>
          </w:tcPr>
          <w:p w14:paraId="6BB87242">
            <w:pPr>
              <w:widowControl w:val="0"/>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6127800</w:t>
            </w:r>
          </w:p>
        </w:tc>
      </w:tr>
      <w:tr w14:paraId="32A9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Align w:val="center"/>
          </w:tcPr>
          <w:p w14:paraId="23020860">
            <w:pPr>
              <w:pStyle w:val="29"/>
              <w:widowControl w:val="0"/>
              <w:ind w:firstLine="0" w:firstLineChars="0"/>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标段二</w:t>
            </w:r>
          </w:p>
        </w:tc>
        <w:tc>
          <w:tcPr>
            <w:tcW w:w="2549" w:type="dxa"/>
            <w:vAlign w:val="center"/>
          </w:tcPr>
          <w:p w14:paraId="20081090">
            <w:pPr>
              <w:pStyle w:val="29"/>
              <w:widowControl w:val="0"/>
              <w:ind w:firstLine="0" w:firstLineChars="0"/>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康复、中药调剂系统等设备采购</w:t>
            </w:r>
          </w:p>
        </w:tc>
        <w:tc>
          <w:tcPr>
            <w:tcW w:w="3836" w:type="dxa"/>
          </w:tcPr>
          <w:p w14:paraId="707014F0">
            <w:pPr>
              <w:pStyle w:val="29"/>
              <w:widowControl w:val="0"/>
              <w:ind w:firstLine="0" w:firstLineChars="0"/>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康复设备1批、全自动中药方调剂中心1套等，详见采购需求</w:t>
            </w:r>
          </w:p>
        </w:tc>
        <w:tc>
          <w:tcPr>
            <w:tcW w:w="1801" w:type="dxa"/>
            <w:vAlign w:val="center"/>
          </w:tcPr>
          <w:p w14:paraId="16E036F9">
            <w:pPr>
              <w:widowControl w:val="0"/>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1872200</w:t>
            </w:r>
          </w:p>
        </w:tc>
      </w:tr>
    </w:tbl>
    <w:p w14:paraId="311D9AD7">
      <w:pPr>
        <w:rPr>
          <w:rFonts w:hint="eastAsia" w:ascii="宋体" w:hAnsi="宋体" w:eastAsia="宋体" w:cs="宋体"/>
          <w:color w:val="auto"/>
          <w:sz w:val="24"/>
          <w:szCs w:val="24"/>
        </w:rPr>
      </w:pPr>
    </w:p>
    <w:p w14:paraId="57CA0897">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1.8合同履行期限：合同签订后一个月内。</w:t>
      </w:r>
    </w:p>
    <w:p w14:paraId="7CB86490">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1.9质量标准：满足国家及行业规范标准及采购人要求</w:t>
      </w:r>
    </w:p>
    <w:p w14:paraId="48F6F51A">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二、申请人的资格要求</w:t>
      </w:r>
    </w:p>
    <w:p w14:paraId="4525CBF9">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1.满足《中华人民共和国政府采购法》第二十二条规定；</w:t>
      </w:r>
    </w:p>
    <w:p w14:paraId="560EEE04">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2.落实政府采购政策需满足的资格要求：</w:t>
      </w:r>
      <w:r>
        <w:rPr>
          <w:rFonts w:hint="eastAsia" w:ascii="宋体" w:hAnsi="宋体" w:eastAsia="宋体" w:cs="宋体"/>
          <w:color w:val="auto"/>
          <w:sz w:val="24"/>
          <w:szCs w:val="24"/>
          <w:lang w:eastAsia="zh-CN" w:bidi="ar"/>
        </w:rPr>
        <w:t>本项目非专门面向中小企业采购,供应商如为中小企业、监狱企业、残疾人福利性单位享受政府采购政策需提供相关声明；</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 xml:space="preserve">    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ascii="宋体" w:hAnsi="宋体" w:eastAsia="宋体" w:cs="宋体"/>
          <w:color w:val="auto"/>
          <w:sz w:val="24"/>
          <w:szCs w:val="24"/>
          <w:lang w:eastAsia="zh-CN"/>
        </w:rPr>
        <w:t>；</w:t>
      </w:r>
    </w:p>
    <w:p w14:paraId="15CDF223">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3.本项目的特定资格要求：</w:t>
      </w:r>
    </w:p>
    <w:p w14:paraId="18CEE4A9">
      <w:pPr>
        <w:spacing w:line="288"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lang w:eastAsia="zh-CN" w:bidi="ar"/>
        </w:rPr>
        <w:t>供应商必须具有独立企业法人资格,且必须具有所报产品的生产或经营能力，能在国内合法提供采购内容及其相应的服务</w:t>
      </w:r>
    </w:p>
    <w:p w14:paraId="5426E6DC">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737359FD">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2B503779">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3.4</w:t>
      </w:r>
      <w:r>
        <w:rPr>
          <w:rFonts w:hint="eastAsia" w:ascii="宋体" w:hAnsi="宋体" w:eastAsia="宋体" w:cs="宋体"/>
          <w:color w:val="auto"/>
          <w:sz w:val="24"/>
          <w:szCs w:val="24"/>
          <w:lang w:eastAsia="zh-CN" w:bidi="ar"/>
        </w:rPr>
        <w:t>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r>
        <w:rPr>
          <w:rFonts w:hint="eastAsia" w:ascii="宋体" w:hAnsi="宋体" w:eastAsia="宋体" w:cs="宋体"/>
          <w:color w:val="auto"/>
          <w:sz w:val="24"/>
          <w:szCs w:val="24"/>
          <w:lang w:eastAsia="zh-CN"/>
        </w:rPr>
        <w:t>。</w:t>
      </w:r>
    </w:p>
    <w:p w14:paraId="3F6CDA79">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w:t>
      </w:r>
      <w:r>
        <w:rPr>
          <w:rFonts w:hint="eastAsia" w:ascii="宋体" w:hAnsi="宋体" w:eastAsia="宋体" w:cs="宋体"/>
          <w:color w:val="auto"/>
          <w:sz w:val="24"/>
          <w:szCs w:val="24"/>
          <w:lang w:eastAsia="zh-CN" w:bidi="ar"/>
        </w:rPr>
        <w:t>参加本次政府采购活动前三年内，在经营活动中无违法记录。</w:t>
      </w:r>
    </w:p>
    <w:p w14:paraId="4E0632AA">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lang w:eastAsia="zh-CN" w:bidi="ar"/>
        </w:rPr>
        <w:t>登录“信用中国”网站查询“失信被执行人”和“重大税收违法案件当事人名单”、登录“中国政府采购网”网站查询“政府采购严重违法失信行为记录名单”。(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r>
        <w:rPr>
          <w:rFonts w:hint="eastAsia" w:ascii="宋体" w:hAnsi="宋体" w:eastAsia="宋体" w:cs="宋体"/>
          <w:color w:val="auto"/>
          <w:sz w:val="24"/>
          <w:szCs w:val="24"/>
          <w:lang w:eastAsia="zh-CN"/>
        </w:rPr>
        <w:t>。</w:t>
      </w:r>
    </w:p>
    <w:p w14:paraId="5ED29460">
      <w:pPr>
        <w:spacing w:line="288"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lang w:eastAsia="zh-CN" w:bidi="ar"/>
        </w:rPr>
        <w:t>本项目不允许分包，不接受联合体投标</w:t>
      </w:r>
    </w:p>
    <w:p w14:paraId="4F9300F0">
      <w:pPr>
        <w:spacing w:line="288"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3.8本项目不允许兼投兼中。</w:t>
      </w:r>
    </w:p>
    <w:p w14:paraId="5597DDC3">
      <w:pPr>
        <w:kinsoku/>
        <w:autoSpaceDE/>
        <w:adjustRightInd/>
        <w:snapToGrid/>
        <w:spacing w:line="420" w:lineRule="exact"/>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注：单位负责人为同一人或者存在直接控股、管理关系的不同供应商，不得参加同一合同项下的政府采购活动。</w:t>
      </w:r>
    </w:p>
    <w:p w14:paraId="3E23753B">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三、获取招标文件</w:t>
      </w:r>
    </w:p>
    <w:p w14:paraId="715527C8">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3.1时间：2025年02月06日至2025年02月11日（每天09时00分至16时00分止）</w:t>
      </w:r>
    </w:p>
    <w:p w14:paraId="6AE40B34">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3.2地点：政采云平台（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498ECB4B">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3.3方式：网上免费获取</w:t>
      </w:r>
      <w:r>
        <w:rPr>
          <w:rFonts w:hint="eastAsia" w:ascii="宋体" w:hAnsi="宋体" w:eastAsia="宋体" w:cs="宋体"/>
          <w:color w:val="auto"/>
          <w:sz w:val="24"/>
          <w:szCs w:val="24"/>
          <w:lang w:eastAsia="zh-CN"/>
        </w:rPr>
        <w:t>；</w:t>
      </w:r>
    </w:p>
    <w:p w14:paraId="0619CA66">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潜在供应商自行登录政府采购云平台（网址：http://www.zcygov.cn）注册（https://middle.zcygov.cn/v-settle-front/registry）并下载</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文件（操作路径：登录“政采云”平台-项目采购-获取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文件-找到本项目-点击“申请获取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文件”），电子</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文件制作需要基于“政采云”平台获取的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文件采购需求编制，其他途径获取的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文件开标时一律按无效投标处理。</w:t>
      </w:r>
    </w:p>
    <w:p w14:paraId="26766FD7">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3.4售价：0元。</w:t>
      </w:r>
    </w:p>
    <w:p w14:paraId="28AD5B35">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四、提交投标文件截止时间、开标时间和地点</w:t>
      </w:r>
    </w:p>
    <w:p w14:paraId="1D90BA67">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4.1提交投标文件截止时间、开标时间：2025年02月27日09点00分（北京时间）</w:t>
      </w:r>
    </w:p>
    <w:p w14:paraId="544BB318">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4.2地点：政采云平台（https://www.zcygov.cn/）。</w:t>
      </w:r>
    </w:p>
    <w:p w14:paraId="772289F7">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4.3投标文件的提交方式：本项目为全流程电子化项目，通过政采云平台（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0313B84E">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4.4开标地点：延吉市公共资源交易服务中心（延边朝鲜族自治州、延吉市政务楼6楼开标二室）地址：吉林省延吉市光华路166－1号。</w:t>
      </w:r>
    </w:p>
    <w:p w14:paraId="26922749">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五、公告期限</w:t>
      </w:r>
    </w:p>
    <w:p w14:paraId="4FF9CFAC">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自本公告发布之日起5个工作日。</w:t>
      </w:r>
    </w:p>
    <w:p w14:paraId="3DA0D426">
      <w:pPr>
        <w:spacing w:before="120" w:beforeLines="50" w:after="120" w:afterLines="50"/>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14:paraId="5DF78766">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1、投标人在电子化平台参与政府采购项目前，应在电子化平台完成信息注册，注册链接：https://middle.zcygov.cn/v-settle-front/registry，政采云平台客服热线：95763；</w:t>
      </w:r>
    </w:p>
    <w:p w14:paraId="7C124CD6">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2、政采云投标客户端及CA驱动下载地址：https://customer.zcygov.cn/CA-driver-download?utm=web-login-front.52cebfa2.0.0.04df4040034511edaac705fda12edb43；</w:t>
      </w:r>
    </w:p>
    <w:p w14:paraId="651AA673">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4A707B98">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4、为确保网上操作合法、有效和安全，请投标人确保在电子响应过程中能够对相关数据电文进行加密和使用电子签章，妥善保管CA数字证书并使用有效的CA数字证书参与整个采购活动；</w:t>
      </w:r>
    </w:p>
    <w:p w14:paraId="58424CAF">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14:paraId="0284C6F2">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6、有效供应商不足法定数量时，采购人另行组织开标。</w:t>
      </w:r>
    </w:p>
    <w:p w14:paraId="3AD0DE92">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7、本次招标公告同时在“政采云”平台（http://www.zcygov.cn）、同步推送到吉林省政府采购网（http://www.ccgp-jilin.gov.cn/），并同时在《中国政府采购网》上发布。</w:t>
      </w:r>
    </w:p>
    <w:p w14:paraId="79F76AC5">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七、对本次招标提出询问，请按以下方式联系。</w:t>
      </w:r>
    </w:p>
    <w:p w14:paraId="23C7EF58">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1、采购人信息</w:t>
      </w:r>
    </w:p>
    <w:p w14:paraId="4835CC79">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采购人：延吉市朝阳川镇中心卫生院</w:t>
      </w:r>
    </w:p>
    <w:p w14:paraId="52F21F10">
      <w:pPr>
        <w:spacing w:line="288" w:lineRule="auto"/>
        <w:ind w:firstLine="480" w:firstLineChars="200"/>
        <w:rPr>
          <w:rFonts w:hint="eastAsia" w:ascii="宋体" w:hAnsi="宋体" w:eastAsia="宋体" w:cs="宋体"/>
          <w:sz w:val="24"/>
          <w:szCs w:val="24"/>
          <w:lang w:eastAsia="zh-CN" w:bidi="ar"/>
        </w:rPr>
      </w:pPr>
      <w:r>
        <w:rPr>
          <w:rFonts w:hint="eastAsia" w:ascii="宋体" w:hAnsi="宋体" w:eastAsia="宋体" w:cs="宋体"/>
          <w:color w:val="auto"/>
          <w:sz w:val="24"/>
          <w:szCs w:val="24"/>
          <w:lang w:eastAsia="zh-CN"/>
        </w:rPr>
        <w:t>地址：</w:t>
      </w:r>
      <w:r>
        <w:rPr>
          <w:rFonts w:hint="eastAsia" w:ascii="宋体" w:hAnsi="宋体" w:eastAsia="宋体" w:cs="宋体"/>
          <w:sz w:val="24"/>
          <w:szCs w:val="24"/>
          <w:lang w:eastAsia="zh-CN" w:bidi="ar"/>
        </w:rPr>
        <w:t>吉林省延边朝鲜族自治州延吉市</w:t>
      </w:r>
    </w:p>
    <w:p w14:paraId="2D9E923D">
      <w:pPr>
        <w:spacing w:line="288" w:lineRule="auto"/>
        <w:ind w:firstLine="480" w:firstLineChars="200"/>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联系人：李浩吉</w:t>
      </w:r>
    </w:p>
    <w:p w14:paraId="375CF771">
      <w:pPr>
        <w:spacing w:line="288" w:lineRule="auto"/>
        <w:ind w:firstLine="480" w:firstLineChars="200"/>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联系方式：0433-3131186　</w:t>
      </w:r>
    </w:p>
    <w:p w14:paraId="048D7642">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2、采购代理机构信息</w:t>
      </w:r>
    </w:p>
    <w:p w14:paraId="41FE6B0A">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采购代理机构：中科高盛咨询集团有限公司</w:t>
      </w:r>
    </w:p>
    <w:p w14:paraId="585D26CA">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址：吉林省延吉市人民路1977-18号</w:t>
      </w:r>
    </w:p>
    <w:p w14:paraId="08A5EA27">
      <w:pPr>
        <w:spacing w:line="288"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联系方式：</w:t>
      </w:r>
      <w:r>
        <w:rPr>
          <w:rFonts w:hint="eastAsia" w:ascii="宋体" w:hAnsi="宋体" w:eastAsia="宋体" w:cs="宋体"/>
          <w:snapToGrid/>
          <w:sz w:val="24"/>
          <w:szCs w:val="24"/>
          <w:lang w:eastAsia="zh-CN" w:bidi="ar"/>
        </w:rPr>
        <w:t>0433-2070001</w:t>
      </w:r>
    </w:p>
    <w:p w14:paraId="60149AAE">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3、项目联系方式：</w:t>
      </w:r>
    </w:p>
    <w:p w14:paraId="117EEE1D">
      <w:pPr>
        <w:kinsoku/>
        <w:autoSpaceDE/>
        <w:adjustRightInd/>
        <w:snapToGrid/>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bidi="ar"/>
        </w:rPr>
        <w:t>项目联系人：</w:t>
      </w:r>
      <w:r>
        <w:rPr>
          <w:rFonts w:hint="eastAsia" w:ascii="宋体" w:hAnsi="宋体" w:eastAsia="宋体" w:cs="宋体"/>
          <w:snapToGrid/>
          <w:sz w:val="24"/>
          <w:szCs w:val="24"/>
          <w:lang w:eastAsia="zh-CN" w:bidi="ar"/>
        </w:rPr>
        <w:t>王秀秀、邵飞雪</w:t>
      </w:r>
    </w:p>
    <w:p w14:paraId="4D818D66">
      <w:pPr>
        <w:kinsoku/>
        <w:autoSpaceDE/>
        <w:adjustRightInd/>
        <w:snapToGrid/>
        <w:spacing w:line="420" w:lineRule="exact"/>
        <w:ind w:firstLine="480" w:firstLineChars="200"/>
        <w:rPr>
          <w:rFonts w:hint="default" w:ascii="宋体" w:hAnsi="宋体" w:eastAsia="宋体" w:cs="宋体"/>
          <w:sz w:val="24"/>
          <w:szCs w:val="24"/>
          <w:lang w:val="en-US" w:eastAsia="zh-CN" w:bidi="ar"/>
        </w:rPr>
      </w:pPr>
      <w:r>
        <w:rPr>
          <w:rFonts w:hint="eastAsia" w:ascii="宋体" w:hAnsi="宋体" w:eastAsia="宋体" w:cs="宋体"/>
          <w:sz w:val="24"/>
          <w:szCs w:val="24"/>
          <w:lang w:eastAsia="zh-CN" w:bidi="ar"/>
        </w:rPr>
        <w:t>电　　 话：</w:t>
      </w:r>
      <w:r>
        <w:rPr>
          <w:rFonts w:hint="eastAsia" w:ascii="宋体" w:hAnsi="宋体" w:eastAsia="宋体" w:cs="宋体"/>
          <w:snapToGrid/>
          <w:sz w:val="24"/>
          <w:szCs w:val="24"/>
          <w:lang w:val="en-US" w:eastAsia="zh-CN" w:bidi="ar"/>
        </w:rPr>
        <w:t>18843398716</w:t>
      </w:r>
    </w:p>
    <w:p w14:paraId="7E1A6B1A">
      <w:pPr>
        <w:ind w:firstLine="480" w:firstLineChars="200"/>
        <w:rPr>
          <w:rFonts w:hint="eastAsia" w:ascii="宋体" w:hAnsi="宋体" w:eastAsia="宋体" w:cs="宋体"/>
          <w:sz w:val="24"/>
          <w:szCs w:val="24"/>
          <w:lang w:val="zh-CN" w:eastAsia="zh-CN" w:bidi="ar"/>
        </w:rPr>
      </w:pPr>
      <w:r>
        <w:rPr>
          <w:rFonts w:hint="eastAsia" w:ascii="宋体" w:hAnsi="宋体" w:eastAsia="宋体" w:cs="宋体"/>
          <w:sz w:val="24"/>
          <w:szCs w:val="24"/>
          <w:lang w:val="zh-CN" w:eastAsia="zh-CN" w:bidi="ar"/>
        </w:rPr>
        <w:t>监督</w:t>
      </w:r>
      <w:r>
        <w:rPr>
          <w:rFonts w:hint="eastAsia" w:ascii="宋体" w:hAnsi="宋体" w:eastAsia="宋体" w:cs="宋体"/>
          <w:sz w:val="24"/>
          <w:szCs w:val="24"/>
          <w:lang w:eastAsia="zh-CN" w:bidi="ar"/>
        </w:rPr>
        <w:t>管理</w:t>
      </w:r>
      <w:r>
        <w:rPr>
          <w:rFonts w:hint="eastAsia" w:ascii="宋体" w:hAnsi="宋体" w:eastAsia="宋体" w:cs="宋体"/>
          <w:sz w:val="24"/>
          <w:szCs w:val="24"/>
          <w:lang w:val="zh-CN" w:eastAsia="zh-CN" w:bidi="ar"/>
        </w:rPr>
        <w:t>部门：</w:t>
      </w:r>
      <w:r>
        <w:rPr>
          <w:rFonts w:hint="eastAsia" w:ascii="宋体" w:hAnsi="宋体" w:eastAsia="宋体" w:cs="宋体"/>
          <w:sz w:val="24"/>
          <w:szCs w:val="24"/>
          <w:lang w:eastAsia="zh-CN" w:bidi="ar"/>
        </w:rPr>
        <w:t>延吉市</w:t>
      </w:r>
      <w:r>
        <w:rPr>
          <w:rFonts w:hint="eastAsia" w:ascii="宋体" w:hAnsi="宋体" w:eastAsia="宋体" w:cs="宋体"/>
          <w:sz w:val="24"/>
          <w:szCs w:val="24"/>
          <w:lang w:val="zh-CN" w:eastAsia="zh-CN" w:bidi="ar"/>
        </w:rPr>
        <w:t>财政局政府采购管理办公室</w:t>
      </w:r>
    </w:p>
    <w:p w14:paraId="568BB79C">
      <w:pPr>
        <w:ind w:firstLine="480" w:firstLineChars="200"/>
        <w:rPr>
          <w:rFonts w:hint="eastAsia" w:ascii="宋体" w:hAnsi="宋体" w:eastAsia="宋体" w:cs="宋体"/>
          <w:sz w:val="24"/>
          <w:szCs w:val="24"/>
          <w:lang w:val="zh-CN" w:eastAsia="zh-CN" w:bidi="ar"/>
        </w:rPr>
      </w:pPr>
    </w:p>
    <w:p w14:paraId="490FBC8E">
      <w:pPr>
        <w:ind w:firstLine="480" w:firstLineChars="200"/>
        <w:rPr>
          <w:rFonts w:hint="eastAsia" w:ascii="宋体" w:hAnsi="宋体" w:eastAsia="宋体" w:cs="宋体"/>
          <w:sz w:val="24"/>
          <w:szCs w:val="24"/>
          <w:lang w:val="zh-CN" w:eastAsia="zh-CN" w:bidi="ar"/>
        </w:rPr>
      </w:pPr>
    </w:p>
    <w:p w14:paraId="7BC1681A">
      <w:pPr>
        <w:ind w:firstLine="480" w:firstLineChars="200"/>
        <w:rPr>
          <w:rFonts w:hint="eastAsia" w:ascii="宋体" w:hAnsi="宋体" w:eastAsia="宋体" w:cs="宋体"/>
          <w:sz w:val="24"/>
          <w:szCs w:val="24"/>
          <w:lang w:val="zh-CN" w:eastAsia="zh-CN" w:bidi="ar"/>
        </w:rPr>
      </w:pPr>
    </w:p>
    <w:p w14:paraId="45C3A974">
      <w:pPr>
        <w:ind w:firstLine="10614" w:firstLineChars="2900"/>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br w:type="page"/>
      </w:r>
    </w:p>
    <w:p w14:paraId="7E48924A">
      <w:pPr>
        <w:pStyle w:val="2"/>
        <w:numPr>
          <w:ilvl w:val="0"/>
          <w:numId w:val="3"/>
        </w:numPr>
        <w:spacing w:after="0" w:line="360" w:lineRule="auto"/>
        <w:jc w:val="center"/>
        <w:rPr>
          <w:color w:val="auto"/>
          <w:sz w:val="36"/>
          <w:szCs w:val="36"/>
        </w:rPr>
      </w:pPr>
      <w:bookmarkStart w:id="31" w:name="_Toc4106"/>
      <w:bookmarkStart w:id="32" w:name="_Toc23171"/>
      <w:r>
        <w:rPr>
          <w:rFonts w:hint="eastAsia"/>
          <w:color w:val="auto"/>
          <w:sz w:val="36"/>
          <w:szCs w:val="36"/>
          <w:lang w:eastAsia="zh-CN"/>
        </w:rPr>
        <w:t xml:space="preserve">  供应商</w:t>
      </w:r>
      <w:r>
        <w:rPr>
          <w:rFonts w:hint="eastAsia"/>
          <w:color w:val="auto"/>
          <w:sz w:val="36"/>
          <w:szCs w:val="36"/>
        </w:rPr>
        <w:t>须知</w:t>
      </w:r>
      <w:bookmarkEnd w:id="31"/>
      <w:bookmarkEnd w:id="32"/>
    </w:p>
    <w:p w14:paraId="41212834">
      <w:pPr>
        <w:pStyle w:val="3"/>
        <w:tabs>
          <w:tab w:val="left" w:pos="360"/>
        </w:tabs>
        <w:kinsoku/>
        <w:autoSpaceDE/>
        <w:adjustRightInd/>
        <w:snapToGrid/>
        <w:spacing w:line="415" w:lineRule="auto"/>
        <w:rPr>
          <w:sz w:val="36"/>
          <w:szCs w:val="36"/>
        </w:rPr>
      </w:pPr>
      <w:r>
        <w:rPr>
          <w:rFonts w:hint="eastAsia" w:ascii="宋体" w:hAnsi="宋体" w:eastAsia="宋体" w:cs="宋体"/>
          <w:sz w:val="28"/>
          <w:szCs w:val="28"/>
        </w:rPr>
        <w:t>一、</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p>
    <w:tbl>
      <w:tblPr>
        <w:tblStyle w:val="19"/>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790"/>
        <w:gridCol w:w="6739"/>
      </w:tblGrid>
      <w:tr w14:paraId="5AB8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30102E87">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项号</w:t>
            </w:r>
          </w:p>
        </w:tc>
        <w:tc>
          <w:tcPr>
            <w:tcW w:w="1790" w:type="dxa"/>
          </w:tcPr>
          <w:p w14:paraId="77D5D080">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内容</w:t>
            </w:r>
          </w:p>
        </w:tc>
        <w:tc>
          <w:tcPr>
            <w:tcW w:w="6739" w:type="dxa"/>
          </w:tcPr>
          <w:p w14:paraId="60ACA813">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说明与要求</w:t>
            </w:r>
          </w:p>
        </w:tc>
      </w:tr>
      <w:tr w14:paraId="53E6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7B7F2117">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w:t>
            </w:r>
          </w:p>
        </w:tc>
        <w:tc>
          <w:tcPr>
            <w:tcW w:w="1790" w:type="dxa"/>
          </w:tcPr>
          <w:p w14:paraId="572561C5">
            <w:pPr>
              <w:widowControl/>
              <w:spacing w:before="101" w:line="0" w:lineRule="atLeast"/>
              <w:jc w:val="center"/>
              <w:rPr>
                <w:rFonts w:hint="eastAsia" w:ascii="宋体" w:hAnsi="宋体" w:eastAsia="宋体" w:cs="宋体"/>
                <w:color w:val="auto"/>
                <w:spacing w:val="5"/>
                <w:sz w:val="24"/>
                <w:szCs w:val="24"/>
                <w:lang w:eastAsia="zh-CN"/>
              </w:rPr>
            </w:pPr>
          </w:p>
          <w:p w14:paraId="5024AA7E">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采购人</w:t>
            </w:r>
          </w:p>
        </w:tc>
        <w:tc>
          <w:tcPr>
            <w:tcW w:w="6739" w:type="dxa"/>
          </w:tcPr>
          <w:p w14:paraId="29AD7B24">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名称：延吉市朝阳川镇中心卫生院</w:t>
            </w:r>
          </w:p>
          <w:p w14:paraId="7F59E5F9">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地址：吉林省延吉市</w:t>
            </w:r>
          </w:p>
          <w:p w14:paraId="36D86FC1">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 xml:space="preserve">联系人：李浩吉 </w:t>
            </w:r>
          </w:p>
          <w:p w14:paraId="284400FA">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联系方式：0433-3131186</w:t>
            </w:r>
          </w:p>
        </w:tc>
      </w:tr>
      <w:tr w14:paraId="10EB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43BFEB71">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2</w:t>
            </w:r>
          </w:p>
        </w:tc>
        <w:tc>
          <w:tcPr>
            <w:tcW w:w="1790" w:type="dxa"/>
          </w:tcPr>
          <w:p w14:paraId="34B8177B">
            <w:pPr>
              <w:widowControl/>
              <w:spacing w:before="101" w:line="0" w:lineRule="atLeast"/>
              <w:jc w:val="center"/>
              <w:rPr>
                <w:rFonts w:hint="eastAsia" w:ascii="宋体" w:hAnsi="宋体" w:eastAsia="宋体" w:cs="宋体"/>
                <w:color w:val="auto"/>
                <w:spacing w:val="5"/>
                <w:sz w:val="24"/>
                <w:szCs w:val="24"/>
                <w:lang w:eastAsia="zh-CN"/>
              </w:rPr>
            </w:pPr>
          </w:p>
          <w:p w14:paraId="1569A3D3">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采购代理机构</w:t>
            </w:r>
          </w:p>
        </w:tc>
        <w:tc>
          <w:tcPr>
            <w:tcW w:w="6739" w:type="dxa"/>
          </w:tcPr>
          <w:p w14:paraId="10BE9CD6">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名称：中科高盛咨询集团有限公司</w:t>
            </w:r>
          </w:p>
          <w:p w14:paraId="7B9386A5">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地址：吉林省延吉市人民路1977-18号</w:t>
            </w:r>
          </w:p>
          <w:p w14:paraId="65A15E07">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联系人：王秀秀、邵飞雪</w:t>
            </w:r>
          </w:p>
          <w:p w14:paraId="7AA11692">
            <w:pPr>
              <w:widowControl/>
              <w:spacing w:before="101" w:line="0" w:lineRule="atLeast"/>
              <w:jc w:val="both"/>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联系电话：</w:t>
            </w:r>
            <w:r>
              <w:rPr>
                <w:rFonts w:hint="eastAsia" w:ascii="宋体" w:hAnsi="宋体" w:eastAsia="宋体" w:cs="宋体"/>
                <w:snapToGrid/>
                <w:sz w:val="24"/>
                <w:szCs w:val="24"/>
                <w:lang w:val="en-US" w:eastAsia="zh-CN" w:bidi="ar"/>
              </w:rPr>
              <w:t>18843398716</w:t>
            </w:r>
          </w:p>
        </w:tc>
      </w:tr>
      <w:tr w14:paraId="7314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997" w:type="dxa"/>
            <w:vAlign w:val="center"/>
          </w:tcPr>
          <w:p w14:paraId="40F1E119">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3</w:t>
            </w:r>
          </w:p>
        </w:tc>
        <w:tc>
          <w:tcPr>
            <w:tcW w:w="1790" w:type="dxa"/>
          </w:tcPr>
          <w:p w14:paraId="1A5564D6">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项目名称</w:t>
            </w:r>
          </w:p>
        </w:tc>
        <w:tc>
          <w:tcPr>
            <w:tcW w:w="6739" w:type="dxa"/>
          </w:tcPr>
          <w:p w14:paraId="590A16AB">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延吉市朝阳川镇中心卫生院县域医疗分中心建设医疗设备采购项目</w:t>
            </w:r>
          </w:p>
        </w:tc>
      </w:tr>
      <w:tr w14:paraId="62FE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vAlign w:val="center"/>
          </w:tcPr>
          <w:p w14:paraId="76CEA18F">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4</w:t>
            </w:r>
          </w:p>
        </w:tc>
        <w:tc>
          <w:tcPr>
            <w:tcW w:w="1790" w:type="dxa"/>
          </w:tcPr>
          <w:p w14:paraId="7018D2DF">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项目编号</w:t>
            </w:r>
          </w:p>
        </w:tc>
        <w:tc>
          <w:tcPr>
            <w:tcW w:w="6739" w:type="dxa"/>
          </w:tcPr>
          <w:p w14:paraId="035EB2D2">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ZKGSF(ZB)-20250142</w:t>
            </w:r>
          </w:p>
        </w:tc>
      </w:tr>
      <w:tr w14:paraId="2558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997" w:type="dxa"/>
            <w:vAlign w:val="center"/>
          </w:tcPr>
          <w:p w14:paraId="6539136D">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5</w:t>
            </w:r>
          </w:p>
        </w:tc>
        <w:tc>
          <w:tcPr>
            <w:tcW w:w="1790" w:type="dxa"/>
          </w:tcPr>
          <w:p w14:paraId="59AB2113">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最高限价</w:t>
            </w:r>
          </w:p>
        </w:tc>
        <w:tc>
          <w:tcPr>
            <w:tcW w:w="6739" w:type="dxa"/>
          </w:tcPr>
          <w:p w14:paraId="014F4F8E">
            <w:pPr>
              <w:widowControl/>
              <w:spacing w:before="101" w:line="340" w:lineRule="exact"/>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800万元（其中标段一6127800元，标段二</w:t>
            </w:r>
            <w:r>
              <w:rPr>
                <w:rFonts w:hint="eastAsia" w:ascii="宋体" w:hAnsi="宋体" w:eastAsia="宋体" w:cs="宋体"/>
                <w:color w:val="auto"/>
                <w:sz w:val="24"/>
                <w:szCs w:val="24"/>
                <w:lang w:eastAsia="zh-CN" w:bidi="ar"/>
              </w:rPr>
              <w:t>1872200元）</w:t>
            </w:r>
          </w:p>
          <w:p w14:paraId="1520C5FF">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b/>
                <w:bCs/>
                <w:color w:val="auto"/>
                <w:sz w:val="24"/>
                <w:szCs w:val="24"/>
                <w:lang w:val="en-US" w:eastAsia="zh-CN" w:bidi="ar"/>
              </w:rPr>
              <w:t>注：</w:t>
            </w:r>
            <w:r>
              <w:rPr>
                <w:rFonts w:hint="eastAsia" w:ascii="宋体" w:hAnsi="宋体" w:eastAsia="宋体" w:cs="宋体"/>
                <w:b/>
                <w:bCs/>
                <w:color w:val="auto"/>
                <w:sz w:val="24"/>
                <w:szCs w:val="24"/>
                <w:lang w:eastAsia="zh-CN"/>
              </w:rPr>
              <w:t>报价不得超过本项目对应标段限价，否则按无效</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lang w:eastAsia="zh-CN"/>
              </w:rPr>
              <w:t>处理</w:t>
            </w:r>
          </w:p>
        </w:tc>
      </w:tr>
      <w:tr w14:paraId="1D75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vAlign w:val="center"/>
          </w:tcPr>
          <w:p w14:paraId="52B0A894">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6</w:t>
            </w:r>
          </w:p>
        </w:tc>
        <w:tc>
          <w:tcPr>
            <w:tcW w:w="1790" w:type="dxa"/>
          </w:tcPr>
          <w:p w14:paraId="5E402688">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项目地点</w:t>
            </w:r>
          </w:p>
        </w:tc>
        <w:tc>
          <w:tcPr>
            <w:tcW w:w="6739" w:type="dxa"/>
          </w:tcPr>
          <w:p w14:paraId="5E131768">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延吉市朝阳川镇中心卫生院指定地点</w:t>
            </w:r>
          </w:p>
        </w:tc>
      </w:tr>
      <w:tr w14:paraId="2B17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997" w:type="dxa"/>
            <w:vAlign w:val="center"/>
          </w:tcPr>
          <w:p w14:paraId="4B977FAC">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7</w:t>
            </w:r>
          </w:p>
        </w:tc>
        <w:tc>
          <w:tcPr>
            <w:tcW w:w="1790" w:type="dxa"/>
          </w:tcPr>
          <w:p w14:paraId="0E09D828">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采购内容</w:t>
            </w:r>
          </w:p>
        </w:tc>
        <w:tc>
          <w:tcPr>
            <w:tcW w:w="6739" w:type="dxa"/>
          </w:tcPr>
          <w:p w14:paraId="2AB634E0">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延吉市朝阳川镇中心卫生院县域医疗分中心建设医疗设备采购项目，详见第五章采购需求</w:t>
            </w:r>
          </w:p>
        </w:tc>
      </w:tr>
      <w:tr w14:paraId="4022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vAlign w:val="center"/>
          </w:tcPr>
          <w:p w14:paraId="333EFC97">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8</w:t>
            </w:r>
          </w:p>
        </w:tc>
        <w:tc>
          <w:tcPr>
            <w:tcW w:w="1790" w:type="dxa"/>
          </w:tcPr>
          <w:p w14:paraId="126D0B0B">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合同履行期限</w:t>
            </w:r>
          </w:p>
        </w:tc>
        <w:tc>
          <w:tcPr>
            <w:tcW w:w="6739" w:type="dxa"/>
          </w:tcPr>
          <w:p w14:paraId="7C4D64D5">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sz w:val="24"/>
                <w:szCs w:val="24"/>
                <w:lang w:val="zh-CN" w:eastAsia="zh-CN"/>
              </w:rPr>
              <w:t>合同签订后一个月内</w:t>
            </w:r>
          </w:p>
        </w:tc>
      </w:tr>
      <w:tr w14:paraId="4668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vAlign w:val="center"/>
          </w:tcPr>
          <w:p w14:paraId="7B8998E9">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9</w:t>
            </w:r>
          </w:p>
        </w:tc>
        <w:tc>
          <w:tcPr>
            <w:tcW w:w="1790" w:type="dxa"/>
          </w:tcPr>
          <w:p w14:paraId="68BC0F4A">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资金来源</w:t>
            </w:r>
          </w:p>
        </w:tc>
        <w:tc>
          <w:tcPr>
            <w:tcW w:w="6739" w:type="dxa"/>
          </w:tcPr>
          <w:p w14:paraId="11A37269">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财政资金</w:t>
            </w:r>
          </w:p>
        </w:tc>
      </w:tr>
      <w:tr w14:paraId="265B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41AD80B3">
            <w:pPr>
              <w:widowControl/>
              <w:spacing w:before="101" w:line="1080" w:lineRule="auto"/>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10</w:t>
            </w:r>
          </w:p>
        </w:tc>
        <w:tc>
          <w:tcPr>
            <w:tcW w:w="1790" w:type="dxa"/>
            <w:vAlign w:val="center"/>
          </w:tcPr>
          <w:p w14:paraId="382F1DF5">
            <w:pPr>
              <w:widowControl/>
              <w:kinsoku/>
              <w:autoSpaceDE/>
              <w:adjustRightInd/>
              <w:snapToGrid/>
              <w:spacing w:line="4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bidi="ar"/>
              </w:rPr>
              <w:t>供应商资格要求</w:t>
            </w:r>
          </w:p>
        </w:tc>
        <w:tc>
          <w:tcPr>
            <w:tcW w:w="6739" w:type="dxa"/>
            <w:vAlign w:val="center"/>
          </w:tcPr>
          <w:p w14:paraId="029D0C0F">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1供应商必须具有独立企业法人资格,且必须具有所报产品的生产或经营能力，能在国内合法提供采购内容及其相应的服务；</w:t>
            </w:r>
          </w:p>
          <w:p w14:paraId="5DE45CEF">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一）投标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1CCE3397">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投标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2D9DEE84">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1ED3FC72">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3参加本次政府采购活动前三年内，在经营活动中无违法记录。</w:t>
            </w:r>
          </w:p>
          <w:p w14:paraId="4588679F">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登录“信用中国”网站查询“失信被执行人”和“重大税收违法案件当事人名单”、登录“中国政府采购网”网站查询“政府采购严重违法失信行为记录名单”。(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p>
          <w:p w14:paraId="1CFC202C">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5本项目不允许分包，不接受联合体投标。</w:t>
            </w:r>
          </w:p>
          <w:p w14:paraId="0F6AF08F">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6本项目不允许兼投兼中。　</w:t>
            </w:r>
          </w:p>
          <w:p w14:paraId="149B56BF">
            <w:pPr>
              <w:widowControl/>
              <w:kinsoku/>
              <w:autoSpaceDE/>
              <w:adjustRightInd/>
              <w:snapToGrid/>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bidi="ar"/>
              </w:rPr>
              <w:t>注：单位负责人为同一人或者存在直接控股、管理关系的不同供应商，不得参加同一合同项下的政府采购活动。</w:t>
            </w:r>
          </w:p>
        </w:tc>
      </w:tr>
      <w:tr w14:paraId="1A64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25BF52B2">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11</w:t>
            </w:r>
          </w:p>
        </w:tc>
        <w:tc>
          <w:tcPr>
            <w:tcW w:w="1790" w:type="dxa"/>
          </w:tcPr>
          <w:p w14:paraId="37D43920">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是否接受联合体投标</w:t>
            </w:r>
          </w:p>
        </w:tc>
        <w:tc>
          <w:tcPr>
            <w:tcW w:w="6739" w:type="dxa"/>
          </w:tcPr>
          <w:p w14:paraId="63A05EE2">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否</w:t>
            </w:r>
          </w:p>
        </w:tc>
      </w:tr>
      <w:tr w14:paraId="3EB2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tcPr>
          <w:p w14:paraId="2D88D6DC">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12</w:t>
            </w:r>
          </w:p>
        </w:tc>
        <w:tc>
          <w:tcPr>
            <w:tcW w:w="1790" w:type="dxa"/>
          </w:tcPr>
          <w:p w14:paraId="75A773E2">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踏勘现场</w:t>
            </w:r>
          </w:p>
        </w:tc>
        <w:tc>
          <w:tcPr>
            <w:tcW w:w="6739" w:type="dxa"/>
          </w:tcPr>
          <w:p w14:paraId="3415AD9F">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不勘察现场</w:t>
            </w:r>
          </w:p>
        </w:tc>
      </w:tr>
      <w:tr w14:paraId="74AF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619D96B8">
            <w:pPr>
              <w:widowControl/>
              <w:spacing w:before="101" w:line="60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13</w:t>
            </w:r>
          </w:p>
        </w:tc>
        <w:tc>
          <w:tcPr>
            <w:tcW w:w="1790" w:type="dxa"/>
          </w:tcPr>
          <w:p w14:paraId="75AC0069">
            <w:pPr>
              <w:widowControl/>
              <w:spacing w:before="101" w:line="40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答疑会时间及地点</w:t>
            </w:r>
          </w:p>
        </w:tc>
        <w:tc>
          <w:tcPr>
            <w:tcW w:w="6739" w:type="dxa"/>
          </w:tcPr>
          <w:p w14:paraId="6298A7BD">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☑不召开</w:t>
            </w:r>
          </w:p>
          <w:p w14:paraId="1567F792">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□召开，召开时间：</w:t>
            </w:r>
          </w:p>
          <w:p w14:paraId="509163D2">
            <w:pPr>
              <w:widowControl/>
              <w:spacing w:before="101" w:line="0" w:lineRule="atLeast"/>
              <w:ind w:firstLine="1000" w:firstLineChars="400"/>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召开地点：</w:t>
            </w:r>
          </w:p>
        </w:tc>
      </w:tr>
      <w:tr w14:paraId="5E40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tcPr>
          <w:p w14:paraId="03A687E3">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14</w:t>
            </w:r>
          </w:p>
        </w:tc>
        <w:tc>
          <w:tcPr>
            <w:tcW w:w="1790" w:type="dxa"/>
          </w:tcPr>
          <w:p w14:paraId="26B7D021">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分包、转包</w:t>
            </w:r>
          </w:p>
        </w:tc>
        <w:tc>
          <w:tcPr>
            <w:tcW w:w="6739" w:type="dxa"/>
          </w:tcPr>
          <w:p w14:paraId="74B85275">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不允许</w:t>
            </w:r>
          </w:p>
        </w:tc>
      </w:tr>
      <w:tr w14:paraId="6F13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997" w:type="dxa"/>
          </w:tcPr>
          <w:p w14:paraId="652A7611">
            <w:pPr>
              <w:widowControl/>
              <w:spacing w:before="101" w:line="32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15</w:t>
            </w:r>
          </w:p>
        </w:tc>
        <w:tc>
          <w:tcPr>
            <w:tcW w:w="1790" w:type="dxa"/>
          </w:tcPr>
          <w:p w14:paraId="29005D44">
            <w:pPr>
              <w:widowControl/>
              <w:spacing w:before="101" w:line="32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偏离</w:t>
            </w:r>
          </w:p>
        </w:tc>
        <w:tc>
          <w:tcPr>
            <w:tcW w:w="6739" w:type="dxa"/>
          </w:tcPr>
          <w:p w14:paraId="0E06D38C">
            <w:pPr>
              <w:widowControl/>
              <w:spacing w:before="101" w:line="3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☑允许正偏离</w:t>
            </w:r>
          </w:p>
          <w:p w14:paraId="36EE4D2B">
            <w:pPr>
              <w:widowControl/>
              <w:spacing w:before="101" w:line="3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□不接受任何偏离</w:t>
            </w:r>
          </w:p>
        </w:tc>
      </w:tr>
      <w:tr w14:paraId="6328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97" w:type="dxa"/>
          </w:tcPr>
          <w:p w14:paraId="5124F550">
            <w:pPr>
              <w:widowControl/>
              <w:spacing w:before="101" w:line="0" w:lineRule="atLeast"/>
              <w:ind w:firstLine="250" w:firstLineChars="100"/>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16</w:t>
            </w:r>
          </w:p>
          <w:p w14:paraId="11E3F02E">
            <w:pPr>
              <w:widowControl/>
              <w:spacing w:before="101" w:line="0" w:lineRule="atLeast"/>
              <w:jc w:val="center"/>
              <w:rPr>
                <w:rFonts w:hint="eastAsia" w:ascii="宋体" w:hAnsi="宋体" w:eastAsia="宋体" w:cs="宋体"/>
                <w:color w:val="auto"/>
                <w:spacing w:val="5"/>
                <w:sz w:val="24"/>
                <w:szCs w:val="24"/>
                <w:lang w:eastAsia="zh-CN"/>
              </w:rPr>
            </w:pPr>
          </w:p>
        </w:tc>
        <w:tc>
          <w:tcPr>
            <w:tcW w:w="1790" w:type="dxa"/>
          </w:tcPr>
          <w:p w14:paraId="7081E0B0">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构成投标文件</w:t>
            </w:r>
          </w:p>
          <w:p w14:paraId="4195A0D2">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的其他材料</w:t>
            </w:r>
          </w:p>
        </w:tc>
        <w:tc>
          <w:tcPr>
            <w:tcW w:w="6739" w:type="dxa"/>
          </w:tcPr>
          <w:p w14:paraId="24476CE3">
            <w:pPr>
              <w:widowControl/>
              <w:spacing w:before="101"/>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详见招标文件及评标办法中提及的其他证明材料。</w:t>
            </w:r>
          </w:p>
        </w:tc>
      </w:tr>
      <w:tr w14:paraId="68C9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358D9170">
            <w:pPr>
              <w:widowControl/>
              <w:spacing w:before="101" w:line="0" w:lineRule="atLeast"/>
              <w:jc w:val="center"/>
              <w:rPr>
                <w:rFonts w:hint="eastAsia" w:ascii="宋体" w:hAnsi="宋体" w:eastAsia="宋体" w:cs="宋体"/>
                <w:color w:val="auto"/>
                <w:spacing w:val="5"/>
                <w:sz w:val="24"/>
                <w:szCs w:val="24"/>
                <w:lang w:eastAsia="zh-CN"/>
              </w:rPr>
            </w:pPr>
          </w:p>
          <w:p w14:paraId="1311500E">
            <w:pPr>
              <w:widowControl/>
              <w:spacing w:before="101" w:line="0" w:lineRule="atLeast"/>
              <w:jc w:val="center"/>
              <w:rPr>
                <w:rFonts w:hint="eastAsia" w:ascii="宋体" w:hAnsi="宋体" w:eastAsia="宋体" w:cs="宋体"/>
                <w:color w:val="auto"/>
                <w:spacing w:val="5"/>
                <w:sz w:val="24"/>
                <w:szCs w:val="24"/>
                <w:lang w:eastAsia="zh-CN"/>
              </w:rPr>
            </w:pPr>
          </w:p>
          <w:p w14:paraId="1A38DED0">
            <w:pPr>
              <w:widowControl/>
              <w:spacing w:before="101" w:line="0" w:lineRule="atLeast"/>
              <w:jc w:val="center"/>
              <w:rPr>
                <w:rFonts w:hint="eastAsia" w:ascii="宋体" w:hAnsi="宋体" w:eastAsia="宋体" w:cs="宋体"/>
                <w:color w:val="auto"/>
                <w:spacing w:val="5"/>
                <w:sz w:val="24"/>
                <w:szCs w:val="24"/>
                <w:lang w:eastAsia="zh-CN"/>
              </w:rPr>
            </w:pPr>
          </w:p>
          <w:p w14:paraId="12C88E1C">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17</w:t>
            </w:r>
          </w:p>
        </w:tc>
        <w:tc>
          <w:tcPr>
            <w:tcW w:w="1790" w:type="dxa"/>
          </w:tcPr>
          <w:p w14:paraId="330072A8">
            <w:pPr>
              <w:widowControl/>
              <w:spacing w:before="101" w:line="0" w:lineRule="atLeast"/>
              <w:jc w:val="center"/>
              <w:rPr>
                <w:rFonts w:hint="eastAsia" w:ascii="宋体" w:hAnsi="宋体" w:eastAsia="宋体" w:cs="宋体"/>
                <w:color w:val="auto"/>
                <w:spacing w:val="5"/>
                <w:sz w:val="24"/>
                <w:szCs w:val="24"/>
                <w:lang w:eastAsia="zh-CN"/>
              </w:rPr>
            </w:pPr>
          </w:p>
          <w:p w14:paraId="333B707F">
            <w:pPr>
              <w:widowControl/>
              <w:spacing w:before="101" w:line="0" w:lineRule="atLeast"/>
              <w:jc w:val="center"/>
              <w:rPr>
                <w:rFonts w:hint="eastAsia" w:ascii="宋体" w:hAnsi="宋体" w:eastAsia="宋体" w:cs="宋体"/>
                <w:color w:val="auto"/>
                <w:spacing w:val="5"/>
                <w:sz w:val="24"/>
                <w:szCs w:val="24"/>
                <w:lang w:eastAsia="zh-CN"/>
              </w:rPr>
            </w:pPr>
          </w:p>
          <w:p w14:paraId="0A578D55">
            <w:pPr>
              <w:widowControl/>
              <w:spacing w:before="101" w:line="0" w:lineRule="atLeast"/>
              <w:jc w:val="center"/>
              <w:rPr>
                <w:rFonts w:hint="eastAsia" w:ascii="宋体" w:hAnsi="宋体" w:eastAsia="宋体" w:cs="宋体"/>
                <w:color w:val="auto"/>
                <w:spacing w:val="5"/>
                <w:sz w:val="24"/>
                <w:szCs w:val="24"/>
                <w:lang w:eastAsia="zh-CN"/>
              </w:rPr>
            </w:pPr>
          </w:p>
          <w:p w14:paraId="5BD5BD82">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纸质版签字或盖章要求</w:t>
            </w:r>
          </w:p>
        </w:tc>
        <w:tc>
          <w:tcPr>
            <w:tcW w:w="6739" w:type="dxa"/>
          </w:tcPr>
          <w:p w14:paraId="31D416F1">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（1）所有要求签字的地方都应用不褪色的墨水或签字笔由本人亲笔手写签字（包括姓和名），不得用盖章（如签名章、签字章等）代替，也不得由他人代签。 </w:t>
            </w:r>
          </w:p>
          <w:p w14:paraId="3080F8EA">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（2）所有要求盖章的地方都应按照招标文件的规定加盖与供应商名称全称相一致的标准公章，不得使用彩喷或者彩印的印章、可使用专用章（如合同专用章、投标专用章等）代替。 </w:t>
            </w:r>
          </w:p>
          <w:p w14:paraId="5ED9E8EC">
            <w:pPr>
              <w:widowControl/>
              <w:spacing w:before="101"/>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bidi="ar"/>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5C7D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4EE7478B">
            <w:pPr>
              <w:widowControl/>
              <w:spacing w:before="101" w:line="0" w:lineRule="atLeast"/>
              <w:jc w:val="center"/>
              <w:rPr>
                <w:rFonts w:hint="eastAsia" w:ascii="宋体" w:hAnsi="宋体" w:eastAsia="宋体" w:cs="宋体"/>
                <w:color w:val="auto"/>
                <w:spacing w:val="5"/>
                <w:sz w:val="24"/>
                <w:szCs w:val="24"/>
                <w:lang w:val="en-US" w:eastAsia="zh-CN"/>
              </w:rPr>
            </w:pPr>
          </w:p>
          <w:p w14:paraId="0743B2B6">
            <w:pPr>
              <w:widowControl/>
              <w:spacing w:before="101" w:line="0" w:lineRule="atLeast"/>
              <w:jc w:val="center"/>
              <w:rPr>
                <w:rFonts w:hint="eastAsia" w:ascii="宋体" w:hAnsi="宋体" w:eastAsia="宋体" w:cs="宋体"/>
                <w:color w:val="auto"/>
                <w:spacing w:val="5"/>
                <w:sz w:val="24"/>
                <w:szCs w:val="24"/>
                <w:lang w:val="en-US" w:eastAsia="zh-CN"/>
              </w:rPr>
            </w:pPr>
          </w:p>
          <w:p w14:paraId="69D768E8">
            <w:pPr>
              <w:widowControl/>
              <w:spacing w:before="101" w:line="0" w:lineRule="atLeast"/>
              <w:jc w:val="center"/>
              <w:rPr>
                <w:rFonts w:hint="eastAsia" w:ascii="宋体" w:hAnsi="宋体" w:eastAsia="宋体" w:cs="宋体"/>
                <w:color w:val="auto"/>
                <w:spacing w:val="5"/>
                <w:sz w:val="24"/>
                <w:szCs w:val="24"/>
                <w:lang w:val="en-US" w:eastAsia="zh-CN"/>
              </w:rPr>
            </w:pPr>
          </w:p>
          <w:p w14:paraId="7C72FDB7">
            <w:pPr>
              <w:widowControl/>
              <w:spacing w:before="101" w:line="0" w:lineRule="atLeast"/>
              <w:jc w:val="center"/>
              <w:rPr>
                <w:rFonts w:hint="eastAsia" w:ascii="宋体" w:hAnsi="宋体" w:eastAsia="宋体" w:cs="宋体"/>
                <w:color w:val="auto"/>
                <w:spacing w:val="5"/>
                <w:sz w:val="24"/>
                <w:szCs w:val="24"/>
                <w:lang w:val="en-US" w:eastAsia="zh-CN"/>
              </w:rPr>
            </w:pPr>
          </w:p>
          <w:p w14:paraId="4D8CB507">
            <w:pPr>
              <w:widowControl/>
              <w:spacing w:before="101" w:line="0" w:lineRule="atLeast"/>
              <w:jc w:val="center"/>
              <w:rPr>
                <w:rFonts w:hint="eastAsia" w:ascii="宋体" w:hAnsi="宋体" w:eastAsia="宋体" w:cs="宋体"/>
                <w:color w:val="auto"/>
                <w:spacing w:val="5"/>
                <w:sz w:val="24"/>
                <w:szCs w:val="24"/>
                <w:lang w:val="en-US" w:eastAsia="zh-CN"/>
              </w:rPr>
            </w:pPr>
          </w:p>
          <w:p w14:paraId="0702BB60">
            <w:pPr>
              <w:widowControl/>
              <w:spacing w:before="101" w:line="0" w:lineRule="atLeast"/>
              <w:jc w:val="center"/>
              <w:rPr>
                <w:rFonts w:hint="eastAsia" w:ascii="宋体" w:hAnsi="宋体" w:eastAsia="宋体" w:cs="宋体"/>
                <w:color w:val="auto"/>
                <w:spacing w:val="5"/>
                <w:sz w:val="24"/>
                <w:szCs w:val="24"/>
                <w:lang w:val="en-US" w:eastAsia="zh-CN"/>
              </w:rPr>
            </w:pPr>
          </w:p>
          <w:p w14:paraId="770E0142">
            <w:pPr>
              <w:widowControl/>
              <w:spacing w:before="101" w:line="0" w:lineRule="atLeast"/>
              <w:jc w:val="center"/>
              <w:rPr>
                <w:rFonts w:hint="eastAsia" w:ascii="宋体" w:hAnsi="宋体" w:eastAsia="宋体" w:cs="宋体"/>
                <w:color w:val="auto"/>
                <w:spacing w:val="5"/>
                <w:sz w:val="24"/>
                <w:szCs w:val="24"/>
                <w:lang w:val="en-US" w:eastAsia="zh-CN"/>
              </w:rPr>
            </w:pPr>
          </w:p>
          <w:p w14:paraId="06DAA502">
            <w:pPr>
              <w:widowControl/>
              <w:spacing w:before="101" w:line="0" w:lineRule="atLeast"/>
              <w:jc w:val="center"/>
              <w:rPr>
                <w:rFonts w:hint="eastAsia" w:ascii="宋体" w:hAnsi="宋体" w:eastAsia="宋体" w:cs="宋体"/>
                <w:color w:val="auto"/>
                <w:spacing w:val="5"/>
                <w:sz w:val="24"/>
                <w:szCs w:val="24"/>
                <w:lang w:val="en-US" w:eastAsia="zh-CN"/>
              </w:rPr>
            </w:pPr>
          </w:p>
          <w:p w14:paraId="38D85E30">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18</w:t>
            </w:r>
          </w:p>
        </w:tc>
        <w:tc>
          <w:tcPr>
            <w:tcW w:w="1790" w:type="dxa"/>
            <w:vAlign w:val="center"/>
          </w:tcPr>
          <w:p w14:paraId="26E537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pacing w:val="5"/>
                <w:sz w:val="24"/>
                <w:szCs w:val="24"/>
                <w:lang w:eastAsia="zh-CN"/>
              </w:rPr>
            </w:pPr>
            <w:r>
              <w:rPr>
                <w:rFonts w:hint="eastAsia" w:ascii="宋体" w:hAnsi="宋体" w:eastAsia="宋体" w:cs="宋体"/>
                <w:b w:val="0"/>
                <w:bCs w:val="0"/>
                <w:caps w:val="0"/>
                <w:color w:val="000000"/>
                <w:kern w:val="0"/>
                <w:sz w:val="24"/>
                <w:szCs w:val="24"/>
                <w:highlight w:val="none"/>
                <w:vertAlign w:val="baseline"/>
                <w:lang w:val="en-US" w:eastAsia="zh-CN" w:bidi="ar"/>
              </w:rPr>
              <w:t>递交投标文件地点</w:t>
            </w:r>
          </w:p>
        </w:tc>
        <w:tc>
          <w:tcPr>
            <w:tcW w:w="6739" w:type="dxa"/>
            <w:vAlign w:val="center"/>
          </w:tcPr>
          <w:p w14:paraId="3B73B5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本项目为全流程电子化招投标项目，投标单位通过政府采购云平台（网址：http://www.zcygov.cn）递交电子版投标文件。无须到开标现场递交投标文件。</w:t>
            </w:r>
          </w:p>
          <w:p w14:paraId="23C7AB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p w14:paraId="24B080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eastAsia="宋体" w:cs="宋体"/>
                <w:b w:val="0"/>
                <w:bCs w:val="0"/>
                <w:caps w:val="0"/>
                <w:color w:val="auto"/>
                <w:kern w:val="0"/>
                <w:sz w:val="24"/>
                <w:szCs w:val="24"/>
                <w:highlight w:val="none"/>
                <w:vertAlign w:val="baseline"/>
                <w:lang w:val="zh-CN" w:eastAsia="zh-CN" w:bidi="ar"/>
              </w:rPr>
              <w:t>投标单位开标时，需携带制作投标文件时用来加密的有效数字证书（CA认证）登录“政采云”平台电子开标大厅现场按规定时间对加密的投标文件进行远程解密。</w:t>
            </w:r>
          </w:p>
          <w:p w14:paraId="6767FD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6F2B49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3.投标单位在评标后，需按采购人要求提供规定数量（纸质版投标文件：正本一套、副本四套。普通U盘1份：包含所有投标文件签字及盖章内容）的纸质版投标文件及电子版投标文件。</w:t>
            </w:r>
          </w:p>
          <w:p w14:paraId="58522A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color w:val="auto"/>
                <w:sz w:val="24"/>
                <w:szCs w:val="24"/>
                <w:lang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4.</w:t>
            </w:r>
            <w:r>
              <w:rPr>
                <w:rFonts w:hint="eastAsia" w:ascii="宋体" w:hAnsi="宋体" w:eastAsia="宋体" w:cs="宋体"/>
                <w:b w:val="0"/>
                <w:bCs w:val="0"/>
                <w:caps w:val="0"/>
                <w:color w:val="auto"/>
                <w:kern w:val="0"/>
                <w:sz w:val="24"/>
                <w:szCs w:val="24"/>
                <w:highlight w:val="none"/>
                <w:vertAlign w:val="baseline"/>
                <w:lang w:val="zh-CN" w:eastAsia="zh-CN" w:bidi="ar"/>
              </w:rPr>
              <w:t>解密方式：投标文件递交截止时间后</w:t>
            </w:r>
            <w:r>
              <w:rPr>
                <w:rFonts w:hint="eastAsia" w:ascii="宋体" w:hAnsi="宋体" w:eastAsia="宋体"/>
                <w:color w:val="000000"/>
                <w:sz w:val="24"/>
                <w:szCs w:val="24"/>
                <w:lang w:val="en-US" w:eastAsia="zh-CN"/>
              </w:rPr>
              <w:t>30分钟内</w:t>
            </w:r>
            <w:r>
              <w:rPr>
                <w:rFonts w:hint="eastAsia" w:ascii="宋体" w:hAnsi="宋体" w:eastAsia="宋体" w:cs="宋体"/>
                <w:b w:val="0"/>
                <w:bCs w:val="0"/>
                <w:caps w:val="0"/>
                <w:color w:val="auto"/>
                <w:kern w:val="0"/>
                <w:sz w:val="24"/>
                <w:szCs w:val="24"/>
                <w:highlight w:val="none"/>
                <w:vertAlign w:val="baseline"/>
                <w:lang w:val="zh-CN" w:eastAsia="zh-CN" w:bidi="ar"/>
              </w:rPr>
              <w:t>完成解密工作，供应商持制作该电子投标文件的同一数字证书（CA企业锁）登录，进入“开标远程解密”菜单选择对应的项目的投标文件进行远程解密（各供应商开标前及网上开评标系统公布供应商名单前，不要提前进行远程解密）。供应商由于数字证书遗失、损坏、更换、续期等自身原因未能成功解密的，视为逾期未提交投标文件，其投标无效。</w:t>
            </w:r>
          </w:p>
        </w:tc>
      </w:tr>
      <w:tr w14:paraId="437A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tcPr>
          <w:p w14:paraId="74A63FD0">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19</w:t>
            </w:r>
          </w:p>
        </w:tc>
        <w:tc>
          <w:tcPr>
            <w:tcW w:w="1790" w:type="dxa"/>
          </w:tcPr>
          <w:p w14:paraId="28EAF5F7">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投标有效期</w:t>
            </w:r>
          </w:p>
        </w:tc>
        <w:tc>
          <w:tcPr>
            <w:tcW w:w="6739" w:type="dxa"/>
          </w:tcPr>
          <w:p w14:paraId="58EAD1AE">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90日历天（从投标截止之日算起）</w:t>
            </w:r>
          </w:p>
        </w:tc>
      </w:tr>
      <w:tr w14:paraId="3150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5154A9F7">
            <w:pPr>
              <w:widowControl/>
              <w:spacing w:before="101" w:line="360" w:lineRule="auto"/>
              <w:jc w:val="center"/>
              <w:rPr>
                <w:rFonts w:hint="eastAsia" w:ascii="宋体" w:hAnsi="宋体" w:eastAsia="宋体" w:cs="宋体"/>
                <w:color w:val="auto"/>
                <w:spacing w:val="5"/>
                <w:sz w:val="24"/>
                <w:szCs w:val="24"/>
                <w:lang w:eastAsia="zh-CN"/>
              </w:rPr>
            </w:pPr>
          </w:p>
          <w:p w14:paraId="1A519AB0">
            <w:pPr>
              <w:widowControl/>
              <w:spacing w:before="101" w:line="360" w:lineRule="auto"/>
              <w:jc w:val="center"/>
              <w:rPr>
                <w:rFonts w:hint="eastAsia" w:ascii="宋体" w:hAnsi="宋体" w:eastAsia="宋体" w:cs="宋体"/>
                <w:color w:val="auto"/>
                <w:spacing w:val="5"/>
                <w:sz w:val="24"/>
                <w:szCs w:val="24"/>
                <w:lang w:eastAsia="zh-CN"/>
              </w:rPr>
            </w:pPr>
          </w:p>
          <w:p w14:paraId="0A94E40B">
            <w:pPr>
              <w:widowControl/>
              <w:spacing w:before="101" w:line="360" w:lineRule="auto"/>
              <w:jc w:val="center"/>
              <w:rPr>
                <w:rFonts w:hint="eastAsia" w:ascii="宋体" w:hAnsi="宋体" w:eastAsia="宋体" w:cs="宋体"/>
                <w:color w:val="auto"/>
                <w:spacing w:val="5"/>
                <w:sz w:val="24"/>
                <w:szCs w:val="24"/>
                <w:lang w:eastAsia="zh-CN"/>
              </w:rPr>
            </w:pPr>
          </w:p>
          <w:p w14:paraId="77569C86">
            <w:pPr>
              <w:widowControl/>
              <w:spacing w:before="101" w:line="360" w:lineRule="auto"/>
              <w:jc w:val="center"/>
              <w:rPr>
                <w:rFonts w:hint="eastAsia" w:ascii="宋体" w:hAnsi="宋体" w:eastAsia="宋体" w:cs="宋体"/>
                <w:color w:val="auto"/>
                <w:spacing w:val="5"/>
                <w:sz w:val="24"/>
                <w:szCs w:val="24"/>
                <w:lang w:eastAsia="zh-CN"/>
              </w:rPr>
            </w:pPr>
          </w:p>
          <w:p w14:paraId="38A85772">
            <w:pPr>
              <w:widowControl/>
              <w:spacing w:before="101" w:line="360" w:lineRule="auto"/>
              <w:jc w:val="center"/>
              <w:rPr>
                <w:rFonts w:hint="eastAsia" w:ascii="宋体" w:hAnsi="宋体" w:eastAsia="宋体" w:cs="宋体"/>
                <w:color w:val="auto"/>
                <w:spacing w:val="5"/>
                <w:sz w:val="24"/>
                <w:szCs w:val="24"/>
                <w:lang w:eastAsia="zh-CN"/>
              </w:rPr>
            </w:pPr>
          </w:p>
          <w:p w14:paraId="5E2DF250">
            <w:pPr>
              <w:widowControl/>
              <w:spacing w:before="101" w:line="360" w:lineRule="auto"/>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0</w:t>
            </w:r>
          </w:p>
        </w:tc>
        <w:tc>
          <w:tcPr>
            <w:tcW w:w="1790" w:type="dxa"/>
          </w:tcPr>
          <w:p w14:paraId="0563AFA2">
            <w:pPr>
              <w:widowControl/>
              <w:spacing w:before="101" w:line="360" w:lineRule="auto"/>
              <w:jc w:val="center"/>
              <w:rPr>
                <w:rFonts w:hint="eastAsia" w:ascii="宋体" w:hAnsi="宋体" w:eastAsia="宋体" w:cs="宋体"/>
                <w:color w:val="auto"/>
                <w:spacing w:val="5"/>
                <w:sz w:val="24"/>
                <w:szCs w:val="24"/>
                <w:lang w:eastAsia="zh-CN"/>
              </w:rPr>
            </w:pPr>
          </w:p>
          <w:p w14:paraId="442A6C72">
            <w:pPr>
              <w:widowControl/>
              <w:spacing w:before="101" w:line="360" w:lineRule="auto"/>
              <w:jc w:val="center"/>
              <w:rPr>
                <w:rFonts w:hint="eastAsia" w:ascii="宋体" w:hAnsi="宋体" w:eastAsia="宋体" w:cs="宋体"/>
                <w:color w:val="auto"/>
                <w:spacing w:val="5"/>
                <w:sz w:val="24"/>
                <w:szCs w:val="24"/>
                <w:lang w:eastAsia="zh-CN"/>
              </w:rPr>
            </w:pPr>
          </w:p>
          <w:p w14:paraId="389052C3">
            <w:pPr>
              <w:widowControl/>
              <w:spacing w:before="101" w:line="360" w:lineRule="auto"/>
              <w:jc w:val="center"/>
              <w:rPr>
                <w:rFonts w:hint="eastAsia" w:ascii="宋体" w:hAnsi="宋体" w:eastAsia="宋体" w:cs="宋体"/>
                <w:color w:val="auto"/>
                <w:spacing w:val="5"/>
                <w:sz w:val="24"/>
                <w:szCs w:val="24"/>
                <w:lang w:eastAsia="zh-CN"/>
              </w:rPr>
            </w:pPr>
          </w:p>
          <w:p w14:paraId="239C4963">
            <w:pPr>
              <w:widowControl/>
              <w:spacing w:before="101" w:line="360" w:lineRule="auto"/>
              <w:jc w:val="center"/>
              <w:rPr>
                <w:rFonts w:hint="eastAsia" w:ascii="宋体" w:hAnsi="宋体" w:eastAsia="宋体" w:cs="宋体"/>
                <w:color w:val="auto"/>
                <w:spacing w:val="5"/>
                <w:sz w:val="24"/>
                <w:szCs w:val="24"/>
                <w:lang w:eastAsia="zh-CN"/>
              </w:rPr>
            </w:pPr>
          </w:p>
          <w:p w14:paraId="251C58C6">
            <w:pPr>
              <w:widowControl/>
              <w:spacing w:before="101" w:line="360" w:lineRule="auto"/>
              <w:jc w:val="center"/>
              <w:rPr>
                <w:rFonts w:hint="eastAsia" w:ascii="宋体" w:hAnsi="宋体" w:eastAsia="宋体" w:cs="宋体"/>
                <w:color w:val="auto"/>
                <w:spacing w:val="5"/>
                <w:sz w:val="24"/>
                <w:szCs w:val="24"/>
                <w:lang w:eastAsia="zh-CN"/>
              </w:rPr>
            </w:pPr>
          </w:p>
          <w:p w14:paraId="23B5C194">
            <w:pPr>
              <w:widowControl/>
              <w:spacing w:before="101" w:line="360" w:lineRule="auto"/>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投标保证金</w:t>
            </w:r>
          </w:p>
        </w:tc>
        <w:tc>
          <w:tcPr>
            <w:tcW w:w="6739" w:type="dxa"/>
          </w:tcPr>
          <w:p w14:paraId="0ED00E6E">
            <w:pPr>
              <w:widowControl w:val="0"/>
              <w:spacing w:line="320" w:lineRule="exact"/>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投标保证金的形式：转账，银行出具的现金支票、保兑支票、银行汇票，银行出具的保函，以现金或支票形式提交的投标保证金应当从投标单位的基本账户转出。</w:t>
            </w:r>
            <w:r>
              <w:rPr>
                <w:rFonts w:hint="eastAsia" w:ascii="宋体" w:hAnsi="宋体" w:eastAsia="宋体" w:cs="宋体"/>
                <w:sz w:val="24"/>
                <w:szCs w:val="24"/>
                <w:lang w:val="zh-CN" w:eastAsia="zh-CN"/>
              </w:rPr>
              <w:br w:type="textWrapping"/>
            </w:r>
            <w:r>
              <w:rPr>
                <w:rFonts w:hint="eastAsia" w:ascii="宋体" w:hAnsi="宋体" w:eastAsia="宋体" w:cs="宋体"/>
                <w:sz w:val="24"/>
                <w:szCs w:val="24"/>
                <w:lang w:val="zh-CN" w:eastAsia="zh-CN"/>
              </w:rPr>
              <w:t>投标保证金的递交时间：在投标截止日前从投标单位基本账户划拨到中科高盛咨询集团有限公司的账户，或提供保兑支票、银行汇票、提供银行机构出具的保函。</w:t>
            </w:r>
          </w:p>
          <w:p w14:paraId="5EC64642">
            <w:pPr>
              <w:widowControl w:val="0"/>
              <w:spacing w:line="320" w:lineRule="exact"/>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投标保证金的金额：</w:t>
            </w:r>
            <w:r>
              <w:rPr>
                <w:rFonts w:hint="eastAsia" w:ascii="宋体" w:hAnsi="宋体" w:eastAsia="宋体" w:cs="宋体"/>
                <w:sz w:val="24"/>
                <w:szCs w:val="24"/>
                <w:lang w:eastAsia="zh-CN"/>
              </w:rPr>
              <w:t>标段一:60000元；标段二:15000元</w:t>
            </w:r>
          </w:p>
          <w:p w14:paraId="778249EF">
            <w:pPr>
              <w:widowControl w:val="0"/>
              <w:spacing w:line="320" w:lineRule="exact"/>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户名：中科高盛咨询集团有限公司</w:t>
            </w:r>
          </w:p>
          <w:p w14:paraId="5C5B4E9B">
            <w:pPr>
              <w:widowControl w:val="0"/>
              <w:spacing w:line="320" w:lineRule="exact"/>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账号：9902001807240823</w:t>
            </w:r>
          </w:p>
          <w:p w14:paraId="35E38905">
            <w:pPr>
              <w:widowControl w:val="0"/>
              <w:spacing w:line="320" w:lineRule="exact"/>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开户行：中国民生银行长沙麓谷支行</w:t>
            </w:r>
          </w:p>
          <w:p w14:paraId="750C5031">
            <w:pPr>
              <w:widowControl w:val="0"/>
              <w:spacing w:line="320" w:lineRule="exact"/>
              <w:jc w:val="both"/>
              <w:rPr>
                <w:rFonts w:hint="eastAsia" w:ascii="宋体" w:hAnsi="宋体" w:eastAsia="宋体" w:cs="宋体"/>
                <w:b/>
                <w:bCs/>
                <w:sz w:val="24"/>
                <w:szCs w:val="24"/>
                <w:lang w:eastAsia="zh-CN"/>
              </w:rPr>
            </w:pPr>
            <w:r>
              <w:rPr>
                <w:rFonts w:hint="eastAsia" w:ascii="宋体" w:hAnsi="宋体" w:eastAsia="宋体" w:cs="宋体"/>
                <w:b/>
                <w:bCs/>
                <w:sz w:val="24"/>
                <w:szCs w:val="24"/>
                <w:lang w:val="zh-CN" w:eastAsia="zh-CN"/>
              </w:rPr>
              <w:t>行号：305551031033</w:t>
            </w:r>
          </w:p>
          <w:p w14:paraId="746D5DA9">
            <w:pPr>
              <w:widowControl w:val="0"/>
              <w:spacing w:line="3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注：投标保证金是响应文件的组成部分，开标前未按要求提交到账的，视为放弃投标，采购人将不接受其响应文件。供应商应在银行进账单或电汇凭证上明确</w:t>
            </w:r>
            <w:r>
              <w:rPr>
                <w:rFonts w:hint="eastAsia" w:ascii="宋体" w:hAnsi="宋体" w:eastAsia="宋体" w:cs="宋体"/>
                <w:b/>
                <w:bCs/>
                <w:sz w:val="24"/>
                <w:szCs w:val="24"/>
                <w:lang w:eastAsia="zh-CN"/>
              </w:rPr>
              <w:t>项目名称，项目编号</w:t>
            </w:r>
            <w:r>
              <w:rPr>
                <w:rFonts w:hint="eastAsia" w:ascii="宋体" w:hAnsi="宋体" w:eastAsia="宋体" w:cs="宋体"/>
                <w:sz w:val="24"/>
                <w:szCs w:val="24"/>
                <w:lang w:eastAsia="zh-CN"/>
              </w:rPr>
              <w:t>，以便核对查实。</w:t>
            </w:r>
          </w:p>
          <w:p w14:paraId="22AF11F6">
            <w:pPr>
              <w:widowControl/>
              <w:spacing w:before="101" w:line="360" w:lineRule="auto"/>
              <w:jc w:val="both"/>
              <w:rPr>
                <w:rFonts w:hint="eastAsia" w:ascii="宋体" w:hAnsi="宋体" w:eastAsia="宋体" w:cs="宋体"/>
                <w:color w:val="auto"/>
                <w:spacing w:val="5"/>
                <w:sz w:val="24"/>
                <w:szCs w:val="24"/>
                <w:lang w:eastAsia="zh-CN"/>
              </w:rPr>
            </w:pPr>
            <w:r>
              <w:rPr>
                <w:rFonts w:hint="eastAsia" w:ascii="宋体" w:hAnsi="宋体" w:eastAsia="宋体" w:cs="宋体"/>
                <w:b/>
                <w:bCs/>
                <w:sz w:val="24"/>
                <w:szCs w:val="24"/>
                <w:lang w:eastAsia="zh-CN"/>
              </w:rPr>
              <w:t>投标保证金退还时退至供应商企业基本账户。</w:t>
            </w:r>
          </w:p>
        </w:tc>
      </w:tr>
      <w:tr w14:paraId="395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018A1967">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1</w:t>
            </w:r>
          </w:p>
        </w:tc>
        <w:tc>
          <w:tcPr>
            <w:tcW w:w="1790" w:type="dxa"/>
            <w:vAlign w:val="center"/>
          </w:tcPr>
          <w:p w14:paraId="29FD3FB0">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投标文件份数</w:t>
            </w:r>
          </w:p>
        </w:tc>
        <w:tc>
          <w:tcPr>
            <w:tcW w:w="6739" w:type="dxa"/>
          </w:tcPr>
          <w:p w14:paraId="73811069">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一份正本，四份副本，电子版（U盘形式，电子版包括word版本和PDF版本，PDF版本须具有和纸质版本一样的签字和盖章。）。提交电子文件中要求的内容应包括纸质投标文件的全部内容。</w:t>
            </w:r>
          </w:p>
        </w:tc>
      </w:tr>
      <w:tr w14:paraId="0116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22430C6C">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2</w:t>
            </w:r>
          </w:p>
        </w:tc>
        <w:tc>
          <w:tcPr>
            <w:tcW w:w="1790" w:type="dxa"/>
            <w:vAlign w:val="center"/>
          </w:tcPr>
          <w:p w14:paraId="0140600F">
            <w:pPr>
              <w:widowControl/>
              <w:kinsoku/>
              <w:autoSpaceDE/>
              <w:adjustRightInd/>
              <w:snapToGrid/>
              <w:jc w:val="center"/>
              <w:rPr>
                <w:rFonts w:hint="eastAsia" w:ascii="宋体" w:hAnsi="宋体" w:eastAsia="宋体" w:cs="宋体"/>
                <w:color w:val="0000FF"/>
                <w:spacing w:val="5"/>
                <w:sz w:val="24"/>
                <w:szCs w:val="24"/>
                <w:highlight w:val="red"/>
                <w:lang w:eastAsia="zh-CN"/>
              </w:rPr>
            </w:pPr>
            <w:r>
              <w:rPr>
                <w:rFonts w:hint="eastAsia" w:ascii="宋体" w:hAnsi="宋体" w:eastAsia="宋体" w:cs="宋体"/>
                <w:color w:val="auto"/>
                <w:sz w:val="24"/>
                <w:szCs w:val="24"/>
                <w:lang w:eastAsia="zh-CN" w:bidi="ar"/>
              </w:rPr>
              <w:t>投标文件提交地点及截止时间</w:t>
            </w:r>
          </w:p>
        </w:tc>
        <w:tc>
          <w:tcPr>
            <w:tcW w:w="6739" w:type="dxa"/>
            <w:vAlign w:val="center"/>
          </w:tcPr>
          <w:p w14:paraId="1DB1C43E">
            <w:pPr>
              <w:widowControl/>
              <w:kinsoku/>
              <w:autoSpaceDE/>
              <w:adjustRightInd/>
              <w:snapToGrid/>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时间：</w:t>
            </w:r>
            <w:r>
              <w:rPr>
                <w:rFonts w:hint="eastAsia" w:ascii="宋体" w:hAnsi="宋体" w:eastAsia="宋体" w:cs="宋体"/>
                <w:snapToGrid/>
                <w:color w:val="auto"/>
                <w:sz w:val="24"/>
                <w:szCs w:val="24"/>
                <w:lang w:eastAsia="zh-CN" w:bidi="ar"/>
              </w:rPr>
              <w:t>2025年2月27日09时00分</w:t>
            </w:r>
          </w:p>
          <w:p w14:paraId="47C2391E">
            <w:pPr>
              <w:widowControl/>
              <w:kinsoku/>
              <w:autoSpaceDE/>
              <w:adjustRightInd/>
              <w:snapToGrid/>
              <w:jc w:val="both"/>
              <w:rPr>
                <w:rFonts w:hint="eastAsia" w:ascii="宋体" w:hAnsi="宋体" w:eastAsia="宋体" w:cs="宋体"/>
                <w:color w:val="0000FF"/>
                <w:spacing w:val="5"/>
                <w:sz w:val="24"/>
                <w:szCs w:val="24"/>
                <w:lang w:eastAsia="zh-CN"/>
              </w:rPr>
            </w:pPr>
            <w:r>
              <w:rPr>
                <w:rFonts w:hint="eastAsia" w:ascii="宋体" w:hAnsi="宋体" w:eastAsia="宋体" w:cs="宋体"/>
                <w:color w:val="auto"/>
                <w:sz w:val="24"/>
                <w:szCs w:val="24"/>
                <w:lang w:eastAsia="zh-CN" w:bidi="ar"/>
              </w:rPr>
              <w:t>地点：延吉市公共资源交易服务中心（延边朝鲜族自治州、延吉市政务楼6楼开标二室）地址：吉林省延吉市光华路166－1号。</w:t>
            </w:r>
          </w:p>
        </w:tc>
      </w:tr>
      <w:tr w14:paraId="71D4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481256AC">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3</w:t>
            </w:r>
          </w:p>
        </w:tc>
        <w:tc>
          <w:tcPr>
            <w:tcW w:w="1790" w:type="dxa"/>
            <w:vAlign w:val="center"/>
          </w:tcPr>
          <w:p w14:paraId="0293E705">
            <w:pPr>
              <w:widowControl/>
              <w:kinsoku/>
              <w:autoSpaceDE/>
              <w:adjustRightInd/>
              <w:snapToGrid/>
              <w:jc w:val="center"/>
              <w:rPr>
                <w:rFonts w:hint="eastAsia" w:ascii="宋体" w:hAnsi="宋体" w:eastAsia="宋体" w:cs="宋体"/>
                <w:color w:val="0000FF"/>
                <w:spacing w:val="5"/>
                <w:sz w:val="24"/>
                <w:szCs w:val="24"/>
                <w:lang w:eastAsia="zh-CN"/>
              </w:rPr>
            </w:pPr>
            <w:r>
              <w:rPr>
                <w:rFonts w:hint="eastAsia" w:ascii="宋体" w:hAnsi="宋体" w:eastAsia="宋体" w:cs="宋体"/>
                <w:color w:val="auto"/>
                <w:sz w:val="24"/>
                <w:szCs w:val="24"/>
                <w:lang w:eastAsia="zh-CN" w:bidi="ar"/>
              </w:rPr>
              <w:t>开标</w:t>
            </w:r>
          </w:p>
        </w:tc>
        <w:tc>
          <w:tcPr>
            <w:tcW w:w="6739" w:type="dxa"/>
            <w:vAlign w:val="center"/>
          </w:tcPr>
          <w:p w14:paraId="7F126448">
            <w:pPr>
              <w:widowControl/>
              <w:kinsoku/>
              <w:autoSpaceDE/>
              <w:adjustRightInd/>
              <w:snapToGrid/>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时间：</w:t>
            </w:r>
            <w:r>
              <w:rPr>
                <w:rFonts w:hint="eastAsia" w:ascii="宋体" w:hAnsi="宋体" w:eastAsia="宋体" w:cs="宋体"/>
                <w:snapToGrid/>
                <w:color w:val="auto"/>
                <w:sz w:val="24"/>
                <w:szCs w:val="24"/>
                <w:lang w:eastAsia="zh-CN" w:bidi="ar"/>
              </w:rPr>
              <w:t>2025年2月27日09时00分</w:t>
            </w:r>
          </w:p>
          <w:p w14:paraId="7F9E2A92">
            <w:pPr>
              <w:widowControl/>
              <w:kinsoku/>
              <w:autoSpaceDE/>
              <w:adjustRightInd/>
              <w:snapToGrid/>
              <w:jc w:val="both"/>
              <w:rPr>
                <w:rFonts w:hint="eastAsia" w:ascii="宋体" w:hAnsi="宋体" w:eastAsia="宋体" w:cs="宋体"/>
                <w:color w:val="0000FF"/>
                <w:spacing w:val="5"/>
                <w:sz w:val="24"/>
                <w:szCs w:val="24"/>
                <w:lang w:eastAsia="zh-CN"/>
              </w:rPr>
            </w:pPr>
            <w:r>
              <w:rPr>
                <w:rFonts w:hint="eastAsia" w:ascii="宋体" w:hAnsi="宋体" w:eastAsia="宋体" w:cs="宋体"/>
                <w:color w:val="auto"/>
                <w:sz w:val="24"/>
                <w:szCs w:val="24"/>
                <w:lang w:eastAsia="zh-CN" w:bidi="ar"/>
              </w:rPr>
              <w:t>地点：延吉市公共资源交易服务中心（延边朝鲜族自治州、延吉市政务楼6楼开标二室）地址：吉林省延吉市光华路166－1号。</w:t>
            </w:r>
          </w:p>
        </w:tc>
      </w:tr>
      <w:tr w14:paraId="23C6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72531387">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4</w:t>
            </w:r>
          </w:p>
        </w:tc>
        <w:tc>
          <w:tcPr>
            <w:tcW w:w="1790" w:type="dxa"/>
            <w:vAlign w:val="center"/>
          </w:tcPr>
          <w:p w14:paraId="78210AB7">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评标方法及标准</w:t>
            </w:r>
          </w:p>
        </w:tc>
        <w:tc>
          <w:tcPr>
            <w:tcW w:w="6739" w:type="dxa"/>
          </w:tcPr>
          <w:p w14:paraId="26A5053E">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综合评分法</w:t>
            </w:r>
          </w:p>
        </w:tc>
      </w:tr>
      <w:tr w14:paraId="2930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vAlign w:val="center"/>
          </w:tcPr>
          <w:p w14:paraId="223008ED">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5</w:t>
            </w:r>
          </w:p>
        </w:tc>
        <w:tc>
          <w:tcPr>
            <w:tcW w:w="1790" w:type="dxa"/>
            <w:vAlign w:val="center"/>
          </w:tcPr>
          <w:p w14:paraId="27D32D5D">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资格审查方式</w:t>
            </w:r>
          </w:p>
        </w:tc>
        <w:tc>
          <w:tcPr>
            <w:tcW w:w="6739" w:type="dxa"/>
          </w:tcPr>
          <w:p w14:paraId="6B800447">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资格后审</w:t>
            </w:r>
          </w:p>
        </w:tc>
      </w:tr>
      <w:tr w14:paraId="1EAD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56FA56DB">
            <w:pPr>
              <w:widowControl/>
              <w:spacing w:before="101"/>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6</w:t>
            </w:r>
          </w:p>
        </w:tc>
        <w:tc>
          <w:tcPr>
            <w:tcW w:w="1790" w:type="dxa"/>
            <w:vAlign w:val="center"/>
          </w:tcPr>
          <w:p w14:paraId="5CE2E679">
            <w:pPr>
              <w:widowControl/>
              <w:kinsoku/>
              <w:autoSpaceDE/>
              <w:adjustRightInd/>
              <w:snapToGrid/>
              <w:jc w:val="center"/>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评标委员会的组建</w:t>
            </w:r>
          </w:p>
        </w:tc>
        <w:tc>
          <w:tcPr>
            <w:tcW w:w="6739" w:type="dxa"/>
            <w:vAlign w:val="center"/>
          </w:tcPr>
          <w:p w14:paraId="07B0A4C6">
            <w:pPr>
              <w:widowControl/>
              <w:kinsoku/>
              <w:autoSpaceDE/>
              <w:adjustRightInd/>
              <w:snapToGrid/>
              <w:jc w:val="both"/>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评标委员会构成：</w:t>
            </w:r>
            <w:r>
              <w:rPr>
                <w:rFonts w:hint="eastAsia" w:ascii="宋体" w:hAnsi="宋体" w:eastAsia="宋体" w:cs="宋体"/>
                <w:snapToGrid/>
                <w:sz w:val="24"/>
                <w:szCs w:val="24"/>
                <w:lang w:eastAsia="zh-CN" w:bidi="ar"/>
              </w:rPr>
              <w:t>5</w:t>
            </w:r>
            <w:r>
              <w:rPr>
                <w:rFonts w:hint="eastAsia" w:ascii="宋体" w:hAnsi="宋体" w:eastAsia="宋体" w:cs="宋体"/>
                <w:sz w:val="24"/>
                <w:szCs w:val="24"/>
                <w:lang w:eastAsia="zh-CN" w:bidi="ar"/>
              </w:rPr>
              <w:t>人，技术、经济方面的专家4人，</w:t>
            </w:r>
            <w:r>
              <w:rPr>
                <w:rFonts w:hint="eastAsia" w:ascii="宋体" w:hAnsi="宋体" w:eastAsia="宋体" w:cs="宋体"/>
                <w:sz w:val="24"/>
                <w:szCs w:val="24"/>
                <w:highlight w:val="none"/>
                <w:lang w:eastAsia="zh-CN" w:bidi="ar"/>
              </w:rPr>
              <w:t>采购单位代表1人；评标委员会专家确定方式：</w:t>
            </w:r>
            <w:r>
              <w:rPr>
                <w:rFonts w:hint="eastAsia" w:ascii="宋体" w:hAnsi="宋体" w:eastAsia="宋体" w:cs="宋体"/>
                <w:bCs/>
                <w:sz w:val="24"/>
                <w:szCs w:val="24"/>
                <w:highlight w:val="none"/>
                <w:lang w:eastAsia="zh-CN" w:bidi="ar"/>
              </w:rPr>
              <w:t>从“政采云”</w:t>
            </w:r>
            <w:r>
              <w:rPr>
                <w:rFonts w:hint="eastAsia" w:ascii="宋体" w:hAnsi="宋体" w:eastAsia="宋体" w:cs="宋体"/>
                <w:bCs/>
                <w:sz w:val="24"/>
                <w:szCs w:val="24"/>
                <w:lang w:eastAsia="zh-CN" w:bidi="ar"/>
              </w:rPr>
              <w:t>评标专家库中随机抽取。</w:t>
            </w:r>
          </w:p>
        </w:tc>
      </w:tr>
      <w:tr w14:paraId="1830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136542B0">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7</w:t>
            </w:r>
          </w:p>
        </w:tc>
        <w:tc>
          <w:tcPr>
            <w:tcW w:w="1790" w:type="dxa"/>
            <w:vAlign w:val="center"/>
          </w:tcPr>
          <w:p w14:paraId="2EBC1595">
            <w:pPr>
              <w:widowControl/>
              <w:kinsoku/>
              <w:autoSpaceDE/>
              <w:adjustRightInd/>
              <w:snapToGrid/>
              <w:jc w:val="center"/>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是否授权评标委员会确定中标人</w:t>
            </w:r>
          </w:p>
        </w:tc>
        <w:tc>
          <w:tcPr>
            <w:tcW w:w="6739" w:type="dxa"/>
            <w:vAlign w:val="center"/>
          </w:tcPr>
          <w:p w14:paraId="0094BF16">
            <w:pPr>
              <w:widowControl/>
              <w:kinsoku/>
              <w:autoSpaceDE/>
              <w:adjustRightInd/>
              <w:snapToGrid/>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否，推荐的中标候选人数：</w:t>
            </w:r>
            <w:r>
              <w:rPr>
                <w:rFonts w:hint="eastAsia" w:ascii="宋体" w:hAnsi="宋体" w:eastAsia="宋体" w:cs="宋体"/>
                <w:color w:val="auto"/>
                <w:sz w:val="24"/>
                <w:szCs w:val="24"/>
                <w:u w:val="single"/>
                <w:lang w:eastAsia="zh-CN" w:bidi="ar"/>
              </w:rPr>
              <w:t>3 人</w:t>
            </w:r>
            <w:r>
              <w:rPr>
                <w:rFonts w:hint="eastAsia" w:ascii="宋体" w:hAnsi="宋体" w:eastAsia="宋体" w:cs="宋体"/>
                <w:color w:val="auto"/>
                <w:sz w:val="24"/>
                <w:szCs w:val="24"/>
                <w:lang w:eastAsia="zh-CN" w:bidi="ar"/>
              </w:rPr>
              <w:t>，按综合得分由高至低排序，推荐三名中标候选人。</w:t>
            </w:r>
          </w:p>
          <w:p w14:paraId="65736D2E">
            <w:pPr>
              <w:widowControl/>
              <w:kinsoku/>
              <w:autoSpaceDE/>
              <w:adjustRightInd/>
              <w:snapToGrid/>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bidi="ar"/>
              </w:rPr>
              <w:t>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也可以重新招标。</w:t>
            </w:r>
          </w:p>
        </w:tc>
      </w:tr>
      <w:tr w14:paraId="54C9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vAlign w:val="center"/>
          </w:tcPr>
          <w:p w14:paraId="15FCA6ED">
            <w:pPr>
              <w:widowControl/>
              <w:spacing w:before="101"/>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8</w:t>
            </w:r>
          </w:p>
        </w:tc>
        <w:tc>
          <w:tcPr>
            <w:tcW w:w="1790" w:type="dxa"/>
            <w:vAlign w:val="center"/>
          </w:tcPr>
          <w:p w14:paraId="189C8128">
            <w:pPr>
              <w:widowControl/>
              <w:kinsoku/>
              <w:autoSpaceDE/>
              <w:jc w:val="center"/>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履约担保</w:t>
            </w:r>
          </w:p>
        </w:tc>
        <w:tc>
          <w:tcPr>
            <w:tcW w:w="6739" w:type="dxa"/>
            <w:vAlign w:val="center"/>
          </w:tcPr>
          <w:p w14:paraId="471391B4">
            <w:pPr>
              <w:widowControl/>
              <w:kinsoku/>
              <w:autoSpaceDE/>
              <w:jc w:val="both"/>
              <w:rPr>
                <w:rFonts w:hint="eastAsia" w:ascii="宋体" w:hAnsi="宋体" w:eastAsia="宋体" w:cs="宋体"/>
                <w:color w:val="auto"/>
                <w:spacing w:val="5"/>
                <w:sz w:val="24"/>
                <w:szCs w:val="24"/>
                <w:lang w:eastAsia="zh-CN"/>
              </w:rPr>
            </w:pPr>
            <w:r>
              <w:rPr>
                <w:rFonts w:hint="eastAsia" w:ascii="宋体" w:hAnsi="宋体" w:eastAsia="宋体" w:cs="宋体"/>
                <w:bCs/>
                <w:color w:val="auto"/>
                <w:kern w:val="15"/>
                <w:sz w:val="24"/>
                <w:szCs w:val="24"/>
                <w:lang w:eastAsia="zh-CN" w:bidi="ar"/>
              </w:rPr>
              <w:t>本项目不需要缴纳履约保证金</w:t>
            </w:r>
          </w:p>
        </w:tc>
      </w:tr>
      <w:tr w14:paraId="6B3A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vAlign w:val="center"/>
          </w:tcPr>
          <w:p w14:paraId="53293382">
            <w:pPr>
              <w:widowControl/>
              <w:spacing w:before="101"/>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29</w:t>
            </w:r>
          </w:p>
        </w:tc>
        <w:tc>
          <w:tcPr>
            <w:tcW w:w="1790" w:type="dxa"/>
            <w:vAlign w:val="center"/>
          </w:tcPr>
          <w:p w14:paraId="6EA9DDF0">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质量标准</w:t>
            </w:r>
          </w:p>
        </w:tc>
        <w:tc>
          <w:tcPr>
            <w:tcW w:w="6739" w:type="dxa"/>
          </w:tcPr>
          <w:p w14:paraId="05B4269E">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rPr>
              <w:t>满足国家及行业规范标准及采购人要求</w:t>
            </w:r>
          </w:p>
        </w:tc>
      </w:tr>
      <w:tr w14:paraId="4640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14:paraId="33E584E0">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0</w:t>
            </w:r>
          </w:p>
        </w:tc>
        <w:tc>
          <w:tcPr>
            <w:tcW w:w="1790" w:type="dxa"/>
            <w:vAlign w:val="center"/>
          </w:tcPr>
          <w:p w14:paraId="072741D9">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质保期</w:t>
            </w:r>
          </w:p>
        </w:tc>
        <w:tc>
          <w:tcPr>
            <w:tcW w:w="6739" w:type="dxa"/>
          </w:tcPr>
          <w:p w14:paraId="0815C55A">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1年。</w:t>
            </w:r>
          </w:p>
        </w:tc>
      </w:tr>
      <w:tr w14:paraId="2FD4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97" w:type="dxa"/>
            <w:vAlign w:val="center"/>
          </w:tcPr>
          <w:p w14:paraId="3DCF4031">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1</w:t>
            </w:r>
          </w:p>
        </w:tc>
        <w:tc>
          <w:tcPr>
            <w:tcW w:w="1790" w:type="dxa"/>
            <w:vAlign w:val="center"/>
          </w:tcPr>
          <w:p w14:paraId="52DE62F4">
            <w:pPr>
              <w:widowControl/>
              <w:kinsoku/>
              <w:autoSpaceDE/>
              <w:adjustRightInd/>
              <w:snapToGrid/>
              <w:jc w:val="center"/>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付款方式</w:t>
            </w:r>
          </w:p>
        </w:tc>
        <w:tc>
          <w:tcPr>
            <w:tcW w:w="6739" w:type="dxa"/>
            <w:vAlign w:val="center"/>
          </w:tcPr>
          <w:p w14:paraId="38870B99">
            <w:pPr>
              <w:widowControl/>
              <w:kinsoku/>
              <w:autoSpaceDE/>
              <w:adjustRightInd/>
              <w:snapToGrid/>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验收合格后支付100%（不计息）</w:t>
            </w:r>
          </w:p>
        </w:tc>
      </w:tr>
      <w:tr w14:paraId="7E32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7" w:type="dxa"/>
            <w:vAlign w:val="center"/>
          </w:tcPr>
          <w:p w14:paraId="110C2C10">
            <w:pPr>
              <w:widowControl/>
              <w:spacing w:before="101" w:line="2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2</w:t>
            </w:r>
          </w:p>
        </w:tc>
        <w:tc>
          <w:tcPr>
            <w:tcW w:w="1790" w:type="dxa"/>
            <w:vAlign w:val="center"/>
          </w:tcPr>
          <w:p w14:paraId="1B032D45">
            <w:pPr>
              <w:widowControl/>
              <w:spacing w:before="101" w:line="2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签订合同</w:t>
            </w:r>
          </w:p>
        </w:tc>
        <w:tc>
          <w:tcPr>
            <w:tcW w:w="6739" w:type="dxa"/>
          </w:tcPr>
          <w:p w14:paraId="63EC602B">
            <w:pPr>
              <w:widowControl/>
              <w:spacing w:before="101" w:line="36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中标人应在中标结果确定后</w:t>
            </w:r>
            <w:r>
              <w:rPr>
                <w:rFonts w:hint="eastAsia" w:ascii="宋体" w:hAnsi="宋体" w:eastAsia="宋体" w:cs="宋体"/>
                <w:color w:val="auto"/>
                <w:spacing w:val="5"/>
                <w:sz w:val="24"/>
                <w:szCs w:val="24"/>
                <w:u w:val="single"/>
                <w:lang w:eastAsia="zh-CN"/>
              </w:rPr>
              <w:t xml:space="preserve">  30  </w:t>
            </w:r>
            <w:r>
              <w:rPr>
                <w:rFonts w:hint="eastAsia" w:ascii="宋体" w:hAnsi="宋体" w:eastAsia="宋体" w:cs="宋体"/>
                <w:color w:val="auto"/>
                <w:spacing w:val="5"/>
                <w:sz w:val="24"/>
                <w:szCs w:val="24"/>
                <w:lang w:eastAsia="zh-CN"/>
              </w:rPr>
              <w:t>天内签订采购合同。</w:t>
            </w:r>
          </w:p>
        </w:tc>
      </w:tr>
      <w:tr w14:paraId="5760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6940B6EE">
            <w:pPr>
              <w:widowControl/>
              <w:spacing w:before="101" w:line="340" w:lineRule="exact"/>
              <w:jc w:val="center"/>
              <w:rPr>
                <w:rFonts w:hint="eastAsia" w:ascii="宋体" w:hAnsi="宋体" w:eastAsia="宋体" w:cs="宋体"/>
                <w:color w:val="auto"/>
                <w:spacing w:val="5"/>
                <w:sz w:val="24"/>
                <w:szCs w:val="24"/>
                <w:lang w:eastAsia="zh-CN"/>
              </w:rPr>
            </w:pPr>
          </w:p>
          <w:p w14:paraId="72B6AC30">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3</w:t>
            </w:r>
          </w:p>
        </w:tc>
        <w:tc>
          <w:tcPr>
            <w:tcW w:w="1790" w:type="dxa"/>
            <w:vAlign w:val="center"/>
          </w:tcPr>
          <w:p w14:paraId="64F8A492">
            <w:pPr>
              <w:widowControl w:val="0"/>
              <w:spacing w:line="32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000000"/>
                <w:sz w:val="24"/>
                <w:szCs w:val="24"/>
              </w:rPr>
              <w:t>采购代理服务费</w:t>
            </w:r>
          </w:p>
        </w:tc>
        <w:tc>
          <w:tcPr>
            <w:tcW w:w="6739" w:type="dxa"/>
            <w:vAlign w:val="center"/>
          </w:tcPr>
          <w:p w14:paraId="31CE6E0D">
            <w:pPr>
              <w:widowControl w:val="0"/>
              <w:spacing w:line="3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000000"/>
                <w:sz w:val="24"/>
                <w:szCs w:val="24"/>
              </w:rPr>
              <w:t>招标代理机构参考《国家发展和改革委员会关于进一步放开建设项目专业服务的通知》发改价格[2015]299文件收费标准，向中标人收取招标代理服务费</w:t>
            </w:r>
            <w:r>
              <w:rPr>
                <w:rFonts w:hint="eastAsia" w:ascii="宋体" w:hAnsi="宋体" w:eastAsia="宋体" w:cs="宋体"/>
                <w:color w:val="000000"/>
                <w:sz w:val="24"/>
                <w:szCs w:val="24"/>
                <w:lang w:val="en-US" w:eastAsia="zh-CN"/>
              </w:rPr>
              <w:t>,本项目代理服务费每标段按照中标金额的1.5%收取</w:t>
            </w:r>
            <w:r>
              <w:rPr>
                <w:rFonts w:hint="eastAsia" w:ascii="宋体" w:hAnsi="宋体" w:eastAsia="宋体" w:cs="宋体"/>
                <w:color w:val="000000"/>
                <w:sz w:val="24"/>
                <w:szCs w:val="24"/>
              </w:rPr>
              <w:t>。</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收取方式：现金、转账或电汇。</w:t>
            </w:r>
          </w:p>
        </w:tc>
      </w:tr>
      <w:tr w14:paraId="612D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56F20239">
            <w:pPr>
              <w:widowControl/>
              <w:spacing w:before="101" w:line="340" w:lineRule="exact"/>
              <w:jc w:val="center"/>
              <w:rPr>
                <w:rFonts w:hint="eastAsia" w:ascii="宋体" w:hAnsi="宋体" w:eastAsia="宋体" w:cs="宋体"/>
                <w:color w:val="auto"/>
                <w:spacing w:val="5"/>
                <w:sz w:val="24"/>
                <w:szCs w:val="24"/>
                <w:lang w:eastAsia="zh-CN"/>
              </w:rPr>
            </w:pPr>
          </w:p>
          <w:p w14:paraId="27CA78A9">
            <w:pPr>
              <w:widowControl/>
              <w:spacing w:before="101" w:line="340" w:lineRule="exact"/>
              <w:jc w:val="center"/>
              <w:rPr>
                <w:rFonts w:hint="eastAsia" w:ascii="宋体" w:hAnsi="宋体" w:eastAsia="宋体" w:cs="宋体"/>
                <w:color w:val="auto"/>
                <w:spacing w:val="5"/>
                <w:sz w:val="24"/>
                <w:szCs w:val="24"/>
                <w:lang w:eastAsia="zh-CN"/>
              </w:rPr>
            </w:pPr>
          </w:p>
          <w:p w14:paraId="46481E72">
            <w:pPr>
              <w:widowControl/>
              <w:spacing w:before="101" w:line="340" w:lineRule="exact"/>
              <w:jc w:val="center"/>
              <w:rPr>
                <w:rFonts w:hint="eastAsia" w:ascii="宋体" w:hAnsi="宋体" w:eastAsia="宋体" w:cs="宋体"/>
                <w:color w:val="auto"/>
                <w:spacing w:val="5"/>
                <w:sz w:val="24"/>
                <w:szCs w:val="24"/>
                <w:lang w:eastAsia="zh-CN"/>
              </w:rPr>
            </w:pPr>
          </w:p>
          <w:p w14:paraId="7B6F811C">
            <w:pPr>
              <w:widowControl/>
              <w:spacing w:before="101" w:line="340" w:lineRule="exact"/>
              <w:jc w:val="center"/>
              <w:rPr>
                <w:rFonts w:hint="eastAsia" w:ascii="宋体" w:hAnsi="宋体" w:eastAsia="宋体" w:cs="宋体"/>
                <w:color w:val="auto"/>
                <w:spacing w:val="5"/>
                <w:sz w:val="24"/>
                <w:szCs w:val="24"/>
                <w:lang w:eastAsia="zh-CN"/>
              </w:rPr>
            </w:pPr>
          </w:p>
          <w:p w14:paraId="3257AB0D">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4</w:t>
            </w:r>
          </w:p>
        </w:tc>
        <w:tc>
          <w:tcPr>
            <w:tcW w:w="1790" w:type="dxa"/>
            <w:vAlign w:val="center"/>
          </w:tcPr>
          <w:p w14:paraId="6849E258">
            <w:pPr>
              <w:widowControl/>
              <w:kinsoku/>
              <w:autoSpaceDE/>
              <w:jc w:val="center"/>
              <w:rPr>
                <w:rFonts w:hint="eastAsia" w:ascii="宋体" w:hAnsi="宋体" w:eastAsia="宋体" w:cs="宋体"/>
                <w:bCs/>
                <w:kern w:val="15"/>
                <w:sz w:val="24"/>
                <w:szCs w:val="24"/>
              </w:rPr>
            </w:pPr>
            <w:r>
              <w:rPr>
                <w:rFonts w:hint="eastAsia" w:ascii="宋体" w:hAnsi="宋体" w:eastAsia="宋体" w:cs="宋体"/>
                <w:bCs/>
                <w:kern w:val="15"/>
                <w:sz w:val="24"/>
                <w:szCs w:val="24"/>
                <w:lang w:eastAsia="zh-CN" w:bidi="ar"/>
              </w:rPr>
              <w:t>供应商信用信息查询</w:t>
            </w:r>
          </w:p>
          <w:p w14:paraId="757D34E3">
            <w:pPr>
              <w:widowControl/>
              <w:kinsoku/>
              <w:autoSpaceDE/>
              <w:jc w:val="center"/>
              <w:rPr>
                <w:rFonts w:hint="eastAsia" w:ascii="宋体" w:hAnsi="宋体" w:eastAsia="宋体" w:cs="宋体"/>
                <w:sz w:val="24"/>
                <w:szCs w:val="24"/>
              </w:rPr>
            </w:pPr>
          </w:p>
        </w:tc>
        <w:tc>
          <w:tcPr>
            <w:tcW w:w="6739" w:type="dxa"/>
            <w:vAlign w:val="center"/>
          </w:tcPr>
          <w:p w14:paraId="5F62F062">
            <w:pPr>
              <w:widowControl/>
              <w:kinsoku/>
              <w:autoSpaceDE/>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查询渠道：</w:t>
            </w:r>
          </w:p>
          <w:p w14:paraId="71ACCC9F">
            <w:pPr>
              <w:widowControl/>
              <w:kinsoku/>
              <w:autoSpaceDE/>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①“信用中国”网站（www.creditchina.gov.cn）：失信被执行人、重大税收违法案件当事人名单 。</w:t>
            </w:r>
          </w:p>
          <w:p w14:paraId="0D32D49E">
            <w:pPr>
              <w:widowControl/>
              <w:kinsoku/>
              <w:autoSpaceDE/>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②中国政府采购网(www.ccgp.gov.cn)：政府采购严重违法失信行为信息记录。</w:t>
            </w:r>
          </w:p>
          <w:p w14:paraId="721377C1">
            <w:pPr>
              <w:widowControl/>
              <w:kinsoku/>
              <w:autoSpaceDE/>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查询截止时点：</w:t>
            </w:r>
            <w:r>
              <w:rPr>
                <w:rFonts w:hint="eastAsia" w:ascii="宋体" w:hAnsi="宋体" w:eastAsia="宋体" w:cs="宋体"/>
                <w:color w:val="auto"/>
                <w:sz w:val="24"/>
                <w:szCs w:val="24"/>
                <w:lang w:val="zh-CN" w:eastAsia="zh-CN" w:bidi="ar"/>
              </w:rPr>
              <w:t>同投标截止时间</w:t>
            </w:r>
          </w:p>
          <w:p w14:paraId="6FE61674">
            <w:pPr>
              <w:widowControl/>
              <w:kinsoku/>
              <w:autoSpaceDE/>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信用信息查询记录和证据留存的具体方式：</w:t>
            </w:r>
          </w:p>
          <w:p w14:paraId="68F85D58">
            <w:pPr>
              <w:widowControl/>
              <w:kinsoku/>
              <w:autoSpaceDE/>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采购人或采购代理机构将按查询截止时点对所有供应商的信用信息进行查询，网站查询记录作为招投标存档备案材料的组成部分进行留存。</w:t>
            </w:r>
          </w:p>
          <w:p w14:paraId="1B21E6E4">
            <w:pPr>
              <w:widowControl/>
              <w:kinsoku/>
              <w:autoSpaceDE/>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信用信息的使用规则：</w:t>
            </w:r>
          </w:p>
          <w:p w14:paraId="7EA37E35">
            <w:pPr>
              <w:widowControl/>
              <w:kinsoku/>
              <w:autoSpaceDE/>
              <w:adjustRightInd/>
              <w:snapToGrid/>
              <w:jc w:val="both"/>
              <w:rPr>
                <w:rFonts w:hint="eastAsia" w:ascii="宋体" w:hAnsi="宋体" w:eastAsia="宋体" w:cs="宋体"/>
                <w:sz w:val="24"/>
                <w:szCs w:val="24"/>
                <w:lang w:eastAsia="zh-CN"/>
              </w:rPr>
            </w:pPr>
            <w:r>
              <w:rPr>
                <w:rFonts w:hint="eastAsia" w:ascii="宋体" w:hAnsi="宋体" w:eastAsia="宋体" w:cs="宋体"/>
                <w:color w:val="auto"/>
                <w:sz w:val="24"/>
                <w:szCs w:val="24"/>
                <w:lang w:eastAsia="zh-CN" w:bidi="ar"/>
              </w:rPr>
              <w:t>采购人或采购代理机构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14:paraId="4C6D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14:paraId="33090810">
            <w:pPr>
              <w:widowControl/>
              <w:spacing w:before="101" w:line="340" w:lineRule="exact"/>
              <w:jc w:val="center"/>
              <w:rPr>
                <w:rFonts w:hint="eastAsia" w:ascii="宋体" w:hAnsi="宋体" w:eastAsia="宋体" w:cs="宋体"/>
                <w:color w:val="auto"/>
                <w:spacing w:val="5"/>
                <w:sz w:val="24"/>
                <w:szCs w:val="24"/>
                <w:lang w:eastAsia="zh-CN"/>
              </w:rPr>
            </w:pPr>
          </w:p>
          <w:p w14:paraId="7C870974">
            <w:pPr>
              <w:widowControl/>
              <w:spacing w:before="101" w:line="340" w:lineRule="exact"/>
              <w:jc w:val="center"/>
              <w:rPr>
                <w:rFonts w:hint="eastAsia" w:ascii="宋体" w:hAnsi="宋体" w:eastAsia="宋体" w:cs="宋体"/>
                <w:color w:val="auto"/>
                <w:spacing w:val="5"/>
                <w:sz w:val="24"/>
                <w:szCs w:val="24"/>
                <w:lang w:eastAsia="zh-CN"/>
              </w:rPr>
            </w:pPr>
          </w:p>
          <w:p w14:paraId="63829775">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5</w:t>
            </w:r>
          </w:p>
        </w:tc>
        <w:tc>
          <w:tcPr>
            <w:tcW w:w="1790" w:type="dxa"/>
            <w:vAlign w:val="center"/>
          </w:tcPr>
          <w:p w14:paraId="23F94822">
            <w:pPr>
              <w:widowControl/>
              <w:kinsoku/>
              <w:autoSpaceDE/>
              <w:adjustRightInd/>
              <w:snapToGrid/>
              <w:jc w:val="both"/>
              <w:rPr>
                <w:rFonts w:hint="eastAsia" w:ascii="宋体" w:hAnsi="宋体" w:eastAsia="宋体" w:cs="宋体"/>
                <w:sz w:val="24"/>
                <w:szCs w:val="24"/>
                <w:lang w:eastAsia="zh-CN"/>
              </w:rPr>
            </w:pPr>
            <w:r>
              <w:rPr>
                <w:rFonts w:hint="eastAsia" w:ascii="宋体" w:hAnsi="宋体" w:eastAsia="宋体" w:cs="宋体"/>
                <w:color w:val="auto"/>
                <w:sz w:val="24"/>
                <w:szCs w:val="24"/>
                <w:lang w:eastAsia="zh-CN" w:bidi="ar"/>
              </w:rPr>
              <w:t>财务状况及依法缴纳税收和社会保障资金要求</w:t>
            </w:r>
          </w:p>
        </w:tc>
        <w:tc>
          <w:tcPr>
            <w:tcW w:w="6739" w:type="dxa"/>
            <w:vAlign w:val="center"/>
          </w:tcPr>
          <w:p w14:paraId="2D511805">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1.提供近一年（2023年）经会计师事务所审计的财务审计报告（当投标单位成立日期在2023年12月31日以后新成立的公司无财务审计报告的，需提供当年验资报告或银行出具的公司资信证明）</w:t>
            </w:r>
          </w:p>
          <w:p w14:paraId="1B133F3A">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2.提供投标截止日期前半年内任意一个月企业依法缴纳税收及社会保障资金的相关材料（依法免税或无欠税、依法不需要缴纳社会保险的，应提供相应文件证明其依法免税或无欠税、依法不需要缴纳社会保险）</w:t>
            </w:r>
          </w:p>
        </w:tc>
      </w:tr>
      <w:tr w14:paraId="609B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restart"/>
          </w:tcPr>
          <w:p w14:paraId="17F6F0AE">
            <w:pPr>
              <w:widowControl/>
              <w:spacing w:before="101"/>
              <w:jc w:val="center"/>
              <w:rPr>
                <w:rFonts w:hint="eastAsia" w:ascii="宋体" w:hAnsi="宋体" w:eastAsia="宋体" w:cs="宋体"/>
                <w:color w:val="auto"/>
                <w:spacing w:val="5"/>
                <w:sz w:val="24"/>
                <w:szCs w:val="24"/>
                <w:lang w:eastAsia="zh-CN"/>
              </w:rPr>
            </w:pPr>
          </w:p>
          <w:p w14:paraId="777C01FF">
            <w:pPr>
              <w:widowControl/>
              <w:spacing w:before="101"/>
              <w:jc w:val="center"/>
              <w:rPr>
                <w:rFonts w:hint="eastAsia" w:ascii="宋体" w:hAnsi="宋体" w:eastAsia="宋体" w:cs="宋体"/>
                <w:color w:val="auto"/>
                <w:spacing w:val="5"/>
                <w:sz w:val="24"/>
                <w:szCs w:val="24"/>
                <w:lang w:eastAsia="zh-CN"/>
              </w:rPr>
            </w:pPr>
          </w:p>
          <w:p w14:paraId="6B659C14">
            <w:pPr>
              <w:widowControl/>
              <w:spacing w:before="101"/>
              <w:jc w:val="center"/>
              <w:rPr>
                <w:rFonts w:hint="eastAsia" w:ascii="宋体" w:hAnsi="宋体" w:eastAsia="宋体" w:cs="宋体"/>
                <w:color w:val="auto"/>
                <w:spacing w:val="5"/>
                <w:sz w:val="24"/>
                <w:szCs w:val="24"/>
                <w:lang w:eastAsia="zh-CN"/>
              </w:rPr>
            </w:pPr>
          </w:p>
          <w:p w14:paraId="3421A2A1">
            <w:pPr>
              <w:widowControl/>
              <w:spacing w:before="101"/>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6</w:t>
            </w:r>
          </w:p>
        </w:tc>
        <w:tc>
          <w:tcPr>
            <w:tcW w:w="1790" w:type="dxa"/>
            <w:vMerge w:val="restart"/>
          </w:tcPr>
          <w:p w14:paraId="0968BB9B">
            <w:pPr>
              <w:widowControl/>
              <w:spacing w:before="101" w:line="0" w:lineRule="atLeast"/>
              <w:jc w:val="center"/>
              <w:rPr>
                <w:rFonts w:hint="eastAsia" w:ascii="宋体" w:hAnsi="宋体" w:eastAsia="宋体" w:cs="宋体"/>
                <w:color w:val="auto"/>
                <w:spacing w:val="5"/>
                <w:sz w:val="24"/>
                <w:szCs w:val="24"/>
                <w:lang w:eastAsia="zh-CN"/>
              </w:rPr>
            </w:pPr>
          </w:p>
          <w:p w14:paraId="11F1D6DE">
            <w:pPr>
              <w:widowControl/>
              <w:spacing w:before="101" w:line="0" w:lineRule="atLeast"/>
              <w:jc w:val="center"/>
              <w:rPr>
                <w:rFonts w:hint="eastAsia" w:ascii="宋体" w:hAnsi="宋体" w:eastAsia="宋体" w:cs="宋体"/>
                <w:color w:val="auto"/>
                <w:spacing w:val="5"/>
                <w:sz w:val="24"/>
                <w:szCs w:val="24"/>
                <w:lang w:eastAsia="zh-CN"/>
              </w:rPr>
            </w:pPr>
          </w:p>
          <w:p w14:paraId="05CCC6E9">
            <w:pPr>
              <w:widowControl/>
              <w:spacing w:before="101" w:line="0" w:lineRule="atLeast"/>
              <w:jc w:val="center"/>
              <w:rPr>
                <w:rFonts w:hint="eastAsia" w:ascii="宋体" w:hAnsi="宋体" w:eastAsia="宋体" w:cs="宋体"/>
                <w:color w:val="auto"/>
                <w:spacing w:val="5"/>
                <w:sz w:val="24"/>
                <w:szCs w:val="24"/>
                <w:lang w:eastAsia="zh-CN"/>
              </w:rPr>
            </w:pPr>
          </w:p>
          <w:p w14:paraId="1BF79E55">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其他要求</w:t>
            </w:r>
          </w:p>
        </w:tc>
        <w:tc>
          <w:tcPr>
            <w:tcW w:w="6739" w:type="dxa"/>
          </w:tcPr>
          <w:p w14:paraId="0581D383">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投标人必须保证投标时所报资料真实有效，采购人保留对资料的核查权力，一旦发现资料有虚假现象将没收投标人投标保证金，并移交有关部门处理。</w:t>
            </w:r>
          </w:p>
        </w:tc>
      </w:tr>
      <w:tr w14:paraId="5DA6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97" w:type="dxa"/>
            <w:vMerge w:val="continue"/>
          </w:tcPr>
          <w:p w14:paraId="5A78517A">
            <w:pPr>
              <w:widowControl/>
              <w:spacing w:before="101"/>
              <w:jc w:val="center"/>
              <w:rPr>
                <w:rFonts w:hint="eastAsia" w:ascii="宋体" w:hAnsi="宋体" w:eastAsia="宋体" w:cs="宋体"/>
                <w:color w:val="auto"/>
                <w:spacing w:val="5"/>
                <w:sz w:val="24"/>
                <w:szCs w:val="24"/>
                <w:lang w:eastAsia="zh-CN"/>
              </w:rPr>
            </w:pPr>
          </w:p>
        </w:tc>
        <w:tc>
          <w:tcPr>
            <w:tcW w:w="1790" w:type="dxa"/>
            <w:vMerge w:val="continue"/>
          </w:tcPr>
          <w:p w14:paraId="54DA9BAC">
            <w:pPr>
              <w:widowControl/>
              <w:spacing w:before="101" w:line="0" w:lineRule="atLeast"/>
              <w:jc w:val="center"/>
              <w:rPr>
                <w:rFonts w:hint="eastAsia" w:ascii="宋体" w:hAnsi="宋体" w:eastAsia="宋体" w:cs="宋体"/>
                <w:color w:val="auto"/>
                <w:spacing w:val="5"/>
                <w:sz w:val="24"/>
                <w:szCs w:val="24"/>
                <w:lang w:eastAsia="zh-CN"/>
              </w:rPr>
            </w:pPr>
          </w:p>
        </w:tc>
        <w:tc>
          <w:tcPr>
            <w:tcW w:w="6739" w:type="dxa"/>
          </w:tcPr>
          <w:p w14:paraId="6192F3F8">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本次采购项目采购标的对应的中小企业划分标准所属行业为</w:t>
            </w:r>
            <w:r>
              <w:rPr>
                <w:rFonts w:hint="eastAsia" w:ascii="宋体" w:hAnsi="宋体" w:eastAsia="宋体" w:cs="宋体"/>
                <w:b/>
                <w:bCs/>
                <w:color w:val="auto"/>
                <w:spacing w:val="5"/>
                <w:sz w:val="24"/>
                <w:szCs w:val="24"/>
                <w:lang w:eastAsia="zh-CN"/>
              </w:rPr>
              <w:t>工业</w:t>
            </w:r>
            <w:r>
              <w:rPr>
                <w:rFonts w:hint="eastAsia" w:ascii="宋体" w:hAnsi="宋体" w:eastAsia="宋体" w:cs="宋体"/>
                <w:color w:val="auto"/>
                <w:spacing w:val="5"/>
                <w:sz w:val="24"/>
                <w:szCs w:val="24"/>
                <w:lang w:eastAsia="zh-CN"/>
              </w:rPr>
              <w:t>（划分标准见 附件：中小企业划型标准）。</w:t>
            </w:r>
          </w:p>
        </w:tc>
      </w:tr>
      <w:tr w14:paraId="6052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tcPr>
          <w:p w14:paraId="4FDD6143">
            <w:pPr>
              <w:widowControl/>
              <w:spacing w:before="101"/>
              <w:jc w:val="center"/>
              <w:rPr>
                <w:rFonts w:hint="eastAsia" w:ascii="宋体" w:hAnsi="宋体" w:eastAsia="宋体" w:cs="宋体"/>
                <w:color w:val="auto"/>
                <w:spacing w:val="5"/>
                <w:sz w:val="24"/>
                <w:szCs w:val="24"/>
                <w:lang w:eastAsia="zh-CN"/>
              </w:rPr>
            </w:pPr>
          </w:p>
        </w:tc>
        <w:tc>
          <w:tcPr>
            <w:tcW w:w="1790" w:type="dxa"/>
            <w:vMerge w:val="continue"/>
          </w:tcPr>
          <w:p w14:paraId="7AE92CCA">
            <w:pPr>
              <w:widowControl/>
              <w:spacing w:before="101" w:line="500" w:lineRule="exact"/>
              <w:jc w:val="center"/>
              <w:rPr>
                <w:rFonts w:hint="eastAsia" w:ascii="宋体" w:hAnsi="宋体" w:eastAsia="宋体" w:cs="宋体"/>
                <w:color w:val="auto"/>
                <w:spacing w:val="5"/>
                <w:sz w:val="24"/>
                <w:szCs w:val="24"/>
                <w:lang w:eastAsia="zh-CN"/>
              </w:rPr>
            </w:pPr>
          </w:p>
        </w:tc>
        <w:tc>
          <w:tcPr>
            <w:tcW w:w="6739" w:type="dxa"/>
          </w:tcPr>
          <w:p w14:paraId="5E683F56">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只接受以书面形式向采购人、采购代理机构提出质疑，不接受以其他形式或提出的质疑。</w:t>
            </w:r>
          </w:p>
        </w:tc>
      </w:tr>
      <w:tr w14:paraId="436A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tcPr>
          <w:p w14:paraId="5EC840CC">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注意事项：本项目招标公告与招标文件中内容有不符之处，以本招标文件中内容为准。</w:t>
            </w:r>
          </w:p>
        </w:tc>
      </w:tr>
    </w:tbl>
    <w:p w14:paraId="544DC439">
      <w:pPr>
        <w:rPr>
          <w:lang w:eastAsia="zh-CN"/>
        </w:rPr>
      </w:pPr>
    </w:p>
    <w:p w14:paraId="08A3D50D">
      <w:pPr>
        <w:spacing w:before="254" w:line="221" w:lineRule="auto"/>
        <w:ind w:left="4050"/>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bookmarkStart w:id="33" w:name="_Toc15682"/>
    </w:p>
    <w:p w14:paraId="10310E3F">
      <w:pPr>
        <w:pStyle w:val="3"/>
        <w:tabs>
          <w:tab w:val="left" w:pos="360"/>
        </w:tabs>
        <w:kinsoku/>
        <w:autoSpaceDE/>
        <w:adjustRightInd/>
        <w:snapToGrid/>
        <w:spacing w:line="415" w:lineRule="auto"/>
        <w:rPr>
          <w:rFonts w:hint="eastAsia" w:ascii="宋体" w:hAnsi="宋体" w:eastAsia="宋体" w:cs="宋体"/>
          <w:sz w:val="24"/>
          <w:szCs w:val="24"/>
          <w:lang w:eastAsia="zh-CN"/>
        </w:rPr>
      </w:pPr>
    </w:p>
    <w:p w14:paraId="44FC350B">
      <w:pPr>
        <w:pStyle w:val="3"/>
        <w:tabs>
          <w:tab w:val="left" w:pos="360"/>
        </w:tabs>
        <w:kinsoku/>
        <w:autoSpaceDE/>
        <w:adjustRightInd/>
        <w:snapToGrid/>
        <w:spacing w:line="415" w:lineRule="auto"/>
        <w:rPr>
          <w:rFonts w:hint="eastAsia" w:ascii="宋体" w:hAnsi="宋体" w:eastAsia="宋体" w:cs="宋体"/>
          <w:sz w:val="24"/>
          <w:szCs w:val="24"/>
          <w:lang w:eastAsia="zh-CN"/>
        </w:rPr>
      </w:pPr>
    </w:p>
    <w:p w14:paraId="1A8BBCA4">
      <w:pPr>
        <w:pStyle w:val="3"/>
        <w:tabs>
          <w:tab w:val="left" w:pos="360"/>
        </w:tabs>
        <w:kinsoku/>
        <w:autoSpaceDE/>
        <w:adjustRightInd/>
        <w:snapToGrid/>
        <w:spacing w:line="415" w:lineRule="auto"/>
        <w:rPr>
          <w:rFonts w:hint="eastAsia" w:ascii="宋体" w:hAnsi="宋体" w:eastAsia="宋体" w:cs="宋体"/>
          <w:sz w:val="24"/>
          <w:szCs w:val="24"/>
          <w:lang w:eastAsia="zh-CN"/>
        </w:rPr>
      </w:pPr>
    </w:p>
    <w:p w14:paraId="7DD0AAA7">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492FC905">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493FA480">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bookmarkEnd w:id="33"/>
    <w:p w14:paraId="29969A9E">
      <w:pPr>
        <w:pStyle w:val="3"/>
        <w:numPr>
          <w:ilvl w:val="0"/>
          <w:numId w:val="4"/>
        </w:numPr>
        <w:tabs>
          <w:tab w:val="left" w:pos="360"/>
        </w:tabs>
        <w:kinsoku/>
        <w:autoSpaceDE/>
        <w:adjustRightInd/>
        <w:snapToGrid/>
        <w:spacing w:line="415" w:lineRule="auto"/>
        <w:jc w:val="center"/>
        <w:rPr>
          <w:rFonts w:hint="eastAsia" w:ascii="宋体" w:hAnsi="宋体" w:eastAsia="宋体" w:cs="宋体"/>
          <w:sz w:val="28"/>
          <w:szCs w:val="28"/>
        </w:rPr>
      </w:pPr>
      <w:bookmarkStart w:id="34" w:name="_Toc20563"/>
      <w:r>
        <w:rPr>
          <w:rFonts w:hint="eastAsia" w:ascii="宋体" w:hAnsi="宋体" w:eastAsia="宋体" w:cs="宋体"/>
          <w:sz w:val="28"/>
          <w:szCs w:val="28"/>
          <w:lang w:eastAsia="zh-CN"/>
        </w:rPr>
        <w:t>供应商</w:t>
      </w:r>
      <w:r>
        <w:rPr>
          <w:rFonts w:hint="eastAsia" w:ascii="宋体" w:hAnsi="宋体" w:eastAsia="宋体" w:cs="宋体"/>
          <w:sz w:val="28"/>
          <w:szCs w:val="28"/>
        </w:rPr>
        <w:t>须知</w:t>
      </w:r>
    </w:p>
    <w:p w14:paraId="11B66A41">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一、说明</w:t>
      </w:r>
    </w:p>
    <w:p w14:paraId="1E1704B3">
      <w:pPr>
        <w:spacing w:before="1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1、资金来源：</w:t>
      </w:r>
      <w:bookmarkEnd w:id="34"/>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财政性资金</w:t>
      </w:r>
    </w:p>
    <w:p w14:paraId="741C0CA2">
      <w:pPr>
        <w:spacing w:before="179"/>
        <w:rPr>
          <w:rFonts w:hint="eastAsia" w:ascii="宋体" w:hAnsi="宋体" w:eastAsia="宋体" w:cs="宋体"/>
          <w:color w:val="auto"/>
          <w:sz w:val="24"/>
          <w:szCs w:val="24"/>
          <w:lang w:eastAsia="zh-CN"/>
        </w:rPr>
      </w:pPr>
      <w:bookmarkStart w:id="35" w:name="_Toc11362"/>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2、采购人、采购代理机构、投标人</w:t>
      </w:r>
      <w:bookmarkEnd w:id="35"/>
    </w:p>
    <w:p w14:paraId="731D993C">
      <w:pPr>
        <w:spacing w:before="181"/>
        <w:ind w:firstLine="236"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2.1“采购人”是指：延吉市朝阳川镇中心卫生院，项目采购单位，合同的需方。</w:t>
      </w:r>
    </w:p>
    <w:p w14:paraId="518C92B3">
      <w:pPr>
        <w:spacing w:before="183"/>
        <w:ind w:firstLine="236"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2.2“采购代理机构”是指：中科高盛咨询集团有限公司。</w:t>
      </w:r>
    </w:p>
    <w:p w14:paraId="18E4B944">
      <w:pPr>
        <w:tabs>
          <w:tab w:val="left" w:pos="201"/>
        </w:tabs>
        <w:spacing w:before="183"/>
        <w:ind w:firstLine="234" w:firstLineChars="100"/>
        <w:rPr>
          <w:rFonts w:hint="eastAsia" w:ascii="宋体" w:hAnsi="宋体" w:eastAsia="宋体" w:cs="宋体"/>
          <w:color w:val="auto"/>
          <w:sz w:val="24"/>
          <w:szCs w:val="24"/>
          <w:lang w:eastAsia="zh-CN"/>
        </w:rPr>
      </w:pPr>
      <w:bookmarkStart w:id="36" w:name="_Toc26658"/>
      <w:r>
        <w:rPr>
          <w:rFonts w:hint="eastAsia" w:ascii="宋体" w:hAnsi="宋体" w:eastAsia="宋体" w:cs="宋体"/>
          <w:color w:val="auto"/>
          <w:spacing w:val="-3"/>
          <w:sz w:val="24"/>
          <w:szCs w:val="24"/>
          <w:lang w:eastAsia="zh-CN"/>
        </w:rPr>
        <w:t>2.3“投标人（也称“供应商”、“申请人”）</w:t>
      </w:r>
      <w:r>
        <w:rPr>
          <w:rFonts w:hint="eastAsia" w:ascii="宋体" w:hAnsi="宋体" w:eastAsia="宋体" w:cs="宋体"/>
          <w:color w:val="auto"/>
          <w:spacing w:val="-86"/>
          <w:sz w:val="24"/>
          <w:szCs w:val="24"/>
          <w:lang w:eastAsia="zh-CN"/>
        </w:rPr>
        <w:t>”</w:t>
      </w:r>
      <w:r>
        <w:rPr>
          <w:rFonts w:hint="eastAsia" w:ascii="宋体" w:hAnsi="宋体" w:eastAsia="宋体" w:cs="宋体"/>
          <w:color w:val="auto"/>
          <w:spacing w:val="-3"/>
          <w:sz w:val="24"/>
          <w:szCs w:val="24"/>
          <w:lang w:eastAsia="zh-CN"/>
        </w:rPr>
        <w:t>是指响应招标、参加投标竞争的法</w:t>
      </w:r>
      <w:bookmarkEnd w:id="36"/>
    </w:p>
    <w:p w14:paraId="19A4302F">
      <w:pPr>
        <w:spacing w:before="180"/>
        <w:ind w:left="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人、其他组织或者自然人。</w:t>
      </w:r>
    </w:p>
    <w:p w14:paraId="4AD943AE">
      <w:pPr>
        <w:spacing w:before="181"/>
        <w:rPr>
          <w:rFonts w:hint="eastAsia" w:ascii="宋体" w:hAnsi="宋体" w:eastAsia="宋体" w:cs="宋体"/>
          <w:color w:val="auto"/>
          <w:sz w:val="24"/>
          <w:szCs w:val="24"/>
          <w:lang w:eastAsia="zh-CN"/>
        </w:rPr>
      </w:pPr>
      <w:bookmarkStart w:id="37" w:name="_Toc22020"/>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3、合格投标人</w:t>
      </w:r>
      <w:bookmarkEnd w:id="37"/>
    </w:p>
    <w:p w14:paraId="0C06446E">
      <w:pPr>
        <w:spacing w:before="183"/>
        <w:ind w:left="482"/>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14:paraId="677BD7BF">
      <w:pPr>
        <w:spacing w:before="1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4、投标费用</w:t>
      </w:r>
    </w:p>
    <w:p w14:paraId="1510A58A">
      <w:pPr>
        <w:spacing w:before="181"/>
        <w:ind w:firstLine="476" w:firstLineChars="2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投标人应承担所有与编写和提交投标文件有关的费用，无论投标的结果如何，采购人和采购代理机构在任何情况下均无义务和责任承担这些费用。</w:t>
      </w:r>
    </w:p>
    <w:p w14:paraId="3AAB48DE">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5、政府采购政策（包括但不限于下列具体政策要求）</w:t>
      </w:r>
    </w:p>
    <w:p w14:paraId="58174D28">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 采购本国货物、工程和服务</w:t>
      </w:r>
    </w:p>
    <w:p w14:paraId="10F7CF93">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5.1.1 政府采购应当采购本国货物、工程和服务。但有《中华人民共和国政府采购法》第十条规定情形的除外。</w:t>
      </w:r>
    </w:p>
    <w:p w14:paraId="0DE2FE4A">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58422616">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7CBC0596">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 政府采购节能产品、环境标志产品</w:t>
      </w:r>
    </w:p>
    <w:p w14:paraId="542F4566">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864846">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E8F86B0">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lang w:eastAsia="zh-CN"/>
        </w:rPr>
        <w:t>投标无效</w:t>
      </w:r>
      <w:r>
        <w:rPr>
          <w:rFonts w:hint="eastAsia" w:ascii="宋体" w:hAnsi="宋体" w:eastAsia="宋体" w:cs="宋体"/>
          <w:color w:val="auto"/>
          <w:sz w:val="24"/>
          <w:szCs w:val="24"/>
          <w:lang w:eastAsia="zh-CN"/>
        </w:rPr>
        <w:t>；</w:t>
      </w:r>
    </w:p>
    <w:p w14:paraId="032EDEF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5.2.4 非政府强制采购的节能产品或环境标志产品，依据品目清单和认证证书实施政府优先采购。优先采购的具体规定见第三章《评标办法》。</w:t>
      </w:r>
    </w:p>
    <w:p w14:paraId="382B5E3A">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 正版软件</w:t>
      </w:r>
    </w:p>
    <w:p w14:paraId="72CAA405">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lang w:eastAsia="zh-CN"/>
        </w:rPr>
        <w:t>投标无效</w:t>
      </w:r>
      <w:r>
        <w:rPr>
          <w:rFonts w:hint="eastAsia" w:ascii="宋体" w:hAnsi="宋体" w:eastAsia="宋体" w:cs="宋体"/>
          <w:color w:val="auto"/>
          <w:sz w:val="24"/>
          <w:szCs w:val="24"/>
          <w:lang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303599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28FCBFF">
      <w:pPr>
        <w:spacing w:before="178" w:line="220" w:lineRule="auto"/>
        <w:ind w:left="393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二、招标文件</w:t>
      </w:r>
    </w:p>
    <w:p w14:paraId="3191B195">
      <w:pPr>
        <w:spacing w:before="182"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6、招标文件</w:t>
      </w:r>
    </w:p>
    <w:p w14:paraId="3D566098">
      <w:pPr>
        <w:spacing w:before="179" w:line="220" w:lineRule="auto"/>
        <w:ind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6.1</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3"/>
          <w:sz w:val="24"/>
          <w:szCs w:val="24"/>
          <w:lang w:eastAsia="zh-CN"/>
        </w:rPr>
        <w:t>招标文件的构成</w:t>
      </w:r>
    </w:p>
    <w:p w14:paraId="35C47B4A">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第一章 招标公告</w:t>
      </w:r>
    </w:p>
    <w:p w14:paraId="4DBA9814">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第二章 投标人须知</w:t>
      </w:r>
    </w:p>
    <w:p w14:paraId="0A691B13">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第三章 评标办法</w:t>
      </w:r>
    </w:p>
    <w:p w14:paraId="7D405947">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第四章 合同条款(参考格式)</w:t>
      </w:r>
    </w:p>
    <w:p w14:paraId="28ADED88">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第五章 采购需求</w:t>
      </w:r>
    </w:p>
    <w:p w14:paraId="337E543F">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第六章 投标文件构成及格式</w:t>
      </w:r>
    </w:p>
    <w:p w14:paraId="1072C690">
      <w:pPr>
        <w:spacing w:before="227" w:line="468" w:lineRule="exact"/>
        <w:ind w:right="63" w:firstLine="238"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6.2</w:t>
      </w:r>
      <w:r>
        <w:rPr>
          <w:rFonts w:hint="eastAsia" w:ascii="宋体" w:hAnsi="宋体" w:eastAsia="宋体" w:cs="宋体"/>
          <w:color w:val="auto"/>
          <w:spacing w:val="-37"/>
          <w:position w:val="17"/>
          <w:sz w:val="24"/>
          <w:szCs w:val="24"/>
          <w:lang w:eastAsia="zh-CN"/>
        </w:rPr>
        <w:t xml:space="preserve"> </w:t>
      </w:r>
      <w:r>
        <w:rPr>
          <w:rFonts w:hint="eastAsia" w:ascii="宋体" w:hAnsi="宋体" w:eastAsia="宋体" w:cs="宋体"/>
          <w:color w:val="auto"/>
          <w:spacing w:val="-1"/>
          <w:position w:val="17"/>
          <w:sz w:val="24"/>
          <w:szCs w:val="24"/>
          <w:lang w:eastAsia="zh-CN"/>
        </w:rPr>
        <w:t>投标人应认真阅读招标文件的全部内容。投标人应按照招标文件要求提交投标文</w:t>
      </w:r>
    </w:p>
    <w:p w14:paraId="1E383557">
      <w:pPr>
        <w:spacing w:before="1" w:line="219"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件并保证所提供的全部资料的真实性，并对招标文件做出实质性响应</w:t>
      </w:r>
      <w:r>
        <w:rPr>
          <w:rFonts w:hint="eastAsia" w:ascii="宋体" w:hAnsi="宋体" w:eastAsia="宋体" w:cs="宋体"/>
          <w:color w:val="auto"/>
          <w:spacing w:val="-1"/>
          <w:sz w:val="24"/>
          <w:szCs w:val="24"/>
          <w:lang w:eastAsia="zh-CN"/>
        </w:rPr>
        <w:t>，否则</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投标无效。</w:t>
      </w:r>
    </w:p>
    <w:p w14:paraId="6D6318D4">
      <w:pPr>
        <w:spacing w:before="180"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7、招标文件的澄清和修改</w:t>
      </w:r>
    </w:p>
    <w:p w14:paraId="0DBC6F23">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11003768">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止时间 15 日前，以书面形式通知所有获取招标文件的潜在投标人；不足 15 日的，采购人或者采购代理机构将顺延提交投标文件的截止时间。在这种情况下，采购人、采购代理机构和投标人受投标截止时间制约的所有权利和义务均相应顺延至新的投标截止时间。</w:t>
      </w:r>
    </w:p>
    <w:p w14:paraId="505A5245">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7.3 本项目不召开答疑会。</w:t>
      </w:r>
    </w:p>
    <w:p w14:paraId="3412F177">
      <w:pPr>
        <w:spacing w:before="48" w:line="220" w:lineRule="auto"/>
        <w:ind w:left="392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三、投标文件</w:t>
      </w:r>
    </w:p>
    <w:p w14:paraId="55C6383F">
      <w:pPr>
        <w:spacing w:before="182" w:line="22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8、投标范围、投标语言及投标文件中计量单位的使用</w:t>
      </w:r>
    </w:p>
    <w:p w14:paraId="3068B6CF">
      <w:pPr>
        <w:spacing w:before="181"/>
        <w:ind w:firstLine="238"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8.1</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1"/>
          <w:sz w:val="24"/>
          <w:szCs w:val="24"/>
          <w:lang w:eastAsia="zh-CN"/>
        </w:rPr>
        <w:t>本项目划分采购包，投标人可以对本项目的其中一个采购包进行投标</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求》所列的全部</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购包的投标将被认定</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为无效投标</w:t>
      </w:r>
      <w:r>
        <w:rPr>
          <w:rFonts w:hint="eastAsia" w:ascii="宋体" w:hAnsi="宋体" w:eastAsia="宋体" w:cs="宋体"/>
          <w:color w:val="auto"/>
          <w:spacing w:val="-2"/>
          <w:sz w:val="24"/>
          <w:szCs w:val="24"/>
          <w:lang w:eastAsia="zh-CN"/>
        </w:rPr>
        <w:t>。</w:t>
      </w:r>
    </w:p>
    <w:p w14:paraId="3C39E895">
      <w:pPr>
        <w:spacing w:before="181"/>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49C7D9D">
      <w:pPr>
        <w:spacing w:before="181"/>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8.3 除招标文件有特殊要求外，本项目投标所使用的计量单位，应采用中华人民共和国法定计量单位。</w:t>
      </w:r>
    </w:p>
    <w:p w14:paraId="528BAF93">
      <w:pPr>
        <w:spacing w:before="181" w:line="220" w:lineRule="auto"/>
        <w:rPr>
          <w:rFonts w:hint="eastAsia" w:ascii="宋体" w:hAnsi="宋体" w:eastAsia="宋体" w:cs="宋体"/>
          <w:color w:val="auto"/>
          <w:sz w:val="24"/>
          <w:szCs w:val="24"/>
          <w:lang w:eastAsia="zh-CN"/>
        </w:rPr>
      </w:pPr>
      <w:bookmarkStart w:id="38" w:name="_Toc13866"/>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9、投标文件构成</w:t>
      </w:r>
      <w:bookmarkEnd w:id="38"/>
    </w:p>
    <w:p w14:paraId="53DB7570">
      <w:pPr>
        <w:spacing w:before="179" w:line="468" w:lineRule="exact"/>
        <w:ind w:firstLine="238"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9.1</w:t>
      </w:r>
      <w:r>
        <w:rPr>
          <w:rFonts w:hint="eastAsia" w:ascii="宋体" w:hAnsi="宋体" w:eastAsia="宋体" w:cs="宋体"/>
          <w:color w:val="auto"/>
          <w:spacing w:val="-36"/>
          <w:position w:val="17"/>
          <w:sz w:val="24"/>
          <w:szCs w:val="24"/>
          <w:lang w:eastAsia="zh-CN"/>
        </w:rPr>
        <w:t xml:space="preserve"> </w:t>
      </w:r>
      <w:r>
        <w:rPr>
          <w:rFonts w:hint="eastAsia" w:ascii="宋体" w:hAnsi="宋体" w:eastAsia="宋体" w:cs="宋体"/>
          <w:color w:val="auto"/>
          <w:spacing w:val="-1"/>
          <w:position w:val="17"/>
          <w:sz w:val="24"/>
          <w:szCs w:val="24"/>
          <w:lang w:eastAsia="zh-CN"/>
        </w:rPr>
        <w:t>投标人应当按照招标文件的要求编制投标文件。投标文件的部分格式要求，见第</w:t>
      </w:r>
    </w:p>
    <w:p w14:paraId="25353E21">
      <w:pPr>
        <w:spacing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六章《投标文件构成及格式》。</w:t>
      </w:r>
    </w:p>
    <w:p w14:paraId="069D35CF">
      <w:pPr>
        <w:spacing w:before="180" w:line="220" w:lineRule="auto"/>
        <w:ind w:firstLine="238"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9.2</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1"/>
          <w:sz w:val="24"/>
          <w:szCs w:val="24"/>
          <w:lang w:eastAsia="zh-CN"/>
        </w:rPr>
        <w:t>投标文件应编制文件目录，准确标明文件内容所在位置。投标文件应包含但不限</w:t>
      </w:r>
    </w:p>
    <w:p w14:paraId="5825F40E">
      <w:pPr>
        <w:spacing w:before="182" w:line="224" w:lineRule="auto"/>
        <w:ind w:left="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于：</w:t>
      </w:r>
    </w:p>
    <w:p w14:paraId="43109D38">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格式一：</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投标函</w:t>
      </w:r>
    </w:p>
    <w:p w14:paraId="6F6C48E7">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格式二：</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法定代表人身份证明</w:t>
      </w:r>
    </w:p>
    <w:p w14:paraId="2835C4C6">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格式三：</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授权委托书</w:t>
      </w:r>
    </w:p>
    <w:p w14:paraId="31CAA756">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格式四：</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开标一览表</w:t>
      </w:r>
    </w:p>
    <w:p w14:paraId="46826C0D">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格式五：</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投标报价明细表</w:t>
      </w:r>
    </w:p>
    <w:p w14:paraId="14781873">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格式六：</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资格审查资料</w:t>
      </w:r>
    </w:p>
    <w:p w14:paraId="5E4EB291">
      <w:pPr>
        <w:spacing w:before="48" w:line="22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格式七：</w:t>
      </w:r>
      <w:r>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t>投标保证金</w:t>
      </w:r>
    </w:p>
    <w:p w14:paraId="0C2546C3">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格式八：</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近年财务状况</w:t>
      </w:r>
    </w:p>
    <w:p w14:paraId="0D185167">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格式九：</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依法缴纳税收和社会保障资金的证明</w:t>
      </w:r>
    </w:p>
    <w:p w14:paraId="78F7967C">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格式十：</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采购需求偏离表</w:t>
      </w:r>
    </w:p>
    <w:p w14:paraId="4D550A7B">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格式十一：</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类似业绩一览表</w:t>
      </w:r>
    </w:p>
    <w:p w14:paraId="527FFF34">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格式十二：</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售后服务承诺书</w:t>
      </w:r>
    </w:p>
    <w:p w14:paraId="136E44A9">
      <w:pPr>
        <w:spacing w:after="120" w:afterLines="50"/>
        <w:ind w:firstLine="240" w:firstLineChars="100"/>
        <w:jc w:val="both"/>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szCs w:val="24"/>
          <w:lang w:eastAsia="zh-CN"/>
        </w:rPr>
        <w:t>格式十三：</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信誉承诺书</w:t>
      </w:r>
    </w:p>
    <w:p w14:paraId="084CC7E9">
      <w:pPr>
        <w:spacing w:after="120" w:afterLines="50"/>
        <w:ind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格式十四：</w:t>
      </w:r>
      <w: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t>招标文件要求提供或供应商认为需要提供的其它材料</w:t>
      </w:r>
    </w:p>
    <w:p w14:paraId="049DF82F">
      <w:pPr>
        <w:spacing w:before="180" w:line="220" w:lineRule="auto"/>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9.3 第三章《评标办法》中涉及的证明文件。</w:t>
      </w:r>
    </w:p>
    <w:p w14:paraId="3B46E1F1">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29569D3D">
      <w:pPr>
        <w:spacing w:before="183" w:line="219" w:lineRule="auto"/>
        <w:ind w:firstLine="236"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w:t>
      </w:r>
      <w:r>
        <w:rPr>
          <w:rFonts w:hint="eastAsia" w:ascii="宋体" w:hAnsi="宋体" w:eastAsia="宋体" w:cs="宋体"/>
          <w:color w:val="auto"/>
          <w:spacing w:val="-40"/>
          <w:sz w:val="24"/>
          <w:szCs w:val="24"/>
          <w:lang w:eastAsia="zh-CN"/>
        </w:rPr>
        <w:t xml:space="preserve"> </w:t>
      </w:r>
      <w:r>
        <w:rPr>
          <w:rFonts w:hint="eastAsia" w:ascii="宋体" w:hAnsi="宋体" w:eastAsia="宋体" w:cs="宋体"/>
          <w:color w:val="auto"/>
          <w:spacing w:val="-2"/>
          <w:sz w:val="24"/>
          <w:szCs w:val="24"/>
          <w:lang w:eastAsia="zh-CN"/>
        </w:rPr>
        <w:t>投标人认为应附的其他材料。</w:t>
      </w:r>
    </w:p>
    <w:p w14:paraId="7ADAF9F5">
      <w:pPr>
        <w:spacing w:before="179"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10、投标报价</w:t>
      </w:r>
    </w:p>
    <w:p w14:paraId="3DB4332D">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10.1 报价原则：所有投标均以人民币报价。</w:t>
      </w:r>
    </w:p>
    <w:p w14:paraId="451C12E6">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 投标人的报价应包括为完成本项目所发生的一切费用和税费，采购人将不再支付报价以外的任何费用。</w:t>
      </w:r>
    </w:p>
    <w:p w14:paraId="610DDB51">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BA3A37D">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10.2.2 按照招标文件要求完成本项目的全部相关费用。</w:t>
      </w:r>
    </w:p>
    <w:p w14:paraId="7FC3F648">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lang w:eastAsia="zh-CN"/>
        </w:rPr>
        <w:t>投标无效</w:t>
      </w:r>
      <w:r>
        <w:rPr>
          <w:rFonts w:hint="eastAsia" w:ascii="宋体" w:hAnsi="宋体" w:eastAsia="宋体" w:cs="宋体"/>
          <w:color w:val="auto"/>
          <w:sz w:val="24"/>
          <w:szCs w:val="24"/>
          <w:lang w:eastAsia="zh-CN"/>
        </w:rPr>
        <w:t>。</w:t>
      </w:r>
    </w:p>
    <w:p w14:paraId="1BCC1C5F">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10.4 采购人不得向投标人索要或者接受其给予的赠品、回扣或者与采购无关的其他商品、服务。</w:t>
      </w:r>
    </w:p>
    <w:p w14:paraId="006937DD">
      <w:pPr>
        <w:spacing w:before="182" w:line="221" w:lineRule="auto"/>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11、投标保证金</w:t>
      </w:r>
    </w:p>
    <w:p w14:paraId="5F90DA79">
      <w:pPr>
        <w:spacing w:before="179" w:line="359" w:lineRule="auto"/>
        <w:ind w:right="81"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递交形式：</w:t>
      </w:r>
      <w:r>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t>转账，银行出具的现金支票、保兑支票、银行汇票，银行出具的保函，以现金或支票形式提交的投标保证金应当从投标单位的基本账户转出</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。供应商未按照文件要求提交保证金的，响应无效。</w:t>
      </w:r>
    </w:p>
    <w:p w14:paraId="531A2ED8">
      <w:pPr>
        <w:spacing w:before="179" w:line="359" w:lineRule="auto"/>
        <w:ind w:right="81"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递交方式：供应商须在递交响应文件截止时间前将保证金存入指定账户，过期不予受理。逾期未缴纳保证金视为自动放弃投标资格。银行进账单或电汇凭证等凭证上应明确用途、项目名称、联系人及电话，以便核对查实。保证金的确认以最终到账日期为准。</w:t>
      </w:r>
    </w:p>
    <w:p w14:paraId="2E84095C">
      <w:pPr>
        <w:spacing w:line="360" w:lineRule="auto"/>
        <w:ind w:right="79"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保证金的金额：标段一60000元；标段二15000元</w:t>
      </w:r>
    </w:p>
    <w:p w14:paraId="1A67CFB0">
      <w:pPr>
        <w:spacing w:line="360" w:lineRule="auto"/>
        <w:ind w:right="79"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收款单位：中科高盛咨询集团有限公司</w:t>
      </w:r>
    </w:p>
    <w:p w14:paraId="1B974E6F">
      <w:pPr>
        <w:spacing w:line="360" w:lineRule="auto"/>
        <w:ind w:right="79"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开户行：</w:t>
      </w:r>
      <w:r>
        <w:rPr>
          <w:rFonts w:hint="eastAsia" w:ascii="宋体" w:hAnsi="宋体"/>
          <w:b/>
          <w:bCs/>
          <w:sz w:val="24"/>
          <w:szCs w:val="24"/>
          <w:lang w:val="zh-CN" w:eastAsia="zh-CN"/>
        </w:rPr>
        <w:t>中国民生银行长沙麓谷支行</w:t>
      </w:r>
    </w:p>
    <w:p w14:paraId="16A8B458">
      <w:pPr>
        <w:spacing w:line="360" w:lineRule="auto"/>
        <w:ind w:right="79" w:firstLine="476" w:firstLineChars="200"/>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账号：</w:t>
      </w:r>
      <w:r>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t>9902001807240823</w:t>
      </w:r>
    </w:p>
    <w:p w14:paraId="611B5A66">
      <w:pPr>
        <w:spacing w:line="360" w:lineRule="auto"/>
        <w:ind w:right="79" w:firstLine="476" w:firstLineChars="200"/>
        <w:rPr>
          <w:lang w:eastAsia="zh-CN"/>
        </w:rPr>
      </w:pPr>
      <w:r>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t>行号：305551031033</w:t>
      </w:r>
    </w:p>
    <w:p w14:paraId="7167F15D">
      <w:pPr>
        <w:spacing w:before="182" w:line="221" w:lineRule="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12、投标有效期</w:t>
      </w:r>
    </w:p>
    <w:p w14:paraId="3BA375B8">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lang w:eastAsia="zh-CN"/>
        </w:rPr>
        <w:t>投标无效</w:t>
      </w:r>
      <w:r>
        <w:rPr>
          <w:rFonts w:hint="eastAsia" w:ascii="宋体" w:hAnsi="宋体" w:eastAsia="宋体" w:cs="宋体"/>
          <w:color w:val="auto"/>
          <w:sz w:val="24"/>
          <w:szCs w:val="24"/>
          <w:lang w:eastAsia="zh-CN"/>
        </w:rPr>
        <w:t>。</w:t>
      </w:r>
    </w:p>
    <w:p w14:paraId="08E7F448">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459318DE">
      <w:pPr>
        <w:spacing w:before="181"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13、投标文件的式样和签署</w:t>
      </w:r>
    </w:p>
    <w:p w14:paraId="372DC4A8">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13.1 投标人应按照本须知的要求编制投标文件，逐项逐条响应招标文件并使用下载</w:t>
      </w:r>
    </w:p>
    <w:p w14:paraId="71DE29DC">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的政采云投标客户端制作并上传。</w:t>
      </w:r>
    </w:p>
    <w:p w14:paraId="72F8CC0A">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4DB883DC">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3AA75BE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417C68C2">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13.5 评标前准备</w:t>
      </w:r>
    </w:p>
    <w:p w14:paraId="5CCB9FC9">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13.5.1 本项目实行网上评审，采用电子投标文件。</w:t>
      </w:r>
    </w:p>
    <w:p w14:paraId="0ABDBC89">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2BF6976E">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13.5.3 投标人将政采云电子交易客户端下载、安装完成后，可通过登录客户端进行响应文件制作。客户端请至网站下载专区查看，如有问题可拨打政采云客户服务热线95763进行咨询。</w:t>
      </w:r>
    </w:p>
    <w:p w14:paraId="2E1C31A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13.6 其他说明</w:t>
      </w:r>
    </w:p>
    <w:p w14:paraId="0AA898BA">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13.6.1 投标人应先安装“政采云投标客户端”（请自行前往政采云平台进行下载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lang w:eastAsia="zh-CN"/>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t>.0.04df4040034511edaac705fda12edb43），通过账号密码或CA登录客户端制作投标文件。</w:t>
      </w:r>
    </w:p>
    <w:p w14:paraId="00F7C3A2">
      <w:pPr>
        <w:spacing w:before="179"/>
        <w:ind w:firstLine="476"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 xml:space="preserve">13.6.2 </w:t>
      </w:r>
      <w:r>
        <w:rPr>
          <w:rFonts w:hint="eastAsia" w:ascii="宋体" w:hAnsi="宋体" w:eastAsia="宋体" w:cs="宋体"/>
          <w:color w:val="auto"/>
          <w:spacing w:val="-1"/>
          <w:position w:val="17"/>
          <w:sz w:val="24"/>
          <w:szCs w:val="24"/>
          <w:lang w:eastAsia="zh-CN"/>
          <w14:textOutline w14:w="4356" w14:cap="sq" w14:cmpd="sng" w14:algn="ctr">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求签署、盖章的，其响应投标无效</w:t>
      </w:r>
      <w:r>
        <w:rPr>
          <w:rFonts w:hint="eastAsia" w:ascii="宋体" w:hAnsi="宋体" w:eastAsia="宋体" w:cs="宋体"/>
          <w:color w:val="auto"/>
          <w:sz w:val="24"/>
          <w:szCs w:val="24"/>
          <w:lang w:eastAsia="zh-CN"/>
        </w:rPr>
        <w:t>。</w:t>
      </w:r>
    </w:p>
    <w:p w14:paraId="3C18C9D6">
      <w:pPr>
        <w:spacing w:before="183"/>
        <w:ind w:right="170" w:firstLine="476"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1"/>
          <w:sz w:val="24"/>
          <w:szCs w:val="24"/>
          <w:lang w:eastAsia="zh-CN"/>
        </w:rPr>
        <w:t>13.6.3 为确保网上操作合法、有效和安全，投标人应当在投标文件递交截止时间前</w:t>
      </w:r>
      <w:r>
        <w:rPr>
          <w:rFonts w:hint="eastAsia" w:ascii="宋体" w:hAnsi="宋体" w:eastAsia="宋体" w:cs="宋体"/>
          <w:color w:val="auto"/>
          <w:spacing w:val="-2"/>
          <w:sz w:val="24"/>
          <w:szCs w:val="24"/>
          <w:lang w:eastAsia="zh-CN"/>
        </w:rPr>
        <w:t>完成在政采云平台的身份认证，确保在电子投标过程中能够对相关数据电文进行加密和使用电子签名。</w:t>
      </w:r>
    </w:p>
    <w:p w14:paraId="1E03E220">
      <w:pPr>
        <w:spacing w:before="48" w:line="359" w:lineRule="auto"/>
        <w:ind w:left="1" w:right="230" w:firstLine="49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13.6.4 </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投标文件中标注的投标人名称应与主体资格证明（如营业执照</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等）和公章一</w:t>
      </w: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致，</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否则作无效投标处理</w:t>
      </w:r>
      <w:r>
        <w:rPr>
          <w:rFonts w:hint="eastAsia" w:ascii="宋体" w:hAnsi="宋体" w:eastAsia="宋体" w:cs="宋体"/>
          <w:color w:val="auto"/>
          <w:spacing w:val="-1"/>
          <w:sz w:val="24"/>
          <w:szCs w:val="24"/>
          <w:lang w:eastAsia="zh-CN"/>
        </w:rPr>
        <w:t>。</w:t>
      </w:r>
    </w:p>
    <w:p w14:paraId="16069A3A">
      <w:pPr>
        <w:spacing w:before="181" w:line="220" w:lineRule="auto"/>
        <w:rPr>
          <w:rFonts w:hint="eastAsia" w:ascii="宋体" w:hAnsi="宋体" w:eastAsia="宋体" w:cs="宋体"/>
          <w:color w:val="auto"/>
          <w:sz w:val="24"/>
          <w:szCs w:val="24"/>
          <w:lang w:eastAsia="zh-CN"/>
        </w:rPr>
      </w:pPr>
      <w:bookmarkStart w:id="39" w:name="_Toc12487"/>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14、投标文件的修改和撤回</w:t>
      </w:r>
      <w:bookmarkEnd w:id="39"/>
    </w:p>
    <w:p w14:paraId="16576A2E">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fldChar w:fldCharType="begin"/>
      </w:r>
      <w:r>
        <w:rPr>
          <w:lang w:eastAsia="zh-CN"/>
        </w:rPr>
        <w:instrText xml:space="preserve">HYPERLINK "https://www.zcygov.cn/"</w:instrText>
      </w:r>
      <w:r>
        <w:fldChar w:fldCharType="separate"/>
      </w:r>
      <w:r>
        <w:rPr>
          <w:rFonts w:hint="eastAsia" w:ascii="宋体" w:hAnsi="宋体" w:eastAsia="宋体" w:cs="宋体"/>
          <w:color w:val="auto"/>
          <w:sz w:val="24"/>
          <w:szCs w:val="24"/>
          <w:lang w:eastAsia="zh-CN"/>
        </w:rPr>
        <w:t>https://www.zcygov.cn/</w:t>
      </w:r>
      <w:r>
        <w:fldChar w:fldCharType="end"/>
      </w:r>
      <w:r>
        <w:rPr>
          <w:rFonts w:hint="eastAsia" w:ascii="宋体" w:hAnsi="宋体" w:eastAsia="宋体" w:cs="宋体"/>
          <w:color w:val="auto"/>
          <w:sz w:val="24"/>
          <w:szCs w:val="24"/>
          <w:lang w:eastAsia="zh-CN"/>
        </w:rPr>
        <w:t>）将拒收。</w:t>
      </w:r>
    </w:p>
    <w:p w14:paraId="329128A6">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14.2 在投标文件提交截止时间前，除投标人补充、修改或者撤回投标文件外，任何</w:t>
      </w:r>
    </w:p>
    <w:p w14:paraId="05D13C27">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单位和个人不得解密或提取投标文件。</w:t>
      </w:r>
    </w:p>
    <w:p w14:paraId="46FD6176">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14.3 在投标截止时间（开标时间）之后，投标人不得对其投标文件做任何修改。</w:t>
      </w:r>
    </w:p>
    <w:p w14:paraId="0190B5AD">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14.4 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14:paraId="27965E1A">
      <w:pPr>
        <w:spacing w:before="182" w:line="221" w:lineRule="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14:textOutline w14:w="4356" w14:cap="sq" w14:cmpd="sng" w14:algn="ctr">
            <w14:solidFill>
              <w14:srgbClr w14:val="000000"/>
            </w14:solidFill>
            <w14:prstDash w14:val="solid"/>
            <w14:bevel/>
          </w14:textOutline>
        </w:rPr>
        <w:t>15、投标</w:t>
      </w:r>
    </w:p>
    <w:p w14:paraId="4EA4E463">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15.1本项目开标方式为远程开标，供应商不到现场。供应商开标时，需携带制作投标文件时用来加密的有效数字证书（CA认证）登录“政采云”平台电子开标大厅现场按规定时间对加密的响应文件进行解密。</w:t>
      </w:r>
    </w:p>
    <w:p w14:paraId="26DA803F">
      <w:pPr>
        <w:spacing w:before="183"/>
        <w:ind w:left="178" w:leftChars="85"/>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15.2投标</w:t>
      </w:r>
      <w:r>
        <w:rPr>
          <w:rFonts w:hint="eastAsia" w:ascii="宋体" w:hAnsi="宋体" w:eastAsia="宋体" w:cs="宋体"/>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文件和“政采云”平台的要求编制、加密后在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文件提交截止时间前通过网络上传至“政采云”平台，供应商在“政采云”平台提交电子版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文件时，请填写参加开标活动经办人联系方式。</w:t>
      </w:r>
    </w:p>
    <w:p w14:paraId="2776BD9D">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15.3</w:t>
      </w:r>
      <w:r>
        <w:rPr>
          <w:rFonts w:hint="eastAsia" w:ascii="宋体" w:hAnsi="宋体" w:eastAsia="宋体" w:cs="宋体"/>
          <w:b/>
          <w:bCs/>
          <w:color w:val="auto"/>
          <w:sz w:val="24"/>
          <w:szCs w:val="24"/>
          <w:lang w:eastAsia="zh-CN"/>
        </w:rPr>
        <w:t>※开标结束后供应商须将响应文件纸质版（一正四副）、电子版U盘1份递交至中科高盛咨询集团有限公司（吉林省延吉市人民路1977-18号）用于项目存档使用（若未及时递交纸质版文件，所造成的后果自行承担）。</w:t>
      </w:r>
      <w:r>
        <w:rPr>
          <w:rFonts w:hint="eastAsia" w:ascii="宋体" w:hAnsi="宋体" w:eastAsia="宋体" w:cs="宋体"/>
          <w:color w:val="auto"/>
          <w:sz w:val="24"/>
          <w:szCs w:val="24"/>
          <w:lang w:eastAsia="zh-CN"/>
        </w:rPr>
        <w:t>纸质版及电子版应与上传的加密文件一致。采用书册方式胶装，装订应牢固、整齐便于保管和利用，不易拆散和换页，不得采用活页装订。建议正反面打印装订。</w:t>
      </w:r>
    </w:p>
    <w:p w14:paraId="115509E1">
      <w:pPr>
        <w:spacing w:before="189" w:line="220" w:lineRule="auto"/>
        <w:ind w:left="3106"/>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四、开标、资格性审查及评标</w:t>
      </w:r>
    </w:p>
    <w:p w14:paraId="0668A80D">
      <w:pPr>
        <w:spacing w:before="179" w:line="221" w:lineRule="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14:textOutline w14:w="4356" w14:cap="sq" w14:cmpd="sng" w14:algn="ctr">
            <w14:solidFill>
              <w14:srgbClr w14:val="000000"/>
            </w14:solidFill>
            <w14:prstDash w14:val="solid"/>
            <w14:bevel/>
          </w14:textOutline>
        </w:rPr>
        <w:t>16、开标</w:t>
      </w:r>
    </w:p>
    <w:p w14:paraId="7803ADBF">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16.1 采购代理机构将在招标公告中规定的时间和地点组织公开开标，邀请投标人线</w:t>
      </w:r>
    </w:p>
    <w:p w14:paraId="402D6CFA">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上通过政采云平台参加。</w:t>
      </w:r>
    </w:p>
    <w:p w14:paraId="29BA7E93">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16.2 开标会由采购代理机构组织并主持。本项目开标使用政采云平台（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lang w:eastAsia="zh-CN"/>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t>）。</w:t>
      </w:r>
    </w:p>
    <w:p w14:paraId="7296996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16.3 投标人不足3家的，不开标。</w:t>
      </w:r>
    </w:p>
    <w:p w14:paraId="1686FF2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16.4 开标过程将使用政采云平台（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w:t>
      </w:r>
      <w:r>
        <w:rPr>
          <w:rFonts w:hint="eastAsia" w:ascii="宋体" w:hAnsi="宋体" w:eastAsia="宋体" w:cs="宋体"/>
          <w:color w:val="auto"/>
          <w:sz w:val="24"/>
          <w:szCs w:val="24"/>
          <w:lang w:eastAsia="zh-CN"/>
        </w:rPr>
        <w:t>投标人未在规定时间内确认一览表的，视同认可开标结果。</w:t>
      </w:r>
    </w:p>
    <w:p w14:paraId="53F61CDB">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16.5 按照规定，提交了可接受的“撤回”通知的投标将不予开封。撤回的投标文件将原封退回投标人。</w:t>
      </w:r>
    </w:p>
    <w:p w14:paraId="23BDDA2C">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456790F1">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16.7 开标时有下列情形之一的，采购人有权宣布本项目废标：</w:t>
      </w:r>
    </w:p>
    <w:p w14:paraId="313047EA">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（1）交货期/合同履行期限符合招标文件要求的投标人不足三家的；</w:t>
      </w:r>
    </w:p>
    <w:p w14:paraId="2443B819">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（2）所有投标人的报价均超过采购项目预算，采购人不能支付的。</w:t>
      </w:r>
    </w:p>
    <w:p w14:paraId="54FA53A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16.8 投标文件解密</w:t>
      </w:r>
    </w:p>
    <w:p w14:paraId="2266F1FA">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16.8.1 投标人应当在招标文件规定的投标文件解密时间内对已上传的加密投标文件进行现场解密。如无特殊情况，解密工作须在投标截止时间后 30 分钟内完成。</w:t>
      </w:r>
    </w:p>
    <w:p w14:paraId="625DB6EB">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16.8.2 投标人授权代表解密时应当使用制作加密电子投标文件的同一把数字证书对已上传的投标文件进行解密。</w:t>
      </w:r>
    </w:p>
    <w:p w14:paraId="403F50EE">
      <w:pPr>
        <w:spacing w:before="183"/>
        <w:ind w:left="178" w:leftChars="85"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 xml:space="preserve">16.8.3 </w:t>
      </w:r>
      <w:r>
        <w:rPr>
          <w:rFonts w:hint="eastAsia" w:ascii="宋体" w:hAnsi="宋体" w:eastAsia="宋体" w:cs="宋体"/>
          <w:b/>
          <w:bCs/>
          <w:color w:val="auto"/>
          <w:sz w:val="24"/>
          <w:szCs w:val="24"/>
          <w:lang w:eastAsia="zh-CN"/>
        </w:rPr>
        <w:t>因投标人自身原因，逾期未能成功解密的，视为逾期未提交投标文件，其投标无效。</w:t>
      </w:r>
    </w:p>
    <w:p w14:paraId="58108217">
      <w:pPr>
        <w:pStyle w:val="2"/>
        <w:kinsoku/>
        <w:autoSpaceDE/>
        <w:adjustRightInd/>
        <w:snapToGrid/>
        <w:spacing w:before="0" w:after="0" w:line="360" w:lineRule="auto"/>
        <w:jc w:val="center"/>
        <w:rPr>
          <w:rFonts w:hint="eastAsia" w:ascii="宋体" w:hAnsi="宋体" w:cs="宋体"/>
          <w:bCs/>
          <w:sz w:val="36"/>
          <w:szCs w:val="36"/>
          <w:lang w:eastAsia="zh-CN"/>
        </w:rPr>
      </w:pPr>
      <w:bookmarkStart w:id="40" w:name="_Toc30103"/>
      <w:bookmarkStart w:id="41" w:name="_Toc5178"/>
      <w:bookmarkStart w:id="42" w:name="_Toc48760973"/>
      <w:r>
        <w:rPr>
          <w:rFonts w:hint="eastAsia" w:ascii="宋体" w:hAnsi="宋体" w:cs="宋体"/>
          <w:bCs/>
          <w:sz w:val="36"/>
          <w:szCs w:val="36"/>
          <w:lang w:eastAsia="zh-CN"/>
        </w:rPr>
        <w:t>第三章  评标办法</w:t>
      </w:r>
      <w:bookmarkEnd w:id="40"/>
      <w:bookmarkEnd w:id="41"/>
      <w:bookmarkEnd w:id="42"/>
    </w:p>
    <w:p w14:paraId="0C5B9F13">
      <w:pPr>
        <w:kinsoku/>
        <w:autoSpaceDE/>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（本项目采用</w:t>
      </w:r>
      <w:bookmarkStart w:id="43" w:name="blank29_copy_1619578115000"/>
      <w:r>
        <w:rPr>
          <w:rFonts w:hint="eastAsia" w:ascii="宋体" w:hAnsi="宋体" w:eastAsia="宋体" w:cs="宋体"/>
          <w:snapToGrid/>
          <w:sz w:val="24"/>
          <w:szCs w:val="24"/>
          <w:lang w:eastAsia="zh-CN" w:bidi="ar"/>
        </w:rPr>
        <w:t>综合评分法</w:t>
      </w:r>
      <w:bookmarkEnd w:id="43"/>
      <w:r>
        <w:rPr>
          <w:rFonts w:hint="eastAsia" w:ascii="宋体" w:hAnsi="宋体" w:eastAsia="宋体" w:cs="宋体"/>
          <w:sz w:val="24"/>
          <w:szCs w:val="24"/>
          <w:lang w:eastAsia="zh-CN" w:bidi="ar"/>
        </w:rPr>
        <w:t>）</w:t>
      </w:r>
    </w:p>
    <w:p w14:paraId="31F252E7">
      <w:pPr>
        <w:kinsoku/>
        <w:autoSpaceDE/>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bidi="ar"/>
        </w:rPr>
        <w:t>评标办法</w:t>
      </w:r>
    </w:p>
    <w:p w14:paraId="386327D5">
      <w:pPr>
        <w:kinsoku/>
        <w:autoSpaceDE/>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bidi="ar"/>
        </w:rPr>
        <w:t>按照国家相关部门的规定，遵循公开、公平、公正和诚实信用的原则，结合本招标项目的实际情况，制定本招标项目评标办法。</w:t>
      </w:r>
    </w:p>
    <w:p w14:paraId="4EFBEDE5">
      <w:pPr>
        <w:kinsoku/>
        <w:autoSpaceDE/>
        <w:adjustRightInd/>
        <w:snapToGrid/>
        <w:spacing w:before="156" w:after="156" w:line="360" w:lineRule="auto"/>
        <w:jc w:val="center"/>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bidi="ar"/>
        </w:rPr>
        <w:t>一、评 标 程 序</w:t>
      </w:r>
    </w:p>
    <w:p w14:paraId="31E24A07">
      <w:pPr>
        <w:kinsoku/>
        <w:autoSpaceDE/>
        <w:adjustRightInd/>
        <w:snapToGrid/>
        <w:spacing w:before="156" w:after="156"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bidi="ar"/>
        </w:rPr>
        <w:t>（一）组成评标委员会</w:t>
      </w:r>
    </w:p>
    <w:p w14:paraId="513EAE3B">
      <w:pPr>
        <w:kinsoku/>
        <w:autoSpaceDE/>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bidi="ar"/>
        </w:rPr>
        <w:t>按照国家有关部委及省、市的相关规定，由从政府采购云平台评标专家库中随机抽取</w:t>
      </w:r>
      <w:bookmarkStart w:id="44" w:name="blank31"/>
      <w:r>
        <w:rPr>
          <w:rFonts w:hint="eastAsia" w:ascii="宋体" w:hAnsi="宋体" w:eastAsia="宋体" w:cs="宋体"/>
          <w:snapToGrid/>
          <w:sz w:val="24"/>
          <w:szCs w:val="24"/>
          <w:lang w:eastAsia="zh-CN" w:bidi="ar"/>
        </w:rPr>
        <w:t>经济、技术</w:t>
      </w:r>
      <w:bookmarkEnd w:id="44"/>
      <w:r>
        <w:rPr>
          <w:rFonts w:hint="eastAsia" w:ascii="宋体" w:hAnsi="宋体" w:eastAsia="宋体" w:cs="宋体"/>
          <w:sz w:val="24"/>
          <w:szCs w:val="24"/>
          <w:lang w:eastAsia="zh-CN" w:bidi="ar"/>
        </w:rPr>
        <w:t>等方面的专家</w:t>
      </w:r>
      <w:r>
        <w:rPr>
          <w:rFonts w:hint="eastAsia" w:ascii="宋体" w:hAnsi="宋体" w:eastAsia="宋体" w:cs="宋体"/>
          <w:sz w:val="24"/>
          <w:szCs w:val="24"/>
          <w:lang w:val="en-US" w:eastAsia="zh-CN" w:bidi="ar"/>
        </w:rPr>
        <w:t>4人，</w:t>
      </w:r>
      <w:r>
        <w:rPr>
          <w:rFonts w:hint="eastAsia" w:ascii="宋体" w:hAnsi="宋体" w:eastAsia="宋体" w:cs="宋体"/>
          <w:sz w:val="24"/>
          <w:szCs w:val="24"/>
          <w:highlight w:val="none"/>
          <w:lang w:eastAsia="zh-CN" w:bidi="ar"/>
        </w:rPr>
        <w:t>采购单位代表1人，</w:t>
      </w:r>
      <w:r>
        <w:rPr>
          <w:rFonts w:hint="eastAsia" w:ascii="宋体" w:hAnsi="宋体" w:eastAsia="宋体" w:cs="宋体"/>
          <w:sz w:val="24"/>
          <w:szCs w:val="24"/>
          <w:lang w:eastAsia="zh-CN" w:bidi="ar"/>
        </w:rPr>
        <w:t>组成评标委员会。为保证评标工作的顺利进行，推荐一名评委担任评委会主任，负责评标全面工作。</w:t>
      </w:r>
    </w:p>
    <w:p w14:paraId="6CAEF668">
      <w:pPr>
        <w:pStyle w:val="31"/>
        <w:kinsoku/>
        <w:autoSpaceDE/>
        <w:adjustRightInd/>
        <w:snapToGrid/>
        <w:spacing w:before="156" w:after="156" w:line="360" w:lineRule="auto"/>
        <w:ind w:firstLine="482" w:firstLineChars="200"/>
        <w:rPr>
          <w:rFonts w:hint="eastAsia" w:ascii="宋体" w:eastAsia="宋体" w:cs="宋体"/>
          <w:b/>
          <w:bCs/>
          <w:sz w:val="24"/>
          <w:szCs w:val="24"/>
        </w:rPr>
      </w:pPr>
      <w:r>
        <w:rPr>
          <w:rFonts w:hint="eastAsia" w:ascii="宋体" w:eastAsia="宋体" w:cs="宋体"/>
          <w:b/>
          <w:bCs/>
          <w:sz w:val="24"/>
          <w:szCs w:val="24"/>
        </w:rPr>
        <w:t>（二）评标工作</w:t>
      </w:r>
    </w:p>
    <w:p w14:paraId="0F2FDFFB">
      <w:pPr>
        <w:kinsoku/>
        <w:autoSpaceDE/>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bidi="ar"/>
        </w:rPr>
        <w:t>评标本着客观公正、公平竞争、择优推荐、规范合法的原则进行。评标工作分为资格审查、初步评审和详细评审三个步骤。</w:t>
      </w:r>
    </w:p>
    <w:p w14:paraId="3AB05EC0">
      <w:pPr>
        <w:kinsoku/>
        <w:autoSpaceDE/>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bidi="ar"/>
        </w:rPr>
        <w:t>1.资格审查。采购人或代理机构对各供应商的资格进行审查。资格审查合格的供应商方可进入符合性审查。</w:t>
      </w:r>
    </w:p>
    <w:p w14:paraId="1B2FB8EE">
      <w:pPr>
        <w:kinsoku/>
        <w:autoSpaceDE/>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bidi="ar"/>
        </w:rPr>
        <w:t>2.符合性审查。评委会对供应商的投标文件进行符合性鉴定。符合性审查合格的供应商方可进入详细评审。</w:t>
      </w:r>
    </w:p>
    <w:p w14:paraId="10D63963">
      <w:pPr>
        <w:kinsoku/>
        <w:autoSpaceDE/>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bidi="ar"/>
        </w:rPr>
        <w:t>3.详细评审。详细评审采用</w:t>
      </w:r>
      <w:bookmarkStart w:id="45" w:name="blank29_copy_1619578169000"/>
      <w:r>
        <w:rPr>
          <w:rFonts w:hint="eastAsia" w:ascii="宋体" w:hAnsi="宋体" w:eastAsia="宋体" w:cs="宋体"/>
          <w:snapToGrid/>
          <w:sz w:val="24"/>
          <w:szCs w:val="24"/>
          <w:lang w:eastAsia="zh-CN" w:bidi="ar"/>
        </w:rPr>
        <w:t>综合评分法</w:t>
      </w:r>
      <w:bookmarkEnd w:id="45"/>
      <w:r>
        <w:rPr>
          <w:rFonts w:hint="eastAsia" w:ascii="宋体" w:hAnsi="宋体" w:eastAsia="宋体" w:cs="宋体"/>
          <w:sz w:val="24"/>
          <w:szCs w:val="24"/>
          <w:lang w:eastAsia="zh-CN" w:bidi="ar"/>
        </w:rPr>
        <w:t>。评委依据评标办法分别对各供应商的投标文件进行评审、赋分。</w:t>
      </w:r>
    </w:p>
    <w:p w14:paraId="056443EA">
      <w:pPr>
        <w:kinsoku/>
        <w:autoSpaceDE/>
        <w:adjustRightInd/>
        <w:snapToGrid/>
        <w:spacing w:before="156" w:after="156"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bidi="ar"/>
        </w:rPr>
        <w:t>（三）询标（必要时）</w:t>
      </w:r>
    </w:p>
    <w:p w14:paraId="728E1D47">
      <w:pPr>
        <w:kinsoku/>
        <w:autoSpaceDE/>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bidi="ar"/>
        </w:rPr>
        <w:t>评标委员会对投标文件需要澄清的问题，采用集体询标方式进行。</w:t>
      </w:r>
    </w:p>
    <w:p w14:paraId="5106329D">
      <w:pPr>
        <w:kinsoku/>
        <w:autoSpaceDE/>
        <w:adjustRightInd/>
        <w:snapToGrid/>
        <w:spacing w:before="156" w:after="156"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bidi="ar"/>
        </w:rPr>
        <w:t>（四）确定中标人</w:t>
      </w:r>
    </w:p>
    <w:p w14:paraId="75D09AC2">
      <w:pPr>
        <w:pStyle w:val="17"/>
        <w:kinsoku/>
        <w:autoSpaceDE/>
        <w:snapToGrid/>
        <w:rPr>
          <w:rFonts w:hint="eastAsia" w:ascii="宋体" w:hAnsi="宋体" w:cs="宋体"/>
          <w:color w:val="auto"/>
          <w:sz w:val="24"/>
          <w:szCs w:val="24"/>
        </w:rPr>
      </w:pPr>
      <w:r>
        <w:rPr>
          <w:rFonts w:hint="eastAsia" w:ascii="宋体" w:hAnsi="宋体" w:cs="宋体"/>
          <w:color w:val="auto"/>
          <w:sz w:val="24"/>
          <w:szCs w:val="24"/>
        </w:rPr>
        <w:t>按最终综合得分由高到低的顺序推荐中标候选人3家。</w:t>
      </w:r>
    </w:p>
    <w:p w14:paraId="5ECDE9A1">
      <w:pPr>
        <w:kinsoku/>
        <w:autoSpaceDE/>
        <w:adjustRightInd/>
        <w:snapToGrid/>
        <w:spacing w:before="156" w:after="156"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bidi="ar"/>
        </w:rPr>
        <w:t>（五）评标报告</w:t>
      </w:r>
    </w:p>
    <w:p w14:paraId="1C88A7B9">
      <w:pPr>
        <w:spacing w:before="178" w:after="120" w:afterLines="50" w:line="221" w:lineRule="auto"/>
        <w:jc w:val="center"/>
        <w:rPr>
          <w:rFonts w:hint="eastAsia" w:ascii="宋体" w:hAnsi="宋体" w:eastAsia="宋体" w:cs="宋体"/>
          <w:b/>
          <w:bCs/>
          <w:color w:val="auto"/>
          <w:spacing w:val="-4"/>
          <w:sz w:val="28"/>
          <w:szCs w:val="28"/>
          <w:lang w:eastAsia="zh-CN"/>
        </w:rPr>
      </w:pPr>
      <w:r>
        <w:rPr>
          <w:rFonts w:hint="eastAsia" w:ascii="宋体" w:hAnsi="宋体" w:eastAsia="宋体" w:cs="宋体"/>
          <w:sz w:val="24"/>
          <w:szCs w:val="24"/>
          <w:lang w:eastAsia="zh-CN" w:bidi="ar"/>
        </w:rPr>
        <w:t>评标工作结束时，评委会将本项目综合评审结果向采购人提交书面“评标报告”，各评委对评标报告内容讨论通过后，在“评标报告”上签字，对评标结果予以确认。</w:t>
      </w:r>
    </w:p>
    <w:p w14:paraId="54F10EF3">
      <w:pPr>
        <w:spacing w:before="178" w:after="120" w:afterLines="50" w:line="221" w:lineRule="auto"/>
        <w:ind w:firstLine="3092" w:firstLineChars="1100"/>
        <w:jc w:val="both"/>
        <w:rPr>
          <w:rFonts w:hint="default" w:ascii="宋体" w:hAnsi="宋体" w:eastAsia="宋体" w:cs="宋体"/>
          <w:b/>
          <w:bCs/>
          <w:snapToGrid w:val="0"/>
          <w:color w:val="000000"/>
          <w:sz w:val="28"/>
          <w:szCs w:val="28"/>
          <w:lang w:val="en-US" w:eastAsia="zh-CN" w:bidi="ar-SA"/>
        </w:rPr>
      </w:pPr>
      <w:r>
        <w:rPr>
          <w:rFonts w:hint="eastAsia" w:ascii="宋体" w:hAnsi="宋体" w:eastAsia="宋体" w:cs="宋体"/>
          <w:b/>
          <w:bCs/>
          <w:snapToGrid w:val="0"/>
          <w:color w:val="000000"/>
          <w:sz w:val="28"/>
          <w:szCs w:val="28"/>
          <w:lang w:val="en-US" w:eastAsia="zh-CN" w:bidi="ar-SA"/>
        </w:rPr>
        <w:t>初步评审（标段一</w:t>
      </w:r>
      <w:r>
        <w:rPr>
          <w:rFonts w:hint="eastAsia" w:ascii="宋体" w:hAnsi="宋体" w:eastAsia="宋体" w:cs="宋体"/>
          <w:b/>
          <w:bCs/>
          <w:snapToGrid w:val="0"/>
          <w:color w:val="000000"/>
          <w:sz w:val="28"/>
          <w:szCs w:val="28"/>
          <w:lang w:val="zh-CN" w:eastAsia="zh-CN" w:bidi="ar-SA"/>
        </w:rPr>
        <w:t>、</w:t>
      </w:r>
      <w:r>
        <w:rPr>
          <w:rFonts w:hint="eastAsia" w:ascii="宋体" w:hAnsi="宋体" w:eastAsia="宋体" w:cs="宋体"/>
          <w:b/>
          <w:bCs/>
          <w:snapToGrid w:val="0"/>
          <w:color w:val="000000"/>
          <w:sz w:val="28"/>
          <w:szCs w:val="28"/>
          <w:lang w:val="en-US" w:eastAsia="zh-CN" w:bidi="ar-SA"/>
        </w:rPr>
        <w:t>标段二）</w:t>
      </w:r>
    </w:p>
    <w:tbl>
      <w:tblPr>
        <w:tblStyle w:val="19"/>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70"/>
        <w:gridCol w:w="1740"/>
        <w:gridCol w:w="6248"/>
      </w:tblGrid>
      <w:tr w14:paraId="5F3E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51" w:type="dxa"/>
            <w:gridSpan w:val="2"/>
            <w:vAlign w:val="center"/>
          </w:tcPr>
          <w:p w14:paraId="3ED7679B">
            <w:pPr>
              <w:widowControl/>
              <w:jc w:val="center"/>
              <w:rPr>
                <w:rFonts w:hint="default" w:ascii="宋体" w:hAnsi="宋体" w:eastAsia="宋体" w:cs="宋体"/>
                <w:b/>
                <w:bCs/>
                <w:color w:val="auto"/>
                <w:spacing w:val="-4"/>
                <w:sz w:val="24"/>
                <w:szCs w:val="24"/>
                <w:lang w:val="en-US" w:eastAsia="zh-CN"/>
              </w:rPr>
            </w:pPr>
            <w:r>
              <w:rPr>
                <w:rFonts w:hint="eastAsia" w:ascii="宋体" w:hAnsi="宋体" w:eastAsia="宋体" w:cs="宋体"/>
                <w:color w:val="auto"/>
                <w:sz w:val="24"/>
                <w:szCs w:val="24"/>
                <w:lang w:val="en-US" w:eastAsia="zh-CN" w:bidi="ar"/>
              </w:rPr>
              <w:t>条款号</w:t>
            </w:r>
          </w:p>
        </w:tc>
        <w:tc>
          <w:tcPr>
            <w:tcW w:w="1740" w:type="dxa"/>
            <w:vAlign w:val="center"/>
          </w:tcPr>
          <w:p w14:paraId="68AE6B4A">
            <w:pPr>
              <w:widowControl/>
              <w:kinsoku/>
              <w:autoSpaceDE/>
              <w:adjustRightInd/>
              <w:snapToGrid/>
              <w:jc w:val="center"/>
              <w:rPr>
                <w:rFonts w:hint="eastAsia" w:ascii="宋体" w:hAnsi="宋体" w:eastAsia="宋体" w:cs="宋体"/>
                <w:b/>
                <w:bCs/>
                <w:color w:val="auto"/>
                <w:spacing w:val="-4"/>
                <w:sz w:val="24"/>
                <w:szCs w:val="24"/>
                <w:lang w:eastAsia="zh-CN"/>
              </w:rPr>
            </w:pPr>
            <w:r>
              <w:rPr>
                <w:rFonts w:hint="eastAsia" w:ascii="宋体" w:hAnsi="宋体" w:eastAsia="宋体" w:cs="宋体"/>
                <w:color w:val="auto"/>
                <w:sz w:val="24"/>
                <w:szCs w:val="24"/>
                <w:lang w:eastAsia="zh-CN" w:bidi="ar"/>
              </w:rPr>
              <w:t>评 审 因 素</w:t>
            </w:r>
          </w:p>
        </w:tc>
        <w:tc>
          <w:tcPr>
            <w:tcW w:w="6248" w:type="dxa"/>
            <w:vAlign w:val="center"/>
          </w:tcPr>
          <w:p w14:paraId="0656E8C0">
            <w:pPr>
              <w:widowControl/>
              <w:kinsoku/>
              <w:autoSpaceDE/>
              <w:adjustRightInd/>
              <w:snapToGrid/>
              <w:jc w:val="center"/>
              <w:rPr>
                <w:rFonts w:hint="eastAsia" w:ascii="宋体" w:hAnsi="宋体" w:eastAsia="宋体" w:cs="宋体"/>
                <w:b/>
                <w:bCs/>
                <w:color w:val="auto"/>
                <w:spacing w:val="-4"/>
                <w:sz w:val="24"/>
                <w:szCs w:val="24"/>
                <w:lang w:eastAsia="zh-CN"/>
              </w:rPr>
            </w:pPr>
            <w:r>
              <w:rPr>
                <w:rFonts w:hint="eastAsia" w:ascii="宋体" w:hAnsi="宋体" w:eastAsia="宋体" w:cs="宋体"/>
                <w:color w:val="auto"/>
                <w:sz w:val="24"/>
                <w:szCs w:val="24"/>
                <w:lang w:eastAsia="zh-CN" w:bidi="ar"/>
              </w:rPr>
              <w:t>评 审 标 准</w:t>
            </w:r>
          </w:p>
        </w:tc>
      </w:tr>
      <w:tr w14:paraId="0363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1" w:type="dxa"/>
            <w:vMerge w:val="restart"/>
            <w:vAlign w:val="center"/>
          </w:tcPr>
          <w:p w14:paraId="22FF935F">
            <w:pPr>
              <w:widowControl/>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3.1</w:t>
            </w:r>
          </w:p>
          <w:p w14:paraId="5AAE3E19">
            <w:pPr>
              <w:widowControl/>
              <w:jc w:val="center"/>
              <w:rPr>
                <w:rFonts w:hint="eastAsia" w:ascii="宋体" w:hAnsi="宋体" w:eastAsia="宋体" w:cs="宋体"/>
                <w:color w:val="auto"/>
                <w:spacing w:val="-4"/>
                <w:sz w:val="24"/>
                <w:szCs w:val="24"/>
                <w:lang w:eastAsia="zh-CN"/>
              </w:rPr>
            </w:pPr>
          </w:p>
        </w:tc>
        <w:tc>
          <w:tcPr>
            <w:tcW w:w="970" w:type="dxa"/>
            <w:vMerge w:val="restart"/>
            <w:vAlign w:val="center"/>
          </w:tcPr>
          <w:p w14:paraId="405A35D5">
            <w:pPr>
              <w:widowControl/>
              <w:jc w:val="center"/>
              <w:rPr>
                <w:rFonts w:hint="eastAsia" w:ascii="宋体" w:hAnsi="宋体" w:eastAsia="宋体" w:cs="宋体"/>
                <w:color w:val="auto"/>
                <w:spacing w:val="-4"/>
                <w:sz w:val="24"/>
                <w:szCs w:val="24"/>
                <w:lang w:val="en-US" w:eastAsia="zh-CN"/>
              </w:rPr>
            </w:pPr>
            <w:r>
              <w:rPr>
                <w:rFonts w:hint="eastAsia" w:ascii="宋体" w:hAnsi="宋体" w:cs="宋体"/>
                <w:color w:val="auto"/>
                <w:sz w:val="24"/>
                <w:szCs w:val="24"/>
              </w:rPr>
              <w:t>资格评审</w:t>
            </w:r>
            <w:r>
              <w:rPr>
                <w:rFonts w:hint="eastAsia" w:ascii="宋体" w:hAnsi="宋体" w:eastAsia="宋体" w:cs="宋体"/>
                <w:color w:val="auto"/>
                <w:sz w:val="24"/>
                <w:szCs w:val="24"/>
                <w:lang w:val="en-US" w:eastAsia="zh-CN"/>
              </w:rPr>
              <w:t>要求</w:t>
            </w:r>
          </w:p>
        </w:tc>
        <w:tc>
          <w:tcPr>
            <w:tcW w:w="1740" w:type="dxa"/>
            <w:vAlign w:val="center"/>
          </w:tcPr>
          <w:p w14:paraId="0C4050FB">
            <w:pPr>
              <w:widowControl/>
              <w:kinsoku/>
              <w:autoSpaceDE/>
              <w:adjustRightInd/>
              <w:snapToGrid/>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6"/>
                <w:sz w:val="24"/>
                <w:szCs w:val="24"/>
                <w:lang w:bidi="ar"/>
              </w:rPr>
              <w:t>营业执照</w:t>
            </w:r>
          </w:p>
        </w:tc>
        <w:tc>
          <w:tcPr>
            <w:tcW w:w="6248" w:type="dxa"/>
            <w:vAlign w:val="center"/>
          </w:tcPr>
          <w:p w14:paraId="1A6F6A1A">
            <w:pPr>
              <w:widowControl/>
              <w:kinsoku/>
              <w:autoSpaceDE/>
              <w:adjustRightInd/>
              <w:snapToGrid/>
              <w:jc w:val="both"/>
              <w:rPr>
                <w:rFonts w:hint="eastAsia" w:ascii="宋体" w:hAnsi="宋体" w:eastAsia="宋体" w:cs="宋体"/>
                <w:color w:val="auto"/>
                <w:spacing w:val="-4"/>
                <w:sz w:val="24"/>
                <w:szCs w:val="24"/>
                <w:lang w:eastAsia="zh-CN"/>
              </w:rPr>
            </w:pPr>
            <w:r>
              <w:rPr>
                <w:rFonts w:hint="eastAsia" w:ascii="宋体" w:hAnsi="宋体" w:eastAsia="宋体" w:cs="宋体"/>
                <w:sz w:val="24"/>
                <w:szCs w:val="24"/>
                <w:lang w:eastAsia="zh-CN"/>
              </w:rPr>
              <w:t>供应商须是在中国境内注册具有独立承担民事责任能力的独立法人，具备有效的营业执照</w:t>
            </w:r>
          </w:p>
        </w:tc>
      </w:tr>
      <w:tr w14:paraId="171F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vMerge w:val="continue"/>
            <w:vAlign w:val="center"/>
          </w:tcPr>
          <w:p w14:paraId="14B8A074">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4632A4F0">
            <w:pPr>
              <w:widowControl/>
              <w:jc w:val="center"/>
              <w:rPr>
                <w:rFonts w:hint="eastAsia" w:ascii="宋体" w:hAnsi="宋体" w:eastAsia="宋体" w:cs="宋体"/>
                <w:color w:val="auto"/>
                <w:spacing w:val="-4"/>
                <w:sz w:val="24"/>
                <w:szCs w:val="24"/>
                <w:lang w:eastAsia="zh-CN"/>
              </w:rPr>
            </w:pPr>
          </w:p>
        </w:tc>
        <w:tc>
          <w:tcPr>
            <w:tcW w:w="1740" w:type="dxa"/>
            <w:vAlign w:val="center"/>
          </w:tcPr>
          <w:p w14:paraId="09F0382B">
            <w:pPr>
              <w:widowControl/>
              <w:kinsoku/>
              <w:autoSpaceDE/>
              <w:adjustRightInd/>
              <w:snapToGrid/>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zh-CN"/>
              </w:rPr>
              <w:t>投标人</w:t>
            </w:r>
          </w:p>
        </w:tc>
        <w:tc>
          <w:tcPr>
            <w:tcW w:w="6248" w:type="dxa"/>
            <w:vAlign w:val="center"/>
          </w:tcPr>
          <w:p w14:paraId="5FA77BAC">
            <w:pPr>
              <w:widowControl/>
              <w:kinsoku/>
              <w:autoSpaceDE/>
              <w:adjustRightInd/>
              <w:snapToGrid/>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一）投标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37405C36">
            <w:pPr>
              <w:widowControl/>
              <w:kinsoku/>
              <w:autoSpaceDE/>
              <w:adjustRightInd/>
              <w:snapToGrid/>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二）投标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tc>
      </w:tr>
      <w:tr w14:paraId="1DBF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81" w:type="dxa"/>
            <w:vMerge w:val="continue"/>
            <w:vAlign w:val="center"/>
          </w:tcPr>
          <w:p w14:paraId="25168319">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2B2A166F">
            <w:pPr>
              <w:widowControl/>
              <w:jc w:val="center"/>
              <w:rPr>
                <w:rFonts w:hint="eastAsia" w:ascii="宋体" w:hAnsi="宋体" w:eastAsia="宋体" w:cs="宋体"/>
                <w:color w:val="auto"/>
                <w:spacing w:val="-4"/>
                <w:sz w:val="24"/>
                <w:szCs w:val="24"/>
                <w:lang w:eastAsia="zh-CN"/>
              </w:rPr>
            </w:pPr>
          </w:p>
        </w:tc>
        <w:tc>
          <w:tcPr>
            <w:tcW w:w="1740" w:type="dxa"/>
            <w:vAlign w:val="center"/>
          </w:tcPr>
          <w:p w14:paraId="6BB029ED">
            <w:pPr>
              <w:widowControl/>
              <w:kinsoku/>
              <w:autoSpaceDE/>
              <w:adjustRightInd/>
              <w:snapToGrid/>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投标产品</w:t>
            </w:r>
          </w:p>
        </w:tc>
        <w:tc>
          <w:tcPr>
            <w:tcW w:w="6248" w:type="dxa"/>
            <w:vAlign w:val="center"/>
          </w:tcPr>
          <w:p w14:paraId="60454CC0">
            <w:pPr>
              <w:widowControl/>
              <w:kinsoku/>
              <w:autoSpaceDE/>
              <w:adjustRightInd/>
              <w:snapToGrid/>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tc>
      </w:tr>
      <w:tr w14:paraId="6675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81" w:type="dxa"/>
            <w:vMerge w:val="continue"/>
            <w:vAlign w:val="center"/>
          </w:tcPr>
          <w:p w14:paraId="4C3CE8A2">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107124B2">
            <w:pPr>
              <w:widowControl/>
              <w:jc w:val="center"/>
              <w:rPr>
                <w:rFonts w:hint="eastAsia" w:ascii="宋体" w:hAnsi="宋体" w:eastAsia="宋体" w:cs="宋体"/>
                <w:color w:val="auto"/>
                <w:spacing w:val="-4"/>
                <w:sz w:val="24"/>
                <w:szCs w:val="24"/>
                <w:lang w:eastAsia="zh-CN"/>
              </w:rPr>
            </w:pPr>
          </w:p>
        </w:tc>
        <w:tc>
          <w:tcPr>
            <w:tcW w:w="1740" w:type="dxa"/>
            <w:vAlign w:val="center"/>
          </w:tcPr>
          <w:p w14:paraId="57B55A61">
            <w:pPr>
              <w:widowControl/>
              <w:kinsoku/>
              <w:jc w:val="center"/>
              <w:rPr>
                <w:rFonts w:hint="eastAsia" w:ascii="宋体" w:hAnsi="宋体" w:eastAsia="宋体" w:cs="宋体"/>
                <w:color w:val="auto"/>
                <w:spacing w:val="-4"/>
                <w:sz w:val="24"/>
                <w:szCs w:val="24"/>
                <w:lang w:eastAsia="zh-CN"/>
              </w:rPr>
            </w:pPr>
            <w:r>
              <w:rPr>
                <w:rFonts w:hint="eastAsia" w:ascii="宋体" w:hAnsi="宋体" w:eastAsia="宋体" w:cs="宋体"/>
                <w:kern w:val="2"/>
                <w:sz w:val="24"/>
                <w:szCs w:val="24"/>
                <w:lang w:eastAsia="zh-CN"/>
              </w:rPr>
              <w:t>法人身份证明或授权书</w:t>
            </w:r>
          </w:p>
        </w:tc>
        <w:tc>
          <w:tcPr>
            <w:tcW w:w="6248" w:type="dxa"/>
            <w:vAlign w:val="center"/>
          </w:tcPr>
          <w:p w14:paraId="635918AC">
            <w:pPr>
              <w:widowControl/>
              <w:kinsoku/>
              <w:jc w:val="both"/>
              <w:rPr>
                <w:rFonts w:hint="eastAsia" w:ascii="宋体" w:hAnsi="宋体" w:eastAsia="宋体" w:cs="宋体"/>
                <w:color w:val="auto"/>
                <w:spacing w:val="-4"/>
                <w:sz w:val="24"/>
                <w:szCs w:val="24"/>
                <w:lang w:eastAsia="zh-CN"/>
              </w:rPr>
            </w:pPr>
            <w:r>
              <w:rPr>
                <w:rFonts w:hint="eastAsia" w:ascii="宋体" w:hAnsi="宋体" w:cs="宋体"/>
                <w:sz w:val="24"/>
                <w:szCs w:val="24"/>
                <w:lang w:val="zh-CN" w:eastAsia="zh-CN"/>
              </w:rPr>
              <w:t>法定代表人若亲自签署响应文件的，需提供法人身份证明；法定代表人授权代表签字的，需提交附有法定代表人身份证明的授权委托书</w:t>
            </w:r>
          </w:p>
        </w:tc>
      </w:tr>
      <w:tr w14:paraId="5551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681" w:type="dxa"/>
            <w:vMerge w:val="continue"/>
            <w:vAlign w:val="center"/>
          </w:tcPr>
          <w:p w14:paraId="4D2D4ECC">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138D3DAA">
            <w:pPr>
              <w:widowControl/>
              <w:jc w:val="center"/>
              <w:rPr>
                <w:rFonts w:hint="eastAsia" w:ascii="宋体" w:hAnsi="宋体" w:eastAsia="宋体" w:cs="宋体"/>
                <w:color w:val="auto"/>
                <w:spacing w:val="-4"/>
                <w:sz w:val="24"/>
                <w:szCs w:val="24"/>
                <w:lang w:eastAsia="zh-CN"/>
              </w:rPr>
            </w:pPr>
          </w:p>
        </w:tc>
        <w:tc>
          <w:tcPr>
            <w:tcW w:w="1740" w:type="dxa"/>
            <w:vAlign w:val="center"/>
          </w:tcPr>
          <w:p w14:paraId="5E34D19B">
            <w:pPr>
              <w:widowControl w:val="0"/>
              <w:jc w:val="center"/>
              <w:rPr>
                <w:rFonts w:hint="eastAsia" w:ascii="宋体" w:hAnsi="宋体" w:eastAsia="宋体" w:cs="宋体"/>
                <w:color w:val="auto"/>
                <w:spacing w:val="-4"/>
                <w:sz w:val="24"/>
                <w:szCs w:val="24"/>
                <w:lang w:eastAsia="zh-CN"/>
              </w:rPr>
            </w:pPr>
            <w:r>
              <w:rPr>
                <w:rFonts w:hint="eastAsia" w:ascii="宋体" w:hAnsi="宋体" w:eastAsia="宋体" w:cs="宋体"/>
                <w:sz w:val="24"/>
                <w:szCs w:val="24"/>
                <w:lang w:eastAsia="zh-CN"/>
              </w:rPr>
              <w:t>依法缴纳税收和社会保障资金的相关证明材料</w:t>
            </w:r>
          </w:p>
        </w:tc>
        <w:tc>
          <w:tcPr>
            <w:tcW w:w="6248" w:type="dxa"/>
            <w:vAlign w:val="center"/>
          </w:tcPr>
          <w:p w14:paraId="2B5A1DEC">
            <w:pPr>
              <w:pStyle w:val="15"/>
              <w:widowControl w:val="0"/>
              <w:tabs>
                <w:tab w:val="left" w:pos="540"/>
              </w:tabs>
              <w:kinsoku/>
              <w:autoSpaceDE/>
              <w:jc w:val="both"/>
              <w:rPr>
                <w:rFonts w:hint="eastAsia" w:ascii="宋体" w:hAnsi="宋体" w:cs="宋体"/>
                <w:color w:val="auto"/>
                <w:spacing w:val="-4"/>
              </w:rPr>
            </w:pPr>
            <w:r>
              <w:rPr>
                <w:rFonts w:hint="eastAsia" w:ascii="宋体" w:hAnsi="宋体" w:cs="宋体"/>
                <w:kern w:val="2"/>
              </w:rPr>
              <w:t>依法缴纳税收和社会保障资金的证明材料，提供投标截止日期前半年内任意一个月企业依法缴纳税收及社会保障资金的相关材料（依法免税或无欠税、依法不需要缴纳社会保险的，应提供相应文件证明其依法免税或无欠税、依法不需要缴纳社会保险）</w:t>
            </w:r>
          </w:p>
        </w:tc>
      </w:tr>
      <w:tr w14:paraId="6F36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81" w:type="dxa"/>
            <w:vMerge w:val="continue"/>
            <w:vAlign w:val="center"/>
          </w:tcPr>
          <w:p w14:paraId="2C9F3F35">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64393D5C">
            <w:pPr>
              <w:widowControl/>
              <w:jc w:val="center"/>
              <w:rPr>
                <w:rFonts w:hint="eastAsia" w:ascii="宋体" w:hAnsi="宋体" w:eastAsia="宋体" w:cs="宋体"/>
                <w:color w:val="auto"/>
                <w:spacing w:val="-4"/>
                <w:sz w:val="24"/>
                <w:szCs w:val="24"/>
                <w:lang w:eastAsia="zh-CN"/>
              </w:rPr>
            </w:pPr>
          </w:p>
        </w:tc>
        <w:tc>
          <w:tcPr>
            <w:tcW w:w="1740" w:type="dxa"/>
            <w:vAlign w:val="center"/>
          </w:tcPr>
          <w:p w14:paraId="7448966A">
            <w:pPr>
              <w:widowControl w:val="0"/>
              <w:jc w:val="center"/>
              <w:rPr>
                <w:rFonts w:hint="eastAsia" w:ascii="宋体" w:hAnsi="宋体" w:eastAsia="宋体" w:cs="宋体"/>
                <w:color w:val="auto"/>
                <w:spacing w:val="-4"/>
                <w:sz w:val="24"/>
                <w:szCs w:val="24"/>
                <w:lang w:eastAsia="zh-CN"/>
              </w:rPr>
            </w:pPr>
            <w:r>
              <w:rPr>
                <w:rFonts w:hint="eastAsia" w:ascii="宋体" w:hAnsi="宋体" w:eastAsia="宋体" w:cs="宋体"/>
                <w:sz w:val="24"/>
                <w:szCs w:val="24"/>
                <w:lang w:val="zh-CN" w:eastAsia="zh-CN"/>
              </w:rPr>
              <w:t>财务要求</w:t>
            </w:r>
          </w:p>
        </w:tc>
        <w:tc>
          <w:tcPr>
            <w:tcW w:w="6248" w:type="dxa"/>
            <w:vAlign w:val="center"/>
          </w:tcPr>
          <w:p w14:paraId="1FBF4943">
            <w:pPr>
              <w:widowControl w:val="0"/>
              <w:jc w:val="both"/>
              <w:rPr>
                <w:rFonts w:hint="eastAsia" w:ascii="宋体" w:hAnsi="宋体" w:eastAsia="宋体" w:cs="宋体"/>
                <w:color w:val="auto"/>
                <w:spacing w:val="-4"/>
                <w:sz w:val="24"/>
                <w:szCs w:val="24"/>
                <w:lang w:eastAsia="zh-CN"/>
              </w:rPr>
            </w:pPr>
            <w:r>
              <w:rPr>
                <w:rFonts w:hint="eastAsia" w:ascii="宋体" w:hAnsi="宋体" w:eastAsia="宋体" w:cs="宋体"/>
                <w:sz w:val="24"/>
                <w:szCs w:val="24"/>
                <w:lang w:eastAsia="zh-CN"/>
              </w:rPr>
              <w:t>须提供近一年（2023年）经会计师事务所审计的财务审计报告（当投标单位成立日期在2023年12月31日以后新成立的公司无财务审计报告的，需提供当年验资报告或银行出具的公司资信证明）</w:t>
            </w:r>
          </w:p>
        </w:tc>
      </w:tr>
      <w:tr w14:paraId="2D9B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atLeast"/>
        </w:trPr>
        <w:tc>
          <w:tcPr>
            <w:tcW w:w="681" w:type="dxa"/>
            <w:vMerge w:val="restart"/>
            <w:vAlign w:val="center"/>
          </w:tcPr>
          <w:p w14:paraId="44DF85F3">
            <w:pPr>
              <w:widowControl/>
              <w:jc w:val="center"/>
              <w:rPr>
                <w:rFonts w:hint="eastAsia" w:ascii="宋体" w:hAnsi="宋体" w:eastAsia="宋体" w:cs="宋体"/>
                <w:color w:val="auto"/>
                <w:spacing w:val="-4"/>
                <w:sz w:val="24"/>
                <w:szCs w:val="24"/>
                <w:lang w:eastAsia="zh-CN"/>
              </w:rPr>
            </w:pPr>
          </w:p>
        </w:tc>
        <w:tc>
          <w:tcPr>
            <w:tcW w:w="970" w:type="dxa"/>
            <w:vMerge w:val="restart"/>
            <w:vAlign w:val="center"/>
          </w:tcPr>
          <w:p w14:paraId="37F35754">
            <w:pPr>
              <w:widowControl/>
              <w:jc w:val="center"/>
              <w:rPr>
                <w:rFonts w:hint="eastAsia" w:ascii="宋体" w:hAnsi="宋体" w:eastAsia="宋体" w:cs="宋体"/>
                <w:color w:val="auto"/>
                <w:spacing w:val="-4"/>
                <w:sz w:val="24"/>
                <w:szCs w:val="24"/>
                <w:lang w:eastAsia="zh-CN"/>
              </w:rPr>
            </w:pPr>
          </w:p>
        </w:tc>
        <w:tc>
          <w:tcPr>
            <w:tcW w:w="1740" w:type="dxa"/>
            <w:vAlign w:val="center"/>
          </w:tcPr>
          <w:p w14:paraId="792CCB44">
            <w:pPr>
              <w:widowControl w:val="0"/>
              <w:jc w:val="center"/>
              <w:rPr>
                <w:rFonts w:hint="eastAsia" w:ascii="宋体" w:hAnsi="宋体" w:eastAsia="宋体" w:cs="宋体"/>
                <w:color w:val="auto"/>
                <w:spacing w:val="-4"/>
                <w:sz w:val="24"/>
                <w:szCs w:val="24"/>
                <w:lang w:eastAsia="zh-CN"/>
              </w:rPr>
            </w:pPr>
            <w:r>
              <w:rPr>
                <w:rFonts w:hint="eastAsia" w:ascii="宋体" w:hAnsi="宋体" w:eastAsia="宋体" w:cs="宋体"/>
                <w:sz w:val="24"/>
                <w:szCs w:val="24"/>
              </w:rPr>
              <w:t>信誉要求</w:t>
            </w:r>
          </w:p>
        </w:tc>
        <w:tc>
          <w:tcPr>
            <w:tcW w:w="6248" w:type="dxa"/>
            <w:vAlign w:val="center"/>
          </w:tcPr>
          <w:p w14:paraId="467EE664">
            <w:pPr>
              <w:widowControl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（1）拒绝列入政府取消投标资格记录期间的企业或个人投标；</w:t>
            </w:r>
          </w:p>
          <w:p w14:paraId="0D595962">
            <w:pPr>
              <w:widowControl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（2）参加政府采购活动前三年内在经营活动中没有重大违法记录；</w:t>
            </w:r>
          </w:p>
          <w:p w14:paraId="37C6A9EB">
            <w:pPr>
              <w:widowControl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（3）单位负责人为同一人或存在直接控股、管理关系的不同供应商，不得参加同一合同项下的政府采购活动；</w:t>
            </w:r>
          </w:p>
          <w:p w14:paraId="5B716161">
            <w:pPr>
              <w:widowControl/>
              <w:kinsoku/>
              <w:autoSpaceDE/>
              <w:adjustRightInd/>
              <w:snapToGrid/>
              <w:jc w:val="both"/>
              <w:rPr>
                <w:rFonts w:hint="eastAsia" w:ascii="宋体" w:hAnsi="宋体" w:eastAsia="宋体" w:cs="宋体"/>
                <w:color w:val="auto"/>
                <w:spacing w:val="-6"/>
                <w:sz w:val="24"/>
                <w:szCs w:val="24"/>
                <w:lang w:eastAsia="zh-CN" w:bidi="ar"/>
              </w:rPr>
            </w:pPr>
            <w:r>
              <w:rPr>
                <w:rFonts w:hint="eastAsia" w:ascii="宋体" w:hAnsi="宋体" w:eastAsia="宋体" w:cs="宋体"/>
                <w:sz w:val="24"/>
                <w:szCs w:val="24"/>
              </w:rPr>
              <w:t>（4）</w:t>
            </w:r>
            <w:r>
              <w:rPr>
                <w:rFonts w:hint="eastAsia" w:ascii="宋体" w:hAnsi="宋体" w:eastAsia="宋体" w:cs="宋体"/>
                <w:color w:val="auto"/>
                <w:spacing w:val="-6"/>
                <w:sz w:val="24"/>
                <w:szCs w:val="24"/>
                <w:lang w:eastAsia="zh-CN" w:bidi="ar"/>
              </w:rPr>
              <w:t>供应商近三年（2022年1月1日至今）内供应商、法定代表人（单位负责人）未在“中国裁判文书网”（www.wenshu.court.gov.cn）有行贿犯罪记录；</w:t>
            </w:r>
          </w:p>
          <w:p w14:paraId="27B1AB3E">
            <w:pPr>
              <w:widowControl/>
              <w:kinsoku/>
              <w:autoSpaceDE/>
              <w:adjustRightInd/>
              <w:snapToGrid/>
              <w:jc w:val="both"/>
              <w:rPr>
                <w:rFonts w:hint="eastAsia" w:ascii="宋体" w:hAnsi="宋体" w:eastAsia="宋体" w:cs="宋体"/>
                <w:color w:val="auto"/>
                <w:spacing w:val="-6"/>
                <w:sz w:val="24"/>
                <w:szCs w:val="24"/>
                <w:lang w:eastAsia="zh-CN" w:bidi="ar"/>
              </w:rPr>
            </w:pPr>
            <w:r>
              <w:rPr>
                <w:rFonts w:hint="eastAsia" w:ascii="宋体" w:hAnsi="宋体" w:eastAsia="宋体" w:cs="宋体"/>
                <w:sz w:val="24"/>
                <w:szCs w:val="24"/>
                <w:lang w:eastAsia="zh-CN"/>
              </w:rPr>
              <w:t>（5）</w:t>
            </w:r>
            <w:r>
              <w:rPr>
                <w:rFonts w:hint="eastAsia" w:ascii="宋体" w:hAnsi="宋体" w:eastAsia="宋体" w:cs="宋体"/>
                <w:color w:val="auto"/>
                <w:spacing w:val="-6"/>
                <w:sz w:val="24"/>
                <w:szCs w:val="24"/>
                <w:lang w:eastAsia="zh-CN" w:bidi="ar"/>
              </w:rPr>
              <w:t>在“信用中国”网站(www.creditchina.gov.cn)、中国政府采购网(www.ccgp.gov.cn)等渠道列入失信被执行人、重大税收违法失信主体名单、政府采购严重违法失信行为记录名单的供应商，不得参与政府采购活动；</w:t>
            </w:r>
          </w:p>
          <w:p w14:paraId="66033DAA">
            <w:pPr>
              <w:widowControl w:val="0"/>
              <w:jc w:val="both"/>
              <w:rPr>
                <w:rFonts w:hint="eastAsia" w:ascii="宋体" w:hAnsi="宋体" w:eastAsia="宋体" w:cs="宋体"/>
                <w:color w:val="auto"/>
                <w:spacing w:val="-4"/>
                <w:sz w:val="24"/>
                <w:szCs w:val="24"/>
                <w:lang w:eastAsia="zh-CN"/>
              </w:rPr>
            </w:pPr>
            <w:r>
              <w:rPr>
                <w:rFonts w:hint="eastAsia" w:ascii="宋体" w:hAnsi="宋体" w:eastAsia="宋体" w:cs="宋体"/>
                <w:sz w:val="24"/>
                <w:szCs w:val="24"/>
                <w:lang w:eastAsia="zh-CN"/>
              </w:rPr>
              <w:t>投标文件内附由法定代表人或其委托代理人签字并加盖投标单位公章的承诺书。</w:t>
            </w:r>
          </w:p>
        </w:tc>
      </w:tr>
      <w:tr w14:paraId="04D7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81" w:type="dxa"/>
            <w:vMerge w:val="continue"/>
            <w:vAlign w:val="center"/>
          </w:tcPr>
          <w:p w14:paraId="47DD6502">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65BC8120">
            <w:pPr>
              <w:widowControl/>
              <w:jc w:val="center"/>
              <w:rPr>
                <w:rFonts w:hint="eastAsia" w:ascii="宋体" w:hAnsi="宋体" w:eastAsia="宋体" w:cs="宋体"/>
                <w:color w:val="auto"/>
                <w:spacing w:val="-4"/>
                <w:sz w:val="24"/>
                <w:szCs w:val="24"/>
                <w:lang w:eastAsia="zh-CN"/>
              </w:rPr>
            </w:pPr>
          </w:p>
        </w:tc>
        <w:tc>
          <w:tcPr>
            <w:tcW w:w="1740" w:type="dxa"/>
            <w:vAlign w:val="center"/>
          </w:tcPr>
          <w:p w14:paraId="1378C895">
            <w:pPr>
              <w:widowControl w:val="0"/>
              <w:jc w:val="center"/>
              <w:rPr>
                <w:rFonts w:hint="eastAsia" w:ascii="宋体" w:hAnsi="宋体" w:eastAsia="宋体" w:cs="宋体"/>
                <w:color w:val="auto"/>
                <w:spacing w:val="-4"/>
                <w:sz w:val="24"/>
                <w:szCs w:val="24"/>
                <w:lang w:eastAsia="zh-CN"/>
              </w:rPr>
            </w:pPr>
            <w:r>
              <w:rPr>
                <w:rFonts w:hint="eastAsia" w:ascii="宋体" w:hAnsi="宋体" w:eastAsia="宋体" w:cs="宋体"/>
                <w:sz w:val="24"/>
                <w:szCs w:val="24"/>
                <w:lang w:val="zh-CN"/>
              </w:rPr>
              <w:t>投标保证金</w:t>
            </w:r>
          </w:p>
        </w:tc>
        <w:tc>
          <w:tcPr>
            <w:tcW w:w="6248" w:type="dxa"/>
            <w:vAlign w:val="center"/>
          </w:tcPr>
          <w:p w14:paraId="1BB3C137">
            <w:pPr>
              <w:widowControl w:val="0"/>
              <w:jc w:val="both"/>
              <w:rPr>
                <w:rFonts w:hint="eastAsia" w:ascii="宋体" w:hAnsi="宋体" w:eastAsia="宋体" w:cs="宋体"/>
                <w:color w:val="auto"/>
                <w:spacing w:val="-4"/>
                <w:sz w:val="24"/>
                <w:szCs w:val="24"/>
                <w:lang w:eastAsia="zh-CN"/>
              </w:rPr>
            </w:pPr>
            <w:r>
              <w:rPr>
                <w:rFonts w:hint="eastAsia" w:ascii="宋体" w:hAnsi="宋体" w:eastAsia="宋体" w:cs="宋体"/>
                <w:sz w:val="24"/>
                <w:szCs w:val="24"/>
                <w:lang w:val="zh-CN" w:eastAsia="zh-CN"/>
              </w:rPr>
              <w:t>有，提供银行基本账户开户证明、投标保证金转款凭证或提供保兑支票、银行汇票、提供银行机构出具的保函</w:t>
            </w:r>
          </w:p>
        </w:tc>
      </w:tr>
      <w:tr w14:paraId="0343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39" w:type="dxa"/>
            <w:gridSpan w:val="4"/>
            <w:vAlign w:val="center"/>
          </w:tcPr>
          <w:p w14:paraId="0BDE2DEC">
            <w:pPr>
              <w:widowControl w:val="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eastAsia="zh-CN"/>
              </w:rPr>
              <w:t>上述内容中有一项不合格，则资格审查不合格，不进入符合性审查、详细评审。</w:t>
            </w:r>
          </w:p>
          <w:p w14:paraId="1B0607A2">
            <w:pPr>
              <w:widowControl w:val="0"/>
              <w:ind w:firstLine="482" w:firstLineChars="200"/>
              <w:jc w:val="both"/>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eastAsia="zh-CN"/>
              </w:rPr>
              <w:t>资格审查结束后，合格的供应商进入符合性审查。</w:t>
            </w:r>
          </w:p>
        </w:tc>
      </w:tr>
    </w:tbl>
    <w:tbl>
      <w:tblPr>
        <w:tblStyle w:val="24"/>
        <w:tblW w:w="9640"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940"/>
        <w:gridCol w:w="1740"/>
        <w:gridCol w:w="6260"/>
      </w:tblGrid>
      <w:tr w14:paraId="2D38C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640" w:type="dxa"/>
            <w:gridSpan w:val="2"/>
            <w:tcBorders>
              <w:top w:val="single" w:color="000000" w:sz="4" w:space="0"/>
              <w:left w:val="single" w:color="000000" w:sz="4" w:space="0"/>
              <w:bottom w:val="single" w:color="auto" w:sz="4" w:space="0"/>
            </w:tcBorders>
            <w:vAlign w:val="center"/>
          </w:tcPr>
          <w:p w14:paraId="321B56F6">
            <w:pPr>
              <w:pStyle w:val="25"/>
              <w:jc w:val="center"/>
              <w:rPr>
                <w:rFonts w:hint="default" w:eastAsia="宋体"/>
                <w:b/>
                <w:bCs/>
                <w:color w:val="auto"/>
                <w:spacing w:val="-5"/>
                <w:lang w:val="en-US" w:eastAsia="zh-CN"/>
              </w:rPr>
            </w:pPr>
            <w:r>
              <w:rPr>
                <w:rFonts w:hint="eastAsia" w:ascii="宋体" w:hAnsi="宋体" w:eastAsia="宋体" w:cs="宋体"/>
                <w:snapToGrid w:val="0"/>
                <w:color w:val="auto"/>
                <w:sz w:val="24"/>
                <w:szCs w:val="24"/>
                <w:lang w:val="en-US" w:eastAsia="zh-CN" w:bidi="ar"/>
              </w:rPr>
              <w:t>条款号</w:t>
            </w:r>
          </w:p>
        </w:tc>
        <w:tc>
          <w:tcPr>
            <w:tcW w:w="1740" w:type="dxa"/>
            <w:tcBorders>
              <w:top w:val="single" w:color="000000" w:sz="4" w:space="0"/>
              <w:bottom w:val="single" w:color="000000" w:sz="4" w:space="0"/>
            </w:tcBorders>
            <w:vAlign w:val="center"/>
          </w:tcPr>
          <w:p w14:paraId="1A51746C">
            <w:pPr>
              <w:kinsoku/>
              <w:jc w:val="center"/>
              <w:rPr>
                <w:rFonts w:hint="eastAsia" w:ascii="宋体" w:hAnsi="宋体" w:eastAsia="宋体" w:cs="宋体"/>
                <w:b/>
                <w:bCs/>
                <w:color w:val="auto"/>
                <w:sz w:val="24"/>
                <w:szCs w:val="24"/>
              </w:rPr>
            </w:pPr>
            <w:r>
              <w:rPr>
                <w:rFonts w:hint="eastAsia" w:ascii="宋体" w:hAnsi="宋体" w:eastAsia="宋体" w:cs="宋体"/>
                <w:bCs/>
                <w:color w:val="auto"/>
                <w:sz w:val="24"/>
                <w:szCs w:val="24"/>
                <w:lang w:val="zh-CN" w:eastAsia="zh-CN" w:bidi="ar"/>
              </w:rPr>
              <w:t>评审因素</w:t>
            </w:r>
          </w:p>
        </w:tc>
        <w:tc>
          <w:tcPr>
            <w:tcW w:w="6260" w:type="dxa"/>
            <w:tcBorders>
              <w:top w:val="single" w:color="000000" w:sz="4" w:space="0"/>
              <w:bottom w:val="single" w:color="000000" w:sz="4" w:space="0"/>
              <w:right w:val="single" w:color="000000" w:sz="4" w:space="0"/>
            </w:tcBorders>
            <w:vAlign w:val="center"/>
          </w:tcPr>
          <w:p w14:paraId="0679832E">
            <w:pPr>
              <w:kinsoku/>
              <w:jc w:val="center"/>
              <w:rPr>
                <w:rFonts w:hint="eastAsia" w:ascii="宋体" w:hAnsi="宋体" w:eastAsia="宋体" w:cs="宋体"/>
                <w:b/>
                <w:bCs/>
                <w:color w:val="auto"/>
                <w:sz w:val="24"/>
                <w:szCs w:val="24"/>
              </w:rPr>
            </w:pPr>
            <w:r>
              <w:rPr>
                <w:rFonts w:hint="eastAsia" w:ascii="宋体" w:hAnsi="宋体" w:eastAsia="宋体" w:cs="宋体"/>
                <w:bCs/>
                <w:color w:val="auto"/>
                <w:sz w:val="24"/>
                <w:szCs w:val="24"/>
                <w:lang w:val="zh-CN" w:eastAsia="zh-CN" w:bidi="ar"/>
              </w:rPr>
              <w:t>评审标准</w:t>
            </w:r>
          </w:p>
        </w:tc>
      </w:tr>
      <w:tr w14:paraId="66961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0" w:type="dxa"/>
            <w:vMerge w:val="restart"/>
            <w:tcBorders>
              <w:top w:val="single" w:color="auto" w:sz="4" w:space="0"/>
              <w:left w:val="single" w:color="000000" w:sz="4" w:space="0"/>
              <w:right w:val="single" w:color="auto" w:sz="4" w:space="0"/>
            </w:tcBorders>
            <w:vAlign w:val="center"/>
          </w:tcPr>
          <w:p w14:paraId="38728BFE">
            <w:pPr>
              <w:pStyle w:val="25"/>
              <w:jc w:val="center"/>
              <w:rPr>
                <w:rFonts w:hint="eastAsia"/>
                <w:color w:val="auto"/>
                <w:spacing w:val="-3"/>
                <w:lang w:val="en-US" w:eastAsia="zh-CN"/>
              </w:rPr>
            </w:pPr>
            <w:r>
              <w:rPr>
                <w:rFonts w:hint="eastAsia"/>
                <w:color w:val="auto"/>
                <w:spacing w:val="-3"/>
                <w:lang w:val="en-US" w:eastAsia="zh-CN"/>
              </w:rPr>
              <w:t>3.2</w:t>
            </w:r>
          </w:p>
          <w:p w14:paraId="4A88012C">
            <w:pPr>
              <w:pStyle w:val="25"/>
              <w:jc w:val="center"/>
              <w:rPr>
                <w:rFonts w:hint="default"/>
                <w:color w:val="auto"/>
                <w:spacing w:val="-3"/>
                <w:highlight w:val="none"/>
                <w:lang w:val="en-US" w:eastAsia="zh-CN"/>
              </w:rPr>
            </w:pPr>
          </w:p>
        </w:tc>
        <w:tc>
          <w:tcPr>
            <w:tcW w:w="940" w:type="dxa"/>
            <w:vMerge w:val="restart"/>
            <w:tcBorders>
              <w:top w:val="single" w:color="000000" w:sz="4" w:space="0"/>
              <w:left w:val="single" w:color="auto" w:sz="4" w:space="0"/>
            </w:tcBorders>
            <w:vAlign w:val="center"/>
          </w:tcPr>
          <w:p w14:paraId="15BFCF93">
            <w:pPr>
              <w:pStyle w:val="25"/>
              <w:jc w:val="center"/>
              <w:rPr>
                <w:rFonts w:hint="eastAsia" w:eastAsia="宋体"/>
                <w:color w:val="auto"/>
                <w:spacing w:val="-3"/>
                <w:lang w:val="en-US" w:eastAsia="zh-CN"/>
              </w:rPr>
            </w:pPr>
            <w:r>
              <w:rPr>
                <w:rFonts w:hint="eastAsia" w:ascii="宋体" w:hAnsi="宋体" w:eastAsia="宋体" w:cs="宋体"/>
                <w:snapToGrid w:val="0"/>
                <w:color w:val="auto"/>
                <w:sz w:val="24"/>
                <w:szCs w:val="24"/>
                <w:lang w:val="en-US" w:eastAsia="zh-CN" w:bidi="ar-SA"/>
              </w:rPr>
              <w:t>符合性审查要求</w:t>
            </w:r>
          </w:p>
        </w:tc>
        <w:tc>
          <w:tcPr>
            <w:tcW w:w="1740" w:type="dxa"/>
            <w:tcBorders>
              <w:top w:val="single" w:color="000000" w:sz="4" w:space="0"/>
              <w:bottom w:val="single" w:color="000000" w:sz="4" w:space="0"/>
            </w:tcBorders>
            <w:vAlign w:val="center"/>
          </w:tcPr>
          <w:p w14:paraId="2A2DACCA">
            <w:pPr>
              <w:kinsoku/>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zh-CN" w:eastAsia="zh-CN" w:bidi="ar"/>
              </w:rPr>
              <w:t>供应商名称</w:t>
            </w:r>
          </w:p>
        </w:tc>
        <w:tc>
          <w:tcPr>
            <w:tcW w:w="6260" w:type="dxa"/>
            <w:tcBorders>
              <w:top w:val="single" w:color="000000" w:sz="4" w:space="0"/>
              <w:bottom w:val="single" w:color="000000" w:sz="4" w:space="0"/>
              <w:right w:val="single" w:color="000000" w:sz="4" w:space="0"/>
            </w:tcBorders>
            <w:vAlign w:val="center"/>
          </w:tcPr>
          <w:p w14:paraId="43CD8B97">
            <w:pPr>
              <w:kinsoku/>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与营业执照、</w:t>
            </w:r>
            <w:r>
              <w:rPr>
                <w:rFonts w:hint="eastAsia" w:ascii="宋体" w:hAnsi="宋体" w:eastAsia="宋体" w:cs="宋体"/>
                <w:bCs/>
                <w:color w:val="auto"/>
                <w:sz w:val="24"/>
                <w:szCs w:val="24"/>
                <w:lang w:eastAsia="zh-CN" w:bidi="ar"/>
              </w:rPr>
              <w:t>名称</w:t>
            </w:r>
            <w:r>
              <w:rPr>
                <w:rFonts w:hint="eastAsia" w:ascii="宋体" w:hAnsi="宋体" w:eastAsia="宋体" w:cs="宋体"/>
                <w:bCs/>
                <w:color w:val="auto"/>
                <w:sz w:val="24"/>
                <w:szCs w:val="24"/>
                <w:lang w:val="zh-CN" w:eastAsia="zh-CN" w:bidi="ar"/>
              </w:rPr>
              <w:t>一致</w:t>
            </w:r>
          </w:p>
        </w:tc>
      </w:tr>
      <w:tr w14:paraId="000EA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00" w:type="dxa"/>
            <w:vMerge w:val="continue"/>
            <w:tcBorders>
              <w:left w:val="single" w:color="000000" w:sz="4" w:space="0"/>
              <w:right w:val="single" w:color="auto" w:sz="4" w:space="0"/>
            </w:tcBorders>
            <w:vAlign w:val="center"/>
          </w:tcPr>
          <w:p w14:paraId="5DCA333A">
            <w:pPr>
              <w:pStyle w:val="25"/>
              <w:jc w:val="center"/>
              <w:rPr>
                <w:rFonts w:hint="eastAsia"/>
                <w:color w:val="auto"/>
                <w:spacing w:val="-3"/>
              </w:rPr>
            </w:pPr>
          </w:p>
        </w:tc>
        <w:tc>
          <w:tcPr>
            <w:tcW w:w="940" w:type="dxa"/>
            <w:vMerge w:val="continue"/>
            <w:tcBorders>
              <w:left w:val="single" w:color="auto" w:sz="4" w:space="0"/>
            </w:tcBorders>
            <w:vAlign w:val="center"/>
          </w:tcPr>
          <w:p w14:paraId="734F3D5F">
            <w:pPr>
              <w:pStyle w:val="25"/>
              <w:jc w:val="center"/>
              <w:rPr>
                <w:rFonts w:hint="eastAsia"/>
                <w:color w:val="auto"/>
                <w:spacing w:val="-3"/>
              </w:rPr>
            </w:pPr>
          </w:p>
        </w:tc>
        <w:tc>
          <w:tcPr>
            <w:tcW w:w="1740" w:type="dxa"/>
            <w:tcBorders>
              <w:top w:val="single" w:color="000000" w:sz="4" w:space="0"/>
              <w:bottom w:val="single" w:color="000000" w:sz="4" w:space="0"/>
            </w:tcBorders>
            <w:vAlign w:val="center"/>
          </w:tcPr>
          <w:p w14:paraId="3AB23C83">
            <w:pPr>
              <w:kinsoku/>
              <w:jc w:val="center"/>
              <w:rPr>
                <w:rFonts w:hint="eastAsia" w:ascii="宋体" w:hAnsi="宋体" w:eastAsia="宋体" w:cs="宋体"/>
                <w:color w:val="auto"/>
                <w:spacing w:val="-3"/>
                <w:sz w:val="24"/>
                <w:szCs w:val="24"/>
                <w:lang w:eastAsia="zh-CN"/>
              </w:rPr>
            </w:pPr>
            <w:r>
              <w:rPr>
                <w:rFonts w:hint="eastAsia" w:ascii="宋体" w:hAnsi="宋体" w:eastAsia="宋体" w:cs="宋体"/>
                <w:bCs/>
                <w:color w:val="auto"/>
                <w:sz w:val="24"/>
                <w:szCs w:val="24"/>
                <w:lang w:val="zh-CN" w:eastAsia="zh-CN" w:bidi="ar"/>
              </w:rPr>
              <w:t>投标函签字盖章</w:t>
            </w:r>
          </w:p>
        </w:tc>
        <w:tc>
          <w:tcPr>
            <w:tcW w:w="6260" w:type="dxa"/>
            <w:tcBorders>
              <w:top w:val="single" w:color="000000" w:sz="4" w:space="0"/>
              <w:bottom w:val="single" w:color="000000" w:sz="4" w:space="0"/>
              <w:right w:val="single" w:color="000000" w:sz="4" w:space="0"/>
            </w:tcBorders>
            <w:vAlign w:val="center"/>
          </w:tcPr>
          <w:p w14:paraId="37699A81">
            <w:pPr>
              <w:kinsoku/>
              <w:rPr>
                <w:rFonts w:hint="eastAsia" w:ascii="宋体" w:hAnsi="宋体" w:eastAsia="宋体" w:cs="宋体"/>
                <w:color w:val="auto"/>
                <w:spacing w:val="-1"/>
                <w:sz w:val="24"/>
                <w:szCs w:val="24"/>
                <w:lang w:eastAsia="zh-CN"/>
              </w:rPr>
            </w:pPr>
            <w:r>
              <w:rPr>
                <w:rFonts w:hint="eastAsia" w:ascii="宋体" w:hAnsi="宋体" w:eastAsia="宋体" w:cs="宋体"/>
                <w:bCs/>
                <w:color w:val="auto"/>
                <w:sz w:val="24"/>
                <w:szCs w:val="24"/>
                <w:lang w:val="zh-CN" w:eastAsia="zh-CN" w:bidi="ar"/>
              </w:rPr>
              <w:t>有法定代表人或其委托代理人签字并加盖单位章</w:t>
            </w:r>
          </w:p>
        </w:tc>
      </w:tr>
      <w:tr w14:paraId="1A3E6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tcBorders>
              <w:left w:val="single" w:color="000000" w:sz="4" w:space="0"/>
              <w:right w:val="single" w:color="auto" w:sz="4" w:space="0"/>
            </w:tcBorders>
            <w:vAlign w:val="center"/>
          </w:tcPr>
          <w:p w14:paraId="5A93FBBF">
            <w:pPr>
              <w:pStyle w:val="25"/>
              <w:jc w:val="center"/>
              <w:rPr>
                <w:rFonts w:hint="eastAsia"/>
                <w:color w:val="auto"/>
                <w:spacing w:val="-3"/>
              </w:rPr>
            </w:pPr>
          </w:p>
        </w:tc>
        <w:tc>
          <w:tcPr>
            <w:tcW w:w="940" w:type="dxa"/>
            <w:vMerge w:val="continue"/>
            <w:tcBorders>
              <w:left w:val="single" w:color="auto" w:sz="4" w:space="0"/>
            </w:tcBorders>
            <w:vAlign w:val="center"/>
          </w:tcPr>
          <w:p w14:paraId="5FE6E0BB">
            <w:pPr>
              <w:pStyle w:val="25"/>
              <w:jc w:val="center"/>
              <w:rPr>
                <w:rFonts w:hint="eastAsia"/>
                <w:color w:val="auto"/>
                <w:spacing w:val="-3"/>
              </w:rPr>
            </w:pPr>
          </w:p>
        </w:tc>
        <w:tc>
          <w:tcPr>
            <w:tcW w:w="1740" w:type="dxa"/>
            <w:tcBorders>
              <w:top w:val="single" w:color="000000" w:sz="4" w:space="0"/>
              <w:bottom w:val="single" w:color="000000" w:sz="4" w:space="0"/>
            </w:tcBorders>
            <w:vAlign w:val="center"/>
          </w:tcPr>
          <w:p w14:paraId="337ED26D">
            <w:pPr>
              <w:kinsoku/>
              <w:snapToGrid/>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报价唯一</w:t>
            </w:r>
          </w:p>
        </w:tc>
        <w:tc>
          <w:tcPr>
            <w:tcW w:w="6260" w:type="dxa"/>
            <w:tcBorders>
              <w:top w:val="single" w:color="000000" w:sz="4" w:space="0"/>
              <w:bottom w:val="single" w:color="000000" w:sz="4" w:space="0"/>
              <w:right w:val="single" w:color="000000" w:sz="4" w:space="0"/>
            </w:tcBorders>
            <w:vAlign w:val="center"/>
          </w:tcPr>
          <w:p w14:paraId="50874739">
            <w:pPr>
              <w:kinsoku/>
              <w:snapToGrid/>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只能有一个有效报价。</w:t>
            </w:r>
          </w:p>
        </w:tc>
      </w:tr>
      <w:tr w14:paraId="5E37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00" w:type="dxa"/>
            <w:vMerge w:val="continue"/>
            <w:tcBorders>
              <w:left w:val="single" w:color="000000" w:sz="4" w:space="0"/>
              <w:right w:val="single" w:color="auto" w:sz="4" w:space="0"/>
            </w:tcBorders>
            <w:vAlign w:val="center"/>
          </w:tcPr>
          <w:p w14:paraId="6EE825D0">
            <w:pPr>
              <w:pStyle w:val="25"/>
              <w:jc w:val="center"/>
              <w:rPr>
                <w:rFonts w:hint="eastAsia"/>
                <w:color w:val="auto"/>
                <w:spacing w:val="-3"/>
              </w:rPr>
            </w:pPr>
          </w:p>
        </w:tc>
        <w:tc>
          <w:tcPr>
            <w:tcW w:w="940" w:type="dxa"/>
            <w:vMerge w:val="continue"/>
            <w:tcBorders>
              <w:left w:val="single" w:color="auto" w:sz="4" w:space="0"/>
            </w:tcBorders>
            <w:vAlign w:val="center"/>
          </w:tcPr>
          <w:p w14:paraId="3136E518">
            <w:pPr>
              <w:pStyle w:val="25"/>
              <w:jc w:val="center"/>
              <w:rPr>
                <w:rFonts w:hint="eastAsia"/>
                <w:color w:val="auto"/>
                <w:spacing w:val="-3"/>
              </w:rPr>
            </w:pPr>
          </w:p>
        </w:tc>
        <w:tc>
          <w:tcPr>
            <w:tcW w:w="1740" w:type="dxa"/>
            <w:tcBorders>
              <w:top w:val="single" w:color="000000" w:sz="4" w:space="0"/>
              <w:bottom w:val="single" w:color="000000" w:sz="4" w:space="0"/>
            </w:tcBorders>
            <w:vAlign w:val="center"/>
          </w:tcPr>
          <w:p w14:paraId="51A31745">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投标文件格式</w:t>
            </w:r>
          </w:p>
        </w:tc>
        <w:tc>
          <w:tcPr>
            <w:tcW w:w="6260" w:type="dxa"/>
            <w:tcBorders>
              <w:top w:val="single" w:color="000000" w:sz="4" w:space="0"/>
              <w:bottom w:val="single" w:color="000000" w:sz="4" w:space="0"/>
              <w:right w:val="single" w:color="000000" w:sz="4" w:space="0"/>
            </w:tcBorders>
            <w:vAlign w:val="center"/>
          </w:tcPr>
          <w:p w14:paraId="750AE9BD">
            <w:pPr>
              <w:kinsoku/>
              <w:rPr>
                <w:rFonts w:hint="eastAsia" w:ascii="宋体" w:hAnsi="宋体" w:eastAsia="宋体" w:cs="宋体"/>
                <w:color w:val="auto"/>
                <w:sz w:val="24"/>
                <w:szCs w:val="24"/>
                <w:lang w:eastAsia="zh-CN" w:bidi="ar"/>
              </w:rPr>
            </w:pPr>
            <w:r>
              <w:rPr>
                <w:rFonts w:hint="eastAsia" w:ascii="宋体" w:hAnsi="宋体" w:eastAsia="宋体" w:cs="宋体"/>
                <w:bCs/>
                <w:color w:val="auto"/>
                <w:sz w:val="24"/>
                <w:szCs w:val="24"/>
                <w:lang w:val="zh-CN" w:eastAsia="zh-CN" w:bidi="ar"/>
              </w:rPr>
              <w:t>符合第</w:t>
            </w:r>
            <w:r>
              <w:rPr>
                <w:rFonts w:hint="eastAsia" w:ascii="宋体" w:hAnsi="宋体" w:eastAsia="宋体" w:cs="宋体"/>
                <w:bCs/>
                <w:color w:val="auto"/>
                <w:sz w:val="24"/>
                <w:szCs w:val="24"/>
                <w:lang w:eastAsia="zh-CN" w:bidi="ar"/>
              </w:rPr>
              <w:t>六部分</w:t>
            </w:r>
            <w:r>
              <w:rPr>
                <w:rFonts w:hint="eastAsia" w:ascii="宋体" w:hAnsi="宋体" w:eastAsia="宋体" w:cs="宋体"/>
                <w:bCs/>
                <w:color w:val="auto"/>
                <w:sz w:val="24"/>
                <w:szCs w:val="24"/>
                <w:lang w:val="zh-CN" w:eastAsia="zh-CN" w:bidi="ar"/>
              </w:rPr>
              <w:t>“投标文件格式”的要求</w:t>
            </w:r>
          </w:p>
        </w:tc>
      </w:tr>
      <w:tr w14:paraId="110C4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tcBorders>
              <w:left w:val="single" w:color="000000" w:sz="4" w:space="0"/>
              <w:right w:val="single" w:color="auto" w:sz="4" w:space="0"/>
            </w:tcBorders>
            <w:vAlign w:val="center"/>
          </w:tcPr>
          <w:p w14:paraId="4335E38A">
            <w:pPr>
              <w:pStyle w:val="25"/>
              <w:jc w:val="center"/>
              <w:rPr>
                <w:rFonts w:hint="eastAsia"/>
                <w:color w:val="auto"/>
                <w:spacing w:val="-3"/>
                <w:lang w:eastAsia="zh-CN"/>
              </w:rPr>
            </w:pPr>
          </w:p>
        </w:tc>
        <w:tc>
          <w:tcPr>
            <w:tcW w:w="940" w:type="dxa"/>
            <w:vMerge w:val="continue"/>
            <w:tcBorders>
              <w:left w:val="single" w:color="auto" w:sz="4" w:space="0"/>
            </w:tcBorders>
            <w:vAlign w:val="center"/>
          </w:tcPr>
          <w:p w14:paraId="68B817AA">
            <w:pPr>
              <w:pStyle w:val="25"/>
              <w:jc w:val="center"/>
              <w:rPr>
                <w:rFonts w:hint="eastAsia"/>
                <w:color w:val="auto"/>
                <w:spacing w:val="-3"/>
                <w:lang w:eastAsia="zh-CN"/>
              </w:rPr>
            </w:pPr>
          </w:p>
        </w:tc>
        <w:tc>
          <w:tcPr>
            <w:tcW w:w="1740" w:type="dxa"/>
            <w:tcBorders>
              <w:top w:val="single" w:color="000000" w:sz="4" w:space="0"/>
            </w:tcBorders>
            <w:vAlign w:val="center"/>
          </w:tcPr>
          <w:p w14:paraId="5CCB0D45">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bidi="ar"/>
              </w:rPr>
              <w:t>投</w:t>
            </w:r>
            <w:r>
              <w:rPr>
                <w:rFonts w:hint="eastAsia" w:ascii="宋体" w:hAnsi="宋体" w:eastAsia="宋体" w:cs="宋体"/>
                <w:bCs/>
                <w:color w:val="auto"/>
                <w:sz w:val="24"/>
                <w:szCs w:val="24"/>
                <w:lang w:val="zh-CN" w:eastAsia="zh-CN" w:bidi="ar"/>
              </w:rPr>
              <w:t>标内容</w:t>
            </w:r>
          </w:p>
        </w:tc>
        <w:tc>
          <w:tcPr>
            <w:tcW w:w="6260" w:type="dxa"/>
            <w:tcBorders>
              <w:top w:val="single" w:color="000000" w:sz="4" w:space="0"/>
              <w:right w:val="single" w:color="000000" w:sz="4" w:space="0"/>
            </w:tcBorders>
            <w:vAlign w:val="center"/>
          </w:tcPr>
          <w:p w14:paraId="56DE845F">
            <w:pPr>
              <w:kinsoku/>
              <w:rPr>
                <w:rFonts w:hint="eastAsia" w:ascii="宋体" w:hAnsi="宋体" w:eastAsia="宋体" w:cs="宋体"/>
                <w:color w:val="auto"/>
                <w:sz w:val="24"/>
                <w:szCs w:val="24"/>
                <w:lang w:eastAsia="zh-CN" w:bidi="ar"/>
              </w:rPr>
            </w:pPr>
            <w:r>
              <w:rPr>
                <w:rFonts w:hint="eastAsia" w:ascii="宋体" w:hAnsi="宋体" w:eastAsia="宋体" w:cs="宋体"/>
                <w:bCs/>
                <w:color w:val="auto"/>
                <w:sz w:val="24"/>
                <w:szCs w:val="24"/>
                <w:lang w:eastAsia="zh-CN" w:bidi="ar"/>
              </w:rPr>
              <w:t>符合采购需求及招标文件的要求</w:t>
            </w:r>
          </w:p>
        </w:tc>
      </w:tr>
      <w:tr w14:paraId="15256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00" w:type="dxa"/>
            <w:vMerge w:val="continue"/>
            <w:tcBorders>
              <w:left w:val="single" w:color="000000" w:sz="4" w:space="0"/>
              <w:right w:val="single" w:color="auto" w:sz="4" w:space="0"/>
            </w:tcBorders>
            <w:vAlign w:val="center"/>
          </w:tcPr>
          <w:p w14:paraId="50D49EBC">
            <w:pPr>
              <w:pStyle w:val="25"/>
              <w:jc w:val="center"/>
              <w:rPr>
                <w:rFonts w:hint="eastAsia"/>
                <w:color w:val="auto"/>
                <w:spacing w:val="-3"/>
                <w:lang w:eastAsia="zh-CN"/>
              </w:rPr>
            </w:pPr>
          </w:p>
        </w:tc>
        <w:tc>
          <w:tcPr>
            <w:tcW w:w="940" w:type="dxa"/>
            <w:vMerge w:val="continue"/>
            <w:tcBorders>
              <w:left w:val="single" w:color="auto" w:sz="4" w:space="0"/>
            </w:tcBorders>
            <w:vAlign w:val="center"/>
          </w:tcPr>
          <w:p w14:paraId="420A9C9B">
            <w:pPr>
              <w:pStyle w:val="25"/>
              <w:jc w:val="center"/>
              <w:rPr>
                <w:rFonts w:hint="eastAsia"/>
                <w:color w:val="auto"/>
                <w:spacing w:val="-3"/>
                <w:lang w:eastAsia="zh-CN"/>
              </w:rPr>
            </w:pPr>
          </w:p>
        </w:tc>
        <w:tc>
          <w:tcPr>
            <w:tcW w:w="1740" w:type="dxa"/>
            <w:tcBorders>
              <w:top w:val="single" w:color="000000" w:sz="4" w:space="0"/>
            </w:tcBorders>
            <w:vAlign w:val="center"/>
          </w:tcPr>
          <w:p w14:paraId="788023B3">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bidi="ar"/>
              </w:rPr>
              <w:t>合同履行期限</w:t>
            </w:r>
          </w:p>
        </w:tc>
        <w:tc>
          <w:tcPr>
            <w:tcW w:w="6260" w:type="dxa"/>
            <w:tcBorders>
              <w:top w:val="single" w:color="000000" w:sz="4" w:space="0"/>
              <w:right w:val="single" w:color="000000" w:sz="4" w:space="0"/>
            </w:tcBorders>
            <w:vAlign w:val="center"/>
          </w:tcPr>
          <w:p w14:paraId="7B12222E">
            <w:pPr>
              <w:kinsoku/>
              <w:autoSpaceDE/>
              <w:adjustRightInd/>
              <w:snapToGrid/>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合同签订后一个月内</w:t>
            </w:r>
          </w:p>
        </w:tc>
      </w:tr>
      <w:tr w14:paraId="0856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00" w:type="dxa"/>
            <w:vMerge w:val="continue"/>
            <w:tcBorders>
              <w:left w:val="single" w:color="000000" w:sz="4" w:space="0"/>
              <w:right w:val="single" w:color="auto" w:sz="4" w:space="0"/>
            </w:tcBorders>
            <w:vAlign w:val="center"/>
          </w:tcPr>
          <w:p w14:paraId="042DBF22">
            <w:pPr>
              <w:pStyle w:val="25"/>
              <w:jc w:val="center"/>
              <w:rPr>
                <w:rFonts w:hint="eastAsia"/>
                <w:color w:val="auto"/>
                <w:spacing w:val="-3"/>
                <w:lang w:eastAsia="zh-CN"/>
              </w:rPr>
            </w:pPr>
          </w:p>
        </w:tc>
        <w:tc>
          <w:tcPr>
            <w:tcW w:w="940" w:type="dxa"/>
            <w:vMerge w:val="continue"/>
            <w:tcBorders>
              <w:left w:val="single" w:color="auto" w:sz="4" w:space="0"/>
            </w:tcBorders>
            <w:vAlign w:val="center"/>
          </w:tcPr>
          <w:p w14:paraId="03CD28A0">
            <w:pPr>
              <w:pStyle w:val="25"/>
              <w:jc w:val="center"/>
              <w:rPr>
                <w:rFonts w:hint="eastAsia"/>
                <w:color w:val="auto"/>
                <w:spacing w:val="-3"/>
                <w:lang w:eastAsia="zh-CN"/>
              </w:rPr>
            </w:pPr>
          </w:p>
        </w:tc>
        <w:tc>
          <w:tcPr>
            <w:tcW w:w="1740" w:type="dxa"/>
            <w:tcBorders>
              <w:top w:val="single" w:color="000000" w:sz="4" w:space="0"/>
            </w:tcBorders>
            <w:vAlign w:val="center"/>
          </w:tcPr>
          <w:p w14:paraId="26A85837">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bidi="ar"/>
              </w:rPr>
              <w:t>采购地点</w:t>
            </w:r>
          </w:p>
        </w:tc>
        <w:tc>
          <w:tcPr>
            <w:tcW w:w="6260" w:type="dxa"/>
            <w:tcBorders>
              <w:top w:val="single" w:color="000000" w:sz="4" w:space="0"/>
              <w:right w:val="single" w:color="000000" w:sz="4" w:space="0"/>
            </w:tcBorders>
            <w:vAlign w:val="center"/>
          </w:tcPr>
          <w:p w14:paraId="66ABA4B5">
            <w:pPr>
              <w:kinsoku/>
              <w:jc w:val="both"/>
              <w:rPr>
                <w:rFonts w:hint="eastAsia" w:ascii="宋体" w:hAnsi="宋体" w:eastAsia="宋体" w:cs="宋体"/>
                <w:color w:val="auto"/>
                <w:sz w:val="24"/>
                <w:szCs w:val="24"/>
              </w:rPr>
            </w:pPr>
            <w:r>
              <w:rPr>
                <w:rFonts w:hint="eastAsia" w:ascii="宋体" w:hAnsi="宋体" w:eastAsia="宋体" w:cs="宋体"/>
                <w:bCs/>
                <w:color w:val="auto"/>
                <w:sz w:val="24"/>
                <w:szCs w:val="24"/>
                <w:lang w:eastAsia="zh-CN" w:bidi="ar"/>
              </w:rPr>
              <w:t>采购人指定地点</w:t>
            </w:r>
          </w:p>
        </w:tc>
      </w:tr>
      <w:tr w14:paraId="57D08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00" w:type="dxa"/>
            <w:vMerge w:val="continue"/>
            <w:tcBorders>
              <w:left w:val="single" w:color="000000" w:sz="4" w:space="0"/>
              <w:right w:val="single" w:color="auto" w:sz="4" w:space="0"/>
            </w:tcBorders>
            <w:vAlign w:val="center"/>
          </w:tcPr>
          <w:p w14:paraId="4E80EA8F">
            <w:pPr>
              <w:pStyle w:val="25"/>
              <w:jc w:val="center"/>
              <w:rPr>
                <w:rFonts w:hint="eastAsia"/>
                <w:color w:val="auto"/>
                <w:spacing w:val="-3"/>
                <w:lang w:eastAsia="zh-CN"/>
              </w:rPr>
            </w:pPr>
          </w:p>
        </w:tc>
        <w:tc>
          <w:tcPr>
            <w:tcW w:w="940" w:type="dxa"/>
            <w:vMerge w:val="continue"/>
            <w:tcBorders>
              <w:left w:val="single" w:color="auto" w:sz="4" w:space="0"/>
            </w:tcBorders>
            <w:vAlign w:val="center"/>
          </w:tcPr>
          <w:p w14:paraId="5AF4929F">
            <w:pPr>
              <w:pStyle w:val="25"/>
              <w:jc w:val="center"/>
              <w:rPr>
                <w:rFonts w:hint="eastAsia"/>
                <w:color w:val="auto"/>
                <w:spacing w:val="-3"/>
                <w:lang w:eastAsia="zh-CN"/>
              </w:rPr>
            </w:pPr>
          </w:p>
        </w:tc>
        <w:tc>
          <w:tcPr>
            <w:tcW w:w="1740" w:type="dxa"/>
            <w:tcBorders>
              <w:top w:val="single" w:color="000000" w:sz="4" w:space="0"/>
            </w:tcBorders>
            <w:vAlign w:val="center"/>
          </w:tcPr>
          <w:p w14:paraId="3C7972D3">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bidi="ar"/>
              </w:rPr>
              <w:t>质量标准</w:t>
            </w:r>
          </w:p>
        </w:tc>
        <w:tc>
          <w:tcPr>
            <w:tcW w:w="6260" w:type="dxa"/>
            <w:tcBorders>
              <w:top w:val="single" w:color="000000" w:sz="4" w:space="0"/>
              <w:right w:val="single" w:color="000000" w:sz="4" w:space="0"/>
            </w:tcBorders>
            <w:vAlign w:val="center"/>
          </w:tcPr>
          <w:p w14:paraId="0D32FB04">
            <w:pPr>
              <w:kinsoku/>
              <w:autoSpaceDE/>
              <w:adjustRightInd/>
              <w:snapToGrid/>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满足国家及行业规范标准及采购人要求</w:t>
            </w:r>
          </w:p>
        </w:tc>
      </w:tr>
      <w:tr w14:paraId="36343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00" w:type="dxa"/>
            <w:vMerge w:val="continue"/>
            <w:tcBorders>
              <w:left w:val="single" w:color="000000" w:sz="4" w:space="0"/>
              <w:right w:val="single" w:color="auto" w:sz="4" w:space="0"/>
            </w:tcBorders>
            <w:vAlign w:val="center"/>
          </w:tcPr>
          <w:p w14:paraId="56642855">
            <w:pPr>
              <w:pStyle w:val="25"/>
              <w:jc w:val="center"/>
              <w:rPr>
                <w:rFonts w:hint="eastAsia"/>
                <w:color w:val="auto"/>
                <w:spacing w:val="-3"/>
                <w:lang w:eastAsia="zh-CN"/>
              </w:rPr>
            </w:pPr>
          </w:p>
        </w:tc>
        <w:tc>
          <w:tcPr>
            <w:tcW w:w="940" w:type="dxa"/>
            <w:vMerge w:val="continue"/>
            <w:tcBorders>
              <w:left w:val="single" w:color="auto" w:sz="4" w:space="0"/>
            </w:tcBorders>
            <w:vAlign w:val="center"/>
          </w:tcPr>
          <w:p w14:paraId="52663F27">
            <w:pPr>
              <w:pStyle w:val="25"/>
              <w:jc w:val="center"/>
              <w:rPr>
                <w:rFonts w:hint="eastAsia"/>
                <w:color w:val="auto"/>
                <w:spacing w:val="-3"/>
                <w:lang w:eastAsia="zh-CN"/>
              </w:rPr>
            </w:pPr>
          </w:p>
        </w:tc>
        <w:tc>
          <w:tcPr>
            <w:tcW w:w="1740" w:type="dxa"/>
            <w:tcBorders>
              <w:top w:val="single" w:color="000000" w:sz="4" w:space="0"/>
              <w:bottom w:val="single" w:color="000000" w:sz="4" w:space="0"/>
            </w:tcBorders>
            <w:vAlign w:val="center"/>
          </w:tcPr>
          <w:p w14:paraId="5C11C984">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投标有效期</w:t>
            </w:r>
          </w:p>
        </w:tc>
        <w:tc>
          <w:tcPr>
            <w:tcW w:w="6260" w:type="dxa"/>
            <w:tcBorders>
              <w:top w:val="single" w:color="000000" w:sz="4" w:space="0"/>
              <w:bottom w:val="single" w:color="000000" w:sz="4" w:space="0"/>
              <w:right w:val="single" w:color="000000" w:sz="4" w:space="0"/>
            </w:tcBorders>
            <w:vAlign w:val="center"/>
          </w:tcPr>
          <w:p w14:paraId="7102488B">
            <w:pPr>
              <w:kinsoku/>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投标截止之日后90天（日历天）</w:t>
            </w:r>
          </w:p>
        </w:tc>
      </w:tr>
      <w:tr w14:paraId="2AB80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00" w:type="dxa"/>
            <w:vMerge w:val="continue"/>
            <w:tcBorders>
              <w:left w:val="single" w:color="000000" w:sz="4" w:space="0"/>
              <w:bottom w:val="single" w:color="000000" w:sz="4" w:space="0"/>
              <w:right w:val="single" w:color="auto" w:sz="4" w:space="0"/>
            </w:tcBorders>
            <w:vAlign w:val="center"/>
          </w:tcPr>
          <w:p w14:paraId="11812CD9">
            <w:pPr>
              <w:pStyle w:val="25"/>
              <w:jc w:val="center"/>
              <w:rPr>
                <w:rFonts w:hint="default"/>
                <w:color w:val="auto"/>
                <w:spacing w:val="-3"/>
                <w:highlight w:val="none"/>
                <w:lang w:val="en-US" w:eastAsia="zh-CN"/>
              </w:rPr>
            </w:pPr>
          </w:p>
        </w:tc>
        <w:tc>
          <w:tcPr>
            <w:tcW w:w="940" w:type="dxa"/>
            <w:vMerge w:val="continue"/>
            <w:tcBorders>
              <w:left w:val="single" w:color="auto" w:sz="4" w:space="0"/>
              <w:bottom w:val="single" w:color="000000" w:sz="4" w:space="0"/>
            </w:tcBorders>
            <w:vAlign w:val="center"/>
          </w:tcPr>
          <w:p w14:paraId="7FF2033F">
            <w:pPr>
              <w:pStyle w:val="25"/>
              <w:jc w:val="center"/>
              <w:rPr>
                <w:rFonts w:hint="eastAsia"/>
                <w:color w:val="auto"/>
                <w:spacing w:val="-3"/>
                <w:highlight w:val="none"/>
                <w:lang w:val="en-US" w:eastAsia="zh-CN"/>
              </w:rPr>
            </w:pPr>
          </w:p>
        </w:tc>
        <w:tc>
          <w:tcPr>
            <w:tcW w:w="1740" w:type="dxa"/>
            <w:tcBorders>
              <w:top w:val="single" w:color="000000" w:sz="4" w:space="0"/>
              <w:bottom w:val="single" w:color="000000" w:sz="4" w:space="0"/>
            </w:tcBorders>
            <w:vAlign w:val="center"/>
          </w:tcPr>
          <w:p w14:paraId="1E42A2B1">
            <w:pPr>
              <w:kinsoku/>
              <w:ind w:firstLine="480" w:firstLineChars="200"/>
              <w:jc w:val="left"/>
              <w:rPr>
                <w:rFonts w:hint="default"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en-US" w:eastAsia="zh-CN" w:bidi="ar"/>
              </w:rPr>
              <w:t>其他要求</w:t>
            </w:r>
          </w:p>
        </w:tc>
        <w:tc>
          <w:tcPr>
            <w:tcW w:w="6260" w:type="dxa"/>
            <w:tcBorders>
              <w:top w:val="single" w:color="000000" w:sz="4" w:space="0"/>
              <w:bottom w:val="single" w:color="000000" w:sz="4" w:space="0"/>
              <w:right w:val="single" w:color="000000" w:sz="4" w:space="0"/>
            </w:tcBorders>
            <w:vAlign w:val="center"/>
          </w:tcPr>
          <w:p w14:paraId="5C982454">
            <w:pPr>
              <w:kinsoku/>
              <w:jc w:val="left"/>
              <w:rPr>
                <w:rFonts w:hint="default" w:ascii="宋体" w:hAnsi="宋体" w:eastAsia="宋体" w:cs="宋体"/>
                <w:bCs/>
                <w:color w:val="auto"/>
                <w:sz w:val="24"/>
                <w:szCs w:val="24"/>
                <w:highlight w:val="none"/>
                <w:lang w:val="en-US" w:eastAsia="zh-CN" w:bidi="ar"/>
              </w:rPr>
            </w:pPr>
            <w:r>
              <w:rPr>
                <w:rFonts w:hint="eastAsia" w:ascii="宋体" w:hAnsi="宋体" w:eastAsia="宋体" w:cs="宋体"/>
                <w:bCs/>
                <w:color w:val="auto"/>
                <w:sz w:val="24"/>
                <w:szCs w:val="24"/>
                <w:highlight w:val="none"/>
                <w:lang w:val="zh-CN" w:eastAsia="zh-CN" w:bidi="ar"/>
              </w:rPr>
              <w:t>本项目不允许兼投兼中</w:t>
            </w:r>
            <w:r>
              <w:rPr>
                <w:rFonts w:hint="eastAsia" w:ascii="宋体" w:hAnsi="宋体" w:eastAsia="宋体" w:cs="宋体"/>
                <w:bCs/>
                <w:color w:val="auto"/>
                <w:sz w:val="24"/>
                <w:szCs w:val="24"/>
                <w:highlight w:val="none"/>
                <w:lang w:val="en-US" w:eastAsia="zh-CN" w:bidi="ar"/>
              </w:rPr>
              <w:t>,不接受同时兼投2个标段的供应商</w:t>
            </w:r>
          </w:p>
        </w:tc>
      </w:tr>
      <w:tr w14:paraId="1963D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640" w:type="dxa"/>
            <w:gridSpan w:val="4"/>
            <w:tcBorders>
              <w:top w:val="single" w:color="000000" w:sz="4" w:space="0"/>
              <w:left w:val="single" w:color="000000" w:sz="4" w:space="0"/>
              <w:right w:val="single" w:color="000000" w:sz="4" w:space="0"/>
            </w:tcBorders>
            <w:vAlign w:val="center"/>
          </w:tcPr>
          <w:p w14:paraId="7D1C5480">
            <w:pPr>
              <w:kinsoku/>
              <w:jc w:val="left"/>
              <w:rPr>
                <w:rFonts w:hint="eastAsia" w:ascii="宋体" w:hAnsi="宋体" w:eastAsia="宋体" w:cs="宋体"/>
                <w:bCs/>
                <w:color w:val="auto"/>
                <w:sz w:val="24"/>
                <w:szCs w:val="24"/>
                <w:highlight w:val="none"/>
                <w:lang w:val="zh-CN" w:eastAsia="zh-CN" w:bidi="ar"/>
              </w:rPr>
            </w:pPr>
            <w:r>
              <w:rPr>
                <w:rFonts w:hint="eastAsia" w:ascii="宋体" w:hAnsi="宋体" w:eastAsia="宋体" w:cs="宋体"/>
                <w:b/>
                <w:bCs/>
                <w:color w:val="auto"/>
                <w:sz w:val="24"/>
                <w:szCs w:val="24"/>
                <w:lang w:val="en-US" w:eastAsia="zh-CN"/>
              </w:rPr>
              <w:t>注：</w:t>
            </w:r>
            <w:r>
              <w:rPr>
                <w:rFonts w:hint="eastAsia" w:ascii="宋体" w:hAnsi="宋体" w:cs="宋体"/>
                <w:b/>
                <w:bCs/>
                <w:color w:val="auto"/>
                <w:sz w:val="24"/>
                <w:szCs w:val="24"/>
              </w:rPr>
              <w:t>上述评审</w:t>
            </w:r>
            <w:bookmarkStart w:id="73" w:name="_GoBack"/>
            <w:bookmarkEnd w:id="73"/>
            <w:r>
              <w:rPr>
                <w:rFonts w:hint="eastAsia" w:ascii="宋体" w:hAnsi="宋体" w:cs="宋体"/>
                <w:b/>
                <w:bCs/>
                <w:color w:val="auto"/>
                <w:sz w:val="24"/>
                <w:szCs w:val="24"/>
              </w:rPr>
              <w:t>有一项不合格，不</w:t>
            </w:r>
            <w:r>
              <w:rPr>
                <w:rFonts w:hint="eastAsia" w:ascii="宋体" w:hAnsi="宋体" w:eastAsia="宋体" w:cs="宋体"/>
                <w:b/>
                <w:bCs/>
                <w:color w:val="auto"/>
                <w:sz w:val="24"/>
                <w:szCs w:val="24"/>
                <w:lang w:val="en-US" w:eastAsia="zh-CN"/>
              </w:rPr>
              <w:t>进入</w:t>
            </w:r>
            <w:r>
              <w:rPr>
                <w:rFonts w:hint="eastAsia" w:ascii="宋体" w:hAnsi="宋体" w:cs="宋体"/>
                <w:b/>
                <w:bCs/>
                <w:color w:val="auto"/>
                <w:sz w:val="24"/>
                <w:szCs w:val="24"/>
              </w:rPr>
              <w:t>下一步</w:t>
            </w:r>
            <w:r>
              <w:rPr>
                <w:rFonts w:hint="eastAsia" w:ascii="宋体" w:hAnsi="宋体" w:eastAsia="宋体" w:cs="宋体"/>
                <w:b/>
                <w:bCs/>
                <w:color w:val="auto"/>
                <w:sz w:val="24"/>
                <w:szCs w:val="24"/>
                <w:lang w:val="en-US" w:eastAsia="zh-CN"/>
              </w:rPr>
              <w:t>详细</w:t>
            </w:r>
            <w:r>
              <w:rPr>
                <w:rFonts w:hint="eastAsia" w:ascii="宋体" w:hAnsi="宋体" w:cs="宋体"/>
                <w:b/>
                <w:bCs/>
                <w:color w:val="auto"/>
                <w:sz w:val="24"/>
                <w:szCs w:val="24"/>
              </w:rPr>
              <w:t>评审。</w:t>
            </w:r>
          </w:p>
        </w:tc>
      </w:tr>
    </w:tbl>
    <w:p w14:paraId="137564ED">
      <w:pPr>
        <w:pStyle w:val="10"/>
        <w:tabs>
          <w:tab w:val="left" w:pos="6840"/>
        </w:tabs>
        <w:kinsoku/>
        <w:autoSpaceDE/>
        <w:adjustRightInd/>
        <w:snapToGrid/>
        <w:ind w:right="-57"/>
        <w:jc w:val="both"/>
        <w:rPr>
          <w:rFonts w:cs="宋体"/>
          <w:b/>
          <w:bCs/>
        </w:rPr>
      </w:pPr>
    </w:p>
    <w:p w14:paraId="19ADA44D">
      <w:pPr>
        <w:pStyle w:val="10"/>
        <w:tabs>
          <w:tab w:val="left" w:pos="6840"/>
        </w:tabs>
        <w:kinsoku/>
        <w:autoSpaceDE/>
        <w:adjustRightInd/>
        <w:snapToGrid/>
        <w:ind w:right="-57"/>
        <w:jc w:val="both"/>
        <w:rPr>
          <w:rFonts w:cs="宋体"/>
          <w:b/>
          <w:bCs/>
        </w:rPr>
      </w:pPr>
    </w:p>
    <w:p w14:paraId="3584ED66">
      <w:pPr>
        <w:pStyle w:val="10"/>
        <w:tabs>
          <w:tab w:val="left" w:pos="6840"/>
        </w:tabs>
        <w:kinsoku/>
        <w:autoSpaceDE/>
        <w:adjustRightInd/>
        <w:snapToGrid/>
        <w:ind w:right="-57"/>
        <w:jc w:val="center"/>
        <w:rPr>
          <w:rFonts w:hint="default" w:ascii="宋体" w:hAnsi="宋体" w:eastAsia="宋体" w:cs="宋体"/>
          <w:b/>
          <w:bCs/>
          <w:snapToGrid w:val="0"/>
          <w:color w:val="auto"/>
          <w:sz w:val="28"/>
          <w:szCs w:val="28"/>
          <w:lang w:val="en-US" w:eastAsia="zh-CN" w:bidi="ar-SA"/>
        </w:rPr>
      </w:pPr>
      <w:r>
        <w:rPr>
          <w:rFonts w:hint="eastAsia" w:ascii="宋体" w:hAnsi="宋体" w:eastAsia="宋体" w:cs="宋体"/>
          <w:b/>
          <w:bCs/>
          <w:snapToGrid w:val="0"/>
          <w:color w:val="auto"/>
          <w:sz w:val="28"/>
          <w:szCs w:val="28"/>
          <w:lang w:val="en-US" w:eastAsia="zh-CN" w:bidi="ar-SA"/>
        </w:rPr>
        <w:t>3.3详细评审表（标段一）</w:t>
      </w:r>
    </w:p>
    <w:p w14:paraId="47942A36">
      <w:pPr>
        <w:rPr>
          <w:rFonts w:hint="eastAsia" w:ascii="宋体" w:hAnsi="宋体" w:eastAsia="宋体" w:cs="宋体"/>
          <w:color w:val="auto"/>
          <w:sz w:val="24"/>
          <w:szCs w:val="24"/>
        </w:rPr>
      </w:pPr>
    </w:p>
    <w:tbl>
      <w:tblPr>
        <w:tblStyle w:val="24"/>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488"/>
        <w:gridCol w:w="6624"/>
        <w:gridCol w:w="634"/>
      </w:tblGrid>
      <w:tr w14:paraId="19F3E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9" w:type="dxa"/>
            <w:vAlign w:val="center"/>
          </w:tcPr>
          <w:p w14:paraId="1A243063">
            <w:pPr>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88" w:type="dxa"/>
            <w:vAlign w:val="center"/>
          </w:tcPr>
          <w:p w14:paraId="7961067A">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评审</w:t>
            </w:r>
            <w:r>
              <w:rPr>
                <w:rFonts w:hint="eastAsia" w:ascii="宋体" w:hAnsi="宋体" w:eastAsia="宋体" w:cs="宋体"/>
                <w:b/>
                <w:bCs/>
                <w:color w:val="auto"/>
                <w:sz w:val="24"/>
                <w:szCs w:val="24"/>
                <w:lang w:val="en-US" w:eastAsia="zh-CN"/>
              </w:rPr>
              <w:t>因素</w:t>
            </w:r>
          </w:p>
        </w:tc>
        <w:tc>
          <w:tcPr>
            <w:tcW w:w="6624" w:type="dxa"/>
            <w:vAlign w:val="center"/>
          </w:tcPr>
          <w:p w14:paraId="1A425F39">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634" w:type="dxa"/>
            <w:vAlign w:val="center"/>
          </w:tcPr>
          <w:p w14:paraId="7F4BCC91">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7953A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3CCECD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634" w:type="dxa"/>
            <w:vAlign w:val="center"/>
          </w:tcPr>
          <w:p w14:paraId="64A718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58B55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549" w:type="dxa"/>
            <w:vAlign w:val="center"/>
          </w:tcPr>
          <w:p w14:paraId="189EAB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1A2DDC0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6624" w:type="dxa"/>
            <w:vAlign w:val="center"/>
          </w:tcPr>
          <w:p w14:paraId="6C5FB96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vAlign w:val="center"/>
          </w:tcPr>
          <w:p w14:paraId="2F57DC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1F14C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3F36A88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二、商务因素</w:t>
            </w:r>
          </w:p>
        </w:tc>
        <w:tc>
          <w:tcPr>
            <w:tcW w:w="634" w:type="dxa"/>
            <w:vAlign w:val="center"/>
          </w:tcPr>
          <w:p w14:paraId="2EEB9736">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p>
        </w:tc>
      </w:tr>
      <w:tr w14:paraId="1E00F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7A76275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21D1724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同类业绩</w:t>
            </w:r>
          </w:p>
        </w:tc>
        <w:tc>
          <w:tcPr>
            <w:tcW w:w="6624" w:type="dxa"/>
            <w:vAlign w:val="center"/>
          </w:tcPr>
          <w:p w14:paraId="7B19F6EA">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每提供一项同类项目（所投产品）得1分，满分5分。</w:t>
            </w:r>
          </w:p>
          <w:p w14:paraId="2E226924">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评分依据：投标文件中附合同或中标通知书复印件，业绩有效期为2022年1月1日至今，以合同签订时间为准。</w:t>
            </w:r>
          </w:p>
        </w:tc>
        <w:tc>
          <w:tcPr>
            <w:tcW w:w="634" w:type="dxa"/>
            <w:vAlign w:val="center"/>
          </w:tcPr>
          <w:p w14:paraId="792866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478A6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26A50B2A">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p>
        </w:tc>
        <w:tc>
          <w:tcPr>
            <w:tcW w:w="1488" w:type="dxa"/>
            <w:vAlign w:val="center"/>
          </w:tcPr>
          <w:p w14:paraId="24AA0F0B">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供货期</w:t>
            </w:r>
          </w:p>
        </w:tc>
        <w:tc>
          <w:tcPr>
            <w:tcW w:w="6624" w:type="dxa"/>
            <w:vAlign w:val="center"/>
          </w:tcPr>
          <w:p w14:paraId="2B0FE919">
            <w:pP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zh-CN" w:eastAsia="zh-CN"/>
              </w:rPr>
              <w:t>按照采购文件规定每提前一天供货得0.</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zh-CN" w:eastAsia="zh-CN"/>
              </w:rPr>
              <w:t>分，最多得</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分。</w:t>
            </w:r>
          </w:p>
        </w:tc>
        <w:tc>
          <w:tcPr>
            <w:tcW w:w="634" w:type="dxa"/>
            <w:vAlign w:val="center"/>
          </w:tcPr>
          <w:p w14:paraId="1C6E1E3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r>
      <w:tr w14:paraId="10FAF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661" w:type="dxa"/>
            <w:gridSpan w:val="3"/>
            <w:vAlign w:val="center"/>
          </w:tcPr>
          <w:p w14:paraId="24D56F6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三、技术因素</w:t>
            </w:r>
          </w:p>
        </w:tc>
        <w:tc>
          <w:tcPr>
            <w:tcW w:w="634" w:type="dxa"/>
            <w:vAlign w:val="center"/>
          </w:tcPr>
          <w:p w14:paraId="2B204B71">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w:t>
            </w:r>
          </w:p>
        </w:tc>
      </w:tr>
      <w:tr w14:paraId="060FE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49" w:type="dxa"/>
            <w:vAlign w:val="center"/>
          </w:tcPr>
          <w:p w14:paraId="06540B1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613952F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6624" w:type="dxa"/>
            <w:vAlign w:val="center"/>
          </w:tcPr>
          <w:p w14:paraId="6D737864">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1.根据所投产品的配置与性能指标响应程度打分，完全满足招标要求的得</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分（须提供投标产品详细的技术参数证明文件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如检测报告说明书、产品彩页、</w:t>
            </w:r>
            <w:r>
              <w:rPr>
                <w:rFonts w:hint="eastAsia" w:ascii="宋体" w:hAnsi="宋体" w:eastAsia="宋体" w:cs="宋体"/>
                <w:b/>
                <w:bCs/>
                <w:color w:val="auto"/>
                <w:sz w:val="24"/>
                <w:szCs w:val="24"/>
                <w:highlight w:val="none"/>
                <w:lang w:val="en-US" w:eastAsia="zh-CN"/>
              </w:rPr>
              <w:t>或其它</w:t>
            </w:r>
            <w:r>
              <w:rPr>
                <w:rFonts w:hint="eastAsia" w:ascii="宋体" w:hAnsi="宋体" w:eastAsia="宋体" w:cs="宋体"/>
                <w:b/>
                <w:bCs/>
                <w:color w:val="auto"/>
                <w:sz w:val="24"/>
                <w:szCs w:val="24"/>
                <w:highlight w:val="none"/>
              </w:rPr>
              <w:t>能够证明其参数真实有效的证明文件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如不提供不得分）；</w:t>
            </w:r>
          </w:p>
          <w:p w14:paraId="3F327BB1">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color w:val="auto"/>
                <w:spacing w:val="-2"/>
                <w:sz w:val="24"/>
                <w:szCs w:val="24"/>
                <w:highlight w:val="none"/>
              </w:rPr>
              <w:t>▲</w:t>
            </w:r>
            <w:r>
              <w:rPr>
                <w:rFonts w:hint="eastAsia" w:ascii="宋体" w:hAnsi="宋体" w:eastAsia="宋体" w:cs="宋体"/>
                <w:b/>
                <w:bCs/>
                <w:color w:val="auto"/>
                <w:sz w:val="24"/>
                <w:szCs w:val="24"/>
                <w:highlight w:val="none"/>
              </w:rPr>
              <w:t>号技术参数的每有一项负偏离，按</w:t>
            </w:r>
            <w:r>
              <w:rPr>
                <w:rFonts w:hint="eastAsia" w:ascii="宋体" w:hAnsi="宋体" w:eastAsia="宋体" w:cs="宋体"/>
                <w:b/>
                <w:bCs/>
                <w:color w:val="auto"/>
                <w:sz w:val="24"/>
                <w:szCs w:val="24"/>
                <w:highlight w:val="none"/>
                <w:lang w:val="en-US" w:eastAsia="zh-CN"/>
              </w:rPr>
              <w:t>0.3</w:t>
            </w:r>
            <w:r>
              <w:rPr>
                <w:rFonts w:hint="eastAsia" w:ascii="宋体" w:hAnsi="宋体" w:eastAsia="宋体" w:cs="宋体"/>
                <w:b/>
                <w:bCs/>
                <w:color w:val="auto"/>
                <w:sz w:val="24"/>
                <w:szCs w:val="24"/>
                <w:highlight w:val="none"/>
              </w:rPr>
              <w:t>分抵扣，扣完为止；未标注“</w:t>
            </w:r>
            <w:r>
              <w:rPr>
                <w:rFonts w:hint="eastAsia" w:ascii="宋体" w:hAnsi="宋体" w:eastAsia="宋体" w:cs="宋体"/>
                <w:color w:val="auto"/>
                <w:spacing w:val="-2"/>
                <w:sz w:val="24"/>
                <w:szCs w:val="24"/>
                <w:highlight w:val="none"/>
              </w:rPr>
              <w:t>▲</w:t>
            </w:r>
            <w:r>
              <w:rPr>
                <w:rFonts w:hint="eastAsia" w:ascii="宋体" w:hAnsi="宋体" w:eastAsia="宋体" w:cs="宋体"/>
                <w:b/>
                <w:bCs/>
                <w:color w:val="auto"/>
                <w:sz w:val="24"/>
                <w:szCs w:val="24"/>
                <w:highlight w:val="none"/>
              </w:rPr>
              <w:t>”的为一般参数，每一项负偏离扣</w:t>
            </w:r>
            <w:r>
              <w:rPr>
                <w:rFonts w:hint="eastAsia" w:ascii="宋体" w:hAnsi="宋体" w:eastAsia="宋体" w:cs="宋体"/>
                <w:b/>
                <w:bCs/>
                <w:color w:val="auto"/>
                <w:sz w:val="24"/>
                <w:szCs w:val="24"/>
                <w:highlight w:val="none"/>
                <w:lang w:val="en-US" w:eastAsia="zh-CN"/>
              </w:rPr>
              <w:t>0.2</w:t>
            </w:r>
            <w:r>
              <w:rPr>
                <w:rFonts w:hint="eastAsia" w:ascii="宋体" w:hAnsi="宋体" w:eastAsia="宋体" w:cs="宋体"/>
                <w:b/>
                <w:bCs/>
                <w:color w:val="auto"/>
                <w:sz w:val="24"/>
                <w:szCs w:val="24"/>
                <w:highlight w:val="none"/>
              </w:rPr>
              <w:t>分，扣完为止</w:t>
            </w:r>
          </w:p>
          <w:p w14:paraId="38AB279E">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注：根据偏离情况如实填写“</w:t>
            </w:r>
            <w:r>
              <w:rPr>
                <w:rFonts w:hint="eastAsia" w:ascii="宋体" w:hAnsi="宋体" w:eastAsia="宋体" w:cs="宋体"/>
                <w:b/>
                <w:bCs/>
                <w:color w:val="auto"/>
                <w:sz w:val="24"/>
                <w:szCs w:val="24"/>
                <w:highlight w:val="none"/>
                <w:lang w:eastAsia="zh-CN"/>
              </w:rPr>
              <w:t>采购需求</w:t>
            </w:r>
            <w:r>
              <w:rPr>
                <w:rFonts w:hint="eastAsia" w:ascii="宋体" w:hAnsi="宋体" w:eastAsia="宋体" w:cs="宋体"/>
                <w:b/>
                <w:bCs/>
                <w:color w:val="auto"/>
                <w:sz w:val="24"/>
                <w:szCs w:val="24"/>
                <w:highlight w:val="none"/>
              </w:rPr>
              <w:t>偏离表”，如对采购清单内的产品缺项漏项，将视为对招标文件不实质响应，应视为无效投标。</w:t>
            </w:r>
          </w:p>
          <w:p w14:paraId="5B16F4A2">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评分依据：投标人需如实对招标文件中的技术需求进行点对点应答，并详细填写采购需求偏离表，如虚假响应或提供虚假证明材料，采购人及评标委员会有权追究其法律责任，并将违法情况上报主管部门</w:t>
            </w:r>
            <w:r>
              <w:rPr>
                <w:rFonts w:hint="eastAsia" w:ascii="宋体" w:hAnsi="宋体" w:eastAsia="宋体" w:cs="宋体"/>
                <w:b/>
                <w:bCs/>
                <w:color w:val="auto"/>
                <w:sz w:val="24"/>
                <w:szCs w:val="24"/>
                <w:highlight w:val="none"/>
                <w:lang w:eastAsia="zh-CN"/>
              </w:rPr>
              <w:t>。</w:t>
            </w:r>
          </w:p>
        </w:tc>
        <w:tc>
          <w:tcPr>
            <w:tcW w:w="634" w:type="dxa"/>
            <w:vAlign w:val="center"/>
          </w:tcPr>
          <w:p w14:paraId="190C406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30</w:t>
            </w:r>
          </w:p>
        </w:tc>
      </w:tr>
      <w:tr w14:paraId="5057D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vAlign w:val="center"/>
          </w:tcPr>
          <w:p w14:paraId="2127AB7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88" w:type="dxa"/>
            <w:shd w:val="clear" w:color="auto" w:fill="auto"/>
            <w:vAlign w:val="center"/>
          </w:tcPr>
          <w:p w14:paraId="09E9E47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项目实施方案</w:t>
            </w:r>
          </w:p>
        </w:tc>
        <w:tc>
          <w:tcPr>
            <w:tcW w:w="6624" w:type="dxa"/>
            <w:shd w:val="clear" w:color="auto" w:fill="auto"/>
            <w:vAlign w:val="center"/>
          </w:tcPr>
          <w:p w14:paraId="6CEED38A">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方案应包含但不限于以下内容：</w:t>
            </w:r>
          </w:p>
          <w:p w14:paraId="21365051">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1.进度管理；</w:t>
            </w:r>
          </w:p>
          <w:p w14:paraId="3BB3FE94">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2.质量管理；</w:t>
            </w:r>
          </w:p>
          <w:p w14:paraId="033A54BA">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3.应急预案及措施；</w:t>
            </w:r>
          </w:p>
          <w:p w14:paraId="6FD118B1">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4.风险管理；</w:t>
            </w:r>
          </w:p>
          <w:p w14:paraId="43AD3630">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5.运输方案等。</w:t>
            </w:r>
          </w:p>
          <w:p w14:paraId="6704B1F7">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vAlign w:val="center"/>
          </w:tcPr>
          <w:p w14:paraId="3A2C4B77">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r>
      <w:tr w14:paraId="0F0B1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vAlign w:val="center"/>
          </w:tcPr>
          <w:p w14:paraId="559D5982">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88" w:type="dxa"/>
            <w:shd w:val="clear" w:color="auto" w:fill="auto"/>
            <w:vAlign w:val="center"/>
          </w:tcPr>
          <w:p w14:paraId="107FA97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6624" w:type="dxa"/>
            <w:shd w:val="clear" w:color="auto" w:fill="auto"/>
            <w:vAlign w:val="center"/>
          </w:tcPr>
          <w:p w14:paraId="0C9520E3">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方案应包含但不限于以下内容：</w:t>
            </w:r>
          </w:p>
          <w:p w14:paraId="501B5218">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1.售后服务计划；</w:t>
            </w:r>
          </w:p>
          <w:p w14:paraId="4329544F">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2.提供咨询技术指导；</w:t>
            </w:r>
          </w:p>
          <w:p w14:paraId="239442A0">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3.提供日常巡检；</w:t>
            </w:r>
          </w:p>
          <w:p w14:paraId="09CCCB7F">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4.备品备件供应情况；</w:t>
            </w:r>
          </w:p>
          <w:p w14:paraId="10A772AC">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5.提供产品保修等。</w:t>
            </w:r>
          </w:p>
          <w:p w14:paraId="02E6F86B">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vAlign w:val="center"/>
          </w:tcPr>
          <w:p w14:paraId="71D4E2B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r>
      <w:tr w14:paraId="19BB3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549" w:type="dxa"/>
            <w:vAlign w:val="center"/>
          </w:tcPr>
          <w:p w14:paraId="36EB7DD7">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88" w:type="dxa"/>
            <w:vAlign w:val="center"/>
          </w:tcPr>
          <w:p w14:paraId="0347687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运行及培训</w:t>
            </w:r>
          </w:p>
        </w:tc>
        <w:tc>
          <w:tcPr>
            <w:tcW w:w="6624" w:type="dxa"/>
            <w:vAlign w:val="center"/>
          </w:tcPr>
          <w:p w14:paraId="657E6787">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方案应包含但不限于以下内容：</w:t>
            </w:r>
          </w:p>
          <w:p w14:paraId="3D5693E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1.质量保证体系及措施；</w:t>
            </w:r>
          </w:p>
          <w:p w14:paraId="3D74673F">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2.培训计划及培训讲义；</w:t>
            </w:r>
          </w:p>
          <w:p w14:paraId="35A9B86D">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3.人员分类培训；</w:t>
            </w:r>
          </w:p>
          <w:p w14:paraId="4B14ED9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4.安装调试方案；</w:t>
            </w:r>
          </w:p>
          <w:p w14:paraId="7CEB71F9">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5.资料及设备验收管理等。</w:t>
            </w:r>
          </w:p>
          <w:p w14:paraId="6F805F88">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vAlign w:val="center"/>
          </w:tcPr>
          <w:p w14:paraId="2ADDCAD6">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r>
      <w:tr w14:paraId="3FB4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549" w:type="dxa"/>
            <w:vAlign w:val="center"/>
          </w:tcPr>
          <w:p w14:paraId="3D9CCCD7">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88" w:type="dxa"/>
            <w:vAlign w:val="center"/>
          </w:tcPr>
          <w:p w14:paraId="436B36C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备品备件及应急保障</w:t>
            </w:r>
          </w:p>
        </w:tc>
        <w:tc>
          <w:tcPr>
            <w:tcW w:w="6624" w:type="dxa"/>
            <w:vAlign w:val="center"/>
          </w:tcPr>
          <w:p w14:paraId="7E09E16C">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方案应包含但不限于以下内容：</w:t>
            </w:r>
          </w:p>
          <w:p w14:paraId="3C811E3F">
            <w:pPr>
              <w:keepNext w:val="0"/>
              <w:keepLines w:val="0"/>
              <w:widowControl/>
              <w:numPr>
                <w:ilvl w:val="0"/>
                <w:numId w:val="0"/>
              </w:numPr>
              <w:suppressLineNumbers w:val="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1.有详细完善的备品备件能力</w:t>
            </w:r>
          </w:p>
          <w:p w14:paraId="5D25716C">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2.当有紧急情况发生时，可保障采购人同等设备的使用，有应急保障能力。</w:t>
            </w:r>
          </w:p>
          <w:p w14:paraId="58C6490C">
            <w:pPr>
              <w:keepNext w:val="0"/>
              <w:keepLines w:val="0"/>
              <w:widowControl/>
              <w:suppressLineNumbers w:val="0"/>
              <w:jc w:val="left"/>
              <w:rPr>
                <w:rFonts w:hint="eastAsia" w:ascii="宋体" w:hAnsi="宋体" w:eastAsia="宋体" w:cs="宋体"/>
                <w:sz w:val="24"/>
                <w:szCs w:val="24"/>
                <w:lang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1分，方案有缺失的得0.5分，满分2分，未提供的得0分。（缺失是指：不符合实际，存在偏离内容、内容前后不一致、文不对题、前后逻辑错误、内容缺失有瑕疵、无具体流程细节描述之处）</w:t>
            </w:r>
          </w:p>
        </w:tc>
        <w:tc>
          <w:tcPr>
            <w:tcW w:w="634" w:type="dxa"/>
            <w:vAlign w:val="center"/>
          </w:tcPr>
          <w:p w14:paraId="1ECD2942">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p>
        </w:tc>
      </w:tr>
      <w:tr w14:paraId="3DA68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1" w:type="dxa"/>
            <w:gridSpan w:val="3"/>
            <w:vAlign w:val="center"/>
          </w:tcPr>
          <w:p w14:paraId="0C6485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634" w:type="dxa"/>
            <w:vAlign w:val="center"/>
          </w:tcPr>
          <w:p w14:paraId="075AB3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25AE90F0">
      <w:pPr>
        <w:pStyle w:val="10"/>
        <w:tabs>
          <w:tab w:val="left" w:pos="6840"/>
        </w:tabs>
        <w:kinsoku/>
        <w:autoSpaceDE/>
        <w:adjustRightInd/>
        <w:snapToGrid/>
        <w:ind w:right="-57"/>
        <w:jc w:val="both"/>
        <w:rPr>
          <w:rFonts w:cs="宋体"/>
          <w:b/>
          <w:bCs/>
          <w:sz w:val="28"/>
          <w:szCs w:val="28"/>
        </w:rPr>
      </w:pPr>
    </w:p>
    <w:p w14:paraId="418AF6BE">
      <w:pPr>
        <w:pStyle w:val="10"/>
        <w:tabs>
          <w:tab w:val="left" w:pos="6840"/>
        </w:tabs>
        <w:kinsoku/>
        <w:autoSpaceDE/>
        <w:adjustRightInd/>
        <w:snapToGrid/>
        <w:ind w:right="-57"/>
        <w:jc w:val="center"/>
        <w:rPr>
          <w:rFonts w:cs="宋体"/>
          <w:b/>
          <w:bCs/>
          <w:sz w:val="28"/>
          <w:szCs w:val="28"/>
        </w:rPr>
      </w:pPr>
    </w:p>
    <w:p w14:paraId="2E0CC040">
      <w:pPr>
        <w:pStyle w:val="10"/>
        <w:tabs>
          <w:tab w:val="left" w:pos="6840"/>
        </w:tabs>
        <w:kinsoku/>
        <w:autoSpaceDE/>
        <w:adjustRightInd/>
        <w:snapToGrid/>
        <w:ind w:right="-57"/>
        <w:jc w:val="center"/>
        <w:rPr>
          <w:rFonts w:cs="宋体"/>
          <w:b/>
          <w:bCs/>
          <w:sz w:val="28"/>
          <w:szCs w:val="28"/>
        </w:rPr>
      </w:pPr>
    </w:p>
    <w:p w14:paraId="7901E5A6">
      <w:pPr>
        <w:pStyle w:val="10"/>
        <w:tabs>
          <w:tab w:val="left" w:pos="6840"/>
        </w:tabs>
        <w:kinsoku/>
        <w:autoSpaceDE/>
        <w:adjustRightInd/>
        <w:snapToGrid/>
        <w:ind w:right="-57"/>
        <w:jc w:val="center"/>
        <w:rPr>
          <w:rFonts w:cs="宋体"/>
          <w:b/>
          <w:bCs/>
          <w:sz w:val="28"/>
          <w:szCs w:val="28"/>
        </w:rPr>
      </w:pPr>
    </w:p>
    <w:p w14:paraId="761D1AFB">
      <w:pPr>
        <w:pStyle w:val="10"/>
        <w:tabs>
          <w:tab w:val="left" w:pos="6840"/>
        </w:tabs>
        <w:kinsoku/>
        <w:autoSpaceDE/>
        <w:adjustRightInd/>
        <w:snapToGrid/>
        <w:ind w:right="-57"/>
        <w:jc w:val="center"/>
        <w:rPr>
          <w:rFonts w:cs="宋体"/>
          <w:b/>
          <w:bCs/>
          <w:sz w:val="28"/>
          <w:szCs w:val="28"/>
        </w:rPr>
      </w:pPr>
    </w:p>
    <w:p w14:paraId="053EDBD3">
      <w:pPr>
        <w:pStyle w:val="10"/>
        <w:tabs>
          <w:tab w:val="left" w:pos="6840"/>
        </w:tabs>
        <w:kinsoku/>
        <w:autoSpaceDE/>
        <w:adjustRightInd/>
        <w:snapToGrid/>
        <w:ind w:right="-57"/>
        <w:jc w:val="center"/>
        <w:rPr>
          <w:rFonts w:cs="宋体"/>
          <w:b/>
          <w:bCs/>
          <w:sz w:val="28"/>
          <w:szCs w:val="28"/>
        </w:rPr>
      </w:pPr>
    </w:p>
    <w:p w14:paraId="033130C8">
      <w:pPr>
        <w:pStyle w:val="10"/>
        <w:tabs>
          <w:tab w:val="left" w:pos="6840"/>
        </w:tabs>
        <w:kinsoku/>
        <w:autoSpaceDE/>
        <w:adjustRightInd/>
        <w:snapToGrid/>
        <w:ind w:right="-57"/>
        <w:jc w:val="center"/>
        <w:rPr>
          <w:rFonts w:cs="宋体"/>
          <w:b/>
          <w:bCs/>
          <w:sz w:val="28"/>
          <w:szCs w:val="28"/>
        </w:rPr>
      </w:pPr>
    </w:p>
    <w:p w14:paraId="4470C4DA">
      <w:pPr>
        <w:pStyle w:val="10"/>
        <w:tabs>
          <w:tab w:val="left" w:pos="6840"/>
        </w:tabs>
        <w:kinsoku/>
        <w:autoSpaceDE/>
        <w:adjustRightInd/>
        <w:snapToGrid/>
        <w:ind w:right="-57"/>
        <w:jc w:val="center"/>
        <w:rPr>
          <w:rFonts w:cs="宋体"/>
          <w:b/>
          <w:bCs/>
          <w:sz w:val="28"/>
          <w:szCs w:val="28"/>
        </w:rPr>
      </w:pPr>
    </w:p>
    <w:p w14:paraId="1A6E554C">
      <w:pPr>
        <w:pStyle w:val="10"/>
        <w:tabs>
          <w:tab w:val="left" w:pos="6840"/>
        </w:tabs>
        <w:kinsoku/>
        <w:autoSpaceDE/>
        <w:adjustRightInd/>
        <w:snapToGrid/>
        <w:ind w:right="-57"/>
        <w:jc w:val="center"/>
        <w:rPr>
          <w:rFonts w:cs="宋体"/>
          <w:b/>
          <w:bCs/>
          <w:sz w:val="28"/>
          <w:szCs w:val="28"/>
        </w:rPr>
      </w:pPr>
    </w:p>
    <w:p w14:paraId="3A23F471">
      <w:pPr>
        <w:pStyle w:val="10"/>
        <w:tabs>
          <w:tab w:val="left" w:pos="6840"/>
        </w:tabs>
        <w:kinsoku/>
        <w:autoSpaceDE/>
        <w:adjustRightInd/>
        <w:snapToGrid/>
        <w:ind w:right="-57"/>
        <w:jc w:val="center"/>
        <w:rPr>
          <w:rFonts w:hint="default" w:eastAsia="宋体" w:cs="宋体"/>
          <w:color w:val="auto"/>
          <w:sz w:val="28"/>
          <w:szCs w:val="28"/>
          <w:lang w:val="en-US" w:eastAsia="zh-CN"/>
        </w:rPr>
      </w:pPr>
      <w:r>
        <w:rPr>
          <w:rFonts w:cs="宋体"/>
          <w:b/>
          <w:bCs/>
          <w:sz w:val="28"/>
          <w:szCs w:val="28"/>
        </w:rPr>
        <w:t>详细评审表</w:t>
      </w:r>
      <w:r>
        <w:rPr>
          <w:rFonts w:hint="eastAsia" w:cs="宋体"/>
          <w:b/>
          <w:bCs/>
          <w:sz w:val="28"/>
          <w:szCs w:val="28"/>
          <w:lang w:eastAsia="zh-CN"/>
        </w:rPr>
        <w:t>（</w:t>
      </w:r>
      <w:r>
        <w:rPr>
          <w:rFonts w:hint="eastAsia" w:cs="宋体"/>
          <w:b/>
          <w:bCs/>
          <w:sz w:val="28"/>
          <w:szCs w:val="28"/>
          <w:lang w:val="en-US" w:eastAsia="zh-CN"/>
        </w:rPr>
        <w:t>标段二）</w:t>
      </w:r>
    </w:p>
    <w:p w14:paraId="78A245AB">
      <w:pPr>
        <w:rPr>
          <w:rFonts w:hint="eastAsia" w:ascii="宋体" w:hAnsi="宋体" w:eastAsia="宋体" w:cs="宋体"/>
          <w:b/>
          <w:bCs/>
          <w:color w:val="auto"/>
          <w:sz w:val="24"/>
          <w:szCs w:val="24"/>
          <w:lang w:val="en-US" w:eastAsia="zh-CN"/>
        </w:rPr>
      </w:pPr>
    </w:p>
    <w:p w14:paraId="7609C7AC">
      <w:pPr>
        <w:rPr>
          <w:rFonts w:hint="eastAsia" w:ascii="宋体" w:hAnsi="宋体" w:eastAsia="宋体" w:cs="宋体"/>
          <w:b/>
          <w:bCs/>
          <w:color w:val="auto"/>
          <w:sz w:val="24"/>
          <w:szCs w:val="24"/>
          <w:lang w:val="en-US" w:eastAsia="zh-CN"/>
        </w:rPr>
      </w:pPr>
    </w:p>
    <w:tbl>
      <w:tblPr>
        <w:tblStyle w:val="24"/>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488"/>
        <w:gridCol w:w="6624"/>
        <w:gridCol w:w="634"/>
      </w:tblGrid>
      <w:tr w14:paraId="1CF0C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9" w:type="dxa"/>
            <w:vAlign w:val="center"/>
          </w:tcPr>
          <w:p w14:paraId="11D0F4C3">
            <w:pPr>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88" w:type="dxa"/>
            <w:vAlign w:val="center"/>
          </w:tcPr>
          <w:p w14:paraId="5FC63449">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6624" w:type="dxa"/>
            <w:vAlign w:val="center"/>
          </w:tcPr>
          <w:p w14:paraId="4A659B27">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634" w:type="dxa"/>
            <w:vAlign w:val="center"/>
          </w:tcPr>
          <w:p w14:paraId="18F65CB1">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7CC53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51B4B3F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634" w:type="dxa"/>
            <w:vAlign w:val="center"/>
          </w:tcPr>
          <w:p w14:paraId="5D27B9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5619A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549" w:type="dxa"/>
            <w:vAlign w:val="center"/>
          </w:tcPr>
          <w:p w14:paraId="3FFA279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44508A8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6624" w:type="dxa"/>
            <w:vAlign w:val="center"/>
          </w:tcPr>
          <w:p w14:paraId="6437299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vAlign w:val="center"/>
          </w:tcPr>
          <w:p w14:paraId="62C430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64BA9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6E5246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二、商务因素</w:t>
            </w:r>
          </w:p>
        </w:tc>
        <w:tc>
          <w:tcPr>
            <w:tcW w:w="634" w:type="dxa"/>
            <w:vAlign w:val="center"/>
          </w:tcPr>
          <w:p w14:paraId="1B20971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p>
        </w:tc>
      </w:tr>
      <w:tr w14:paraId="7271A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727C6FF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69D6142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同类业绩</w:t>
            </w:r>
          </w:p>
        </w:tc>
        <w:tc>
          <w:tcPr>
            <w:tcW w:w="6624" w:type="dxa"/>
            <w:vAlign w:val="center"/>
          </w:tcPr>
          <w:p w14:paraId="3215682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每提供一项同类项目（所投产品）得1分，满分5分。</w:t>
            </w:r>
          </w:p>
          <w:p w14:paraId="170D8CA1">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评分依据：投标文件中附合同或中标通知书复印件，业绩有效期为2022年1月1日至今，以合同签订时间为准。</w:t>
            </w:r>
          </w:p>
        </w:tc>
        <w:tc>
          <w:tcPr>
            <w:tcW w:w="634" w:type="dxa"/>
            <w:vAlign w:val="center"/>
          </w:tcPr>
          <w:p w14:paraId="564AB1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2BA92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702FB4FE">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p>
        </w:tc>
        <w:tc>
          <w:tcPr>
            <w:tcW w:w="1488" w:type="dxa"/>
            <w:vAlign w:val="center"/>
          </w:tcPr>
          <w:p w14:paraId="014770B2">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供货期</w:t>
            </w:r>
          </w:p>
        </w:tc>
        <w:tc>
          <w:tcPr>
            <w:tcW w:w="6624" w:type="dxa"/>
            <w:vAlign w:val="center"/>
          </w:tcPr>
          <w:p w14:paraId="04D89C03">
            <w:pPr>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val="zh-CN" w:eastAsia="zh-CN"/>
              </w:rPr>
              <w:t>按照采购文件规定每提前一天供货得0.</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zh-CN" w:eastAsia="zh-CN"/>
              </w:rPr>
              <w:t>分，最多得</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zh-CN" w:eastAsia="zh-CN"/>
              </w:rPr>
              <w:t>分。</w:t>
            </w:r>
          </w:p>
        </w:tc>
        <w:tc>
          <w:tcPr>
            <w:tcW w:w="634" w:type="dxa"/>
            <w:vAlign w:val="center"/>
          </w:tcPr>
          <w:p w14:paraId="7851D2EC">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r>
      <w:tr w14:paraId="01FDA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661" w:type="dxa"/>
            <w:gridSpan w:val="3"/>
            <w:vAlign w:val="center"/>
          </w:tcPr>
          <w:p w14:paraId="40A0956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三、技术因素</w:t>
            </w:r>
          </w:p>
        </w:tc>
        <w:tc>
          <w:tcPr>
            <w:tcW w:w="634" w:type="dxa"/>
            <w:vAlign w:val="center"/>
          </w:tcPr>
          <w:p w14:paraId="7958BA01">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w:t>
            </w:r>
          </w:p>
        </w:tc>
      </w:tr>
      <w:tr w14:paraId="660FF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49" w:type="dxa"/>
            <w:vAlign w:val="center"/>
          </w:tcPr>
          <w:p w14:paraId="0CE3B8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58C18F3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6624" w:type="dxa"/>
            <w:vAlign w:val="center"/>
          </w:tcPr>
          <w:p w14:paraId="1AF4CE23">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1.根据所投产品的配置与性能指标响应程度打分，完全满足招标要求的得</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分（须提供投标产品详细的技术参数证明文件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如检测报告说明书、产品彩页、</w:t>
            </w:r>
            <w:r>
              <w:rPr>
                <w:rFonts w:hint="eastAsia" w:ascii="宋体" w:hAnsi="宋体" w:eastAsia="宋体" w:cs="宋体"/>
                <w:b/>
                <w:bCs/>
                <w:color w:val="auto"/>
                <w:sz w:val="24"/>
                <w:szCs w:val="24"/>
                <w:highlight w:val="none"/>
                <w:lang w:val="en-US" w:eastAsia="zh-CN"/>
              </w:rPr>
              <w:t>或其它</w:t>
            </w:r>
            <w:r>
              <w:rPr>
                <w:rFonts w:hint="eastAsia" w:ascii="宋体" w:hAnsi="宋体" w:eastAsia="宋体" w:cs="宋体"/>
                <w:b/>
                <w:bCs/>
                <w:color w:val="auto"/>
                <w:sz w:val="24"/>
                <w:szCs w:val="24"/>
                <w:highlight w:val="none"/>
              </w:rPr>
              <w:t>能够证明其参数真实有效的证明文件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如不提供不得分）；</w:t>
            </w:r>
          </w:p>
          <w:p w14:paraId="653B3EC0">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color w:val="auto"/>
                <w:spacing w:val="-2"/>
                <w:sz w:val="24"/>
                <w:szCs w:val="24"/>
                <w:highlight w:val="none"/>
              </w:rPr>
              <w:t>▲</w:t>
            </w:r>
            <w:r>
              <w:rPr>
                <w:rFonts w:hint="eastAsia" w:ascii="宋体" w:hAnsi="宋体" w:eastAsia="宋体" w:cs="宋体"/>
                <w:b/>
                <w:bCs/>
                <w:color w:val="auto"/>
                <w:sz w:val="24"/>
                <w:szCs w:val="24"/>
                <w:highlight w:val="none"/>
              </w:rPr>
              <w:t>号技术参数的每有一项负偏离，按</w:t>
            </w:r>
            <w:r>
              <w:rPr>
                <w:rFonts w:hint="eastAsia" w:ascii="宋体" w:hAnsi="宋体" w:eastAsia="宋体" w:cs="宋体"/>
                <w:b/>
                <w:bCs/>
                <w:color w:val="auto"/>
                <w:sz w:val="24"/>
                <w:szCs w:val="24"/>
                <w:highlight w:val="none"/>
                <w:lang w:val="en-US" w:eastAsia="zh-CN"/>
              </w:rPr>
              <w:t>0.6</w:t>
            </w:r>
            <w:r>
              <w:rPr>
                <w:rFonts w:hint="eastAsia" w:ascii="宋体" w:hAnsi="宋体" w:eastAsia="宋体" w:cs="宋体"/>
                <w:b/>
                <w:bCs/>
                <w:color w:val="auto"/>
                <w:sz w:val="24"/>
                <w:szCs w:val="24"/>
                <w:highlight w:val="none"/>
              </w:rPr>
              <w:t>分抵扣，扣完为止；未标注“</w:t>
            </w:r>
            <w:r>
              <w:rPr>
                <w:rFonts w:hint="eastAsia" w:ascii="宋体" w:hAnsi="宋体" w:eastAsia="宋体" w:cs="宋体"/>
                <w:color w:val="auto"/>
                <w:spacing w:val="-2"/>
                <w:sz w:val="24"/>
                <w:szCs w:val="24"/>
                <w:highlight w:val="none"/>
              </w:rPr>
              <w:t>▲</w:t>
            </w:r>
            <w:r>
              <w:rPr>
                <w:rFonts w:hint="eastAsia" w:ascii="宋体" w:hAnsi="宋体" w:eastAsia="宋体" w:cs="宋体"/>
                <w:b/>
                <w:bCs/>
                <w:color w:val="auto"/>
                <w:sz w:val="24"/>
                <w:szCs w:val="24"/>
                <w:highlight w:val="none"/>
              </w:rPr>
              <w:t>”的为一般参数，每一项负偏离扣</w:t>
            </w:r>
            <w:r>
              <w:rPr>
                <w:rFonts w:hint="eastAsia" w:ascii="宋体" w:hAnsi="宋体" w:eastAsia="宋体" w:cs="宋体"/>
                <w:b/>
                <w:bCs/>
                <w:color w:val="auto"/>
                <w:sz w:val="24"/>
                <w:szCs w:val="24"/>
                <w:highlight w:val="none"/>
                <w:lang w:val="en-US" w:eastAsia="zh-CN"/>
              </w:rPr>
              <w:t>0.3</w:t>
            </w:r>
            <w:r>
              <w:rPr>
                <w:rFonts w:hint="eastAsia" w:ascii="宋体" w:hAnsi="宋体" w:eastAsia="宋体" w:cs="宋体"/>
                <w:b/>
                <w:bCs/>
                <w:color w:val="auto"/>
                <w:sz w:val="24"/>
                <w:szCs w:val="24"/>
                <w:highlight w:val="none"/>
              </w:rPr>
              <w:t>分，扣完为止</w:t>
            </w:r>
          </w:p>
          <w:p w14:paraId="2BE670F2">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注：根据偏离情况如实填写“</w:t>
            </w:r>
            <w:r>
              <w:rPr>
                <w:rFonts w:hint="eastAsia" w:ascii="宋体" w:hAnsi="宋体" w:eastAsia="宋体" w:cs="宋体"/>
                <w:b/>
                <w:bCs/>
                <w:color w:val="auto"/>
                <w:sz w:val="24"/>
                <w:szCs w:val="24"/>
                <w:highlight w:val="none"/>
                <w:lang w:eastAsia="zh-CN"/>
              </w:rPr>
              <w:t>采购需求</w:t>
            </w:r>
            <w:r>
              <w:rPr>
                <w:rFonts w:hint="eastAsia" w:ascii="宋体" w:hAnsi="宋体" w:eastAsia="宋体" w:cs="宋体"/>
                <w:b/>
                <w:bCs/>
                <w:color w:val="auto"/>
                <w:sz w:val="24"/>
                <w:szCs w:val="24"/>
                <w:highlight w:val="none"/>
              </w:rPr>
              <w:t>偏离表”，如对采购清单内的产品缺项漏项，将视为对招标文件不实质响应，应视为无效投标。</w:t>
            </w:r>
          </w:p>
          <w:p w14:paraId="1FFF8CA5">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评分依据：投标人需如实对招标文件中的技术需求进行点对点应答，并详细填写采购需求偏离表，如虚假响应或提供虚假证明材料，采购人及评标委员会有权追究其法律责任，并将违法情况上报主管部门</w:t>
            </w:r>
            <w:r>
              <w:rPr>
                <w:rFonts w:hint="eastAsia" w:ascii="宋体" w:hAnsi="宋体" w:eastAsia="宋体" w:cs="宋体"/>
                <w:b/>
                <w:bCs/>
                <w:color w:val="auto"/>
                <w:sz w:val="24"/>
                <w:szCs w:val="24"/>
                <w:highlight w:val="none"/>
                <w:lang w:eastAsia="zh-CN"/>
              </w:rPr>
              <w:t>。</w:t>
            </w:r>
          </w:p>
        </w:tc>
        <w:tc>
          <w:tcPr>
            <w:tcW w:w="634" w:type="dxa"/>
            <w:vAlign w:val="center"/>
          </w:tcPr>
          <w:p w14:paraId="063A1C9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30</w:t>
            </w:r>
          </w:p>
        </w:tc>
      </w:tr>
      <w:tr w14:paraId="1CE58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vAlign w:val="center"/>
          </w:tcPr>
          <w:p w14:paraId="6A31DA9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88" w:type="dxa"/>
            <w:shd w:val="clear" w:color="auto" w:fill="auto"/>
            <w:vAlign w:val="center"/>
          </w:tcPr>
          <w:p w14:paraId="3F81C06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项目实施方案</w:t>
            </w:r>
          </w:p>
        </w:tc>
        <w:tc>
          <w:tcPr>
            <w:tcW w:w="6624" w:type="dxa"/>
            <w:shd w:val="clear" w:color="auto" w:fill="auto"/>
            <w:vAlign w:val="center"/>
          </w:tcPr>
          <w:p w14:paraId="43B30FF1">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方案应包含但不限于以下内容：</w:t>
            </w:r>
          </w:p>
          <w:p w14:paraId="0A9A7AC0">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1.进度管理；</w:t>
            </w:r>
          </w:p>
          <w:p w14:paraId="11063AEE">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2.质量管理；</w:t>
            </w:r>
          </w:p>
          <w:p w14:paraId="356EA3FE">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3.应急预案及措施；</w:t>
            </w:r>
          </w:p>
          <w:p w14:paraId="5AA54D69">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4.风险管理；</w:t>
            </w:r>
          </w:p>
          <w:p w14:paraId="00DAEBA1">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5.运输方案等。</w:t>
            </w:r>
          </w:p>
          <w:p w14:paraId="1B631EEA">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vAlign w:val="center"/>
          </w:tcPr>
          <w:p w14:paraId="7CA4151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r>
      <w:tr w14:paraId="38642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vAlign w:val="center"/>
          </w:tcPr>
          <w:p w14:paraId="6494C196">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88" w:type="dxa"/>
            <w:shd w:val="clear" w:color="auto" w:fill="auto"/>
            <w:vAlign w:val="center"/>
          </w:tcPr>
          <w:p w14:paraId="53A172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6624" w:type="dxa"/>
            <w:shd w:val="clear" w:color="auto" w:fill="auto"/>
            <w:vAlign w:val="center"/>
          </w:tcPr>
          <w:p w14:paraId="6A23DCF6">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方案应包含但不限于以下内容：</w:t>
            </w:r>
          </w:p>
          <w:p w14:paraId="6228717D">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1.售后服务计划；</w:t>
            </w:r>
          </w:p>
          <w:p w14:paraId="3D72A940">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2.提供咨询技术指导；</w:t>
            </w:r>
          </w:p>
          <w:p w14:paraId="75333549">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3.提供日常巡检；</w:t>
            </w:r>
          </w:p>
          <w:p w14:paraId="65B9B311">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4.备品备件供应情况；</w:t>
            </w:r>
          </w:p>
          <w:p w14:paraId="7B01139C">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5.提供产品保修等。</w:t>
            </w:r>
          </w:p>
          <w:p w14:paraId="2702384F">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vAlign w:val="center"/>
          </w:tcPr>
          <w:p w14:paraId="0F108A73">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r>
      <w:tr w14:paraId="13A02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549" w:type="dxa"/>
            <w:vAlign w:val="center"/>
          </w:tcPr>
          <w:p w14:paraId="339B9386">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88" w:type="dxa"/>
            <w:vAlign w:val="center"/>
          </w:tcPr>
          <w:p w14:paraId="3A224AB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运行及培训</w:t>
            </w:r>
          </w:p>
        </w:tc>
        <w:tc>
          <w:tcPr>
            <w:tcW w:w="6624" w:type="dxa"/>
            <w:vAlign w:val="center"/>
          </w:tcPr>
          <w:p w14:paraId="4A5835DF">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方案应包含但不限于以下内容：</w:t>
            </w:r>
          </w:p>
          <w:p w14:paraId="10B918A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1.质量保证体系及措施；</w:t>
            </w:r>
          </w:p>
          <w:p w14:paraId="729B59D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2.培训计划及培训讲义；</w:t>
            </w:r>
          </w:p>
          <w:p w14:paraId="6283C8FE">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3.人员分类培训；</w:t>
            </w:r>
          </w:p>
          <w:p w14:paraId="678A079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4.安装调试方案；</w:t>
            </w:r>
          </w:p>
          <w:p w14:paraId="3435C00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5.资料及设备验收管理等。</w:t>
            </w:r>
          </w:p>
          <w:p w14:paraId="421EEDA9">
            <w:pP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vAlign w:val="center"/>
          </w:tcPr>
          <w:p w14:paraId="073DACE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r>
      <w:tr w14:paraId="07DB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549" w:type="dxa"/>
            <w:vAlign w:val="center"/>
          </w:tcPr>
          <w:p w14:paraId="6E89D566">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88" w:type="dxa"/>
            <w:vAlign w:val="center"/>
          </w:tcPr>
          <w:p w14:paraId="29F13D0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备品备件及应急保障</w:t>
            </w:r>
          </w:p>
        </w:tc>
        <w:tc>
          <w:tcPr>
            <w:tcW w:w="6624" w:type="dxa"/>
            <w:vAlign w:val="center"/>
          </w:tcPr>
          <w:p w14:paraId="7FC7523B">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方案应包含但不限于以下内容：</w:t>
            </w:r>
          </w:p>
          <w:p w14:paraId="355FA89D">
            <w:pPr>
              <w:keepNext w:val="0"/>
              <w:keepLines w:val="0"/>
              <w:widowControl/>
              <w:numPr>
                <w:ilvl w:val="0"/>
                <w:numId w:val="0"/>
              </w:numPr>
              <w:suppressLineNumbers w:val="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1.有详细完善的备品备件能力</w:t>
            </w:r>
          </w:p>
          <w:p w14:paraId="77600EC6">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2.当有紧急情况发生时，可保障采购人同等设备的使用，有应急保障能力。</w:t>
            </w:r>
          </w:p>
          <w:p w14:paraId="30B058AD">
            <w:pPr>
              <w:keepNext w:val="0"/>
              <w:keepLines w:val="0"/>
              <w:widowControl/>
              <w:suppressLineNumbers w:val="0"/>
              <w:jc w:val="left"/>
              <w:rPr>
                <w:rFonts w:hint="eastAsia" w:ascii="宋体" w:hAnsi="宋体" w:eastAsia="宋体" w:cs="宋体"/>
                <w:sz w:val="24"/>
                <w:szCs w:val="24"/>
                <w:lang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1分，方案有缺失的得0.5分，满分2分，未提供的得0分。（缺失是指：不符合实际，存在偏离内容、内容前后不一致、文不对题、前后逻辑错误、内容缺失有瑕疵、无具体流程细节描述之处）</w:t>
            </w:r>
          </w:p>
        </w:tc>
        <w:tc>
          <w:tcPr>
            <w:tcW w:w="634" w:type="dxa"/>
            <w:vAlign w:val="center"/>
          </w:tcPr>
          <w:p w14:paraId="45E2503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p>
        </w:tc>
      </w:tr>
      <w:tr w14:paraId="6E24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1" w:type="dxa"/>
            <w:gridSpan w:val="3"/>
            <w:vAlign w:val="center"/>
          </w:tcPr>
          <w:p w14:paraId="62E0313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634" w:type="dxa"/>
            <w:vAlign w:val="center"/>
          </w:tcPr>
          <w:p w14:paraId="324CDF5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4BA89C9E">
      <w:pPr>
        <w:rPr>
          <w:rFonts w:hint="eastAsia" w:ascii="宋体" w:hAnsi="宋体" w:eastAsia="宋体" w:cs="宋体"/>
          <w:b/>
          <w:bCs/>
          <w:color w:val="auto"/>
          <w:sz w:val="24"/>
          <w:szCs w:val="24"/>
        </w:rPr>
      </w:pPr>
    </w:p>
    <w:p w14:paraId="6793F037">
      <w:pPr>
        <w:rPr>
          <w:rFonts w:hint="eastAsia" w:ascii="宋体" w:hAnsi="宋体" w:eastAsia="宋体" w:cs="宋体"/>
          <w:b/>
          <w:bCs/>
          <w:color w:val="auto"/>
          <w:sz w:val="24"/>
          <w:szCs w:val="24"/>
          <w:lang w:eastAsia="zh-CN"/>
        </w:rPr>
      </w:pPr>
      <w:r>
        <w:rPr>
          <w:rFonts w:hint="eastAsia" w:ascii="宋体" w:hAnsi="宋体" w:eastAsia="宋体" w:cs="宋体"/>
          <w:sz w:val="24"/>
          <w:szCs w:val="24"/>
          <w:lang w:eastAsia="zh-CN" w:bidi="ar"/>
        </w:rPr>
        <w:t>备注:1、根据《政府采购货物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b/>
          <w:bCs/>
          <w:color w:val="auto"/>
          <w:sz w:val="24"/>
          <w:szCs w:val="24"/>
          <w:lang w:eastAsia="zh-CN"/>
        </w:rPr>
        <w:t>3.3.1 评标委员会在评审时，满足以下条件的可享受价格分扣除待遇：</w:t>
      </w:r>
    </w:p>
    <w:p w14:paraId="31734F3D">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2FB3A829">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1A46EDEF">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（3）投标产品同时列入上述多个清单的，将上述规定的价格扣除比例叠加后计算价格扣除。</w:t>
      </w:r>
    </w:p>
    <w:p w14:paraId="2E22B6C7">
      <w:pPr>
        <w:spacing w:line="288" w:lineRule="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（4）根据《进一步加大政府采购支持中小企业力度的通知》（财库[2022]19号）规定，</w:t>
      </w:r>
      <w:r>
        <w:rPr>
          <w:rFonts w:hint="eastAsia" w:ascii="宋体" w:hAnsi="宋体" w:eastAsia="宋体" w:cs="宋体"/>
          <w:b/>
          <w:bCs/>
          <w:color w:val="auto"/>
          <w:sz w:val="24"/>
          <w:szCs w:val="24"/>
          <w:lang w:eastAsia="zh-CN"/>
        </w:rPr>
        <w:t>对小型和微型企业的产品给予10%的价格扣除，并按照扣除后的价格参加评审。</w:t>
      </w:r>
    </w:p>
    <w:p w14:paraId="04CAB8AD">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（5）监狱企业视同小型、微型企业，监狱企业投标的提供省级以上监狱管理局、戒毒管理局(含新疆生产建设兵团)出具的属于监狱企业的证明文件，不再提供《中小企业声明函》；</w:t>
      </w:r>
    </w:p>
    <w:p w14:paraId="701B8A27">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（6）残疾人福利性单位视同小型、微型企业，残疾人福利性单位属于小型、微型企业的，不重复享受政策。符合条件的残疾人福利性单位在参加政府采购活动时，应当提供《残疾人福利性单位声明函》。</w:t>
      </w:r>
    </w:p>
    <w:p w14:paraId="6B8FFB0B">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价格扣除的依据：第（1）至（3）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0D9EBF06">
      <w:pPr>
        <w:rPr>
          <w:rFonts w:hint="eastAsia"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br w:type="page"/>
      </w:r>
    </w:p>
    <w:p w14:paraId="1E12FD8F">
      <w:pPr>
        <w:pStyle w:val="2"/>
        <w:spacing w:after="0" w:line="360" w:lineRule="auto"/>
        <w:jc w:val="center"/>
        <w:rPr>
          <w:color w:val="auto"/>
          <w:sz w:val="36"/>
          <w:szCs w:val="36"/>
          <w:lang w:eastAsia="zh-CN"/>
        </w:rPr>
      </w:pPr>
      <w:bookmarkStart w:id="46" w:name="_Toc12484"/>
      <w:bookmarkStart w:id="47" w:name="_Toc12764"/>
      <w:r>
        <w:rPr>
          <w:rFonts w:hint="eastAsia"/>
          <w:color w:val="auto"/>
          <w:sz w:val="36"/>
          <w:szCs w:val="36"/>
          <w:lang w:eastAsia="zh-CN"/>
        </w:rPr>
        <w:t>第四章 合同条款（参考格式）</w:t>
      </w:r>
      <w:bookmarkEnd w:id="46"/>
      <w:bookmarkEnd w:id="47"/>
    </w:p>
    <w:p w14:paraId="59960926">
      <w:pPr>
        <w:spacing w:line="360" w:lineRule="auto"/>
        <w:ind w:firstLine="480" w:firstLineChars="200"/>
        <w:jc w:val="both"/>
        <w:rPr>
          <w:rFonts w:ascii="宋体" w:hAnsi="宋体" w:cs="宋体"/>
          <w:b/>
          <w:color w:val="auto"/>
          <w:sz w:val="24"/>
          <w:szCs w:val="24"/>
          <w:lang w:eastAsia="zh-CN"/>
        </w:rPr>
      </w:pPr>
      <w:r>
        <w:rPr>
          <w:rFonts w:hint="eastAsia" w:ascii="宋体" w:hAnsi="宋体" w:cs="宋体"/>
          <w:b/>
          <w:color w:val="auto"/>
          <w:sz w:val="24"/>
          <w:szCs w:val="24"/>
          <w:lang w:eastAsia="zh-CN"/>
        </w:rPr>
        <w:t>（以下合同模版仅供参考，实际合同以双方签订为准）</w:t>
      </w:r>
    </w:p>
    <w:p w14:paraId="6BE9EB77">
      <w:pPr>
        <w:spacing w:before="243" w:line="225" w:lineRule="auto"/>
        <w:ind w:left="2897"/>
        <w:rPr>
          <w:rFonts w:hint="eastAsia" w:ascii="宋体" w:hAnsi="宋体" w:eastAsia="宋体" w:cs="宋体"/>
          <w:color w:val="auto"/>
          <w:sz w:val="31"/>
          <w:szCs w:val="31"/>
          <w:lang w:eastAsia="zh-CN"/>
        </w:rPr>
      </w:pPr>
      <w:r>
        <w:rPr>
          <w:rFonts w:hint="eastAsia" w:ascii="宋体" w:hAnsi="宋体" w:eastAsia="宋体" w:cs="宋体"/>
          <w:color w:val="auto"/>
          <w:spacing w:val="10"/>
          <w:sz w:val="31"/>
          <w:szCs w:val="31"/>
          <w:lang w:eastAsia="zh-CN"/>
          <w14:textOutline w14:w="5791" w14:cap="sq" w14:cmpd="sng" w14:algn="ctr">
            <w14:solidFill>
              <w14:srgbClr w14:val="000000"/>
            </w14:solidFill>
            <w14:prstDash w14:val="solid"/>
            <w14:bevel/>
          </w14:textOutline>
        </w:rPr>
        <w:t>政府采购合同条款及格式</w:t>
      </w:r>
    </w:p>
    <w:p w14:paraId="07FB2D51">
      <w:pPr>
        <w:spacing w:before="232" w:line="466" w:lineRule="exact"/>
        <w:ind w:left="494"/>
        <w:rPr>
          <w:rFonts w:hint="eastAsia" w:ascii="宋体" w:hAnsi="宋体" w:eastAsia="宋体" w:cs="宋体"/>
          <w:color w:val="auto"/>
          <w:sz w:val="24"/>
          <w:szCs w:val="24"/>
          <w:lang w:eastAsia="zh-CN"/>
        </w:rPr>
      </w:pPr>
      <w:r>
        <w:rPr>
          <w:rFonts w:hint="eastAsia" w:ascii="宋体" w:hAnsi="宋体" w:eastAsia="宋体" w:cs="宋体"/>
          <w:color w:val="auto"/>
          <w:spacing w:val="-3"/>
          <w:position w:val="17"/>
          <w:sz w:val="24"/>
          <w:szCs w:val="24"/>
          <w:lang w:eastAsia="zh-CN"/>
        </w:rPr>
        <w:t>合同编号：</w:t>
      </w:r>
    </w:p>
    <w:p w14:paraId="4A064448">
      <w:pPr>
        <w:spacing w:before="1" w:line="222" w:lineRule="auto"/>
        <w:ind w:left="49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签订地点：</w:t>
      </w:r>
    </w:p>
    <w:p w14:paraId="6D765F69">
      <w:pPr>
        <w:spacing w:before="177" w:line="221" w:lineRule="auto"/>
        <w:ind w:left="49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签订日期：</w:t>
      </w:r>
    </w:p>
    <w:p w14:paraId="71373681">
      <w:pPr>
        <w:spacing w:before="182" w:line="219" w:lineRule="auto"/>
        <w:ind w:left="49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采购任务编号：</w:t>
      </w:r>
    </w:p>
    <w:p w14:paraId="6E32DA56">
      <w:pPr>
        <w:spacing w:before="182" w:line="359" w:lineRule="auto"/>
        <w:ind w:left="14" w:right="92" w:firstLine="49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（需方）需求的“</w:t>
      </w:r>
      <w:r>
        <w:rPr>
          <w:rFonts w:hint="eastAsia" w:ascii="宋体" w:hAnsi="宋体" w:eastAsia="宋体" w:cs="宋体"/>
          <w:color w:val="auto"/>
          <w:spacing w:val="-118"/>
          <w:sz w:val="24"/>
          <w:szCs w:val="24"/>
          <w:lang w:eastAsia="zh-CN"/>
        </w:rPr>
        <w:t xml:space="preserve"> </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86"/>
          <w:sz w:val="24"/>
          <w:szCs w:val="24"/>
          <w:lang w:eastAsia="zh-CN"/>
        </w:rPr>
        <w:t xml:space="preserve"> </w:t>
      </w:r>
      <w:r>
        <w:rPr>
          <w:rFonts w:hint="eastAsia" w:ascii="宋体" w:hAnsi="宋体" w:eastAsia="宋体" w:cs="宋体"/>
          <w:color w:val="auto"/>
          <w:sz w:val="24"/>
          <w:szCs w:val="24"/>
          <w:lang w:eastAsia="zh-CN"/>
        </w:rPr>
        <w:t>”（货物名称）经以编号为的招标文件在国内公开招</w:t>
      </w:r>
      <w:r>
        <w:rPr>
          <w:rFonts w:hint="eastAsia" w:ascii="宋体" w:hAnsi="宋体" w:eastAsia="宋体" w:cs="宋体"/>
          <w:color w:val="auto"/>
          <w:spacing w:val="-1"/>
          <w:sz w:val="24"/>
          <w:szCs w:val="24"/>
          <w:lang w:eastAsia="zh-CN"/>
        </w:rPr>
        <w:t>标，经评标委员会评定（供方</w:t>
      </w:r>
      <w:r>
        <w:rPr>
          <w:rFonts w:hint="eastAsia" w:ascii="宋体" w:hAnsi="宋体" w:eastAsia="宋体" w:cs="宋体"/>
          <w:color w:val="auto"/>
          <w:spacing w:val="-19"/>
          <w:sz w:val="24"/>
          <w:szCs w:val="24"/>
          <w:lang w:eastAsia="zh-CN"/>
        </w:rPr>
        <w:t>）（</w:t>
      </w:r>
      <w:r>
        <w:rPr>
          <w:rFonts w:hint="eastAsia" w:ascii="宋体" w:hAnsi="宋体" w:eastAsia="宋体" w:cs="宋体"/>
          <w:color w:val="auto"/>
          <w:spacing w:val="-1"/>
          <w:sz w:val="24"/>
          <w:szCs w:val="24"/>
          <w:lang w:eastAsia="zh-CN"/>
        </w:rPr>
        <w:t>包号）为中标单位。供需双方按照《中华人民共和国合同法》和</w:t>
      </w:r>
      <w:r>
        <w:rPr>
          <w:rFonts w:hint="eastAsia" w:ascii="宋体" w:hAnsi="宋体" w:eastAsia="宋体" w:cs="宋体"/>
          <w:color w:val="auto"/>
          <w:spacing w:val="-2"/>
          <w:sz w:val="24"/>
          <w:szCs w:val="24"/>
          <w:lang w:eastAsia="zh-CN"/>
        </w:rPr>
        <w:t>有关法律法规，遵循平等、自愿、公平和诚实信用原则，同意按照下面的条款和条件订立本合同，共同信守。</w:t>
      </w:r>
    </w:p>
    <w:p w14:paraId="2FEF0F9A">
      <w:pPr>
        <w:spacing w:before="181" w:line="219" w:lineRule="auto"/>
        <w:ind w:left="49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一、货物名称、产地、规格、数量</w:t>
      </w:r>
    </w:p>
    <w:p w14:paraId="01365241">
      <w:pPr>
        <w:spacing w:line="147" w:lineRule="exact"/>
        <w:rPr>
          <w:rFonts w:hint="eastAsia" w:ascii="宋体" w:hAnsi="宋体" w:eastAsia="宋体" w:cs="宋体"/>
          <w:color w:val="auto"/>
          <w:lang w:eastAsia="zh-CN"/>
        </w:rPr>
      </w:pPr>
    </w:p>
    <w:tbl>
      <w:tblPr>
        <w:tblStyle w:val="24"/>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51"/>
        <w:gridCol w:w="2519"/>
        <w:gridCol w:w="899"/>
        <w:gridCol w:w="1259"/>
        <w:gridCol w:w="2008"/>
      </w:tblGrid>
      <w:tr w14:paraId="078CB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2" w:type="dxa"/>
            <w:tcBorders>
              <w:top w:val="single" w:color="000000" w:sz="2" w:space="0"/>
              <w:left w:val="single" w:color="000000" w:sz="2" w:space="0"/>
            </w:tcBorders>
          </w:tcPr>
          <w:p w14:paraId="1BFE29C8">
            <w:pPr>
              <w:pStyle w:val="25"/>
              <w:spacing w:before="81" w:line="219" w:lineRule="auto"/>
              <w:ind w:left="309"/>
              <w:rPr>
                <w:rFonts w:hint="eastAsia"/>
                <w:color w:val="auto"/>
              </w:rPr>
            </w:pPr>
            <w:r>
              <w:rPr>
                <w:rFonts w:hint="eastAsia"/>
                <w:color w:val="auto"/>
                <w:spacing w:val="-4"/>
              </w:rPr>
              <w:t>货物名称</w:t>
            </w:r>
          </w:p>
        </w:tc>
        <w:tc>
          <w:tcPr>
            <w:tcW w:w="1151" w:type="dxa"/>
            <w:tcBorders>
              <w:top w:val="single" w:color="000000" w:sz="2" w:space="0"/>
            </w:tcBorders>
          </w:tcPr>
          <w:p w14:paraId="0095B0E8">
            <w:pPr>
              <w:pStyle w:val="25"/>
              <w:spacing w:before="81" w:line="220" w:lineRule="auto"/>
              <w:ind w:left="457"/>
              <w:rPr>
                <w:rFonts w:hint="eastAsia"/>
                <w:color w:val="auto"/>
              </w:rPr>
            </w:pPr>
            <w:r>
              <w:rPr>
                <w:rFonts w:hint="eastAsia"/>
                <w:color w:val="auto"/>
                <w:spacing w:val="-5"/>
              </w:rPr>
              <w:t>产地</w:t>
            </w:r>
          </w:p>
        </w:tc>
        <w:tc>
          <w:tcPr>
            <w:tcW w:w="2519" w:type="dxa"/>
            <w:tcBorders>
              <w:top w:val="single" w:color="000000" w:sz="2" w:space="0"/>
            </w:tcBorders>
          </w:tcPr>
          <w:p w14:paraId="09B06BB2">
            <w:pPr>
              <w:pStyle w:val="25"/>
              <w:spacing w:before="81" w:line="220" w:lineRule="auto"/>
              <w:ind w:left="1023"/>
              <w:rPr>
                <w:rFonts w:hint="eastAsia"/>
                <w:color w:val="auto"/>
              </w:rPr>
            </w:pPr>
            <w:r>
              <w:rPr>
                <w:rFonts w:hint="eastAsia"/>
                <w:color w:val="auto"/>
                <w:spacing w:val="-6"/>
              </w:rPr>
              <w:t>规格</w:t>
            </w:r>
          </w:p>
        </w:tc>
        <w:tc>
          <w:tcPr>
            <w:tcW w:w="899" w:type="dxa"/>
            <w:tcBorders>
              <w:top w:val="single" w:color="000000" w:sz="2" w:space="0"/>
            </w:tcBorders>
          </w:tcPr>
          <w:p w14:paraId="5020385C">
            <w:pPr>
              <w:pStyle w:val="25"/>
              <w:spacing w:before="81" w:line="220" w:lineRule="auto"/>
              <w:ind w:left="216"/>
              <w:rPr>
                <w:rFonts w:hint="eastAsia"/>
                <w:color w:val="auto"/>
              </w:rPr>
            </w:pPr>
            <w:r>
              <w:rPr>
                <w:rFonts w:hint="eastAsia"/>
                <w:color w:val="auto"/>
                <w:spacing w:val="-6"/>
              </w:rPr>
              <w:t>数量</w:t>
            </w:r>
          </w:p>
        </w:tc>
        <w:tc>
          <w:tcPr>
            <w:tcW w:w="1259" w:type="dxa"/>
            <w:tcBorders>
              <w:top w:val="single" w:color="000000" w:sz="2" w:space="0"/>
            </w:tcBorders>
          </w:tcPr>
          <w:p w14:paraId="7F1F00F4">
            <w:pPr>
              <w:pStyle w:val="25"/>
              <w:spacing w:before="80" w:line="219" w:lineRule="auto"/>
              <w:ind w:left="157"/>
              <w:rPr>
                <w:rFonts w:hint="eastAsia"/>
                <w:color w:val="auto"/>
              </w:rPr>
            </w:pPr>
            <w:r>
              <w:rPr>
                <w:rFonts w:hint="eastAsia"/>
                <w:color w:val="auto"/>
                <w:spacing w:val="-3"/>
              </w:rPr>
              <w:t>单价(元)</w:t>
            </w:r>
          </w:p>
        </w:tc>
        <w:tc>
          <w:tcPr>
            <w:tcW w:w="2008" w:type="dxa"/>
            <w:tcBorders>
              <w:top w:val="single" w:color="000000" w:sz="2" w:space="0"/>
              <w:right w:val="single" w:color="000000" w:sz="2" w:space="0"/>
            </w:tcBorders>
          </w:tcPr>
          <w:p w14:paraId="6374812E">
            <w:pPr>
              <w:pStyle w:val="25"/>
              <w:spacing w:before="81" w:line="220" w:lineRule="auto"/>
              <w:ind w:left="295"/>
              <w:rPr>
                <w:rFonts w:hint="eastAsia"/>
                <w:color w:val="auto"/>
              </w:rPr>
            </w:pPr>
            <w:r>
              <w:rPr>
                <w:rFonts w:hint="eastAsia"/>
                <w:color w:val="auto"/>
                <w:spacing w:val="-3"/>
              </w:rPr>
              <w:t>小计金额(元)</w:t>
            </w:r>
          </w:p>
        </w:tc>
      </w:tr>
      <w:tr w14:paraId="09EFD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52" w:type="dxa"/>
            <w:tcBorders>
              <w:left w:val="single" w:color="000000" w:sz="2" w:space="0"/>
            </w:tcBorders>
          </w:tcPr>
          <w:p w14:paraId="3CFB0B10">
            <w:pPr>
              <w:rPr>
                <w:rFonts w:hint="eastAsia" w:ascii="宋体" w:hAnsi="宋体" w:eastAsia="宋体" w:cs="宋体"/>
                <w:color w:val="auto"/>
              </w:rPr>
            </w:pPr>
          </w:p>
        </w:tc>
        <w:tc>
          <w:tcPr>
            <w:tcW w:w="1151" w:type="dxa"/>
          </w:tcPr>
          <w:p w14:paraId="05E4293A">
            <w:pPr>
              <w:rPr>
                <w:rFonts w:hint="eastAsia" w:ascii="宋体" w:hAnsi="宋体" w:eastAsia="宋体" w:cs="宋体"/>
                <w:color w:val="auto"/>
              </w:rPr>
            </w:pPr>
          </w:p>
        </w:tc>
        <w:tc>
          <w:tcPr>
            <w:tcW w:w="2519" w:type="dxa"/>
          </w:tcPr>
          <w:p w14:paraId="1D0E4354">
            <w:pPr>
              <w:rPr>
                <w:rFonts w:hint="eastAsia" w:ascii="宋体" w:hAnsi="宋体" w:eastAsia="宋体" w:cs="宋体"/>
                <w:color w:val="auto"/>
              </w:rPr>
            </w:pPr>
          </w:p>
        </w:tc>
        <w:tc>
          <w:tcPr>
            <w:tcW w:w="899" w:type="dxa"/>
          </w:tcPr>
          <w:p w14:paraId="4739BC44">
            <w:pPr>
              <w:rPr>
                <w:rFonts w:hint="eastAsia" w:ascii="宋体" w:hAnsi="宋体" w:eastAsia="宋体" w:cs="宋体"/>
                <w:color w:val="auto"/>
              </w:rPr>
            </w:pPr>
          </w:p>
        </w:tc>
        <w:tc>
          <w:tcPr>
            <w:tcW w:w="1259" w:type="dxa"/>
          </w:tcPr>
          <w:p w14:paraId="0CF852E0">
            <w:pPr>
              <w:rPr>
                <w:rFonts w:hint="eastAsia" w:ascii="宋体" w:hAnsi="宋体" w:eastAsia="宋体" w:cs="宋体"/>
                <w:color w:val="auto"/>
              </w:rPr>
            </w:pPr>
          </w:p>
        </w:tc>
        <w:tc>
          <w:tcPr>
            <w:tcW w:w="2008" w:type="dxa"/>
            <w:tcBorders>
              <w:right w:val="single" w:color="000000" w:sz="2" w:space="0"/>
            </w:tcBorders>
          </w:tcPr>
          <w:p w14:paraId="2D900A82">
            <w:pPr>
              <w:rPr>
                <w:rFonts w:hint="eastAsia" w:ascii="宋体" w:hAnsi="宋体" w:eastAsia="宋体" w:cs="宋体"/>
                <w:color w:val="auto"/>
              </w:rPr>
            </w:pPr>
          </w:p>
        </w:tc>
      </w:tr>
      <w:tr w14:paraId="31EE1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2" w:type="dxa"/>
            <w:tcBorders>
              <w:left w:val="single" w:color="000000" w:sz="2" w:space="0"/>
            </w:tcBorders>
          </w:tcPr>
          <w:p w14:paraId="51992A61">
            <w:pPr>
              <w:rPr>
                <w:rFonts w:hint="eastAsia" w:ascii="宋体" w:hAnsi="宋体" w:eastAsia="宋体" w:cs="宋体"/>
                <w:color w:val="auto"/>
              </w:rPr>
            </w:pPr>
          </w:p>
        </w:tc>
        <w:tc>
          <w:tcPr>
            <w:tcW w:w="1151" w:type="dxa"/>
          </w:tcPr>
          <w:p w14:paraId="7BFBAA18">
            <w:pPr>
              <w:rPr>
                <w:rFonts w:hint="eastAsia" w:ascii="宋体" w:hAnsi="宋体" w:eastAsia="宋体" w:cs="宋体"/>
                <w:color w:val="auto"/>
              </w:rPr>
            </w:pPr>
          </w:p>
        </w:tc>
        <w:tc>
          <w:tcPr>
            <w:tcW w:w="2519" w:type="dxa"/>
          </w:tcPr>
          <w:p w14:paraId="00B95947">
            <w:pPr>
              <w:rPr>
                <w:rFonts w:hint="eastAsia" w:ascii="宋体" w:hAnsi="宋体" w:eastAsia="宋体" w:cs="宋体"/>
                <w:color w:val="auto"/>
              </w:rPr>
            </w:pPr>
          </w:p>
        </w:tc>
        <w:tc>
          <w:tcPr>
            <w:tcW w:w="899" w:type="dxa"/>
          </w:tcPr>
          <w:p w14:paraId="61A2A453">
            <w:pPr>
              <w:rPr>
                <w:rFonts w:hint="eastAsia" w:ascii="宋体" w:hAnsi="宋体" w:eastAsia="宋体" w:cs="宋体"/>
                <w:color w:val="auto"/>
              </w:rPr>
            </w:pPr>
          </w:p>
        </w:tc>
        <w:tc>
          <w:tcPr>
            <w:tcW w:w="1259" w:type="dxa"/>
          </w:tcPr>
          <w:p w14:paraId="3786F273">
            <w:pPr>
              <w:rPr>
                <w:rFonts w:hint="eastAsia" w:ascii="宋体" w:hAnsi="宋体" w:eastAsia="宋体" w:cs="宋体"/>
                <w:color w:val="auto"/>
              </w:rPr>
            </w:pPr>
          </w:p>
        </w:tc>
        <w:tc>
          <w:tcPr>
            <w:tcW w:w="2008" w:type="dxa"/>
            <w:tcBorders>
              <w:right w:val="single" w:color="000000" w:sz="2" w:space="0"/>
            </w:tcBorders>
          </w:tcPr>
          <w:p w14:paraId="4F0FF31A">
            <w:pPr>
              <w:rPr>
                <w:rFonts w:hint="eastAsia" w:ascii="宋体" w:hAnsi="宋体" w:eastAsia="宋体" w:cs="宋体"/>
                <w:color w:val="auto"/>
              </w:rPr>
            </w:pPr>
          </w:p>
        </w:tc>
      </w:tr>
      <w:tr w14:paraId="4221A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52" w:type="dxa"/>
            <w:tcBorders>
              <w:left w:val="single" w:color="000000" w:sz="2" w:space="0"/>
              <w:bottom w:val="single" w:color="000000" w:sz="2" w:space="0"/>
            </w:tcBorders>
          </w:tcPr>
          <w:p w14:paraId="160ED231">
            <w:pPr>
              <w:rPr>
                <w:rFonts w:hint="eastAsia" w:ascii="宋体" w:hAnsi="宋体" w:eastAsia="宋体" w:cs="宋体"/>
                <w:color w:val="auto"/>
              </w:rPr>
            </w:pPr>
          </w:p>
        </w:tc>
        <w:tc>
          <w:tcPr>
            <w:tcW w:w="1151" w:type="dxa"/>
            <w:tcBorders>
              <w:bottom w:val="single" w:color="000000" w:sz="2" w:space="0"/>
            </w:tcBorders>
          </w:tcPr>
          <w:p w14:paraId="51A257D3">
            <w:pPr>
              <w:rPr>
                <w:rFonts w:hint="eastAsia" w:ascii="宋体" w:hAnsi="宋体" w:eastAsia="宋体" w:cs="宋体"/>
                <w:color w:val="auto"/>
              </w:rPr>
            </w:pPr>
          </w:p>
        </w:tc>
        <w:tc>
          <w:tcPr>
            <w:tcW w:w="2519" w:type="dxa"/>
            <w:tcBorders>
              <w:bottom w:val="single" w:color="000000" w:sz="2" w:space="0"/>
            </w:tcBorders>
          </w:tcPr>
          <w:p w14:paraId="5C101211">
            <w:pPr>
              <w:rPr>
                <w:rFonts w:hint="eastAsia" w:ascii="宋体" w:hAnsi="宋体" w:eastAsia="宋体" w:cs="宋体"/>
                <w:color w:val="auto"/>
              </w:rPr>
            </w:pPr>
          </w:p>
        </w:tc>
        <w:tc>
          <w:tcPr>
            <w:tcW w:w="899" w:type="dxa"/>
            <w:tcBorders>
              <w:bottom w:val="single" w:color="000000" w:sz="2" w:space="0"/>
            </w:tcBorders>
          </w:tcPr>
          <w:p w14:paraId="6F91FCE6">
            <w:pPr>
              <w:rPr>
                <w:rFonts w:hint="eastAsia" w:ascii="宋体" w:hAnsi="宋体" w:eastAsia="宋体" w:cs="宋体"/>
                <w:color w:val="auto"/>
              </w:rPr>
            </w:pPr>
          </w:p>
        </w:tc>
        <w:tc>
          <w:tcPr>
            <w:tcW w:w="1259" w:type="dxa"/>
            <w:tcBorders>
              <w:bottom w:val="single" w:color="000000" w:sz="2" w:space="0"/>
            </w:tcBorders>
          </w:tcPr>
          <w:p w14:paraId="4EA004E1">
            <w:pPr>
              <w:rPr>
                <w:rFonts w:hint="eastAsia" w:ascii="宋体" w:hAnsi="宋体" w:eastAsia="宋体" w:cs="宋体"/>
                <w:color w:val="auto"/>
              </w:rPr>
            </w:pPr>
          </w:p>
        </w:tc>
        <w:tc>
          <w:tcPr>
            <w:tcW w:w="2008" w:type="dxa"/>
            <w:tcBorders>
              <w:bottom w:val="single" w:color="000000" w:sz="2" w:space="0"/>
              <w:right w:val="single" w:color="000000" w:sz="2" w:space="0"/>
            </w:tcBorders>
          </w:tcPr>
          <w:p w14:paraId="6BE8195B">
            <w:pPr>
              <w:rPr>
                <w:rFonts w:hint="eastAsia" w:ascii="宋体" w:hAnsi="宋体" w:eastAsia="宋体" w:cs="宋体"/>
                <w:color w:val="auto"/>
              </w:rPr>
            </w:pPr>
          </w:p>
        </w:tc>
      </w:tr>
    </w:tbl>
    <w:p w14:paraId="2128655D">
      <w:pPr>
        <w:spacing w:before="34" w:line="219"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二、合同价款</w:t>
      </w:r>
    </w:p>
    <w:p w14:paraId="25C56CC4">
      <w:pPr>
        <w:spacing w:before="183" w:line="219" w:lineRule="auto"/>
        <w:ind w:left="49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2.1</w:t>
      </w:r>
      <w:r>
        <w:rPr>
          <w:rFonts w:hint="eastAsia" w:ascii="宋体" w:hAnsi="宋体" w:eastAsia="宋体" w:cs="宋体"/>
          <w:color w:val="auto"/>
          <w:spacing w:val="-49"/>
          <w:sz w:val="24"/>
          <w:szCs w:val="24"/>
          <w:lang w:eastAsia="zh-CN"/>
        </w:rPr>
        <w:t xml:space="preserve"> </w:t>
      </w:r>
      <w:r>
        <w:rPr>
          <w:rFonts w:hint="eastAsia" w:ascii="宋体" w:hAnsi="宋体" w:eastAsia="宋体" w:cs="宋体"/>
          <w:color w:val="auto"/>
          <w:spacing w:val="1"/>
          <w:sz w:val="24"/>
          <w:szCs w:val="24"/>
          <w:lang w:eastAsia="zh-CN"/>
        </w:rPr>
        <w:t>合同总价：人民币（大写）元</w:t>
      </w:r>
      <w:r>
        <w:rPr>
          <w:rFonts w:hint="eastAsia" w:ascii="宋体" w:hAnsi="宋体" w:eastAsia="宋体" w:cs="宋体"/>
          <w:color w:val="auto"/>
          <w:spacing w:val="-23"/>
          <w:sz w:val="24"/>
          <w:szCs w:val="24"/>
          <w:lang w:eastAsia="zh-CN"/>
        </w:rPr>
        <w:t>，（</w:t>
      </w:r>
      <w:r>
        <w:rPr>
          <w:rFonts w:hint="eastAsia" w:ascii="宋体" w:hAnsi="宋体" w:eastAsia="宋体" w:cs="宋体"/>
          <w:color w:val="auto"/>
          <w:spacing w:val="1"/>
          <w:sz w:val="24"/>
          <w:szCs w:val="24"/>
          <w:lang w:eastAsia="zh-CN"/>
        </w:rPr>
        <w:t>小写）元。</w:t>
      </w:r>
    </w:p>
    <w:p w14:paraId="21EA55B9">
      <w:pPr>
        <w:spacing w:before="184" w:line="466" w:lineRule="exact"/>
        <w:ind w:left="493"/>
        <w:rPr>
          <w:rFonts w:hint="eastAsia" w:ascii="宋体" w:hAnsi="宋体" w:eastAsia="宋体" w:cs="宋体"/>
          <w:color w:val="auto"/>
          <w:sz w:val="24"/>
          <w:szCs w:val="24"/>
          <w:lang w:eastAsia="zh-CN"/>
        </w:rPr>
      </w:pPr>
      <w:r>
        <w:rPr>
          <w:rFonts w:hint="eastAsia" w:ascii="宋体" w:hAnsi="宋体" w:eastAsia="宋体" w:cs="宋体"/>
          <w:color w:val="auto"/>
          <w:position w:val="17"/>
          <w:sz w:val="24"/>
          <w:szCs w:val="24"/>
          <w:lang w:eastAsia="zh-CN"/>
          <w14:textOutline w14:w="4356" w14:cap="sq" w14:cmpd="sng" w14:algn="ctr">
            <w14:solidFill>
              <w14:srgbClr w14:val="000000"/>
            </w14:solidFill>
            <w14:prstDash w14:val="solid"/>
            <w14:bevel/>
          </w14:textOutline>
        </w:rPr>
        <w:t>三、交货地点及交货时间</w:t>
      </w:r>
    </w:p>
    <w:p w14:paraId="35E76EBA">
      <w:pPr>
        <w:spacing w:line="219"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3.1</w:t>
      </w:r>
      <w:r>
        <w:rPr>
          <w:rFonts w:hint="eastAsia" w:ascii="宋体" w:hAnsi="宋体" w:eastAsia="宋体" w:cs="宋体"/>
          <w:color w:val="auto"/>
          <w:spacing w:val="-46"/>
          <w:sz w:val="24"/>
          <w:szCs w:val="24"/>
          <w:lang w:eastAsia="zh-CN"/>
        </w:rPr>
        <w:t xml:space="preserve"> </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交货时间及地点：</w:t>
      </w:r>
    </w:p>
    <w:p w14:paraId="0A8FAB38">
      <w:pPr>
        <w:spacing w:before="184" w:line="219"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3.1.1</w:t>
      </w:r>
      <w:r>
        <w:rPr>
          <w:rFonts w:hint="eastAsia" w:ascii="宋体" w:hAnsi="宋体" w:eastAsia="宋体" w:cs="宋体"/>
          <w:color w:val="auto"/>
          <w:spacing w:val="-44"/>
          <w:sz w:val="24"/>
          <w:szCs w:val="24"/>
          <w:lang w:eastAsia="zh-CN"/>
        </w:rPr>
        <w:t xml:space="preserve"> </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交货期/合同履行期限：</w:t>
      </w:r>
      <w:r>
        <w:rPr>
          <w:rFonts w:hint="eastAsia" w:ascii="宋体" w:hAnsi="宋体" w:eastAsia="宋体" w:cs="宋体"/>
          <w:color w:val="auto"/>
          <w:spacing w:val="-1"/>
          <w:sz w:val="24"/>
          <w:szCs w:val="24"/>
          <w:lang w:eastAsia="zh-CN"/>
        </w:rPr>
        <w:t>。</w:t>
      </w:r>
    </w:p>
    <w:p w14:paraId="44A8280F">
      <w:pPr>
        <w:spacing w:before="180" w:line="290" w:lineRule="auto"/>
        <w:ind w:left="515" w:right="7321" w:hanging="17"/>
        <w:rPr>
          <w:rFonts w:hint="eastAsia" w:ascii="宋体" w:hAnsi="宋体" w:eastAsia="宋体" w:cs="宋体"/>
          <w:color w:val="auto"/>
          <w:spacing w:val="2"/>
          <w:position w:val="17"/>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7"/>
          <w:sz w:val="24"/>
          <w:szCs w:val="24"/>
          <w:lang w:eastAsia="zh-CN"/>
          <w14:textOutline w14:w="4356" w14:cap="sq" w14:cmpd="sng" w14:algn="ctr">
            <w14:solidFill>
              <w14:srgbClr w14:val="000000"/>
            </w14:solidFill>
            <w14:prstDash w14:val="solid"/>
            <w14:bevel/>
          </w14:textOutline>
        </w:rPr>
        <w:t>3.1.2</w:t>
      </w:r>
      <w:r>
        <w:rPr>
          <w:rFonts w:hint="eastAsia" w:ascii="宋体" w:hAnsi="宋体" w:eastAsia="宋体" w:cs="宋体"/>
          <w:color w:val="auto"/>
          <w:spacing w:val="-44"/>
          <w:sz w:val="24"/>
          <w:szCs w:val="24"/>
          <w:lang w:eastAsia="zh-CN"/>
        </w:rPr>
        <w:t xml:space="preserve"> </w:t>
      </w:r>
      <w:r>
        <w:rPr>
          <w:rFonts w:hint="eastAsia" w:ascii="宋体" w:hAnsi="宋体" w:eastAsia="宋体" w:cs="宋体"/>
          <w:color w:val="auto"/>
          <w:spacing w:val="-7"/>
          <w:sz w:val="24"/>
          <w:szCs w:val="24"/>
          <w:lang w:eastAsia="zh-CN"/>
          <w14:textOutline w14:w="4356" w14:cap="sq" w14:cmpd="sng" w14:algn="ctr">
            <w14:solidFill>
              <w14:srgbClr w14:val="000000"/>
            </w14:solidFill>
            <w14:prstDash w14:val="solid"/>
            <w14:bevel/>
          </w14:textOutline>
        </w:rPr>
        <w:t>地点：</w:t>
      </w:r>
      <w:r>
        <w:rPr>
          <w:rFonts w:hint="eastAsia" w:ascii="宋体" w:hAnsi="宋体" w:eastAsia="宋体" w:cs="宋体"/>
          <w:color w:val="auto"/>
          <w:spacing w:val="2"/>
          <w:position w:val="17"/>
          <w:sz w:val="24"/>
          <w:szCs w:val="24"/>
          <w:lang w:eastAsia="zh-CN"/>
          <w14:textOutline w14:w="4356" w14:cap="sq" w14:cmpd="sng" w14:algn="ctr">
            <w14:solidFill>
              <w14:srgbClr w14:val="000000"/>
            </w14:solidFill>
            <w14:prstDash w14:val="solid"/>
            <w14:bevel/>
          </w14:textOutline>
        </w:rPr>
        <w:t>四、付款：</w:t>
      </w:r>
    </w:p>
    <w:p w14:paraId="0215A171">
      <w:pPr>
        <w:spacing w:before="180" w:line="468" w:lineRule="exact"/>
        <w:ind w:left="497"/>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14:textOutline w14:w="4356" w14:cap="sq" w14:cmpd="sng" w14:algn="ctr">
            <w14:solidFill>
              <w14:srgbClr w14:val="000000"/>
            </w14:solidFill>
            <w14:prstDash w14:val="solid"/>
            <w14:bevel/>
          </w14:textOutline>
        </w:rPr>
        <w:t>五、安装调试</w:t>
      </w:r>
      <w:r>
        <w:rPr>
          <w:rFonts w:hint="eastAsia" w:ascii="宋体" w:hAnsi="宋体" w:eastAsia="宋体" w:cs="宋体"/>
          <w:color w:val="auto"/>
          <w:spacing w:val="-16"/>
          <w:position w:val="17"/>
          <w:sz w:val="24"/>
          <w:szCs w:val="24"/>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position w:val="17"/>
          <w:sz w:val="24"/>
          <w:szCs w:val="24"/>
          <w:lang w:eastAsia="zh-CN"/>
          <w14:textOutline w14:w="4356" w14:cap="sq" w14:cmpd="sng" w14:algn="ctr">
            <w14:solidFill>
              <w14:srgbClr w14:val="000000"/>
            </w14:solidFill>
            <w14:prstDash w14:val="solid"/>
            <w14:bevel/>
          </w14:textOutline>
        </w:rPr>
        <w:t>严格执行国家相关标准）</w:t>
      </w:r>
    </w:p>
    <w:p w14:paraId="12DF254D">
      <w:pPr>
        <w:spacing w:line="220" w:lineRule="auto"/>
        <w:ind w:left="49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六、验收（严格执行国家相关标准）</w:t>
      </w:r>
    </w:p>
    <w:p w14:paraId="15A6A5C3">
      <w:pPr>
        <w:spacing w:before="183"/>
        <w:ind w:left="178" w:leftChars="85"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1.乙方应在约定的期限内按甲方订货限期要求将产品送至甲方指定的地点。装车、运输、保险等费用由乙方承担。</w:t>
      </w:r>
    </w:p>
    <w:p w14:paraId="3531E974">
      <w:pPr>
        <w:spacing w:before="183"/>
        <w:ind w:left="178" w:leftChars="85"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2.乙方应按约定的数量交付产品。</w:t>
      </w:r>
    </w:p>
    <w:p w14:paraId="56D5E925">
      <w:pPr>
        <w:spacing w:before="182" w:line="220" w:lineRule="auto"/>
        <w:ind w:left="49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七、知识产权及有关规定</w:t>
      </w:r>
    </w:p>
    <w:p w14:paraId="675E20C2">
      <w:pPr>
        <w:spacing w:before="182" w:line="219" w:lineRule="auto"/>
        <w:ind w:left="49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7.1</w:t>
      </w:r>
      <w:r>
        <w:rPr>
          <w:rFonts w:hint="eastAsia" w:ascii="宋体" w:hAnsi="宋体" w:eastAsia="宋体" w:cs="宋体"/>
          <w:color w:val="auto"/>
          <w:spacing w:val="-33"/>
          <w:sz w:val="24"/>
          <w:szCs w:val="24"/>
          <w:lang w:eastAsia="zh-CN"/>
        </w:rPr>
        <w:t xml:space="preserve"> </w:t>
      </w:r>
      <w:r>
        <w:rPr>
          <w:rFonts w:hint="eastAsia" w:ascii="宋体" w:hAnsi="宋体" w:eastAsia="宋体" w:cs="宋体"/>
          <w:color w:val="auto"/>
          <w:spacing w:val="-2"/>
          <w:sz w:val="24"/>
          <w:szCs w:val="24"/>
          <w:lang w:eastAsia="zh-CN"/>
        </w:rPr>
        <w:t>供方应保证所供货物符合国家的有关规定。</w:t>
      </w:r>
    </w:p>
    <w:p w14:paraId="211B9708">
      <w:pPr>
        <w:spacing w:before="181" w:line="220" w:lineRule="auto"/>
        <w:ind w:left="497"/>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八、伴随服务</w:t>
      </w:r>
    </w:p>
    <w:p w14:paraId="3A7DDE9B">
      <w:pPr>
        <w:spacing w:before="48"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8.1</w:t>
      </w:r>
      <w:r>
        <w:rPr>
          <w:rFonts w:hint="eastAsia" w:ascii="宋体" w:hAnsi="宋体" w:eastAsia="宋体" w:cs="宋体"/>
          <w:color w:val="auto"/>
          <w:spacing w:val="-49"/>
          <w:sz w:val="24"/>
          <w:szCs w:val="24"/>
          <w:lang w:eastAsia="zh-CN"/>
        </w:rPr>
        <w:t xml:space="preserve"> </w:t>
      </w:r>
      <w:r>
        <w:rPr>
          <w:rFonts w:hint="eastAsia" w:ascii="宋体" w:hAnsi="宋体" w:eastAsia="宋体" w:cs="宋体"/>
          <w:color w:val="auto"/>
          <w:spacing w:val="-1"/>
          <w:sz w:val="24"/>
          <w:szCs w:val="24"/>
          <w:lang w:eastAsia="zh-CN"/>
        </w:rPr>
        <w:t>供方还应提供下列服务：货物的运输、装车。</w:t>
      </w:r>
    </w:p>
    <w:p w14:paraId="09D1ABD7">
      <w:pPr>
        <w:spacing w:before="182"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8.2</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1"/>
          <w:sz w:val="24"/>
          <w:szCs w:val="24"/>
          <w:lang w:eastAsia="zh-CN"/>
        </w:rPr>
        <w:t>上述伴随服务的费用应包含在合同价中，不单独进行支付。</w:t>
      </w:r>
    </w:p>
    <w:p w14:paraId="4BBA0E2D">
      <w:pPr>
        <w:spacing w:before="181" w:line="220" w:lineRule="auto"/>
        <w:ind w:left="48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九、质量保证期及售后服务</w:t>
      </w:r>
    </w:p>
    <w:p w14:paraId="3BBEC198">
      <w:pPr>
        <w:spacing w:before="181" w:line="221"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9.1</w:t>
      </w:r>
      <w:r>
        <w:rPr>
          <w:rFonts w:hint="eastAsia" w:ascii="宋体" w:hAnsi="宋体" w:eastAsia="宋体" w:cs="宋体"/>
          <w:color w:val="auto"/>
          <w:spacing w:val="-42"/>
          <w:sz w:val="24"/>
          <w:szCs w:val="24"/>
          <w:lang w:eastAsia="zh-CN"/>
        </w:rPr>
        <w:t xml:space="preserve"> </w:t>
      </w:r>
      <w:r>
        <w:rPr>
          <w:rFonts w:hint="eastAsia" w:ascii="宋体" w:hAnsi="宋体" w:eastAsia="宋体" w:cs="宋体"/>
          <w:color w:val="auto"/>
          <w:spacing w:val="-3"/>
          <w:sz w:val="24"/>
          <w:szCs w:val="24"/>
          <w:lang w:eastAsia="zh-CN"/>
        </w:rPr>
        <w:t>质量保证期：。</w:t>
      </w:r>
    </w:p>
    <w:p w14:paraId="2015B79E">
      <w:pPr>
        <w:spacing w:before="178" w:line="220"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9.2</w:t>
      </w:r>
      <w:r>
        <w:rPr>
          <w:rFonts w:hint="eastAsia" w:ascii="宋体" w:hAnsi="宋体" w:eastAsia="宋体" w:cs="宋体"/>
          <w:color w:val="auto"/>
          <w:spacing w:val="-45"/>
          <w:sz w:val="24"/>
          <w:szCs w:val="24"/>
          <w:lang w:eastAsia="zh-CN"/>
        </w:rPr>
        <w:t xml:space="preserve"> </w:t>
      </w:r>
      <w:r>
        <w:rPr>
          <w:rFonts w:hint="eastAsia" w:ascii="宋体" w:hAnsi="宋体" w:eastAsia="宋体" w:cs="宋体"/>
          <w:color w:val="auto"/>
          <w:spacing w:val="-3"/>
          <w:sz w:val="24"/>
          <w:szCs w:val="24"/>
          <w:lang w:eastAsia="zh-CN"/>
        </w:rPr>
        <w:t>售后服务：。</w:t>
      </w:r>
    </w:p>
    <w:p w14:paraId="7C31E23D">
      <w:pPr>
        <w:spacing w:before="183"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十、供方履约延误</w:t>
      </w:r>
    </w:p>
    <w:p w14:paraId="20C1470E">
      <w:pPr>
        <w:spacing w:before="183" w:line="219"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10.1</w:t>
      </w:r>
      <w:r>
        <w:rPr>
          <w:rFonts w:hint="eastAsia" w:ascii="宋体" w:hAnsi="宋体" w:eastAsia="宋体" w:cs="宋体"/>
          <w:color w:val="auto"/>
          <w:spacing w:val="-35"/>
          <w:sz w:val="24"/>
          <w:szCs w:val="24"/>
          <w:lang w:eastAsia="zh-CN"/>
        </w:rPr>
        <w:t xml:space="preserve"> </w:t>
      </w:r>
      <w:r>
        <w:rPr>
          <w:rFonts w:hint="eastAsia" w:ascii="宋体" w:hAnsi="宋体" w:eastAsia="宋体" w:cs="宋体"/>
          <w:color w:val="auto"/>
          <w:spacing w:val="-2"/>
          <w:sz w:val="24"/>
          <w:szCs w:val="24"/>
          <w:lang w:eastAsia="zh-CN"/>
        </w:rPr>
        <w:t>供方应按照合同规定的时间、地点交货和提供服务。</w:t>
      </w:r>
    </w:p>
    <w:p w14:paraId="31CFB888">
      <w:pPr>
        <w:spacing w:before="180" w:line="468" w:lineRule="exact"/>
        <w:ind w:right="61"/>
        <w:jc w:val="right"/>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10.2</w:t>
      </w:r>
      <w:r>
        <w:rPr>
          <w:rFonts w:hint="eastAsia" w:ascii="宋体" w:hAnsi="宋体" w:eastAsia="宋体" w:cs="宋体"/>
          <w:color w:val="auto"/>
          <w:spacing w:val="-42"/>
          <w:position w:val="17"/>
          <w:sz w:val="24"/>
          <w:szCs w:val="24"/>
          <w:lang w:eastAsia="zh-CN"/>
        </w:rPr>
        <w:t xml:space="preserve"> </w:t>
      </w:r>
      <w:r>
        <w:rPr>
          <w:rFonts w:hint="eastAsia" w:ascii="宋体" w:hAnsi="宋体" w:eastAsia="宋体" w:cs="宋体"/>
          <w:color w:val="auto"/>
          <w:spacing w:val="2"/>
          <w:position w:val="17"/>
          <w:sz w:val="24"/>
          <w:szCs w:val="24"/>
          <w:lang w:eastAsia="zh-CN"/>
        </w:rPr>
        <w:t>如供方无正当理由拖延交货或不按投标文件提供服务，将受到以下制裁</w:t>
      </w:r>
      <w:r>
        <w:rPr>
          <w:rFonts w:hint="eastAsia" w:ascii="宋体" w:hAnsi="宋体" w:eastAsia="宋体" w:cs="宋体"/>
          <w:color w:val="auto"/>
          <w:spacing w:val="1"/>
          <w:position w:val="17"/>
          <w:sz w:val="24"/>
          <w:szCs w:val="24"/>
          <w:lang w:eastAsia="zh-CN"/>
        </w:rPr>
        <w:t>：没收</w:t>
      </w:r>
    </w:p>
    <w:p w14:paraId="08E70816">
      <w:pPr>
        <w:spacing w:line="220" w:lineRule="auto"/>
        <w:ind w:left="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履约保证金、加收误期赔偿和／或违约终止合同。</w:t>
      </w:r>
    </w:p>
    <w:p w14:paraId="222DDCD5">
      <w:pPr>
        <w:spacing w:before="181" w:line="359" w:lineRule="auto"/>
        <w:ind w:firstLine="49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10.3</w:t>
      </w:r>
      <w:r>
        <w:rPr>
          <w:rFonts w:hint="eastAsia" w:ascii="宋体" w:hAnsi="宋体" w:eastAsia="宋体" w:cs="宋体"/>
          <w:color w:val="auto"/>
          <w:spacing w:val="-45"/>
          <w:sz w:val="24"/>
          <w:szCs w:val="24"/>
          <w:lang w:eastAsia="zh-CN"/>
        </w:rPr>
        <w:t xml:space="preserve"> </w:t>
      </w:r>
      <w:r>
        <w:rPr>
          <w:rFonts w:hint="eastAsia" w:ascii="宋体" w:hAnsi="宋体" w:eastAsia="宋体" w:cs="宋体"/>
          <w:color w:val="auto"/>
          <w:spacing w:val="2"/>
          <w:sz w:val="24"/>
          <w:szCs w:val="24"/>
          <w:lang w:eastAsia="zh-CN"/>
        </w:rPr>
        <w:t>在履行合同过程中，如果供方遇到可能妨碍其按时交货和提供服务的情况，应</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6"/>
          <w:sz w:val="24"/>
          <w:szCs w:val="24"/>
          <w:lang w:eastAsia="zh-CN"/>
        </w:rPr>
        <w:t>及时以书面形式将拖延的事实，可能拖延的期限和理由通知需方。需方</w:t>
      </w:r>
      <w:r>
        <w:rPr>
          <w:rFonts w:hint="eastAsia" w:ascii="宋体" w:hAnsi="宋体" w:eastAsia="宋体" w:cs="宋体"/>
          <w:color w:val="auto"/>
          <w:spacing w:val="-7"/>
          <w:sz w:val="24"/>
          <w:szCs w:val="24"/>
          <w:lang w:eastAsia="zh-CN"/>
        </w:rPr>
        <w:t>在收到供方通知后，</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应尽快对情况进行评价，并确定是否通过修改合同，酌情延长交货时间和/或延期提供服</w:t>
      </w:r>
      <w:r>
        <w:rPr>
          <w:rFonts w:hint="eastAsia" w:ascii="宋体" w:hAnsi="宋体" w:eastAsia="宋体" w:cs="宋体"/>
          <w:color w:val="auto"/>
          <w:spacing w:val="-2"/>
          <w:sz w:val="24"/>
          <w:szCs w:val="24"/>
          <w:lang w:eastAsia="zh-CN"/>
        </w:rPr>
        <w:t>务，或者终止合同。</w:t>
      </w:r>
    </w:p>
    <w:p w14:paraId="547D8AA1">
      <w:pPr>
        <w:spacing w:before="179" w:line="220"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十一、误期赔偿</w:t>
      </w:r>
    </w:p>
    <w:p w14:paraId="6F3C259E">
      <w:pPr>
        <w:spacing w:before="181" w:line="359" w:lineRule="auto"/>
        <w:ind w:left="1" w:right="63" w:firstLine="496"/>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11.1</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2"/>
          <w:sz w:val="24"/>
          <w:szCs w:val="24"/>
          <w:lang w:eastAsia="zh-CN"/>
        </w:rPr>
        <w:t>除合同第</w:t>
      </w:r>
      <w:r>
        <w:rPr>
          <w:rFonts w:hint="eastAsia" w:ascii="宋体" w:hAnsi="宋体" w:eastAsia="宋体" w:cs="宋体"/>
          <w:color w:val="auto"/>
          <w:spacing w:val="-33"/>
          <w:sz w:val="24"/>
          <w:szCs w:val="24"/>
          <w:lang w:eastAsia="zh-CN"/>
        </w:rPr>
        <w:t xml:space="preserve"> </w:t>
      </w:r>
      <w:r>
        <w:rPr>
          <w:rFonts w:hint="eastAsia" w:ascii="宋体" w:hAnsi="宋体" w:eastAsia="宋体" w:cs="宋体"/>
          <w:color w:val="auto"/>
          <w:spacing w:val="-2"/>
          <w:sz w:val="24"/>
          <w:szCs w:val="24"/>
          <w:lang w:eastAsia="zh-CN"/>
        </w:rPr>
        <w:t>14</w:t>
      </w:r>
      <w:r>
        <w:rPr>
          <w:rFonts w:hint="eastAsia" w:ascii="宋体" w:hAnsi="宋体" w:eastAsia="宋体" w:cs="宋体"/>
          <w:color w:val="auto"/>
          <w:spacing w:val="-49"/>
          <w:sz w:val="24"/>
          <w:szCs w:val="24"/>
          <w:lang w:eastAsia="zh-CN"/>
        </w:rPr>
        <w:t xml:space="preserve"> </w:t>
      </w:r>
      <w:r>
        <w:rPr>
          <w:rFonts w:hint="eastAsia" w:ascii="宋体" w:hAnsi="宋体" w:eastAsia="宋体" w:cs="宋体"/>
          <w:color w:val="auto"/>
          <w:spacing w:val="-2"/>
          <w:sz w:val="24"/>
          <w:szCs w:val="24"/>
          <w:lang w:eastAsia="zh-CN"/>
        </w:rPr>
        <w:t>条规定外，如果供方没有按照合</w:t>
      </w:r>
      <w:r>
        <w:rPr>
          <w:rFonts w:hint="eastAsia" w:ascii="宋体" w:hAnsi="宋体" w:eastAsia="宋体" w:cs="宋体"/>
          <w:color w:val="auto"/>
          <w:spacing w:val="-3"/>
          <w:sz w:val="24"/>
          <w:szCs w:val="24"/>
          <w:lang w:eastAsia="zh-CN"/>
        </w:rPr>
        <w:t>同规定的时间交货和提供服务，供</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方应向需方支付误期赔偿费。误期赔偿费每天按迟交货物的交货价或延期服务的服务费用</w:t>
      </w:r>
      <w:r>
        <w:rPr>
          <w:rFonts w:hint="eastAsia" w:ascii="宋体" w:hAnsi="宋体" w:eastAsia="宋体" w:cs="宋体"/>
          <w:color w:val="auto"/>
          <w:spacing w:val="4"/>
          <w:sz w:val="24"/>
          <w:szCs w:val="24"/>
          <w:lang w:eastAsia="zh-CN"/>
        </w:rPr>
        <w:t xml:space="preserve"> </w:t>
      </w:r>
      <w:r>
        <w:rPr>
          <w:rFonts w:hint="eastAsia" w:ascii="宋体" w:hAnsi="宋体" w:eastAsia="宋体" w:cs="宋体"/>
          <w:color w:val="auto"/>
          <w:spacing w:val="-1"/>
          <w:sz w:val="24"/>
          <w:szCs w:val="24"/>
          <w:lang w:eastAsia="zh-CN"/>
        </w:rPr>
        <w:t>的百分之一（1%）计收，直至交货或提供服务为止。一天按</w:t>
      </w:r>
      <w:r>
        <w:rPr>
          <w:rFonts w:hint="eastAsia" w:ascii="宋体" w:hAnsi="宋体" w:eastAsia="宋体" w:cs="宋体"/>
          <w:color w:val="auto"/>
          <w:spacing w:val="-34"/>
          <w:sz w:val="24"/>
          <w:szCs w:val="24"/>
          <w:lang w:eastAsia="zh-CN"/>
        </w:rPr>
        <w:t xml:space="preserve"> </w:t>
      </w:r>
      <w:r>
        <w:rPr>
          <w:rFonts w:hint="eastAsia" w:ascii="宋体" w:hAnsi="宋体" w:eastAsia="宋体" w:cs="宋体"/>
          <w:color w:val="auto"/>
          <w:spacing w:val="-1"/>
          <w:sz w:val="24"/>
          <w:szCs w:val="24"/>
          <w:lang w:eastAsia="zh-CN"/>
        </w:rPr>
        <w:t>24</w:t>
      </w:r>
      <w:r>
        <w:rPr>
          <w:rFonts w:hint="eastAsia" w:ascii="宋体" w:hAnsi="宋体" w:eastAsia="宋体" w:cs="宋体"/>
          <w:color w:val="auto"/>
          <w:spacing w:val="-45"/>
          <w:sz w:val="24"/>
          <w:szCs w:val="24"/>
          <w:lang w:eastAsia="zh-CN"/>
        </w:rPr>
        <w:t xml:space="preserve"> </w:t>
      </w:r>
      <w:r>
        <w:rPr>
          <w:rFonts w:hint="eastAsia" w:ascii="宋体" w:hAnsi="宋体" w:eastAsia="宋体" w:cs="宋体"/>
          <w:color w:val="auto"/>
          <w:spacing w:val="-1"/>
          <w:sz w:val="24"/>
          <w:szCs w:val="24"/>
          <w:lang w:eastAsia="zh-CN"/>
        </w:rPr>
        <w:t>小时计算，不足一天按一一天计算。但误期赔偿费的最高限额不超过合同价的百分之五（5%）。</w:t>
      </w:r>
    </w:p>
    <w:p w14:paraId="717C0426">
      <w:pPr>
        <w:spacing w:before="184" w:line="219"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11.2</w:t>
      </w:r>
      <w:r>
        <w:rPr>
          <w:rFonts w:hint="eastAsia" w:ascii="宋体" w:hAnsi="宋体" w:eastAsia="宋体" w:cs="宋体"/>
          <w:color w:val="auto"/>
          <w:spacing w:val="-35"/>
          <w:sz w:val="24"/>
          <w:szCs w:val="24"/>
          <w:lang w:eastAsia="zh-CN"/>
        </w:rPr>
        <w:t xml:space="preserve"> </w:t>
      </w:r>
      <w:r>
        <w:rPr>
          <w:rFonts w:hint="eastAsia" w:ascii="宋体" w:hAnsi="宋体" w:eastAsia="宋体" w:cs="宋体"/>
          <w:color w:val="auto"/>
          <w:spacing w:val="-2"/>
          <w:sz w:val="24"/>
          <w:szCs w:val="24"/>
          <w:lang w:eastAsia="zh-CN"/>
        </w:rPr>
        <w:t>误期赔偿费可从应付货款和/或履约保证金中扣除。</w:t>
      </w:r>
    </w:p>
    <w:p w14:paraId="3DB8196B">
      <w:pPr>
        <w:spacing w:before="181" w:line="219"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11.3</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1"/>
          <w:sz w:val="24"/>
          <w:szCs w:val="24"/>
          <w:lang w:eastAsia="zh-CN"/>
        </w:rPr>
        <w:t>收取误期赔偿费不影响需方采取合同</w:t>
      </w:r>
      <w:r>
        <w:rPr>
          <w:rFonts w:hint="eastAsia" w:ascii="宋体" w:hAnsi="宋体" w:eastAsia="宋体" w:cs="宋体"/>
          <w:color w:val="auto"/>
          <w:spacing w:val="-2"/>
          <w:sz w:val="24"/>
          <w:szCs w:val="24"/>
          <w:lang w:eastAsia="zh-CN"/>
        </w:rPr>
        <w:t>规定的其他补救措施的权利。</w:t>
      </w:r>
    </w:p>
    <w:p w14:paraId="5AB40233">
      <w:pPr>
        <w:spacing w:before="184" w:line="289" w:lineRule="auto"/>
        <w:ind w:left="481" w:right="2619" w:firstLine="16"/>
        <w:rPr>
          <w:rFonts w:hint="eastAsia" w:ascii="宋体" w:hAnsi="宋体" w:eastAsia="宋体" w:cs="宋体"/>
          <w:b/>
          <w:bCs/>
          <w:color w:val="auto"/>
          <w:sz w:val="24"/>
          <w:szCs w:val="24"/>
          <w:lang w:eastAsia="zh-CN"/>
        </w:rPr>
      </w:pPr>
      <w:r>
        <w:rPr>
          <w:rFonts w:hint="eastAsia" w:ascii="宋体" w:hAnsi="宋体" w:eastAsia="宋体" w:cs="宋体"/>
          <w:color w:val="auto"/>
          <w:spacing w:val="-3"/>
          <w:sz w:val="24"/>
          <w:szCs w:val="24"/>
          <w:lang w:eastAsia="zh-CN"/>
        </w:rPr>
        <w:t>11.5</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3"/>
          <w:sz w:val="24"/>
          <w:szCs w:val="24"/>
          <w:lang w:eastAsia="zh-CN"/>
        </w:rPr>
        <w:t>在收取误期赔偿费期间，需方有权决定是否终止合同</w:t>
      </w:r>
      <w:r>
        <w:rPr>
          <w:rFonts w:hint="eastAsia" w:ascii="宋体" w:hAnsi="宋体" w:eastAsia="宋体" w:cs="宋体"/>
          <w:b/>
          <w:bCs/>
          <w:color w:val="auto"/>
          <w:spacing w:val="-1"/>
          <w:sz w:val="24"/>
          <w:szCs w:val="24"/>
          <w:lang w:eastAsia="zh-CN"/>
        </w:rPr>
        <w:t>十二、</w:t>
      </w:r>
      <w:r>
        <w:rPr>
          <w:rFonts w:hint="eastAsia" w:ascii="宋体" w:hAnsi="宋体" w:eastAsia="宋体" w:cs="宋体"/>
          <w:b/>
          <w:bCs/>
          <w:color w:val="auto"/>
          <w:spacing w:val="-1"/>
          <w:sz w:val="24"/>
          <w:szCs w:val="24"/>
          <w:lang w:eastAsia="zh-CN"/>
          <w14:textOutline w14:w="4356" w14:cap="sq" w14:cmpd="sng" w14:algn="ctr">
            <w14:solidFill>
              <w14:srgbClr w14:val="000000"/>
            </w14:solidFill>
            <w14:prstDash w14:val="solid"/>
            <w14:bevel/>
          </w14:textOutline>
        </w:rPr>
        <w:t>履约保证金（无）</w:t>
      </w:r>
    </w:p>
    <w:p w14:paraId="46C540AF">
      <w:pPr>
        <w:spacing w:before="184" w:line="220"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十三、不可抗力</w:t>
      </w:r>
    </w:p>
    <w:p w14:paraId="184F5178">
      <w:pPr>
        <w:spacing w:before="179" w:line="466" w:lineRule="exact"/>
        <w:ind w:right="61"/>
        <w:jc w:val="right"/>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13.1</w:t>
      </w:r>
      <w:r>
        <w:rPr>
          <w:rFonts w:hint="eastAsia" w:ascii="宋体" w:hAnsi="宋体" w:eastAsia="宋体" w:cs="宋体"/>
          <w:color w:val="auto"/>
          <w:spacing w:val="-42"/>
          <w:position w:val="17"/>
          <w:sz w:val="24"/>
          <w:szCs w:val="24"/>
          <w:lang w:eastAsia="zh-CN"/>
        </w:rPr>
        <w:t xml:space="preserve"> </w:t>
      </w:r>
      <w:r>
        <w:rPr>
          <w:rFonts w:hint="eastAsia" w:ascii="宋体" w:hAnsi="宋体" w:eastAsia="宋体" w:cs="宋体"/>
          <w:color w:val="auto"/>
          <w:spacing w:val="2"/>
          <w:position w:val="17"/>
          <w:sz w:val="24"/>
          <w:szCs w:val="24"/>
          <w:lang w:eastAsia="zh-CN"/>
        </w:rPr>
        <w:t>如果供需双方因不可抗力而导致合同实施延误或不能履行合同义务，不</w:t>
      </w:r>
      <w:r>
        <w:rPr>
          <w:rFonts w:hint="eastAsia" w:ascii="宋体" w:hAnsi="宋体" w:eastAsia="宋体" w:cs="宋体"/>
          <w:color w:val="auto"/>
          <w:spacing w:val="1"/>
          <w:position w:val="17"/>
          <w:sz w:val="24"/>
          <w:szCs w:val="24"/>
          <w:lang w:eastAsia="zh-CN"/>
        </w:rPr>
        <w:t>应该承</w:t>
      </w:r>
    </w:p>
    <w:p w14:paraId="35F51E8B">
      <w:pPr>
        <w:spacing w:line="220" w:lineRule="auto"/>
        <w:ind w:left="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担误期赔偿或不能履行合同义务的责任。</w:t>
      </w:r>
    </w:p>
    <w:p w14:paraId="17A18BF2">
      <w:pPr>
        <w:spacing w:before="182" w:line="359" w:lineRule="auto"/>
        <w:ind w:right="63" w:firstLine="497"/>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13.2</w:t>
      </w:r>
      <w:r>
        <w:rPr>
          <w:rFonts w:hint="eastAsia" w:ascii="宋体" w:hAnsi="宋体" w:eastAsia="宋体" w:cs="宋体"/>
          <w:color w:val="auto"/>
          <w:spacing w:val="-45"/>
          <w:sz w:val="24"/>
          <w:szCs w:val="24"/>
          <w:lang w:eastAsia="zh-CN"/>
        </w:rPr>
        <w:t xml:space="preserve"> </w:t>
      </w:r>
      <w:r>
        <w:rPr>
          <w:rFonts w:hint="eastAsia" w:ascii="宋体" w:hAnsi="宋体" w:eastAsia="宋体" w:cs="宋体"/>
          <w:color w:val="auto"/>
          <w:spacing w:val="1"/>
          <w:sz w:val="24"/>
          <w:szCs w:val="24"/>
          <w:lang w:eastAsia="zh-CN"/>
        </w:rPr>
        <w:t>本条所述的“不可抗力</w:t>
      </w:r>
      <w:r>
        <w:rPr>
          <w:rFonts w:hint="eastAsia" w:ascii="宋体" w:hAnsi="宋体" w:eastAsia="宋体" w:cs="宋体"/>
          <w:color w:val="auto"/>
          <w:spacing w:val="-84"/>
          <w:sz w:val="24"/>
          <w:szCs w:val="24"/>
          <w:lang w:eastAsia="zh-CN"/>
        </w:rPr>
        <w:t xml:space="preserve"> </w:t>
      </w:r>
      <w:r>
        <w:rPr>
          <w:rFonts w:hint="eastAsia" w:ascii="宋体" w:hAnsi="宋体" w:eastAsia="宋体" w:cs="宋体"/>
          <w:color w:val="auto"/>
          <w:spacing w:val="1"/>
          <w:sz w:val="24"/>
          <w:szCs w:val="24"/>
          <w:lang w:eastAsia="zh-CN"/>
        </w:rPr>
        <w:t>”系指那些双方无法控制，不可预见的事件，但不包括</w:t>
      </w:r>
      <w:r>
        <w:rPr>
          <w:rFonts w:hint="eastAsia" w:ascii="宋体" w:hAnsi="宋体" w:eastAsia="宋体" w:cs="宋体"/>
          <w:color w:val="auto"/>
          <w:spacing w:val="-2"/>
          <w:sz w:val="24"/>
          <w:szCs w:val="24"/>
          <w:lang w:eastAsia="zh-CN"/>
        </w:rPr>
        <w:t>供需双方的违约或疏忽。这些事件包括但不限于：战争、严重火灾、洪水、台风、地震以</w:t>
      </w:r>
      <w:r>
        <w:rPr>
          <w:rFonts w:hint="eastAsia" w:ascii="宋体" w:hAnsi="宋体" w:eastAsia="宋体" w:cs="宋体"/>
          <w:color w:val="auto"/>
          <w:sz w:val="24"/>
          <w:szCs w:val="24"/>
          <w:lang w:eastAsia="zh-CN"/>
        </w:rPr>
        <w:t>及其它供需双方商定的事件(供需双方认定国家政策重</w:t>
      </w:r>
      <w:r>
        <w:rPr>
          <w:rFonts w:hint="eastAsia" w:ascii="宋体" w:hAnsi="宋体" w:eastAsia="宋体" w:cs="宋体"/>
          <w:color w:val="auto"/>
          <w:spacing w:val="-1"/>
          <w:sz w:val="24"/>
          <w:szCs w:val="24"/>
          <w:lang w:eastAsia="zh-CN"/>
        </w:rPr>
        <w:t>大变化属不可抗力)。</w:t>
      </w:r>
    </w:p>
    <w:p w14:paraId="2B828766">
      <w:pPr>
        <w:spacing w:before="182" w:line="359" w:lineRule="auto"/>
        <w:ind w:right="63" w:firstLine="497"/>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14:paraId="49912EA5">
      <w:pPr>
        <w:spacing w:before="180" w:line="221"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十四、税费</w:t>
      </w:r>
    </w:p>
    <w:p w14:paraId="61B73A91">
      <w:pPr>
        <w:spacing w:before="179" w:line="219" w:lineRule="auto"/>
        <w:ind w:left="51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14.1</w:t>
      </w:r>
      <w:r>
        <w:rPr>
          <w:rFonts w:hint="eastAsia" w:ascii="宋体" w:hAnsi="宋体" w:eastAsia="宋体" w:cs="宋体"/>
          <w:color w:val="auto"/>
          <w:spacing w:val="-51"/>
          <w:sz w:val="24"/>
          <w:szCs w:val="24"/>
          <w:lang w:eastAsia="zh-CN"/>
        </w:rPr>
        <w:t xml:space="preserve"> </w:t>
      </w:r>
      <w:r>
        <w:rPr>
          <w:rFonts w:hint="eastAsia" w:ascii="宋体" w:hAnsi="宋体" w:eastAsia="宋体" w:cs="宋体"/>
          <w:color w:val="auto"/>
          <w:spacing w:val="-1"/>
          <w:sz w:val="24"/>
          <w:szCs w:val="24"/>
          <w:lang w:eastAsia="zh-CN"/>
        </w:rPr>
        <w:t>根据现行法律规定对需方征收的与本合同有关的一切税费均由需方负</w:t>
      </w:r>
      <w:r>
        <w:rPr>
          <w:rFonts w:hint="eastAsia" w:ascii="宋体" w:hAnsi="宋体" w:eastAsia="宋体" w:cs="宋体"/>
          <w:color w:val="auto"/>
          <w:spacing w:val="-2"/>
          <w:sz w:val="24"/>
          <w:szCs w:val="24"/>
          <w:lang w:eastAsia="zh-CN"/>
        </w:rPr>
        <w:t>担。</w:t>
      </w:r>
    </w:p>
    <w:p w14:paraId="4D4EC995">
      <w:pPr>
        <w:spacing w:before="183" w:line="219" w:lineRule="auto"/>
        <w:ind w:left="51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14.2</w:t>
      </w:r>
      <w:r>
        <w:rPr>
          <w:rFonts w:hint="eastAsia" w:ascii="宋体" w:hAnsi="宋体" w:eastAsia="宋体" w:cs="宋体"/>
          <w:color w:val="auto"/>
          <w:spacing w:val="-51"/>
          <w:sz w:val="24"/>
          <w:szCs w:val="24"/>
          <w:lang w:eastAsia="zh-CN"/>
        </w:rPr>
        <w:t xml:space="preserve"> </w:t>
      </w:r>
      <w:r>
        <w:rPr>
          <w:rFonts w:hint="eastAsia" w:ascii="宋体" w:hAnsi="宋体" w:eastAsia="宋体" w:cs="宋体"/>
          <w:color w:val="auto"/>
          <w:spacing w:val="-1"/>
          <w:sz w:val="24"/>
          <w:szCs w:val="24"/>
          <w:lang w:eastAsia="zh-CN"/>
        </w:rPr>
        <w:t>根据现行法律规定对供方征收的与本合同有关的一切税费均由供方负</w:t>
      </w:r>
      <w:r>
        <w:rPr>
          <w:rFonts w:hint="eastAsia" w:ascii="宋体" w:hAnsi="宋体" w:eastAsia="宋体" w:cs="宋体"/>
          <w:color w:val="auto"/>
          <w:spacing w:val="-2"/>
          <w:sz w:val="24"/>
          <w:szCs w:val="24"/>
          <w:lang w:eastAsia="zh-CN"/>
        </w:rPr>
        <w:t>担。</w:t>
      </w:r>
    </w:p>
    <w:p w14:paraId="62982B19">
      <w:pPr>
        <w:spacing w:before="183" w:line="219" w:lineRule="auto"/>
        <w:ind w:left="51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14.3</w:t>
      </w:r>
      <w:r>
        <w:rPr>
          <w:rFonts w:hint="eastAsia" w:ascii="宋体" w:hAnsi="宋体" w:eastAsia="宋体" w:cs="宋体"/>
          <w:color w:val="auto"/>
          <w:spacing w:val="-52"/>
          <w:sz w:val="24"/>
          <w:szCs w:val="24"/>
          <w:lang w:eastAsia="zh-CN"/>
        </w:rPr>
        <w:t xml:space="preserve"> </w:t>
      </w:r>
      <w:r>
        <w:rPr>
          <w:rFonts w:hint="eastAsia" w:ascii="宋体" w:hAnsi="宋体" w:eastAsia="宋体" w:cs="宋体"/>
          <w:color w:val="auto"/>
          <w:spacing w:val="-1"/>
          <w:sz w:val="24"/>
          <w:szCs w:val="24"/>
          <w:lang w:eastAsia="zh-CN"/>
        </w:rPr>
        <w:t>在中国境外发生的与执行本合同有关的一切税费均由</w:t>
      </w:r>
      <w:r>
        <w:rPr>
          <w:rFonts w:hint="eastAsia" w:ascii="宋体" w:hAnsi="宋体" w:eastAsia="宋体" w:cs="宋体"/>
          <w:color w:val="auto"/>
          <w:spacing w:val="-2"/>
          <w:sz w:val="24"/>
          <w:szCs w:val="24"/>
          <w:lang w:eastAsia="zh-CN"/>
        </w:rPr>
        <w:t>供方负担。</w:t>
      </w:r>
    </w:p>
    <w:p w14:paraId="02BA5359">
      <w:pPr>
        <w:spacing w:before="180" w:line="220"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十五、争端的解决</w:t>
      </w:r>
    </w:p>
    <w:p w14:paraId="411C3B13">
      <w:pPr>
        <w:ind w:firstLine="488" w:firstLineChars="200"/>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15.1 供需双方应通过友好协商，解决在执行本合同过程中所发生的或与本合同有关的一切争端。如从协商开始十（10）天内仍不能解决，可以向有关合同管理部门提请调解。</w:t>
      </w:r>
    </w:p>
    <w:p w14:paraId="73131527">
      <w:pPr>
        <w:ind w:firstLine="488" w:firstLineChars="200"/>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15.2 如果调解不成，供需双方的任何一方可以向人民法院提起诉讼。诉讼由合同签订地人民法院管辖。</w:t>
      </w:r>
    </w:p>
    <w:p w14:paraId="3E1F746D">
      <w:pPr>
        <w:ind w:firstLine="488" w:firstLineChars="200"/>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15.3 诉讼费除法院另有裁决外均由败诉方负担。</w:t>
      </w:r>
    </w:p>
    <w:p w14:paraId="57C24BCB">
      <w:pPr>
        <w:ind w:firstLine="488" w:firstLineChars="200"/>
        <w:rPr>
          <w:rFonts w:hint="eastAsia" w:ascii="宋体" w:hAnsi="宋体" w:eastAsia="宋体" w:cs="宋体"/>
          <w:color w:val="auto"/>
          <w:spacing w:val="2"/>
          <w:position w:val="17"/>
          <w:sz w:val="24"/>
          <w:szCs w:val="24"/>
          <w:lang w:eastAsia="zh-CN"/>
        </w:rPr>
      </w:pPr>
      <w:r>
        <w:rPr>
          <w:rFonts w:hint="eastAsia" w:ascii="宋体" w:hAnsi="宋体" w:eastAsia="宋体" w:cs="宋体"/>
          <w:color w:val="auto"/>
          <w:spacing w:val="2"/>
          <w:position w:val="17"/>
          <w:sz w:val="24"/>
          <w:szCs w:val="24"/>
          <w:lang w:eastAsia="zh-CN"/>
        </w:rPr>
        <w:t>15.4 在诉讼期间，除正在进行诉讼的部分外，本合同的其它部分应继续执行。</w:t>
      </w:r>
    </w:p>
    <w:p w14:paraId="53E28E8D">
      <w:pPr>
        <w:spacing w:before="182" w:line="222" w:lineRule="auto"/>
        <w:ind w:left="49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十六、违约终止合同</w:t>
      </w:r>
    </w:p>
    <w:p w14:paraId="35838EF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16.1 在需方因供方违约而按合同约定采取的任何补救措施不受影响的情况下，需方可在下列情况下向供方发出书面通知，提出终止部分或全部合同。</w:t>
      </w:r>
    </w:p>
    <w:p w14:paraId="1310681C">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（1）如果供方未能在合同规定的限期或需方同意延长的限期内提供部分或全部货物和服务。</w:t>
      </w:r>
    </w:p>
    <w:p w14:paraId="7776AD7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（2）如果供方未能履行合同规定的其它任何义务。</w:t>
      </w:r>
    </w:p>
    <w:p w14:paraId="1EEACB3D">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14:paraId="30839E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w:t>
      </w:r>
      <w:r>
        <w:rPr>
          <w:rFonts w:hint="eastAsia" w:ascii="宋体" w:hAnsi="宋体" w:eastAsia="宋体" w:cs="宋体"/>
          <w:color w:val="auto"/>
          <w:sz w:val="24"/>
          <w:szCs w:val="24"/>
        </w:rPr>
        <w:t>并且，供方应继续履行合同中未终止的部分。</w:t>
      </w:r>
    </w:p>
    <w:p w14:paraId="4461AF70">
      <w:pPr>
        <w:numPr>
          <w:ilvl w:val="0"/>
          <w:numId w:val="5"/>
        </w:numPr>
        <w:spacing w:before="183" w:line="220" w:lineRule="auto"/>
        <w:ind w:left="494"/>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破产终止合同</w:t>
      </w:r>
    </w:p>
    <w:p w14:paraId="72942E7B">
      <w:pPr>
        <w:spacing w:before="48" w:line="359" w:lineRule="auto"/>
        <w:ind w:left="24" w:firstLine="474"/>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17.1</w:t>
      </w:r>
      <w:r>
        <w:rPr>
          <w:rFonts w:hint="eastAsia" w:ascii="宋体" w:hAnsi="宋体" w:eastAsia="宋体" w:cs="宋体"/>
          <w:color w:val="auto"/>
          <w:spacing w:val="-42"/>
          <w:sz w:val="24"/>
          <w:szCs w:val="24"/>
          <w:lang w:eastAsia="zh-CN"/>
        </w:rPr>
        <w:t xml:space="preserve"> </w:t>
      </w:r>
      <w:r>
        <w:rPr>
          <w:rFonts w:hint="eastAsia" w:ascii="宋体" w:hAnsi="宋体" w:eastAsia="宋体" w:cs="宋体"/>
          <w:color w:val="auto"/>
          <w:spacing w:val="2"/>
          <w:sz w:val="24"/>
          <w:szCs w:val="24"/>
          <w:lang w:eastAsia="zh-CN"/>
        </w:rPr>
        <w:t>如果供方破产或丧失清偿能力，需方可在任何时候以书面形式通知供方</w:t>
      </w:r>
      <w:r>
        <w:rPr>
          <w:rFonts w:hint="eastAsia" w:ascii="宋体" w:hAnsi="宋体" w:eastAsia="宋体" w:cs="宋体"/>
          <w:color w:val="auto"/>
          <w:spacing w:val="1"/>
          <w:sz w:val="24"/>
          <w:szCs w:val="24"/>
          <w:lang w:eastAsia="zh-CN"/>
        </w:rPr>
        <w:t>终止合</w:t>
      </w:r>
      <w:r>
        <w:rPr>
          <w:rFonts w:hint="eastAsia" w:ascii="宋体" w:hAnsi="宋体" w:eastAsia="宋体" w:cs="宋体"/>
          <w:color w:val="auto"/>
          <w:spacing w:val="-2"/>
          <w:sz w:val="24"/>
          <w:szCs w:val="24"/>
          <w:lang w:eastAsia="zh-CN"/>
        </w:rPr>
        <w:t>同而不给供方补偿。该终止合同将不损害或影</w:t>
      </w:r>
      <w:r>
        <w:rPr>
          <w:rFonts w:hint="eastAsia" w:ascii="宋体" w:hAnsi="宋体" w:eastAsia="宋体" w:cs="宋体"/>
          <w:color w:val="auto"/>
          <w:spacing w:val="-3"/>
          <w:sz w:val="24"/>
          <w:szCs w:val="24"/>
          <w:lang w:eastAsia="zh-CN"/>
        </w:rPr>
        <w:t>响需方已经采取或将要采取任何补救措施的权力。</w:t>
      </w:r>
    </w:p>
    <w:p w14:paraId="39C819DF">
      <w:pPr>
        <w:spacing w:before="181" w:line="221"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十八、合同转让和分包</w:t>
      </w:r>
    </w:p>
    <w:p w14:paraId="4C955D26">
      <w:pPr>
        <w:spacing w:before="179" w:line="219" w:lineRule="auto"/>
        <w:ind w:left="49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18.1</w:t>
      </w:r>
      <w:r>
        <w:rPr>
          <w:rFonts w:hint="eastAsia" w:ascii="宋体" w:hAnsi="宋体" w:eastAsia="宋体" w:cs="宋体"/>
          <w:color w:val="auto"/>
          <w:spacing w:val="-51"/>
          <w:sz w:val="24"/>
          <w:szCs w:val="24"/>
          <w:lang w:eastAsia="zh-CN"/>
        </w:rPr>
        <w:t xml:space="preserve"> </w:t>
      </w:r>
      <w:r>
        <w:rPr>
          <w:rFonts w:hint="eastAsia" w:ascii="宋体" w:hAnsi="宋体" w:eastAsia="宋体" w:cs="宋体"/>
          <w:color w:val="auto"/>
          <w:spacing w:val="-1"/>
          <w:sz w:val="24"/>
          <w:szCs w:val="24"/>
          <w:lang w:eastAsia="zh-CN"/>
        </w:rPr>
        <w:t>供方不得部分转让和分包或全部转让和分包其应履行的</w:t>
      </w:r>
      <w:r>
        <w:rPr>
          <w:rFonts w:hint="eastAsia" w:ascii="宋体" w:hAnsi="宋体" w:eastAsia="宋体" w:cs="宋体"/>
          <w:color w:val="auto"/>
          <w:spacing w:val="-2"/>
          <w:sz w:val="24"/>
          <w:szCs w:val="24"/>
          <w:lang w:eastAsia="zh-CN"/>
        </w:rPr>
        <w:t>合同义务。</w:t>
      </w:r>
    </w:p>
    <w:p w14:paraId="19234C2E">
      <w:pPr>
        <w:spacing w:before="182" w:line="220"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十九、需要补充的合同条款</w:t>
      </w:r>
    </w:p>
    <w:p w14:paraId="7A2E3E39">
      <w:pPr>
        <w:spacing w:before="182" w:line="220" w:lineRule="auto"/>
        <w:ind w:left="55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19.1</w:t>
      </w:r>
      <w:r>
        <w:rPr>
          <w:rFonts w:hint="eastAsia" w:ascii="宋体" w:hAnsi="宋体" w:eastAsia="宋体" w:cs="宋体"/>
          <w:color w:val="auto"/>
          <w:spacing w:val="-51"/>
          <w:sz w:val="24"/>
          <w:szCs w:val="24"/>
          <w:lang w:eastAsia="zh-CN"/>
        </w:rPr>
        <w:t xml:space="preserve"> </w:t>
      </w:r>
      <w:r>
        <w:rPr>
          <w:rFonts w:hint="eastAsia" w:ascii="宋体" w:hAnsi="宋体" w:eastAsia="宋体" w:cs="宋体"/>
          <w:color w:val="auto"/>
          <w:spacing w:val="-1"/>
          <w:sz w:val="24"/>
          <w:szCs w:val="24"/>
          <w:lang w:eastAsia="zh-CN"/>
        </w:rPr>
        <w:t>根据评标过程中或者商务谈判时商定的条款和条件在订立合同时</w:t>
      </w:r>
      <w:r>
        <w:rPr>
          <w:rFonts w:hint="eastAsia" w:ascii="宋体" w:hAnsi="宋体" w:eastAsia="宋体" w:cs="宋体"/>
          <w:color w:val="auto"/>
          <w:spacing w:val="-2"/>
          <w:sz w:val="24"/>
          <w:szCs w:val="24"/>
          <w:lang w:eastAsia="zh-CN"/>
        </w:rPr>
        <w:t>标明。</w:t>
      </w:r>
    </w:p>
    <w:p w14:paraId="5B1615C7">
      <w:pPr>
        <w:spacing w:before="179" w:line="220" w:lineRule="auto"/>
        <w:ind w:left="48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二十、适用法律</w:t>
      </w:r>
    </w:p>
    <w:p w14:paraId="794E63E8">
      <w:pPr>
        <w:spacing w:before="183"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20.1</w:t>
      </w:r>
      <w:r>
        <w:rPr>
          <w:rFonts w:hint="eastAsia" w:ascii="宋体" w:hAnsi="宋体" w:eastAsia="宋体" w:cs="宋体"/>
          <w:color w:val="auto"/>
          <w:spacing w:val="-48"/>
          <w:sz w:val="24"/>
          <w:szCs w:val="24"/>
          <w:lang w:eastAsia="zh-CN"/>
        </w:rPr>
        <w:t xml:space="preserve"> </w:t>
      </w:r>
      <w:r>
        <w:rPr>
          <w:rFonts w:hint="eastAsia" w:ascii="宋体" w:hAnsi="宋体" w:eastAsia="宋体" w:cs="宋体"/>
          <w:color w:val="auto"/>
          <w:spacing w:val="-1"/>
          <w:sz w:val="24"/>
          <w:szCs w:val="24"/>
          <w:lang w:eastAsia="zh-CN"/>
        </w:rPr>
        <w:t>本合同按照中华人民共和国的现行法律进行解释。</w:t>
      </w:r>
    </w:p>
    <w:p w14:paraId="4F5BBBB5">
      <w:pPr>
        <w:spacing w:before="180" w:line="221" w:lineRule="auto"/>
        <w:ind w:left="48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二十一、合同生效</w:t>
      </w:r>
    </w:p>
    <w:p w14:paraId="0D3CF57C">
      <w:pPr>
        <w:spacing w:before="178" w:line="468" w:lineRule="exact"/>
        <w:jc w:val="right"/>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21.1</w:t>
      </w:r>
      <w:r>
        <w:rPr>
          <w:rFonts w:hint="eastAsia" w:ascii="宋体" w:hAnsi="宋体" w:eastAsia="宋体" w:cs="宋体"/>
          <w:color w:val="auto"/>
          <w:spacing w:val="-30"/>
          <w:position w:val="17"/>
          <w:sz w:val="24"/>
          <w:szCs w:val="24"/>
          <w:lang w:eastAsia="zh-CN"/>
        </w:rPr>
        <w:t xml:space="preserve"> </w:t>
      </w:r>
      <w:r>
        <w:rPr>
          <w:rFonts w:hint="eastAsia" w:ascii="宋体" w:hAnsi="宋体" w:eastAsia="宋体" w:cs="宋体"/>
          <w:color w:val="auto"/>
          <w:spacing w:val="2"/>
          <w:position w:val="17"/>
          <w:sz w:val="24"/>
          <w:szCs w:val="24"/>
          <w:lang w:eastAsia="zh-CN"/>
        </w:rPr>
        <w:t>本合同在供需双方法定代表人或其授权代理人签字并加盖公章并且采购方收到</w:t>
      </w:r>
    </w:p>
    <w:p w14:paraId="76A24AA5">
      <w:pPr>
        <w:spacing w:before="1"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供方提交的履约保证金后生效。</w:t>
      </w:r>
    </w:p>
    <w:p w14:paraId="4B168969">
      <w:pPr>
        <w:spacing w:before="183" w:line="219" w:lineRule="auto"/>
        <w:ind w:left="48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二十二、合同附件</w:t>
      </w:r>
    </w:p>
    <w:p w14:paraId="3AA26985">
      <w:pPr>
        <w:spacing w:before="181" w:line="290" w:lineRule="auto"/>
        <w:ind w:left="497" w:right="660" w:hanging="14"/>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22.1</w:t>
      </w:r>
      <w:r>
        <w:rPr>
          <w:rFonts w:hint="eastAsia" w:ascii="宋体" w:hAnsi="宋体" w:eastAsia="宋体" w:cs="宋体"/>
          <w:color w:val="auto"/>
          <w:spacing w:val="-26"/>
          <w:sz w:val="24"/>
          <w:szCs w:val="24"/>
          <w:lang w:eastAsia="zh-CN"/>
        </w:rPr>
        <w:t xml:space="preserve"> </w:t>
      </w:r>
      <w:r>
        <w:rPr>
          <w:rFonts w:hint="eastAsia" w:ascii="宋体" w:hAnsi="宋体" w:eastAsia="宋体" w:cs="宋体"/>
          <w:color w:val="auto"/>
          <w:spacing w:val="-3"/>
          <w:sz w:val="24"/>
          <w:szCs w:val="24"/>
          <w:lang w:eastAsia="zh-CN"/>
        </w:rPr>
        <w:t>下列文件构成本合同不可分割的组成部分，与本合同具有同等法律效力</w:t>
      </w:r>
    </w:p>
    <w:p w14:paraId="03B6EE22">
      <w:pPr>
        <w:spacing w:before="181" w:line="290" w:lineRule="auto"/>
        <w:ind w:left="497" w:right="660" w:hanging="1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1、招标文件及澄清、补充文件；</w:t>
      </w:r>
    </w:p>
    <w:p w14:paraId="1BDA4786">
      <w:pPr>
        <w:spacing w:before="180"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2、供方的投标文件、在投标期间的书面承诺文件和售后服务承诺书；</w:t>
      </w:r>
    </w:p>
    <w:p w14:paraId="1FF6A9DC">
      <w:pPr>
        <w:spacing w:before="182" w:line="466" w:lineRule="exact"/>
        <w:ind w:left="485"/>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3、产品样本（与合同配置不符之处，以合同为准</w:t>
      </w:r>
      <w:r>
        <w:rPr>
          <w:rFonts w:hint="eastAsia" w:ascii="宋体" w:hAnsi="宋体" w:eastAsia="宋体" w:cs="宋体"/>
          <w:color w:val="auto"/>
          <w:spacing w:val="3"/>
          <w:position w:val="17"/>
          <w:sz w:val="24"/>
          <w:szCs w:val="24"/>
          <w:lang w:eastAsia="zh-CN"/>
        </w:rPr>
        <w:t>）；</w:t>
      </w:r>
    </w:p>
    <w:p w14:paraId="54DF3004">
      <w:pPr>
        <w:spacing w:line="219"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4、中标通知书；</w:t>
      </w:r>
    </w:p>
    <w:p w14:paraId="1141F427">
      <w:pPr>
        <w:spacing w:before="183" w:line="466" w:lineRule="exact"/>
        <w:ind w:left="485"/>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5、政府采购验收报告单；</w:t>
      </w:r>
    </w:p>
    <w:p w14:paraId="2A4048D2">
      <w:pPr>
        <w:spacing w:line="219"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6、合同的其他附件：</w:t>
      </w:r>
    </w:p>
    <w:p w14:paraId="7F367328">
      <w:pPr>
        <w:spacing w:before="184" w:line="219"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上述合同附件如果有不一致之处，以日期在后的和对需方有利的为准。</w:t>
      </w:r>
    </w:p>
    <w:p w14:paraId="66ECC1AF">
      <w:pPr>
        <w:spacing w:before="180" w:line="220" w:lineRule="auto"/>
        <w:ind w:left="48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二十三、合同修改</w:t>
      </w:r>
    </w:p>
    <w:p w14:paraId="23CF5607">
      <w:pPr>
        <w:spacing w:before="182" w:line="468" w:lineRule="exact"/>
        <w:jc w:val="right"/>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23.1</w:t>
      </w:r>
      <w:r>
        <w:rPr>
          <w:rFonts w:hint="eastAsia" w:ascii="宋体" w:hAnsi="宋体" w:eastAsia="宋体" w:cs="宋体"/>
          <w:color w:val="auto"/>
          <w:spacing w:val="-30"/>
          <w:position w:val="17"/>
          <w:sz w:val="24"/>
          <w:szCs w:val="24"/>
          <w:lang w:eastAsia="zh-CN"/>
        </w:rPr>
        <w:t xml:space="preserve"> </w:t>
      </w:r>
      <w:r>
        <w:rPr>
          <w:rFonts w:hint="eastAsia" w:ascii="宋体" w:hAnsi="宋体" w:eastAsia="宋体" w:cs="宋体"/>
          <w:color w:val="auto"/>
          <w:spacing w:val="2"/>
          <w:position w:val="17"/>
          <w:sz w:val="24"/>
          <w:szCs w:val="24"/>
          <w:lang w:eastAsia="zh-CN"/>
        </w:rPr>
        <w:t>除供需双方和采购方签署书面修改、补充协议，并成为本合同不可分割的一部</w:t>
      </w:r>
    </w:p>
    <w:p w14:paraId="64242342">
      <w:pPr>
        <w:spacing w:before="1" w:line="219" w:lineRule="auto"/>
        <w:ind w:left="3"/>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分之外，本合同条件不得有任何变化或修改。</w:t>
      </w:r>
    </w:p>
    <w:p w14:paraId="59697736">
      <w:pPr>
        <w:spacing w:before="180" w:line="221" w:lineRule="auto"/>
        <w:ind w:left="484"/>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二十四、合同备案</w:t>
      </w:r>
    </w:p>
    <w:p w14:paraId="3E0F4376">
      <w:pPr>
        <w:spacing w:before="179"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24.1 自本合同订立之日起七个工作日内，向本级政府采购监督管理部门备案。</w:t>
      </w:r>
    </w:p>
    <w:p w14:paraId="6A9BCE78">
      <w:pPr>
        <w:spacing w:before="184" w:line="359" w:lineRule="auto"/>
        <w:ind w:left="2" w:right="2" w:firstLine="481"/>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二十五、政府采购法对政府采购合同变更终止的规定：</w:t>
      </w:r>
      <w:r>
        <w:rPr>
          <w:rFonts w:hint="eastAsia" w:ascii="宋体" w:hAnsi="宋体" w:eastAsia="宋体" w:cs="宋体"/>
          <w:color w:val="auto"/>
          <w:spacing w:val="-2"/>
          <w:sz w:val="24"/>
          <w:szCs w:val="24"/>
          <w:lang w:eastAsia="zh-CN"/>
        </w:rPr>
        <w:t>“政府采购合同的双方</w:t>
      </w:r>
      <w:r>
        <w:rPr>
          <w:rFonts w:hint="eastAsia" w:ascii="宋体" w:hAnsi="宋体" w:eastAsia="宋体" w:cs="宋体"/>
          <w:color w:val="auto"/>
          <w:spacing w:val="-3"/>
          <w:sz w:val="24"/>
          <w:szCs w:val="24"/>
          <w:lang w:eastAsia="zh-CN"/>
        </w:rPr>
        <w:t>当事人</w:t>
      </w:r>
      <w:r>
        <w:rPr>
          <w:rFonts w:hint="eastAsia" w:ascii="宋体" w:hAnsi="宋体" w:eastAsia="宋体" w:cs="宋体"/>
          <w:color w:val="auto"/>
          <w:spacing w:val="-2"/>
          <w:sz w:val="24"/>
          <w:szCs w:val="24"/>
          <w:lang w:eastAsia="zh-CN"/>
        </w:rPr>
        <w:t>不得擅自变更、中止或者终止合同。政府采购合同继续履行将损害国家利益和社会公共利益的，双方当事人应当变更、中止或者终止合同。有过错的一方应当承担赔偿责任，双方</w:t>
      </w:r>
      <w:r>
        <w:rPr>
          <w:rFonts w:hint="eastAsia" w:ascii="宋体" w:hAnsi="宋体" w:eastAsia="宋体" w:cs="宋体"/>
          <w:color w:val="auto"/>
          <w:spacing w:val="-1"/>
          <w:sz w:val="24"/>
          <w:szCs w:val="24"/>
          <w:lang w:eastAsia="zh-CN"/>
        </w:rPr>
        <w:t>都有过错的，各自承担相应的责任。”在本合同中</w:t>
      </w:r>
      <w:r>
        <w:rPr>
          <w:rFonts w:hint="eastAsia" w:ascii="宋体" w:hAnsi="宋体" w:eastAsia="宋体" w:cs="宋体"/>
          <w:color w:val="auto"/>
          <w:spacing w:val="-2"/>
          <w:sz w:val="24"/>
          <w:szCs w:val="24"/>
          <w:lang w:eastAsia="zh-CN"/>
        </w:rPr>
        <w:t>，双方当事人指供需双方。</w:t>
      </w:r>
    </w:p>
    <w:p w14:paraId="764CD22B">
      <w:pPr>
        <w:spacing w:before="1" w:line="219" w:lineRule="auto"/>
        <w:ind w:left="4"/>
        <w:rPr>
          <w:rFonts w:hint="eastAsia" w:ascii="宋体" w:hAnsi="宋体" w:eastAsia="宋体" w:cs="宋体"/>
          <w:color w:val="auto"/>
          <w:spacing w:val="-2"/>
          <w:sz w:val="24"/>
          <w:szCs w:val="24"/>
          <w:lang w:eastAsia="zh-CN"/>
        </w:rPr>
      </w:pPr>
    </w:p>
    <w:p w14:paraId="7C27B022">
      <w:pPr>
        <w:spacing w:before="1" w:line="219" w:lineRule="auto"/>
        <w:ind w:left="4"/>
        <w:rPr>
          <w:rFonts w:hint="eastAsia" w:ascii="宋体" w:hAnsi="宋体" w:eastAsia="宋体" w:cs="宋体"/>
          <w:color w:val="auto"/>
          <w:spacing w:val="-2"/>
          <w:sz w:val="24"/>
          <w:szCs w:val="24"/>
          <w:lang w:eastAsia="zh-CN"/>
        </w:rPr>
      </w:pPr>
    </w:p>
    <w:p w14:paraId="199CF394">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需方：                                   供方：</w:t>
      </w:r>
    </w:p>
    <w:p w14:paraId="3539258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地址：</w:t>
      </w:r>
    </w:p>
    <w:p w14:paraId="6C6228D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法定代表人：</w:t>
      </w:r>
    </w:p>
    <w:p w14:paraId="0CC6077E">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或授权委托人：                           或授权委托人：</w:t>
      </w:r>
    </w:p>
    <w:p w14:paraId="241A2D9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签字日期：                               签字日期：</w:t>
      </w:r>
    </w:p>
    <w:p w14:paraId="1B53B1E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邮政编码：                               邮政编码：</w:t>
      </w:r>
    </w:p>
    <w:p w14:paraId="74DCBFA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电话：                                   电话：</w:t>
      </w:r>
    </w:p>
    <w:p w14:paraId="53B1A0F1">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传真：                                   传真：</w:t>
      </w:r>
    </w:p>
    <w:p w14:paraId="607822C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                                 联系人：</w:t>
      </w:r>
    </w:p>
    <w:p w14:paraId="7BDB155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开户银行：                               开户银行：</w:t>
      </w:r>
    </w:p>
    <w:p w14:paraId="1ECE9DC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账户名称：                               账户名称：</w:t>
      </w:r>
    </w:p>
    <w:p w14:paraId="77876F72">
      <w:pPr>
        <w:spacing w:before="1" w:line="360" w:lineRule="auto"/>
        <w:ind w:left="4"/>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eastAsia="zh-CN"/>
        </w:rPr>
        <w:t>账号：                                   账号：</w:t>
      </w:r>
    </w:p>
    <w:p w14:paraId="21CB634C">
      <w:pPr>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br w:type="page"/>
      </w:r>
    </w:p>
    <w:p w14:paraId="12AD3041">
      <w:pPr>
        <w:pStyle w:val="2"/>
        <w:numPr>
          <w:ilvl w:val="0"/>
          <w:numId w:val="6"/>
        </w:numPr>
        <w:spacing w:after="0" w:line="360" w:lineRule="auto"/>
        <w:jc w:val="center"/>
        <w:rPr>
          <w:color w:val="auto"/>
          <w:sz w:val="36"/>
          <w:szCs w:val="36"/>
        </w:rPr>
      </w:pPr>
      <w:bookmarkStart w:id="48" w:name="_Toc9810"/>
      <w:r>
        <w:rPr>
          <w:rFonts w:hint="eastAsia"/>
          <w:color w:val="auto"/>
          <w:sz w:val="36"/>
          <w:szCs w:val="36"/>
        </w:rPr>
        <w:t>采购需求</w:t>
      </w:r>
      <w:bookmarkEnd w:id="48"/>
    </w:p>
    <w:p w14:paraId="1920F8B2">
      <w:pPr>
        <w:spacing w:line="360" w:lineRule="auto"/>
        <w:jc w:val="both"/>
        <w:rPr>
          <w:rFonts w:hint="eastAsia" w:ascii="宋体" w:hAnsi="宋体" w:eastAsia="宋体" w:cs="宋体"/>
          <w:b/>
          <w:bCs/>
          <w:color w:val="auto"/>
          <w:kern w:val="44"/>
          <w:sz w:val="28"/>
          <w:szCs w:val="28"/>
          <w:lang w:val="zh-CN" w:eastAsia="zh-CN"/>
        </w:rPr>
      </w:pPr>
      <w:r>
        <w:rPr>
          <w:rFonts w:hint="eastAsia" w:ascii="宋体" w:hAnsi="宋体" w:eastAsia="宋体" w:cs="宋体"/>
          <w:b/>
          <w:bCs/>
          <w:color w:val="auto"/>
          <w:kern w:val="44"/>
          <w:sz w:val="28"/>
          <w:szCs w:val="28"/>
          <w:lang w:val="zh-CN" w:eastAsia="zh-CN"/>
        </w:rPr>
        <w:t>一、采购清单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685"/>
        <w:gridCol w:w="2034"/>
        <w:gridCol w:w="3474"/>
      </w:tblGrid>
      <w:tr w14:paraId="308F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vAlign w:val="center"/>
          </w:tcPr>
          <w:p w14:paraId="20F1784B">
            <w:pPr>
              <w:widowControl w:val="0"/>
              <w:jc w:val="center"/>
              <w:rPr>
                <w:rFonts w:hint="eastAsia" w:ascii="宋体" w:hAnsi="宋体" w:eastAsia="宋体" w:cs="宋体"/>
                <w:b/>
                <w:bCs/>
                <w:color w:val="auto"/>
                <w:kern w:val="44"/>
                <w:sz w:val="24"/>
                <w:szCs w:val="24"/>
                <w:lang w:eastAsia="zh-CN"/>
              </w:rPr>
            </w:pPr>
            <w:r>
              <w:rPr>
                <w:rFonts w:hint="eastAsia" w:ascii="宋体" w:hAnsi="宋体" w:eastAsia="宋体" w:cs="宋体"/>
                <w:b/>
                <w:bCs/>
                <w:color w:val="auto"/>
                <w:kern w:val="44"/>
                <w:sz w:val="24"/>
                <w:szCs w:val="24"/>
                <w:lang w:val="en-US" w:eastAsia="zh-CN"/>
              </w:rPr>
              <w:t>标段</w:t>
            </w:r>
          </w:p>
        </w:tc>
        <w:tc>
          <w:tcPr>
            <w:tcW w:w="2685" w:type="dxa"/>
            <w:vAlign w:val="center"/>
          </w:tcPr>
          <w:p w14:paraId="6AA08E7D">
            <w:pPr>
              <w:widowControl w:val="0"/>
              <w:jc w:val="center"/>
              <w:rPr>
                <w:rFonts w:hint="eastAsia" w:ascii="宋体" w:hAnsi="宋体" w:eastAsia="宋体" w:cs="宋体"/>
                <w:b/>
                <w:bCs/>
                <w:color w:val="auto"/>
                <w:kern w:val="44"/>
                <w:sz w:val="24"/>
                <w:szCs w:val="24"/>
                <w:lang w:val="zh-CN"/>
              </w:rPr>
            </w:pPr>
            <w:r>
              <w:rPr>
                <w:rFonts w:hint="eastAsia" w:ascii="宋体" w:hAnsi="宋体" w:eastAsia="宋体" w:cs="宋体"/>
                <w:b/>
                <w:bCs/>
                <w:color w:val="auto"/>
                <w:kern w:val="44"/>
                <w:sz w:val="24"/>
                <w:szCs w:val="24"/>
                <w:lang w:val="zh-CN"/>
              </w:rPr>
              <w:t>名称</w:t>
            </w:r>
          </w:p>
        </w:tc>
        <w:tc>
          <w:tcPr>
            <w:tcW w:w="2034" w:type="dxa"/>
            <w:vAlign w:val="center"/>
          </w:tcPr>
          <w:p w14:paraId="2C8748EC">
            <w:pPr>
              <w:widowControl w:val="0"/>
              <w:jc w:val="center"/>
              <w:rPr>
                <w:rFonts w:hint="eastAsia" w:ascii="宋体" w:hAnsi="宋体" w:eastAsia="宋体" w:cs="宋体"/>
                <w:b/>
                <w:bCs/>
                <w:color w:val="auto"/>
                <w:kern w:val="44"/>
                <w:sz w:val="24"/>
                <w:szCs w:val="24"/>
                <w:lang w:val="zh-CN"/>
              </w:rPr>
            </w:pPr>
            <w:r>
              <w:rPr>
                <w:rFonts w:hint="eastAsia" w:ascii="宋体" w:hAnsi="宋体" w:eastAsia="宋体" w:cs="宋体"/>
                <w:b/>
                <w:bCs/>
                <w:color w:val="auto"/>
                <w:kern w:val="44"/>
                <w:sz w:val="24"/>
                <w:szCs w:val="24"/>
                <w:lang w:val="zh-CN"/>
              </w:rPr>
              <w:t>数量</w:t>
            </w:r>
          </w:p>
        </w:tc>
        <w:tc>
          <w:tcPr>
            <w:tcW w:w="3474" w:type="dxa"/>
            <w:vAlign w:val="center"/>
          </w:tcPr>
          <w:p w14:paraId="5D0554B5">
            <w:pPr>
              <w:widowControl w:val="0"/>
              <w:jc w:val="center"/>
              <w:rPr>
                <w:rFonts w:hint="eastAsia" w:ascii="宋体" w:hAnsi="宋体" w:eastAsia="宋体" w:cs="宋体"/>
                <w:b/>
                <w:bCs/>
                <w:color w:val="auto"/>
                <w:kern w:val="44"/>
                <w:sz w:val="24"/>
                <w:szCs w:val="24"/>
                <w:lang w:val="zh-CN"/>
              </w:rPr>
            </w:pPr>
            <w:r>
              <w:rPr>
                <w:rFonts w:hint="eastAsia" w:ascii="宋体" w:hAnsi="宋体" w:eastAsia="宋体" w:cs="宋体"/>
                <w:b/>
                <w:bCs/>
                <w:color w:val="auto"/>
                <w:kern w:val="44"/>
                <w:sz w:val="24"/>
                <w:szCs w:val="24"/>
                <w:lang w:val="zh-CN"/>
              </w:rPr>
              <w:t>合计金额（元）</w:t>
            </w:r>
          </w:p>
        </w:tc>
      </w:tr>
      <w:tr w14:paraId="339E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vAlign w:val="center"/>
          </w:tcPr>
          <w:p w14:paraId="0E672426">
            <w:pPr>
              <w:widowControl w:val="0"/>
              <w:jc w:val="center"/>
              <w:rPr>
                <w:rFonts w:hint="default" w:ascii="宋体" w:hAnsi="宋体" w:eastAsia="宋体" w:cs="宋体"/>
                <w:b/>
                <w:bCs/>
                <w:color w:val="auto"/>
                <w:kern w:val="44"/>
                <w:sz w:val="24"/>
                <w:szCs w:val="24"/>
                <w:lang w:val="en-US" w:eastAsia="zh-CN"/>
              </w:rPr>
            </w:pPr>
            <w:r>
              <w:rPr>
                <w:rFonts w:hint="eastAsia" w:ascii="宋体" w:hAnsi="宋体" w:eastAsia="宋体" w:cs="宋体"/>
                <w:b/>
                <w:bCs/>
                <w:color w:val="auto"/>
                <w:kern w:val="44"/>
                <w:sz w:val="24"/>
                <w:szCs w:val="24"/>
                <w:lang w:val="en-US" w:eastAsia="zh-CN"/>
              </w:rPr>
              <w:t>一</w:t>
            </w:r>
          </w:p>
        </w:tc>
        <w:tc>
          <w:tcPr>
            <w:tcW w:w="2685" w:type="dxa"/>
            <w:shd w:val="clear" w:color="auto" w:fill="auto"/>
            <w:vAlign w:val="center"/>
          </w:tcPr>
          <w:p w14:paraId="25E28412">
            <w:pPr>
              <w:widowControl w:val="0"/>
              <w:jc w:val="center"/>
              <w:rPr>
                <w:rFonts w:hint="eastAsia" w:ascii="宋体" w:hAnsi="宋体" w:eastAsia="宋体" w:cs="宋体"/>
                <w:b/>
                <w:bCs/>
                <w:color w:val="auto"/>
                <w:kern w:val="44"/>
                <w:sz w:val="24"/>
                <w:szCs w:val="24"/>
                <w:lang w:val="zh-CN" w:eastAsia="zh-CN"/>
              </w:rPr>
            </w:pPr>
            <w:r>
              <w:rPr>
                <w:rFonts w:hint="eastAsia" w:ascii="宋体" w:hAnsi="宋体" w:eastAsia="宋体" w:cs="宋体"/>
                <w:b/>
                <w:bCs/>
                <w:color w:val="auto"/>
                <w:kern w:val="44"/>
                <w:sz w:val="24"/>
                <w:szCs w:val="24"/>
                <w:lang w:val="zh-CN" w:eastAsia="zh-CN"/>
              </w:rPr>
              <w:t>化验室、B超室、影像科等设备采购</w:t>
            </w:r>
          </w:p>
        </w:tc>
        <w:tc>
          <w:tcPr>
            <w:tcW w:w="2034" w:type="dxa"/>
            <w:shd w:val="clear" w:color="auto" w:fill="auto"/>
            <w:vAlign w:val="center"/>
          </w:tcPr>
          <w:p w14:paraId="7DF17E34">
            <w:pPr>
              <w:widowControl w:val="0"/>
              <w:jc w:val="center"/>
              <w:rPr>
                <w:rFonts w:hint="eastAsia" w:ascii="宋体" w:hAnsi="宋体" w:eastAsia="宋体" w:cs="宋体"/>
                <w:b/>
                <w:bCs/>
                <w:color w:val="auto"/>
                <w:kern w:val="44"/>
                <w:sz w:val="24"/>
                <w:szCs w:val="24"/>
                <w:lang w:eastAsia="zh-CN"/>
              </w:rPr>
            </w:pPr>
            <w:r>
              <w:rPr>
                <w:rFonts w:hint="eastAsia" w:ascii="宋体" w:hAnsi="宋体" w:eastAsia="宋体" w:cs="宋体"/>
                <w:b/>
                <w:bCs/>
                <w:color w:val="auto"/>
                <w:kern w:val="44"/>
                <w:sz w:val="24"/>
                <w:szCs w:val="24"/>
                <w:lang w:eastAsia="zh-CN"/>
              </w:rPr>
              <w:t>1批</w:t>
            </w:r>
          </w:p>
        </w:tc>
        <w:tc>
          <w:tcPr>
            <w:tcW w:w="3474" w:type="dxa"/>
            <w:shd w:val="clear" w:color="auto" w:fill="auto"/>
            <w:vAlign w:val="center"/>
          </w:tcPr>
          <w:p w14:paraId="34837EA9">
            <w:pPr>
              <w:widowControl w:val="0"/>
              <w:jc w:val="center"/>
              <w:rPr>
                <w:rFonts w:hint="eastAsia" w:ascii="宋体" w:hAnsi="宋体" w:eastAsia="宋体" w:cs="宋体"/>
                <w:b/>
                <w:bCs/>
                <w:color w:val="auto"/>
                <w:kern w:val="44"/>
                <w:sz w:val="24"/>
                <w:szCs w:val="24"/>
                <w:lang w:eastAsia="zh-CN"/>
              </w:rPr>
            </w:pPr>
            <w:r>
              <w:rPr>
                <w:rFonts w:ascii="宋体" w:hAnsi="宋体" w:eastAsia="宋体" w:cs="宋体"/>
                <w:b/>
                <w:bCs/>
                <w:color w:val="auto"/>
                <w:kern w:val="44"/>
                <w:sz w:val="24"/>
                <w:szCs w:val="24"/>
                <w:lang w:eastAsia="zh-CN"/>
              </w:rPr>
              <w:t>6127800</w:t>
            </w:r>
          </w:p>
        </w:tc>
      </w:tr>
      <w:tr w14:paraId="24C3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vAlign w:val="center"/>
          </w:tcPr>
          <w:p w14:paraId="74814F7B">
            <w:pPr>
              <w:widowControl w:val="0"/>
              <w:jc w:val="center"/>
              <w:rPr>
                <w:rFonts w:hint="default" w:ascii="宋体" w:hAnsi="宋体" w:eastAsia="宋体" w:cs="宋体"/>
                <w:b/>
                <w:bCs/>
                <w:color w:val="auto"/>
                <w:kern w:val="44"/>
                <w:sz w:val="24"/>
                <w:szCs w:val="24"/>
                <w:lang w:val="en-US" w:eastAsia="zh-CN"/>
              </w:rPr>
            </w:pPr>
            <w:r>
              <w:rPr>
                <w:rFonts w:hint="eastAsia" w:ascii="宋体" w:hAnsi="宋体" w:eastAsia="宋体" w:cs="宋体"/>
                <w:b/>
                <w:bCs/>
                <w:color w:val="auto"/>
                <w:kern w:val="44"/>
                <w:sz w:val="24"/>
                <w:szCs w:val="24"/>
                <w:lang w:val="en-US" w:eastAsia="zh-CN"/>
              </w:rPr>
              <w:t>二</w:t>
            </w:r>
          </w:p>
        </w:tc>
        <w:tc>
          <w:tcPr>
            <w:tcW w:w="2685" w:type="dxa"/>
            <w:shd w:val="clear" w:color="auto" w:fill="auto"/>
            <w:vAlign w:val="center"/>
          </w:tcPr>
          <w:p w14:paraId="1FD32915">
            <w:pPr>
              <w:widowControl w:val="0"/>
              <w:jc w:val="center"/>
              <w:rPr>
                <w:rFonts w:hint="eastAsia" w:ascii="宋体" w:hAnsi="宋体" w:eastAsia="宋体" w:cs="宋体"/>
                <w:b/>
                <w:bCs/>
                <w:color w:val="auto"/>
                <w:kern w:val="44"/>
                <w:sz w:val="24"/>
                <w:szCs w:val="24"/>
                <w:lang w:val="zh-CN" w:eastAsia="zh-CN"/>
              </w:rPr>
            </w:pPr>
            <w:r>
              <w:rPr>
                <w:rFonts w:hint="eastAsia" w:ascii="宋体" w:hAnsi="宋体" w:eastAsia="宋体" w:cs="宋体"/>
                <w:b/>
                <w:bCs/>
                <w:color w:val="auto"/>
                <w:kern w:val="44"/>
                <w:sz w:val="24"/>
                <w:szCs w:val="24"/>
                <w:lang w:val="zh-CN" w:eastAsia="zh-CN"/>
              </w:rPr>
              <w:t>康复、中药调剂系统等设备采购</w:t>
            </w:r>
          </w:p>
        </w:tc>
        <w:tc>
          <w:tcPr>
            <w:tcW w:w="2034" w:type="dxa"/>
            <w:shd w:val="clear" w:color="auto" w:fill="auto"/>
            <w:vAlign w:val="center"/>
          </w:tcPr>
          <w:p w14:paraId="02DBC6CD">
            <w:pPr>
              <w:widowControl w:val="0"/>
              <w:jc w:val="center"/>
              <w:rPr>
                <w:rFonts w:hint="eastAsia" w:ascii="宋体" w:hAnsi="宋体" w:eastAsia="宋体" w:cs="宋体"/>
                <w:b/>
                <w:bCs/>
                <w:color w:val="auto"/>
                <w:kern w:val="44"/>
                <w:sz w:val="24"/>
                <w:szCs w:val="24"/>
                <w:lang w:eastAsia="zh-CN"/>
              </w:rPr>
            </w:pPr>
            <w:r>
              <w:rPr>
                <w:rFonts w:hint="eastAsia" w:ascii="宋体" w:hAnsi="宋体" w:eastAsia="宋体" w:cs="宋体"/>
                <w:b/>
                <w:bCs/>
                <w:color w:val="auto"/>
                <w:kern w:val="44"/>
                <w:sz w:val="24"/>
                <w:szCs w:val="24"/>
                <w:lang w:eastAsia="zh-CN"/>
              </w:rPr>
              <w:t>1批</w:t>
            </w:r>
          </w:p>
        </w:tc>
        <w:tc>
          <w:tcPr>
            <w:tcW w:w="3474" w:type="dxa"/>
            <w:shd w:val="clear" w:color="auto" w:fill="auto"/>
            <w:vAlign w:val="center"/>
          </w:tcPr>
          <w:p w14:paraId="4466547B">
            <w:pPr>
              <w:widowControl w:val="0"/>
              <w:jc w:val="center"/>
              <w:rPr>
                <w:rFonts w:hint="eastAsia" w:ascii="宋体" w:hAnsi="宋体" w:eastAsia="宋体" w:cs="宋体"/>
                <w:b/>
                <w:bCs/>
                <w:color w:val="auto"/>
                <w:kern w:val="44"/>
                <w:sz w:val="24"/>
                <w:szCs w:val="24"/>
                <w:lang w:eastAsia="zh-CN"/>
              </w:rPr>
            </w:pPr>
            <w:r>
              <w:rPr>
                <w:rFonts w:ascii="宋体" w:hAnsi="宋体" w:eastAsia="宋体" w:cs="宋体"/>
                <w:b/>
                <w:bCs/>
                <w:color w:val="auto"/>
                <w:kern w:val="44"/>
                <w:sz w:val="24"/>
                <w:szCs w:val="24"/>
                <w:lang w:eastAsia="zh-CN"/>
              </w:rPr>
              <w:t>1872200</w:t>
            </w:r>
          </w:p>
        </w:tc>
      </w:tr>
      <w:tr w14:paraId="0088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03" w:type="dxa"/>
            <w:gridSpan w:val="3"/>
            <w:vAlign w:val="center"/>
          </w:tcPr>
          <w:p w14:paraId="03D278A8">
            <w:pPr>
              <w:widowControl w:val="0"/>
              <w:jc w:val="center"/>
              <w:rPr>
                <w:rFonts w:hint="eastAsia" w:ascii="宋体" w:hAnsi="宋体" w:eastAsia="宋体" w:cs="宋体"/>
                <w:b/>
                <w:bCs/>
                <w:color w:val="auto"/>
                <w:kern w:val="44"/>
                <w:sz w:val="24"/>
                <w:szCs w:val="24"/>
                <w:lang w:eastAsia="zh-CN"/>
              </w:rPr>
            </w:pPr>
            <w:r>
              <w:rPr>
                <w:rFonts w:hint="eastAsia" w:ascii="宋体" w:hAnsi="宋体" w:eastAsia="宋体" w:cs="宋体"/>
                <w:b/>
                <w:bCs/>
                <w:color w:val="auto"/>
                <w:kern w:val="44"/>
                <w:sz w:val="24"/>
                <w:szCs w:val="24"/>
                <w:lang w:val="zh-CN"/>
              </w:rPr>
              <w:t>总预算金额</w:t>
            </w:r>
          </w:p>
        </w:tc>
        <w:tc>
          <w:tcPr>
            <w:tcW w:w="3474" w:type="dxa"/>
            <w:shd w:val="clear" w:color="auto" w:fill="auto"/>
            <w:vAlign w:val="center"/>
          </w:tcPr>
          <w:p w14:paraId="3C6B6ED7">
            <w:pPr>
              <w:widowControl w:val="0"/>
              <w:jc w:val="center"/>
              <w:rPr>
                <w:rFonts w:hint="eastAsia" w:ascii="宋体" w:hAnsi="宋体" w:eastAsia="宋体" w:cs="宋体"/>
                <w:b/>
                <w:bCs/>
                <w:color w:val="auto"/>
                <w:kern w:val="44"/>
                <w:sz w:val="24"/>
                <w:szCs w:val="24"/>
                <w:lang w:eastAsia="zh-CN"/>
              </w:rPr>
            </w:pPr>
            <w:r>
              <w:rPr>
                <w:rFonts w:hint="eastAsia" w:ascii="宋体" w:hAnsi="宋体" w:eastAsia="宋体" w:cs="宋体"/>
                <w:b/>
                <w:bCs/>
                <w:color w:val="auto"/>
                <w:kern w:val="44"/>
                <w:sz w:val="24"/>
                <w:szCs w:val="24"/>
                <w:lang w:eastAsia="zh-CN"/>
              </w:rPr>
              <w:t>8000000</w:t>
            </w:r>
          </w:p>
        </w:tc>
      </w:tr>
    </w:tbl>
    <w:p w14:paraId="7FB0C90C">
      <w:pPr>
        <w:numPr>
          <w:ilvl w:val="0"/>
          <w:numId w:val="7"/>
        </w:numPr>
        <w:spacing w:before="240" w:beforeLines="100" w:line="360" w:lineRule="auto"/>
        <w:jc w:val="both"/>
        <w:rPr>
          <w:rFonts w:hint="eastAsia" w:ascii="宋体" w:hAnsi="宋体" w:eastAsia="宋体" w:cs="宋体"/>
          <w:b/>
          <w:bCs/>
          <w:color w:val="auto"/>
          <w:kern w:val="44"/>
          <w:sz w:val="28"/>
          <w:szCs w:val="28"/>
          <w:highlight w:val="none"/>
          <w:lang w:val="zh-CN" w:eastAsia="zh-CN"/>
        </w:rPr>
      </w:pPr>
      <w:r>
        <w:rPr>
          <w:rFonts w:hint="eastAsia" w:ascii="宋体" w:hAnsi="宋体" w:eastAsia="宋体" w:cs="宋体"/>
          <w:b/>
          <w:bCs/>
          <w:color w:val="auto"/>
          <w:kern w:val="44"/>
          <w:sz w:val="28"/>
          <w:szCs w:val="28"/>
          <w:highlight w:val="none"/>
          <w:lang w:val="en-US" w:eastAsia="zh-CN"/>
        </w:rPr>
        <w:t>标段一</w:t>
      </w:r>
      <w:r>
        <w:rPr>
          <w:rFonts w:hint="eastAsia" w:ascii="宋体" w:hAnsi="宋体" w:eastAsia="宋体" w:cs="宋体"/>
          <w:b/>
          <w:bCs/>
          <w:color w:val="auto"/>
          <w:kern w:val="44"/>
          <w:sz w:val="28"/>
          <w:szCs w:val="28"/>
          <w:highlight w:val="none"/>
          <w:lang w:val="zh-CN" w:eastAsia="zh-CN"/>
        </w:rPr>
        <w:t>设备技术参数</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25"/>
        <w:gridCol w:w="1502"/>
        <w:gridCol w:w="1134"/>
        <w:gridCol w:w="1232"/>
        <w:gridCol w:w="2007"/>
        <w:gridCol w:w="1475"/>
      </w:tblGrid>
      <w:tr w14:paraId="40C573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2CAF5EF2">
            <w:pPr>
              <w:widowControl w:val="0"/>
              <w:spacing w:before="184" w:line="359" w:lineRule="auto"/>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1、设备名称</w:t>
            </w:r>
          </w:p>
        </w:tc>
        <w:tc>
          <w:tcPr>
            <w:tcW w:w="1502" w:type="dxa"/>
            <w:vAlign w:val="center"/>
          </w:tcPr>
          <w:p w14:paraId="2A2F9E9D">
            <w:pPr>
              <w:widowControl w:val="0"/>
              <w:spacing w:before="184" w:line="359" w:lineRule="auto"/>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吸痰器</w:t>
            </w:r>
          </w:p>
        </w:tc>
        <w:tc>
          <w:tcPr>
            <w:tcW w:w="1134" w:type="dxa"/>
            <w:vAlign w:val="center"/>
          </w:tcPr>
          <w:p w14:paraId="6C0958B5">
            <w:pPr>
              <w:widowControl w:val="0"/>
              <w:spacing w:before="184" w:line="359" w:lineRule="auto"/>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0A5768EA">
            <w:pPr>
              <w:widowControl w:val="0"/>
              <w:spacing w:before="184" w:line="359" w:lineRule="auto"/>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5个</w:t>
            </w:r>
          </w:p>
        </w:tc>
        <w:tc>
          <w:tcPr>
            <w:tcW w:w="2007" w:type="dxa"/>
            <w:vAlign w:val="center"/>
          </w:tcPr>
          <w:p w14:paraId="7F5B0EA8">
            <w:pPr>
              <w:widowControl w:val="0"/>
              <w:spacing w:before="184" w:line="359" w:lineRule="auto"/>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00819D38">
            <w:pPr>
              <w:widowControl w:val="0"/>
              <w:spacing w:before="184" w:line="359" w:lineRule="auto"/>
              <w:ind w:left="2" w:right="2" w:firstLine="481"/>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2300</w:t>
            </w:r>
          </w:p>
        </w:tc>
      </w:tr>
      <w:tr w14:paraId="592BF1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5D2CD0DB">
            <w:pPr>
              <w:widowControl w:val="0"/>
              <w:spacing w:before="184" w:line="359" w:lineRule="auto"/>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0AA941C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主机重量：≤5kg（含电池)</w:t>
            </w:r>
          </w:p>
          <w:p w14:paraId="09915AF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输入电源：内部：DC12V，5A；外部: 100-240V~ 50/60Hz</w:t>
            </w:r>
          </w:p>
          <w:p w14:paraId="3B32F66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抽气速率：≥20L/min</w:t>
            </w:r>
          </w:p>
          <w:p w14:paraId="25CED60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极限负压值：≥80kPa </w:t>
            </w:r>
          </w:p>
          <w:p w14:paraId="1FCB34D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负压精度：±5kPa</w:t>
            </w:r>
          </w:p>
          <w:p w14:paraId="6B6AE14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负压指示器：表盘指针显示压力</w:t>
            </w:r>
          </w:p>
          <w:p w14:paraId="02B1F10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过滤器：具有滞留颗粒物的装置</w:t>
            </w:r>
          </w:p>
          <w:p w14:paraId="45CB4A6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收集罐：≥1 L</w:t>
            </w:r>
          </w:p>
          <w:p w14:paraId="0448E66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最高噪音值：≤70dB</w:t>
            </w:r>
          </w:p>
          <w:p w14:paraId="2CBAC00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内置锂电池：14.8V，≥2600mAh</w:t>
            </w:r>
          </w:p>
          <w:p w14:paraId="63BDDB7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标配车载挂架，可方便用于固定主机、并可单手操作</w:t>
            </w:r>
          </w:p>
        </w:tc>
      </w:tr>
      <w:tr w14:paraId="114416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1A02C18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2、设备名称</w:t>
            </w:r>
          </w:p>
        </w:tc>
        <w:tc>
          <w:tcPr>
            <w:tcW w:w="1502" w:type="dxa"/>
            <w:vAlign w:val="center"/>
          </w:tcPr>
          <w:p w14:paraId="2FB54469">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微量注射泵</w:t>
            </w:r>
          </w:p>
        </w:tc>
        <w:tc>
          <w:tcPr>
            <w:tcW w:w="1134" w:type="dxa"/>
            <w:vAlign w:val="center"/>
          </w:tcPr>
          <w:p w14:paraId="159A78C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2F24ADAB">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5个</w:t>
            </w:r>
          </w:p>
        </w:tc>
        <w:tc>
          <w:tcPr>
            <w:tcW w:w="2007" w:type="dxa"/>
            <w:vAlign w:val="center"/>
          </w:tcPr>
          <w:p w14:paraId="7C08364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3F66E529">
            <w:pPr>
              <w:widowControl w:val="0"/>
              <w:spacing w:before="184"/>
              <w:ind w:right="2" w:firstLine="472" w:firstLineChars="2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2500</w:t>
            </w:r>
          </w:p>
        </w:tc>
      </w:tr>
      <w:tr w14:paraId="27970F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0" w:hRule="atLeast"/>
        </w:trPr>
        <w:tc>
          <w:tcPr>
            <w:tcW w:w="1725" w:type="dxa"/>
            <w:vAlign w:val="center"/>
          </w:tcPr>
          <w:p w14:paraId="608712D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0D9C374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注射模式：流速模式，流速-时间模式，流速-总量模式，时间-总量模式，</w:t>
            </w:r>
          </w:p>
          <w:p w14:paraId="4906402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▲操作方式：数字按键调节，简单快捷，减少误操作</w:t>
            </w:r>
          </w:p>
          <w:p w14:paraId="5F5850A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▲具有叠加功能：不需要支架可任意叠加组成多通道注射泵</w:t>
            </w:r>
          </w:p>
          <w:p w14:paraId="5AB3918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注射速度设定范围：5ml：0.1-150ml/h；10ml：0.1-300ml/h；20ml：0.1-600ml/h；30ml：0.1-900ml/h；50/60ml：0.1-1200ml/h；流速&lt;100ml/h，步进值0.1，流速≥100ml/h，步进值1</w:t>
            </w:r>
          </w:p>
          <w:p w14:paraId="7D085F7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▲注射精度：±1.9%或±0.005ml/h(取大值)</w:t>
            </w:r>
          </w:p>
          <w:p w14:paraId="45E1C08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注射量预置范围：0-9999ml，&lt;100ml步进值0.1，≥100ml步进值1</w:t>
            </w:r>
          </w:p>
          <w:p w14:paraId="3EE15D1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注射量预置量精度：±1.9%或±0.005ml(取大值)</w:t>
            </w:r>
          </w:p>
          <w:p w14:paraId="5B6F528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注射时间设置范围：00:01-99:59（小时:分钟）</w:t>
            </w:r>
          </w:p>
          <w:p w14:paraId="4678D92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快排速度：5ml：150ml/h，10ml：300ml/h，20ml：600ml/h，30ml：900ml/h；50/60ml：1200ml/h；快排平均流速精度：±1.9%</w:t>
            </w:r>
          </w:p>
          <w:p w14:paraId="2293CD6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丸剂速度：5ml：0.1-150ml/h；10ml：0.1-300ml/h；20ml：0.1-600ml/h；30ml：0.1-900ml/h；50/60ml：0.1-1200ml/h；流速&lt;100ml/h，步进值0.1，流速≥100ml/h，步进值1</w:t>
            </w:r>
          </w:p>
          <w:p w14:paraId="3D9F77E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单次丸剂量：0.1-10ml可调，步进值0.1，默认3ml</w:t>
            </w:r>
          </w:p>
          <w:p w14:paraId="122CC729">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最大输液压力：120KPa</w:t>
            </w:r>
          </w:p>
          <w:p w14:paraId="6B8884A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阻塞报警阈值：高100KPa±20KPa，中60 KPa±20KPa，低40 KPa±20KPa</w:t>
            </w:r>
          </w:p>
          <w:p w14:paraId="380AEC5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KVO流速：0.1-5.0ml/h可调，默认值1ml/h，步进值0.1，平均流速精度: ±1.9%或±0.005ml/h(取大值)</w:t>
            </w:r>
          </w:p>
          <w:p w14:paraId="19E74A4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报警提示功能：阻塞报警，完成报警，接近完成报警，推空报警，接近推空报警， 暂停超时报警，电池电量低报警，电池耗尽报警，故障报警，规格错误报警，推柄脱落报警，网电源断开报警，网电源接入提示，电池充电提示，电池充电完成提示</w:t>
            </w:r>
          </w:p>
          <w:p w14:paraId="7F78569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报警方式：设备依据输液安全风险等级分为高优先级和低优先级报警，并以不同颜色指示灯、报警音及符号提示</w:t>
            </w:r>
          </w:p>
          <w:p w14:paraId="2D32FA0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▲内部电池：电池外部可拆卸，锂电池充满电中速（5ml/h）运行连续工作时间大于8h</w:t>
            </w:r>
          </w:p>
          <w:p w14:paraId="0537272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额定电压、频率和输入功率： ～100V-240V  50Hz/60Hz30VA</w:t>
            </w:r>
          </w:p>
          <w:p w14:paraId="0D9EFC0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防电击程度分类：I类CF型设备</w:t>
            </w:r>
          </w:p>
          <w:p w14:paraId="4EECE2C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进液防护程度分类：IPX4</w:t>
            </w:r>
          </w:p>
          <w:p w14:paraId="07F3A9F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外观尺寸：260mm ×215mm × 110mm</w:t>
            </w:r>
          </w:p>
          <w:p w14:paraId="37479C0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重量:2.0Kg</w:t>
            </w:r>
          </w:p>
          <w:p w14:paraId="46E330D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使用环境要求： a、大气压力:76KPa～106Kpa；b、环境温度:+5℃～+40℃；c、相对湿度:20%～90%</w:t>
            </w:r>
          </w:p>
        </w:tc>
      </w:tr>
      <w:tr w14:paraId="31701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027C8AF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3、设备名称</w:t>
            </w:r>
          </w:p>
        </w:tc>
        <w:tc>
          <w:tcPr>
            <w:tcW w:w="1502" w:type="dxa"/>
            <w:vAlign w:val="center"/>
          </w:tcPr>
          <w:p w14:paraId="58BC446B">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除颤仪</w:t>
            </w:r>
          </w:p>
        </w:tc>
        <w:tc>
          <w:tcPr>
            <w:tcW w:w="1134" w:type="dxa"/>
            <w:vAlign w:val="center"/>
          </w:tcPr>
          <w:p w14:paraId="38C3BD53">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6947FB13">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4个</w:t>
            </w:r>
          </w:p>
        </w:tc>
        <w:tc>
          <w:tcPr>
            <w:tcW w:w="2007" w:type="dxa"/>
            <w:vAlign w:val="center"/>
          </w:tcPr>
          <w:p w14:paraId="77DBE88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591B2088">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30000</w:t>
            </w:r>
          </w:p>
        </w:tc>
      </w:tr>
      <w:tr w14:paraId="1F3348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618E990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vAlign w:val="center"/>
          </w:tcPr>
          <w:p w14:paraId="4BD30CCE">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主机屏幕：≥</w:t>
            </w:r>
            <w:r>
              <w:rPr>
                <w:rFonts w:ascii="宋体" w:hAnsi="宋体" w:eastAsia="宋体" w:cs="宋体"/>
                <w:color w:val="auto"/>
                <w:spacing w:val="-2"/>
                <w:sz w:val="24"/>
                <w:szCs w:val="24"/>
                <w:lang w:eastAsia="zh-CN"/>
              </w:rPr>
              <w:t>7</w:t>
            </w:r>
            <w:r>
              <w:rPr>
                <w:rFonts w:hint="eastAsia" w:ascii="宋体" w:hAnsi="宋体" w:eastAsia="宋体" w:cs="宋体"/>
                <w:color w:val="auto"/>
                <w:spacing w:val="-2"/>
                <w:sz w:val="24"/>
                <w:szCs w:val="24"/>
                <w:lang w:eastAsia="zh-CN"/>
              </w:rPr>
              <w:t>英寸彩色</w:t>
            </w:r>
            <w:r>
              <w:rPr>
                <w:rFonts w:ascii="宋体" w:hAnsi="宋体" w:eastAsia="宋体" w:cs="宋体"/>
                <w:color w:val="auto"/>
                <w:spacing w:val="-2"/>
                <w:sz w:val="24"/>
                <w:szCs w:val="24"/>
                <w:lang w:eastAsia="zh-CN"/>
              </w:rPr>
              <w:t>TFT</w:t>
            </w:r>
            <w:r>
              <w:rPr>
                <w:rFonts w:hint="eastAsia" w:ascii="宋体" w:hAnsi="宋体" w:eastAsia="宋体" w:cs="宋体"/>
                <w:color w:val="auto"/>
                <w:spacing w:val="-2"/>
                <w:sz w:val="24"/>
                <w:szCs w:val="24"/>
                <w:lang w:eastAsia="zh-CN"/>
              </w:rPr>
              <w:t>屏幕，分辨率</w:t>
            </w:r>
            <w:r>
              <w:rPr>
                <w:rFonts w:ascii="宋体" w:hAnsi="宋体" w:eastAsia="宋体" w:cs="宋体"/>
                <w:color w:val="auto"/>
                <w:spacing w:val="-2"/>
                <w:sz w:val="24"/>
                <w:szCs w:val="24"/>
                <w:lang w:eastAsia="zh-CN"/>
              </w:rPr>
              <w:t xml:space="preserve">800×480 </w:t>
            </w:r>
          </w:p>
          <w:p w14:paraId="419A8056">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主机重量（含电池）</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5.8kg </w:t>
            </w:r>
          </w:p>
          <w:p w14:paraId="44A09FF1">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3.</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具备体外同步</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非同步除颤，同步放电延迟时间小于</w:t>
            </w:r>
            <w:r>
              <w:rPr>
                <w:rFonts w:ascii="宋体" w:hAnsi="宋体" w:eastAsia="宋体" w:cs="宋体"/>
                <w:color w:val="auto"/>
                <w:spacing w:val="-2"/>
                <w:sz w:val="24"/>
                <w:szCs w:val="24"/>
                <w:lang w:eastAsia="zh-CN"/>
              </w:rPr>
              <w:t xml:space="preserve"> 60ms</w:t>
            </w:r>
            <w:r>
              <w:rPr>
                <w:rFonts w:hint="eastAsia" w:ascii="宋体" w:hAnsi="宋体" w:eastAsia="宋体" w:cs="宋体"/>
                <w:color w:val="auto"/>
                <w:spacing w:val="-2"/>
                <w:sz w:val="24"/>
                <w:szCs w:val="24"/>
                <w:lang w:eastAsia="zh-CN"/>
              </w:rPr>
              <w:t>（自</w:t>
            </w:r>
            <w:r>
              <w:rPr>
                <w:rFonts w:ascii="宋体" w:hAnsi="宋体" w:eastAsia="宋体" w:cs="宋体"/>
                <w:color w:val="auto"/>
                <w:spacing w:val="-2"/>
                <w:sz w:val="24"/>
                <w:szCs w:val="24"/>
                <w:lang w:eastAsia="zh-CN"/>
              </w:rPr>
              <w:t>R</w:t>
            </w:r>
            <w:r>
              <w:rPr>
                <w:rFonts w:hint="eastAsia" w:ascii="宋体" w:hAnsi="宋体" w:eastAsia="宋体" w:cs="宋体"/>
                <w:color w:val="auto"/>
                <w:spacing w:val="-2"/>
                <w:sz w:val="24"/>
                <w:szCs w:val="24"/>
                <w:lang w:eastAsia="zh-CN"/>
              </w:rPr>
              <w:t>波尖峰起）</w:t>
            </w:r>
            <w:r>
              <w:rPr>
                <w:rFonts w:ascii="宋体" w:hAnsi="宋体" w:eastAsia="宋体" w:cs="宋体"/>
                <w:color w:val="auto"/>
                <w:spacing w:val="-2"/>
                <w:sz w:val="24"/>
                <w:szCs w:val="24"/>
                <w:lang w:eastAsia="zh-CN"/>
              </w:rPr>
              <w:t xml:space="preserve"> </w:t>
            </w:r>
          </w:p>
          <w:p w14:paraId="16FA83E2">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采用双相指数截断（</w:t>
            </w:r>
            <w:r>
              <w:rPr>
                <w:rFonts w:ascii="宋体" w:hAnsi="宋体" w:eastAsia="宋体" w:cs="宋体"/>
                <w:color w:val="auto"/>
                <w:spacing w:val="-2"/>
                <w:sz w:val="24"/>
                <w:szCs w:val="24"/>
                <w:lang w:eastAsia="zh-CN"/>
              </w:rPr>
              <w:t xml:space="preserve"> BTE</w:t>
            </w:r>
            <w:r>
              <w:rPr>
                <w:rFonts w:hint="eastAsia" w:ascii="宋体" w:hAnsi="宋体" w:eastAsia="宋体" w:cs="宋体"/>
                <w:color w:val="auto"/>
                <w:spacing w:val="-2"/>
                <w:sz w:val="24"/>
                <w:szCs w:val="24"/>
                <w:lang w:eastAsia="zh-CN"/>
              </w:rPr>
              <w:t>）波，波形参数可根据病人阻抗进行自动补偿</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建议初始能量</w:t>
            </w:r>
            <w:r>
              <w:rPr>
                <w:rFonts w:ascii="宋体" w:hAnsi="宋体" w:eastAsia="宋体" w:cs="宋体"/>
                <w:color w:val="auto"/>
                <w:spacing w:val="-2"/>
                <w:sz w:val="24"/>
                <w:szCs w:val="24"/>
                <w:lang w:eastAsia="zh-CN"/>
              </w:rPr>
              <w:t>150J</w:t>
            </w:r>
            <w:r>
              <w:rPr>
                <w:rFonts w:hint="eastAsia" w:ascii="宋体" w:hAnsi="宋体" w:eastAsia="宋体" w:cs="宋体"/>
                <w:color w:val="auto"/>
                <w:spacing w:val="-2"/>
                <w:sz w:val="24"/>
                <w:szCs w:val="24"/>
                <w:lang w:eastAsia="zh-CN"/>
              </w:rPr>
              <w:t>，保护心肌受损；除颤能量最大</w:t>
            </w:r>
            <w:r>
              <w:rPr>
                <w:rFonts w:ascii="宋体" w:hAnsi="宋体" w:eastAsia="宋体" w:cs="宋体"/>
                <w:color w:val="auto"/>
                <w:spacing w:val="-2"/>
                <w:sz w:val="24"/>
                <w:szCs w:val="24"/>
                <w:lang w:eastAsia="zh-CN"/>
              </w:rPr>
              <w:t>360J</w:t>
            </w:r>
            <w:r>
              <w:rPr>
                <w:rFonts w:hint="eastAsia" w:ascii="宋体" w:hAnsi="宋体" w:eastAsia="宋体" w:cs="宋体"/>
                <w:color w:val="auto"/>
                <w:spacing w:val="-2"/>
                <w:sz w:val="24"/>
                <w:szCs w:val="24"/>
                <w:lang w:eastAsia="zh-CN"/>
              </w:rPr>
              <w:t>，提高除颤成功率和有效性</w:t>
            </w:r>
            <w:r>
              <w:rPr>
                <w:rFonts w:ascii="宋体" w:hAnsi="宋体" w:eastAsia="宋体" w:cs="宋体"/>
                <w:color w:val="auto"/>
                <w:spacing w:val="-2"/>
                <w:sz w:val="24"/>
                <w:szCs w:val="24"/>
                <w:lang w:eastAsia="zh-CN"/>
              </w:rPr>
              <w:t xml:space="preserve"> </w:t>
            </w:r>
          </w:p>
          <w:p w14:paraId="316F831F">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5.</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除颤能量选择范围：能量分</w:t>
            </w:r>
            <w:r>
              <w:rPr>
                <w:rFonts w:ascii="宋体" w:hAnsi="宋体" w:eastAsia="宋体" w:cs="宋体"/>
                <w:color w:val="auto"/>
                <w:spacing w:val="-2"/>
                <w:sz w:val="24"/>
                <w:szCs w:val="24"/>
                <w:lang w:eastAsia="zh-CN"/>
              </w:rPr>
              <w:t>21</w:t>
            </w:r>
            <w:r>
              <w:rPr>
                <w:rFonts w:hint="eastAsia" w:ascii="宋体" w:hAnsi="宋体" w:eastAsia="宋体" w:cs="宋体"/>
                <w:color w:val="auto"/>
                <w:spacing w:val="-2"/>
                <w:sz w:val="24"/>
                <w:szCs w:val="24"/>
                <w:lang w:eastAsia="zh-CN"/>
              </w:rPr>
              <w:t>档（</w:t>
            </w:r>
            <w:r>
              <w:rPr>
                <w:rFonts w:ascii="宋体" w:hAnsi="宋体" w:eastAsia="宋体" w:cs="宋体"/>
                <w:color w:val="auto"/>
                <w:spacing w:val="-2"/>
                <w:sz w:val="24"/>
                <w:szCs w:val="24"/>
                <w:lang w:eastAsia="zh-CN"/>
              </w:rPr>
              <w:t>1/2/3/4/5/6/7/8/9/10/15/20/30/50/70/</w:t>
            </w:r>
          </w:p>
          <w:p w14:paraId="7A6D90E4">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100/150/170/200/300/360J</w:t>
            </w:r>
            <w:r>
              <w:rPr>
                <w:rFonts w:hint="eastAsia" w:ascii="宋体" w:hAnsi="宋体" w:eastAsia="宋体" w:cs="宋体"/>
                <w:color w:val="auto"/>
                <w:spacing w:val="-2"/>
                <w:sz w:val="24"/>
                <w:szCs w:val="24"/>
                <w:lang w:eastAsia="zh-CN"/>
              </w:rPr>
              <w:t>）以上，可通过体外电极板进行能量选择最小为</w:t>
            </w:r>
            <w:r>
              <w:rPr>
                <w:rFonts w:ascii="宋体" w:hAnsi="宋体" w:eastAsia="宋体" w:cs="宋体"/>
                <w:color w:val="auto"/>
                <w:spacing w:val="-2"/>
                <w:sz w:val="24"/>
                <w:szCs w:val="24"/>
                <w:lang w:eastAsia="zh-CN"/>
              </w:rPr>
              <w:t>1J</w:t>
            </w:r>
            <w:r>
              <w:rPr>
                <w:rFonts w:hint="eastAsia" w:ascii="宋体" w:hAnsi="宋体" w:eastAsia="宋体" w:cs="宋体"/>
                <w:color w:val="auto"/>
                <w:spacing w:val="-2"/>
                <w:sz w:val="24"/>
                <w:szCs w:val="24"/>
                <w:lang w:eastAsia="zh-CN"/>
              </w:rPr>
              <w:t>，最大为</w:t>
            </w:r>
            <w:r>
              <w:rPr>
                <w:rFonts w:ascii="宋体" w:hAnsi="宋体" w:eastAsia="宋体" w:cs="宋体"/>
                <w:color w:val="auto"/>
                <w:spacing w:val="-2"/>
                <w:sz w:val="24"/>
                <w:szCs w:val="24"/>
                <w:lang w:eastAsia="zh-CN"/>
              </w:rPr>
              <w:t xml:space="preserve">360J </w:t>
            </w:r>
          </w:p>
          <w:p w14:paraId="46048987">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6.</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具有旋钮式能量选择，可快速选择能量，节约时间</w:t>
            </w:r>
            <w:r>
              <w:rPr>
                <w:rFonts w:ascii="宋体" w:hAnsi="宋体" w:eastAsia="宋体" w:cs="宋体"/>
                <w:color w:val="auto"/>
                <w:spacing w:val="-2"/>
                <w:sz w:val="24"/>
                <w:szCs w:val="24"/>
                <w:lang w:eastAsia="zh-CN"/>
              </w:rPr>
              <w:t xml:space="preserve"> </w:t>
            </w:r>
          </w:p>
          <w:p w14:paraId="73F86D5E">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7.</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除颤充电至</w:t>
            </w:r>
            <w:r>
              <w:rPr>
                <w:rFonts w:ascii="宋体" w:hAnsi="宋体" w:eastAsia="宋体" w:cs="宋体"/>
                <w:color w:val="auto"/>
                <w:spacing w:val="-2"/>
                <w:sz w:val="24"/>
                <w:szCs w:val="24"/>
                <w:lang w:eastAsia="zh-CN"/>
              </w:rPr>
              <w:t>200J</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5S</w:t>
            </w:r>
            <w:r>
              <w:rPr>
                <w:rFonts w:hint="eastAsia" w:ascii="宋体" w:hAnsi="宋体" w:eastAsia="宋体" w:cs="宋体"/>
                <w:color w:val="auto"/>
                <w:spacing w:val="-2"/>
                <w:sz w:val="24"/>
                <w:szCs w:val="24"/>
                <w:lang w:eastAsia="zh-CN"/>
              </w:rPr>
              <w:t>，充电至</w:t>
            </w:r>
            <w:r>
              <w:rPr>
                <w:rFonts w:ascii="宋体" w:hAnsi="宋体" w:eastAsia="宋体" w:cs="宋体"/>
                <w:color w:val="auto"/>
                <w:spacing w:val="-2"/>
                <w:sz w:val="24"/>
                <w:szCs w:val="24"/>
                <w:lang w:eastAsia="zh-CN"/>
              </w:rPr>
              <w:t>360J</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8S </w:t>
            </w:r>
          </w:p>
          <w:p w14:paraId="14588894">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8.</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病人阻抗范围：体外手动除颤：</w:t>
            </w:r>
            <w:r>
              <w:rPr>
                <w:rFonts w:ascii="宋体" w:hAnsi="宋体" w:eastAsia="宋体" w:cs="宋体"/>
                <w:color w:val="auto"/>
                <w:spacing w:val="-2"/>
                <w:sz w:val="24"/>
                <w:szCs w:val="24"/>
                <w:lang w:eastAsia="zh-CN"/>
              </w:rPr>
              <w:t>25~200</w:t>
            </w:r>
            <w:r>
              <w:rPr>
                <w:rFonts w:hint="eastAsia" w:ascii="宋体" w:hAnsi="宋体" w:eastAsia="宋体" w:cs="宋体"/>
                <w:color w:val="auto"/>
                <w:spacing w:val="-2"/>
                <w:sz w:val="24"/>
                <w:szCs w:val="24"/>
                <w:lang w:eastAsia="zh-CN"/>
              </w:rPr>
              <w:t>欧</w:t>
            </w:r>
          </w:p>
          <w:p w14:paraId="5A6DC80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体内手动除颤：</w:t>
            </w:r>
            <w:r>
              <w:rPr>
                <w:rFonts w:ascii="宋体" w:hAnsi="宋体" w:eastAsia="宋体" w:cs="宋体"/>
                <w:color w:val="auto"/>
                <w:spacing w:val="-2"/>
                <w:sz w:val="24"/>
                <w:szCs w:val="24"/>
                <w:lang w:eastAsia="zh-CN"/>
              </w:rPr>
              <w:t>15~200</w:t>
            </w:r>
            <w:r>
              <w:rPr>
                <w:rFonts w:hint="eastAsia" w:ascii="宋体" w:hAnsi="宋体" w:eastAsia="宋体" w:cs="宋体"/>
                <w:color w:val="auto"/>
                <w:spacing w:val="-2"/>
                <w:sz w:val="24"/>
                <w:szCs w:val="24"/>
                <w:lang w:eastAsia="zh-CN"/>
              </w:rPr>
              <w:t>欧</w:t>
            </w:r>
            <w:r>
              <w:rPr>
                <w:rFonts w:ascii="宋体" w:hAnsi="宋体" w:eastAsia="宋体" w:cs="宋体"/>
                <w:color w:val="auto"/>
                <w:spacing w:val="-2"/>
                <w:sz w:val="24"/>
                <w:szCs w:val="24"/>
                <w:lang w:eastAsia="zh-CN"/>
              </w:rPr>
              <w:t xml:space="preserve"> </w:t>
            </w:r>
          </w:p>
          <w:p w14:paraId="1FBB9093">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9.</w:t>
            </w:r>
            <w:r>
              <w:rPr>
                <w:rFonts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AED</w:t>
            </w:r>
            <w:r>
              <w:rPr>
                <w:rFonts w:hint="eastAsia" w:ascii="宋体" w:hAnsi="宋体" w:eastAsia="宋体" w:cs="宋体"/>
                <w:color w:val="auto"/>
                <w:spacing w:val="-2"/>
                <w:sz w:val="24"/>
                <w:szCs w:val="24"/>
                <w:lang w:eastAsia="zh-CN"/>
              </w:rPr>
              <w:t>全自动分析心律，需要进行除颤时按电击按钮进行除颤</w:t>
            </w:r>
            <w:r>
              <w:rPr>
                <w:rFonts w:ascii="宋体" w:hAnsi="宋体" w:eastAsia="宋体" w:cs="宋体"/>
                <w:color w:val="auto"/>
                <w:spacing w:val="-2"/>
                <w:sz w:val="24"/>
                <w:szCs w:val="24"/>
                <w:lang w:eastAsia="zh-CN"/>
              </w:rPr>
              <w:t xml:space="preserve"> </w:t>
            </w:r>
          </w:p>
          <w:p w14:paraId="4D25CAFD">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10.</w:t>
            </w:r>
            <w:r>
              <w:rPr>
                <w:rFonts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AED</w:t>
            </w:r>
            <w:r>
              <w:rPr>
                <w:rFonts w:hint="eastAsia" w:ascii="宋体" w:hAnsi="宋体" w:eastAsia="宋体" w:cs="宋体"/>
                <w:color w:val="auto"/>
                <w:spacing w:val="-2"/>
                <w:sz w:val="24"/>
                <w:szCs w:val="24"/>
                <w:lang w:eastAsia="zh-CN"/>
              </w:rPr>
              <w:t>功能具备一键切换成人及婴幼儿儿童模式</w:t>
            </w:r>
            <w:r>
              <w:rPr>
                <w:rFonts w:ascii="宋体" w:hAnsi="宋体" w:eastAsia="宋体" w:cs="宋体"/>
                <w:color w:val="auto"/>
                <w:spacing w:val="-2"/>
                <w:sz w:val="24"/>
                <w:szCs w:val="24"/>
                <w:lang w:eastAsia="zh-CN"/>
              </w:rPr>
              <w:t xml:space="preserve"> </w:t>
            </w:r>
          </w:p>
          <w:p w14:paraId="2D44206C">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11.</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支持指导</w:t>
            </w:r>
            <w:r>
              <w:rPr>
                <w:rFonts w:ascii="宋体" w:hAnsi="宋体" w:eastAsia="宋体" w:cs="宋体"/>
                <w:color w:val="auto"/>
                <w:spacing w:val="-2"/>
                <w:sz w:val="24"/>
                <w:szCs w:val="24"/>
                <w:lang w:eastAsia="zh-CN"/>
              </w:rPr>
              <w:t>CPR</w:t>
            </w:r>
            <w:r>
              <w:rPr>
                <w:rFonts w:hint="eastAsia" w:ascii="宋体" w:hAnsi="宋体" w:eastAsia="宋体" w:cs="宋体"/>
                <w:color w:val="auto"/>
                <w:spacing w:val="-2"/>
                <w:sz w:val="24"/>
                <w:szCs w:val="24"/>
                <w:lang w:eastAsia="zh-CN"/>
              </w:rPr>
              <w:t>辅助功能，符合</w:t>
            </w:r>
            <w:r>
              <w:rPr>
                <w:rFonts w:ascii="宋体" w:hAnsi="宋体" w:eastAsia="宋体" w:cs="宋体"/>
                <w:color w:val="auto"/>
                <w:spacing w:val="-2"/>
                <w:sz w:val="24"/>
                <w:szCs w:val="24"/>
                <w:lang w:eastAsia="zh-CN"/>
              </w:rPr>
              <w:t>2020 AHA/ERC</w:t>
            </w:r>
            <w:r>
              <w:rPr>
                <w:rFonts w:hint="eastAsia" w:ascii="宋体" w:hAnsi="宋体" w:eastAsia="宋体" w:cs="宋体"/>
                <w:color w:val="auto"/>
                <w:spacing w:val="-2"/>
                <w:sz w:val="24"/>
                <w:szCs w:val="24"/>
                <w:lang w:eastAsia="zh-CN"/>
              </w:rPr>
              <w:t>指南</w:t>
            </w:r>
            <w:r>
              <w:rPr>
                <w:rFonts w:ascii="宋体" w:hAnsi="宋体" w:eastAsia="宋体" w:cs="宋体"/>
                <w:color w:val="auto"/>
                <w:spacing w:val="-2"/>
                <w:sz w:val="24"/>
                <w:szCs w:val="24"/>
                <w:lang w:eastAsia="zh-CN"/>
              </w:rPr>
              <w:t xml:space="preserve"> </w:t>
            </w:r>
          </w:p>
          <w:p w14:paraId="1B043FCC">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12.</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成人</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儿童一体化电极板，具有支持能量选择、充电、放电功能</w:t>
            </w:r>
            <w:r>
              <w:rPr>
                <w:rFonts w:ascii="宋体" w:hAnsi="宋体" w:eastAsia="宋体" w:cs="宋体"/>
                <w:color w:val="auto"/>
                <w:spacing w:val="-2"/>
                <w:sz w:val="24"/>
                <w:szCs w:val="24"/>
                <w:lang w:eastAsia="zh-CN"/>
              </w:rPr>
              <w:t xml:space="preserve"> </w:t>
            </w:r>
          </w:p>
          <w:p w14:paraId="3C704E80">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13.</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体外起搏模式：按需起搏、固定起搏</w:t>
            </w:r>
            <w:r>
              <w:rPr>
                <w:rFonts w:ascii="宋体" w:hAnsi="宋体" w:eastAsia="宋体" w:cs="宋体"/>
                <w:color w:val="auto"/>
                <w:spacing w:val="-2"/>
                <w:sz w:val="24"/>
                <w:szCs w:val="24"/>
                <w:lang w:eastAsia="zh-CN"/>
              </w:rPr>
              <w:t xml:space="preserve">  </w:t>
            </w:r>
          </w:p>
          <w:p w14:paraId="27386A92">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w:t>
            </w:r>
            <w:r>
              <w:rPr>
                <w:rFonts w:hint="eastAsia" w:ascii="宋体" w:hAnsi="宋体" w:eastAsia="宋体" w:cs="宋体"/>
                <w:color w:val="auto"/>
                <w:spacing w:val="-2"/>
                <w:sz w:val="24"/>
                <w:szCs w:val="24"/>
                <w:lang w:eastAsia="zh-CN"/>
              </w:rPr>
              <w:t>标配</w:t>
            </w:r>
            <w:r>
              <w:rPr>
                <w:rFonts w:ascii="宋体" w:hAnsi="宋体" w:eastAsia="宋体" w:cs="宋体"/>
                <w:color w:val="auto"/>
                <w:spacing w:val="-2"/>
                <w:sz w:val="24"/>
                <w:szCs w:val="24"/>
                <w:lang w:eastAsia="zh-CN"/>
              </w:rPr>
              <w:t>5</w:t>
            </w:r>
            <w:r>
              <w:rPr>
                <w:rFonts w:hint="eastAsia" w:ascii="宋体" w:hAnsi="宋体" w:eastAsia="宋体" w:cs="宋体"/>
                <w:color w:val="auto"/>
                <w:spacing w:val="-2"/>
                <w:sz w:val="24"/>
                <w:szCs w:val="24"/>
                <w:lang w:eastAsia="zh-CN"/>
              </w:rPr>
              <w:t>导联心电（</w:t>
            </w:r>
            <w:r>
              <w:rPr>
                <w:rFonts w:ascii="宋体" w:hAnsi="宋体" w:eastAsia="宋体" w:cs="宋体"/>
                <w:color w:val="auto"/>
                <w:spacing w:val="-2"/>
                <w:sz w:val="24"/>
                <w:szCs w:val="24"/>
                <w:lang w:eastAsia="zh-CN"/>
              </w:rPr>
              <w:t>ECG)</w:t>
            </w:r>
            <w:r>
              <w:rPr>
                <w:rFonts w:hint="eastAsia" w:ascii="宋体" w:hAnsi="宋体" w:eastAsia="宋体" w:cs="宋体"/>
                <w:color w:val="auto"/>
                <w:spacing w:val="-2"/>
                <w:sz w:val="24"/>
                <w:szCs w:val="24"/>
                <w:lang w:eastAsia="zh-CN"/>
              </w:rPr>
              <w:t>、血氧饱和度（</w:t>
            </w:r>
            <w:r>
              <w:rPr>
                <w:rFonts w:ascii="宋体" w:hAnsi="宋体" w:eastAsia="宋体" w:cs="宋体"/>
                <w:color w:val="auto"/>
                <w:spacing w:val="-2"/>
                <w:sz w:val="24"/>
                <w:szCs w:val="24"/>
                <w:lang w:eastAsia="zh-CN"/>
              </w:rPr>
              <w:t>SpO2</w:t>
            </w:r>
            <w:r>
              <w:rPr>
                <w:rFonts w:hint="eastAsia" w:ascii="宋体" w:hAnsi="宋体" w:eastAsia="宋体" w:cs="宋体"/>
                <w:color w:val="auto"/>
                <w:spacing w:val="-2"/>
                <w:sz w:val="24"/>
                <w:szCs w:val="24"/>
                <w:lang w:eastAsia="zh-CN"/>
              </w:rPr>
              <w:t>）、呼吸（</w:t>
            </w:r>
            <w:r>
              <w:rPr>
                <w:rFonts w:ascii="宋体" w:hAnsi="宋体" w:eastAsia="宋体" w:cs="宋体"/>
                <w:color w:val="auto"/>
                <w:spacing w:val="-2"/>
                <w:sz w:val="24"/>
                <w:szCs w:val="24"/>
                <w:lang w:eastAsia="zh-CN"/>
              </w:rPr>
              <w:t>Resp</w:t>
            </w:r>
            <w:r>
              <w:rPr>
                <w:rFonts w:hint="eastAsia" w:ascii="宋体" w:hAnsi="宋体" w:eastAsia="宋体" w:cs="宋体"/>
                <w:color w:val="auto"/>
                <w:spacing w:val="-2"/>
                <w:sz w:val="24"/>
                <w:szCs w:val="24"/>
                <w:lang w:eastAsia="zh-CN"/>
              </w:rPr>
              <w:t>）、体温（</w:t>
            </w:r>
            <w:r>
              <w:rPr>
                <w:rFonts w:ascii="宋体" w:hAnsi="宋体" w:eastAsia="宋体" w:cs="宋体"/>
                <w:color w:val="auto"/>
                <w:spacing w:val="-2"/>
                <w:sz w:val="24"/>
                <w:szCs w:val="24"/>
                <w:lang w:eastAsia="zh-CN"/>
              </w:rPr>
              <w:t>Temp</w:t>
            </w:r>
            <w:r>
              <w:rPr>
                <w:rFonts w:hint="eastAsia" w:ascii="宋体" w:hAnsi="宋体" w:eastAsia="宋体" w:cs="宋体"/>
                <w:color w:val="auto"/>
                <w:spacing w:val="-2"/>
                <w:sz w:val="24"/>
                <w:szCs w:val="24"/>
                <w:lang w:eastAsia="zh-CN"/>
              </w:rPr>
              <w:t>）、无创血压（</w:t>
            </w:r>
            <w:r>
              <w:rPr>
                <w:rFonts w:ascii="宋体" w:hAnsi="宋体" w:eastAsia="宋体" w:cs="宋体"/>
                <w:color w:val="auto"/>
                <w:spacing w:val="-2"/>
                <w:sz w:val="24"/>
                <w:szCs w:val="24"/>
                <w:lang w:eastAsia="zh-CN"/>
              </w:rPr>
              <w:t>NIBP</w:t>
            </w:r>
            <w:r>
              <w:rPr>
                <w:rFonts w:hint="eastAsia" w:ascii="宋体" w:hAnsi="宋体" w:eastAsia="宋体" w:cs="宋体"/>
                <w:color w:val="auto"/>
                <w:spacing w:val="-2"/>
                <w:sz w:val="24"/>
                <w:szCs w:val="24"/>
                <w:lang w:eastAsia="zh-CN"/>
              </w:rPr>
              <w:t>）监护功能及配件。</w:t>
            </w:r>
            <w:r>
              <w:rPr>
                <w:rFonts w:ascii="宋体" w:hAnsi="宋体" w:eastAsia="宋体" w:cs="宋体"/>
                <w:color w:val="auto"/>
                <w:spacing w:val="-2"/>
                <w:sz w:val="24"/>
                <w:szCs w:val="24"/>
                <w:lang w:eastAsia="zh-CN"/>
              </w:rPr>
              <w:t xml:space="preserve"> </w:t>
            </w:r>
          </w:p>
          <w:p w14:paraId="6AFD346B">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w:t>
            </w:r>
            <w:r>
              <w:rPr>
                <w:rFonts w:hint="eastAsia" w:ascii="宋体" w:hAnsi="宋体" w:eastAsia="宋体" w:cs="宋体"/>
                <w:color w:val="auto"/>
                <w:spacing w:val="-2"/>
                <w:sz w:val="24"/>
                <w:szCs w:val="24"/>
                <w:lang w:eastAsia="zh-CN"/>
              </w:rPr>
              <w:t>心率测量</w:t>
            </w:r>
          </w:p>
          <w:p w14:paraId="2A02713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新生儿：</w:t>
            </w:r>
            <w:r>
              <w:rPr>
                <w:rFonts w:ascii="宋体" w:hAnsi="宋体" w:eastAsia="宋体" w:cs="宋体"/>
                <w:color w:val="auto"/>
                <w:spacing w:val="-2"/>
                <w:sz w:val="24"/>
                <w:szCs w:val="24"/>
                <w:lang w:eastAsia="zh-CN"/>
              </w:rPr>
              <w:t>15bpm</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350bpm</w:t>
            </w:r>
          </w:p>
          <w:p w14:paraId="15880A4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小儿：</w:t>
            </w:r>
            <w:r>
              <w:rPr>
                <w:rFonts w:ascii="宋体" w:hAnsi="宋体" w:eastAsia="宋体" w:cs="宋体"/>
                <w:color w:val="auto"/>
                <w:spacing w:val="-2"/>
                <w:sz w:val="24"/>
                <w:szCs w:val="24"/>
                <w:lang w:eastAsia="zh-CN"/>
              </w:rPr>
              <w:t>15bpm</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350bpm</w:t>
            </w:r>
          </w:p>
          <w:p w14:paraId="04C7CCE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成人：</w:t>
            </w:r>
            <w:r>
              <w:rPr>
                <w:rFonts w:ascii="宋体" w:hAnsi="宋体" w:eastAsia="宋体" w:cs="宋体"/>
                <w:color w:val="auto"/>
                <w:spacing w:val="-2"/>
                <w:sz w:val="24"/>
                <w:szCs w:val="24"/>
                <w:lang w:eastAsia="zh-CN"/>
              </w:rPr>
              <w:t>15bmp</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300bpm</w:t>
            </w:r>
          </w:p>
          <w:p w14:paraId="5FDA154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精度：±</w:t>
            </w: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％或±</w:t>
            </w:r>
            <w:r>
              <w:rPr>
                <w:rFonts w:ascii="宋体" w:hAnsi="宋体" w:eastAsia="宋体" w:cs="宋体"/>
                <w:color w:val="auto"/>
                <w:spacing w:val="-2"/>
                <w:sz w:val="24"/>
                <w:szCs w:val="24"/>
                <w:lang w:eastAsia="zh-CN"/>
              </w:rPr>
              <w:t xml:space="preserve">1bpm </w:t>
            </w:r>
          </w:p>
          <w:p w14:paraId="4A18900B">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w:t>
            </w:r>
            <w:r>
              <w:rPr>
                <w:rFonts w:hint="eastAsia" w:ascii="宋体" w:hAnsi="宋体" w:eastAsia="宋体" w:cs="宋体"/>
                <w:color w:val="auto"/>
                <w:spacing w:val="-2"/>
                <w:sz w:val="24"/>
                <w:szCs w:val="24"/>
                <w:lang w:eastAsia="zh-CN"/>
              </w:rPr>
              <w:t>呼吸测量</w:t>
            </w:r>
          </w:p>
          <w:p w14:paraId="44AE8E3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测量范围：</w:t>
            </w:r>
            <w:r>
              <w:rPr>
                <w:rFonts w:ascii="宋体" w:hAnsi="宋体" w:eastAsia="宋体" w:cs="宋体"/>
                <w:color w:val="auto"/>
                <w:spacing w:val="-2"/>
                <w:sz w:val="24"/>
                <w:szCs w:val="24"/>
                <w:lang w:eastAsia="zh-CN"/>
              </w:rPr>
              <w:t>0rpm</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120rpm</w:t>
            </w:r>
          </w:p>
          <w:p w14:paraId="4BFE5E8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精度：</w:t>
            </w:r>
            <w:r>
              <w:rPr>
                <w:rFonts w:ascii="宋体" w:hAnsi="宋体" w:eastAsia="宋体" w:cs="宋体"/>
                <w:color w:val="auto"/>
                <w:spacing w:val="-2"/>
                <w:sz w:val="24"/>
                <w:szCs w:val="24"/>
                <w:lang w:eastAsia="zh-CN"/>
              </w:rPr>
              <w:t>7rpm</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120rpm</w:t>
            </w:r>
            <w:r>
              <w:rPr>
                <w:rFonts w:hint="eastAsia" w:ascii="宋体" w:hAnsi="宋体" w:eastAsia="宋体" w:cs="宋体"/>
                <w:color w:val="auto"/>
                <w:spacing w:val="-2"/>
                <w:sz w:val="24"/>
                <w:szCs w:val="24"/>
                <w:lang w:eastAsia="zh-CN"/>
              </w:rPr>
              <w:t>之间为±</w:t>
            </w:r>
            <w:r>
              <w:rPr>
                <w:rFonts w:ascii="宋体" w:hAnsi="宋体" w:eastAsia="宋体" w:cs="宋体"/>
                <w:color w:val="auto"/>
                <w:spacing w:val="-2"/>
                <w:sz w:val="24"/>
                <w:szCs w:val="24"/>
                <w:lang w:eastAsia="zh-CN"/>
              </w:rPr>
              <w:t>2rpm</w:t>
            </w:r>
            <w:r>
              <w:rPr>
                <w:rFonts w:hint="eastAsia" w:ascii="宋体" w:hAnsi="宋体" w:eastAsia="宋体" w:cs="宋体"/>
                <w:color w:val="auto"/>
                <w:spacing w:val="-2"/>
                <w:sz w:val="24"/>
                <w:szCs w:val="24"/>
                <w:lang w:eastAsia="zh-CN"/>
              </w:rPr>
              <w:t>或±</w:t>
            </w:r>
            <w:r>
              <w:rPr>
                <w:rFonts w:ascii="宋体" w:hAnsi="宋体" w:eastAsia="宋体" w:cs="宋体"/>
                <w:color w:val="auto"/>
                <w:spacing w:val="-2"/>
                <w:sz w:val="24"/>
                <w:szCs w:val="24"/>
                <w:lang w:eastAsia="zh-CN"/>
              </w:rPr>
              <w:t xml:space="preserve">2% </w:t>
            </w:r>
          </w:p>
          <w:p w14:paraId="60CBD66A">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17.</w:t>
            </w:r>
            <w:r>
              <w:rPr>
                <w:rFonts w:hint="eastAsia" w:ascii="宋体" w:hAnsi="宋体" w:eastAsia="宋体" w:cs="宋体"/>
                <w:color w:val="auto"/>
                <w:spacing w:val="-2"/>
                <w:sz w:val="24"/>
                <w:szCs w:val="24"/>
                <w:lang w:eastAsia="zh-CN"/>
              </w:rPr>
              <w:t>血氧采用抗干扰和抗弱灌注技术，测量范围</w:t>
            </w:r>
            <w:r>
              <w:rPr>
                <w:rFonts w:ascii="宋体" w:hAnsi="宋体" w:eastAsia="宋体" w:cs="宋体"/>
                <w:color w:val="auto"/>
                <w:spacing w:val="-2"/>
                <w:sz w:val="24"/>
                <w:szCs w:val="24"/>
                <w:lang w:eastAsia="zh-CN"/>
              </w:rPr>
              <w:t xml:space="preserve"> 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100</w:t>
            </w:r>
            <w:r>
              <w:rPr>
                <w:rFonts w:hint="eastAsia" w:ascii="宋体" w:hAnsi="宋体" w:eastAsia="宋体" w:cs="宋体"/>
                <w:color w:val="auto"/>
                <w:spacing w:val="-2"/>
                <w:sz w:val="24"/>
                <w:szCs w:val="24"/>
                <w:lang w:eastAsia="zh-CN"/>
              </w:rPr>
              <w:t>％，精度±</w:t>
            </w:r>
            <w:r>
              <w:rPr>
                <w:rFonts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％（成人儿童测量值为</w:t>
            </w:r>
            <w:r>
              <w:rPr>
                <w:rFonts w:ascii="宋体" w:hAnsi="宋体" w:eastAsia="宋体" w:cs="宋体"/>
                <w:color w:val="auto"/>
                <w:spacing w:val="-2"/>
                <w:sz w:val="24"/>
                <w:szCs w:val="24"/>
                <w:lang w:eastAsia="zh-CN"/>
              </w:rPr>
              <w:t xml:space="preserve"> 70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100</w:t>
            </w:r>
            <w:r>
              <w:rPr>
                <w:rFonts w:hint="eastAsia" w:ascii="宋体" w:hAnsi="宋体" w:eastAsia="宋体" w:cs="宋体"/>
                <w:color w:val="auto"/>
                <w:spacing w:val="-2"/>
                <w:sz w:val="24"/>
                <w:szCs w:val="24"/>
                <w:lang w:eastAsia="zh-CN"/>
              </w:rPr>
              <w:t>％时）</w:t>
            </w:r>
          </w:p>
          <w:p w14:paraId="36465D58">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18.</w:t>
            </w:r>
            <w:r>
              <w:rPr>
                <w:rFonts w:hint="eastAsia" w:ascii="宋体" w:hAnsi="宋体" w:eastAsia="宋体" w:cs="宋体"/>
                <w:color w:val="auto"/>
                <w:spacing w:val="-2"/>
                <w:sz w:val="24"/>
                <w:szCs w:val="24"/>
                <w:lang w:eastAsia="zh-CN"/>
              </w:rPr>
              <w:t>脉率测量</w:t>
            </w:r>
            <w:r>
              <w:rPr>
                <w:rFonts w:ascii="宋体" w:hAnsi="宋体" w:eastAsia="宋体" w:cs="宋体"/>
                <w:color w:val="auto"/>
                <w:spacing w:val="-2"/>
                <w:sz w:val="24"/>
                <w:szCs w:val="24"/>
                <w:lang w:eastAsia="zh-CN"/>
              </w:rPr>
              <w:t xml:space="preserve">  </w:t>
            </w:r>
          </w:p>
          <w:p w14:paraId="1278BBE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测量范围：</w:t>
            </w:r>
            <w:r>
              <w:rPr>
                <w:rFonts w:ascii="宋体" w:hAnsi="宋体" w:eastAsia="宋体" w:cs="宋体"/>
                <w:color w:val="auto"/>
                <w:spacing w:val="-2"/>
                <w:sz w:val="24"/>
                <w:szCs w:val="24"/>
                <w:lang w:eastAsia="zh-CN"/>
              </w:rPr>
              <w:t>30bpm</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240bpm</w:t>
            </w:r>
          </w:p>
          <w:p w14:paraId="78CCD58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测量精度：±</w:t>
            </w:r>
            <w:r>
              <w:rPr>
                <w:rFonts w:ascii="宋体" w:hAnsi="宋体" w:eastAsia="宋体" w:cs="宋体"/>
                <w:color w:val="auto"/>
                <w:spacing w:val="-2"/>
                <w:sz w:val="24"/>
                <w:szCs w:val="24"/>
                <w:lang w:eastAsia="zh-CN"/>
              </w:rPr>
              <w:t xml:space="preserve">3bpm </w:t>
            </w:r>
          </w:p>
          <w:p w14:paraId="45A1BC51">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19.</w:t>
            </w:r>
            <w:r>
              <w:rPr>
                <w:rFonts w:hint="eastAsia" w:ascii="宋体" w:hAnsi="宋体" w:eastAsia="宋体" w:cs="宋体"/>
                <w:color w:val="auto"/>
                <w:spacing w:val="-2"/>
                <w:sz w:val="24"/>
                <w:szCs w:val="24"/>
                <w:lang w:eastAsia="zh-CN"/>
              </w:rPr>
              <w:t>无创血压监测具备手动测量、自动间隔测量、连续测量模式</w:t>
            </w:r>
          </w:p>
          <w:p w14:paraId="32453AD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收缩压测量范围：</w:t>
            </w:r>
            <w:r>
              <w:rPr>
                <w:rFonts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lang w:eastAsia="zh-CN"/>
              </w:rPr>
              <w:t>成人</w:t>
            </w:r>
            <w:r>
              <w:rPr>
                <w:rFonts w:ascii="宋体" w:hAnsi="宋体" w:eastAsia="宋体" w:cs="宋体"/>
                <w:color w:val="auto"/>
                <w:spacing w:val="-2"/>
                <w:sz w:val="24"/>
                <w:szCs w:val="24"/>
                <w:lang w:eastAsia="zh-CN"/>
              </w:rPr>
              <w:t xml:space="preserve"> 40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270mmHg</w:t>
            </w:r>
          </w:p>
          <w:p w14:paraId="481FB2C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小儿</w:t>
            </w:r>
            <w:r>
              <w:rPr>
                <w:rFonts w:ascii="宋体" w:hAnsi="宋体" w:eastAsia="宋体" w:cs="宋体"/>
                <w:color w:val="auto"/>
                <w:spacing w:val="-2"/>
                <w:sz w:val="24"/>
                <w:szCs w:val="24"/>
                <w:lang w:eastAsia="zh-CN"/>
              </w:rPr>
              <w:t xml:space="preserve"> 40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200mmHg </w:t>
            </w:r>
          </w:p>
          <w:p w14:paraId="37EC25B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新生儿</w:t>
            </w:r>
            <w:r>
              <w:rPr>
                <w:rFonts w:ascii="宋体" w:hAnsi="宋体" w:eastAsia="宋体" w:cs="宋体"/>
                <w:color w:val="auto"/>
                <w:spacing w:val="-2"/>
                <w:sz w:val="24"/>
                <w:szCs w:val="24"/>
                <w:lang w:eastAsia="zh-CN"/>
              </w:rPr>
              <w:t xml:space="preserve"> 40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135mmHg </w:t>
            </w:r>
          </w:p>
          <w:p w14:paraId="07D7F7C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舒张压测量范围：</w:t>
            </w:r>
            <w:r>
              <w:rPr>
                <w:rFonts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lang w:eastAsia="zh-CN"/>
              </w:rPr>
              <w:t>成人</w:t>
            </w:r>
            <w:r>
              <w:rPr>
                <w:rFonts w:ascii="宋体" w:hAnsi="宋体" w:eastAsia="宋体" w:cs="宋体"/>
                <w:color w:val="auto"/>
                <w:spacing w:val="-2"/>
                <w:sz w:val="24"/>
                <w:szCs w:val="24"/>
                <w:lang w:eastAsia="zh-CN"/>
              </w:rPr>
              <w:t xml:space="preserve"> 10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210mmHg</w:t>
            </w:r>
          </w:p>
          <w:p w14:paraId="6720CFD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小儿</w:t>
            </w:r>
            <w:r>
              <w:rPr>
                <w:rFonts w:ascii="宋体" w:hAnsi="宋体" w:eastAsia="宋体" w:cs="宋体"/>
                <w:color w:val="auto"/>
                <w:spacing w:val="-2"/>
                <w:sz w:val="24"/>
                <w:szCs w:val="24"/>
                <w:lang w:eastAsia="zh-CN"/>
              </w:rPr>
              <w:t xml:space="preserve"> 10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150mmHg </w:t>
            </w:r>
          </w:p>
          <w:p w14:paraId="5FFB1DD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新生儿</w:t>
            </w:r>
            <w:r>
              <w:rPr>
                <w:rFonts w:ascii="宋体" w:hAnsi="宋体" w:eastAsia="宋体" w:cs="宋体"/>
                <w:color w:val="auto"/>
                <w:spacing w:val="-2"/>
                <w:sz w:val="24"/>
                <w:szCs w:val="24"/>
                <w:lang w:eastAsia="zh-CN"/>
              </w:rPr>
              <w:t xml:space="preserve"> 10</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100mmHg </w:t>
            </w:r>
          </w:p>
          <w:p w14:paraId="7A60A2DA">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20.</w:t>
            </w:r>
            <w:r>
              <w:rPr>
                <w:rFonts w:hint="eastAsia" w:ascii="宋体" w:hAnsi="宋体" w:eastAsia="宋体" w:cs="宋体"/>
                <w:color w:val="auto"/>
                <w:spacing w:val="-2"/>
                <w:sz w:val="24"/>
                <w:szCs w:val="24"/>
                <w:lang w:eastAsia="zh-CN"/>
              </w:rPr>
              <w:t>体温测量，具备双通道测量</w:t>
            </w:r>
            <w:r>
              <w:rPr>
                <w:rFonts w:ascii="宋体" w:hAnsi="宋体" w:eastAsia="宋体" w:cs="宋体"/>
                <w:color w:val="auto"/>
                <w:spacing w:val="-2"/>
                <w:sz w:val="24"/>
                <w:szCs w:val="24"/>
                <w:lang w:eastAsia="zh-CN"/>
              </w:rPr>
              <w:t xml:space="preserve"> </w:t>
            </w:r>
          </w:p>
          <w:p w14:paraId="3A5A4533">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21.</w:t>
            </w:r>
            <w:r>
              <w:rPr>
                <w:rFonts w:hint="eastAsia" w:ascii="宋体" w:hAnsi="宋体" w:eastAsia="宋体" w:cs="宋体"/>
                <w:color w:val="auto"/>
                <w:spacing w:val="-2"/>
                <w:sz w:val="24"/>
                <w:szCs w:val="24"/>
                <w:lang w:eastAsia="zh-CN"/>
              </w:rPr>
              <w:t>智能报警，通过声音、灯光、文字等多种方式进行报警</w:t>
            </w:r>
            <w:r>
              <w:rPr>
                <w:rFonts w:ascii="宋体" w:hAnsi="宋体" w:eastAsia="宋体" w:cs="宋体"/>
                <w:color w:val="auto"/>
                <w:spacing w:val="-2"/>
                <w:sz w:val="24"/>
                <w:szCs w:val="24"/>
                <w:lang w:eastAsia="zh-CN"/>
              </w:rPr>
              <w:t xml:space="preserve"> </w:t>
            </w:r>
          </w:p>
          <w:p w14:paraId="1C9711EC">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22.</w:t>
            </w:r>
            <w:r>
              <w:rPr>
                <w:rFonts w:hint="eastAsia" w:ascii="宋体" w:hAnsi="宋体" w:eastAsia="宋体" w:cs="宋体"/>
                <w:color w:val="auto"/>
                <w:spacing w:val="-2"/>
                <w:sz w:val="24"/>
                <w:szCs w:val="24"/>
                <w:lang w:eastAsia="zh-CN"/>
              </w:rPr>
              <w:t>系统报警：监护、除颤、电池充电、打印机等；生理报警：心电、无创血压、血氧饱和度等；技术报警：所有参数</w:t>
            </w:r>
            <w:r>
              <w:rPr>
                <w:rFonts w:ascii="宋体" w:hAnsi="宋体" w:eastAsia="宋体" w:cs="宋体"/>
                <w:color w:val="auto"/>
                <w:spacing w:val="-2"/>
                <w:sz w:val="24"/>
                <w:szCs w:val="24"/>
                <w:lang w:eastAsia="zh-CN"/>
              </w:rPr>
              <w:t xml:space="preserve"> </w:t>
            </w:r>
          </w:p>
          <w:p w14:paraId="6B434890">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23.</w:t>
            </w:r>
            <w:r>
              <w:rPr>
                <w:rFonts w:hint="eastAsia" w:ascii="宋体" w:hAnsi="宋体" w:eastAsia="宋体" w:cs="宋体"/>
                <w:color w:val="auto"/>
                <w:spacing w:val="-2"/>
                <w:sz w:val="24"/>
                <w:szCs w:val="24"/>
                <w:lang w:eastAsia="zh-CN"/>
              </w:rPr>
              <w:t>支持中英文操作界面，</w:t>
            </w:r>
            <w:r>
              <w:rPr>
                <w:rFonts w:ascii="宋体" w:hAnsi="宋体" w:eastAsia="宋体" w:cs="宋体"/>
                <w:color w:val="auto"/>
                <w:spacing w:val="-2"/>
                <w:sz w:val="24"/>
                <w:szCs w:val="24"/>
                <w:lang w:eastAsia="zh-CN"/>
              </w:rPr>
              <w:t>AED</w:t>
            </w:r>
            <w:r>
              <w:rPr>
                <w:rFonts w:hint="eastAsia" w:ascii="宋体" w:hAnsi="宋体" w:eastAsia="宋体" w:cs="宋体"/>
                <w:color w:val="auto"/>
                <w:spacing w:val="-2"/>
                <w:sz w:val="24"/>
                <w:szCs w:val="24"/>
                <w:lang w:eastAsia="zh-CN"/>
              </w:rPr>
              <w:t>中英文语音提示</w:t>
            </w:r>
          </w:p>
        </w:tc>
      </w:tr>
      <w:tr w14:paraId="7EFD86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7EC9D41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4、设备名称</w:t>
            </w:r>
          </w:p>
        </w:tc>
        <w:tc>
          <w:tcPr>
            <w:tcW w:w="1502" w:type="dxa"/>
            <w:vAlign w:val="center"/>
          </w:tcPr>
          <w:p w14:paraId="08BC3F7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除颤监护仪</w:t>
            </w:r>
          </w:p>
        </w:tc>
        <w:tc>
          <w:tcPr>
            <w:tcW w:w="1134" w:type="dxa"/>
            <w:vAlign w:val="center"/>
          </w:tcPr>
          <w:p w14:paraId="771E4E1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7CE8EBF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2个</w:t>
            </w:r>
          </w:p>
        </w:tc>
        <w:tc>
          <w:tcPr>
            <w:tcW w:w="2007" w:type="dxa"/>
            <w:vAlign w:val="center"/>
          </w:tcPr>
          <w:p w14:paraId="1965856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0FD05BCC">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50000</w:t>
            </w:r>
          </w:p>
        </w:tc>
      </w:tr>
      <w:tr w14:paraId="1C9FEB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9" w:hRule="atLeast"/>
        </w:trPr>
        <w:tc>
          <w:tcPr>
            <w:tcW w:w="1725" w:type="dxa"/>
            <w:vAlign w:val="center"/>
          </w:tcPr>
          <w:p w14:paraId="5F3B719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329956A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1. 具备手动除颤、心电监护、自动体外除颤（AED）功能。除颤具备自动阻抗补偿功能。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同步除颤和手动除颤中，能量分25档以上。</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可通过体外电极板进行能量选择最小为1J，最大为360J。</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支持AED除颤功能，电击能量：100～360J。</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 具有旋钮式能量选择，可快速选择12档位能量，可调节4种模式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 体外除颤电极板手柄支持充电、放电、能量选择，具备充电完成指示灯。成人、小儿一体化电极板。</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 病人阻抗范围：体外除颤：20~250</w:t>
            </w:r>
            <w:r>
              <w:rPr>
                <w:rFonts w:hint="eastAsia" w:ascii="宋体" w:hAnsi="宋体" w:eastAsia="宋体" w:cs="宋体"/>
                <w:color w:val="auto"/>
                <w:spacing w:val="-2"/>
                <w:sz w:val="24"/>
                <w:szCs w:val="24"/>
              </w:rPr>
              <w:t>Ω</w:t>
            </w:r>
            <w:r>
              <w:rPr>
                <w:rFonts w:hint="eastAsia" w:ascii="宋体" w:hAnsi="宋体" w:eastAsia="宋体" w:cs="宋体"/>
                <w:color w:val="auto"/>
                <w:spacing w:val="-2"/>
                <w:sz w:val="24"/>
                <w:szCs w:val="24"/>
                <w:lang w:eastAsia="zh-CN"/>
              </w:rPr>
              <w:t>；体内除颤：15-250</w:t>
            </w:r>
            <w:r>
              <w:rPr>
                <w:rFonts w:hint="eastAsia" w:ascii="宋体" w:hAnsi="宋体" w:eastAsia="宋体" w:cs="宋体"/>
                <w:color w:val="auto"/>
                <w:spacing w:val="-2"/>
                <w:sz w:val="24"/>
                <w:szCs w:val="24"/>
              </w:rPr>
              <w:t>Ω</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 监护功能：具有≥25种心律失常分析。</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 标配1块电池可支持360J除颤210次以上。电池体上带有五段LED 电池电量指示装置，用于快速评估电池电量。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 具备生理报警和技术报警功能，并且具有双报警灯，分别显示生理报警和技术报警。</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 11. 彩色显示屏≥8.4英寸,分辨率≥800×600，至少显示3通道监护参数波形，有高对比度显示界面。</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 体外除颤监护仪配置80mm记录仪，实时记录时间有3秒、5秒、8秒、16秒、32秒、连续可供选择。</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13. 主机具备录音功能，最大支持≥120min录音存储。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14. 关机状态下设备可自动运行自检，支持大能量自检（不低于200J）、屏幕、按键检测。</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rPr>
              <w:t>15. 防护等级≥IP44。</w:t>
            </w:r>
          </w:p>
        </w:tc>
      </w:tr>
      <w:tr w14:paraId="33DA5A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5230329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5、设备名称</w:t>
            </w:r>
          </w:p>
        </w:tc>
        <w:tc>
          <w:tcPr>
            <w:tcW w:w="1502" w:type="dxa"/>
            <w:vAlign w:val="center"/>
          </w:tcPr>
          <w:p w14:paraId="63C1D13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自动洗胃机</w:t>
            </w:r>
          </w:p>
        </w:tc>
        <w:tc>
          <w:tcPr>
            <w:tcW w:w="1134" w:type="dxa"/>
            <w:vAlign w:val="center"/>
          </w:tcPr>
          <w:p w14:paraId="2244F81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21E71414">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56E67BB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675D5CD8">
            <w:pPr>
              <w:widowControl w:val="0"/>
              <w:spacing w:before="184"/>
              <w:ind w:right="2" w:firstLine="472" w:firstLineChars="2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6000</w:t>
            </w:r>
          </w:p>
        </w:tc>
      </w:tr>
      <w:tr w14:paraId="611F86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4250C42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4D04ECD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1.流量：≥2L/min（口腔插管档）；≥1L/min（鼻腔插管档）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2.自控液量：冲液量：（250ml~350ml）/次；吸液量：（350ml~450ml）/次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注：吸液量大于冲液量，但不应大于150ml/次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3.正、负压力设定范围：47kPa~67kPa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4.电源：～220V 50Hz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5.输入功率：110VA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6.噪音：≤65dB（A） </w:t>
            </w:r>
          </w:p>
        </w:tc>
      </w:tr>
      <w:tr w14:paraId="05705F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7BD85E1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6、设备名称</w:t>
            </w:r>
          </w:p>
        </w:tc>
        <w:tc>
          <w:tcPr>
            <w:tcW w:w="1502" w:type="dxa"/>
            <w:vAlign w:val="center"/>
          </w:tcPr>
          <w:p w14:paraId="262A77A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多功能清创机</w:t>
            </w:r>
          </w:p>
        </w:tc>
        <w:tc>
          <w:tcPr>
            <w:tcW w:w="1134" w:type="dxa"/>
            <w:vAlign w:val="center"/>
          </w:tcPr>
          <w:p w14:paraId="41BA50FB">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192F7352">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429C2FB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67946AD8">
            <w:pPr>
              <w:widowControl w:val="0"/>
              <w:spacing w:before="184"/>
              <w:ind w:right="2" w:firstLine="472" w:firstLineChars="2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85000</w:t>
            </w:r>
          </w:p>
        </w:tc>
      </w:tr>
      <w:tr w14:paraId="4C0D62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2" w:hRule="atLeast"/>
        </w:trPr>
        <w:tc>
          <w:tcPr>
            <w:tcW w:w="1725" w:type="dxa"/>
            <w:vAlign w:val="center"/>
          </w:tcPr>
          <w:p w14:paraId="48EA7E3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5B684CE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1.1超声清创工作参数</w:t>
            </w:r>
            <w:r>
              <w:rPr>
                <w:rFonts w:hint="eastAsia" w:ascii="宋体" w:hAnsi="宋体" w:eastAsia="宋体" w:cs="宋体"/>
                <w:color w:val="auto"/>
                <w:spacing w:val="-2"/>
                <w:sz w:val="24"/>
                <w:szCs w:val="24"/>
                <w:lang w:eastAsia="zh-CN"/>
              </w:rPr>
              <w:tab/>
            </w:r>
          </w:p>
          <w:p w14:paraId="44EB46C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超声工作频率25±1kHz；</w:t>
            </w:r>
          </w:p>
          <w:p w14:paraId="073615A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有效超声输出功率：&lt; 50W；</w:t>
            </w:r>
          </w:p>
          <w:p w14:paraId="575D53B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超声清创液流量在40 ml/min～120 ml/min范围内可调，流量调节精度±20ml/min；</w:t>
            </w:r>
          </w:p>
          <w:p w14:paraId="7465639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手柄输出口处清创液温升：≤8℃；</w:t>
            </w:r>
          </w:p>
          <w:p w14:paraId="61EB933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超声清创刀头振幅： </w:t>
            </w:r>
          </w:p>
          <w:p w14:paraId="2EDC7FA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矩形刀头：  ≥120um；</w:t>
            </w:r>
          </w:p>
          <w:p w14:paraId="1DB5FC5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马蹄形刀头：≥120um；</w:t>
            </w:r>
          </w:p>
          <w:p w14:paraId="7C535BB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双球型刀头：≥100um。</w:t>
            </w:r>
          </w:p>
          <w:p w14:paraId="0A2D713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可显示及设置超声输出功率档位；</w:t>
            </w:r>
          </w:p>
          <w:p w14:paraId="74B7DE8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可显示及设置超声清创流量档位；</w:t>
            </w:r>
          </w:p>
          <w:p w14:paraId="60540F8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超声工作杆可拆卸。</w:t>
            </w:r>
          </w:p>
          <w:p w14:paraId="509D0C3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1.1.2负压吸引工作参数</w:t>
            </w:r>
          </w:p>
          <w:p w14:paraId="101F9D0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1.2.1极限负压≤-20kPa；</w:t>
            </w:r>
          </w:p>
          <w:p w14:paraId="71BFF46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1.2.2抽气速率：≥3L/min。</w:t>
            </w:r>
          </w:p>
          <w:p w14:paraId="07EBF61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1.3系统参数</w:t>
            </w:r>
          </w:p>
          <w:p w14:paraId="2A2AC35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1.3.1可通过脚踏开关能够启动或停止治疗；</w:t>
            </w:r>
          </w:p>
          <w:p w14:paraId="1953BA1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1.3.2可通过射灯照亮治疗区域 ；</w:t>
            </w:r>
          </w:p>
          <w:p w14:paraId="74F665B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1.3.3设备内置锂电池；</w:t>
            </w:r>
            <w:r>
              <w:rPr>
                <w:rFonts w:hint="eastAsia" w:ascii="宋体" w:hAnsi="宋体" w:eastAsia="宋体" w:cs="宋体"/>
                <w:color w:val="auto"/>
                <w:spacing w:val="-2"/>
                <w:sz w:val="24"/>
                <w:szCs w:val="24"/>
                <w:lang w:eastAsia="zh-CN"/>
              </w:rPr>
              <w:tab/>
            </w:r>
          </w:p>
          <w:p w14:paraId="6469125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1.3.4可使用一次性输液器进行超声清创和气动冲洗和液体输送，实现无菌清创。</w:t>
            </w:r>
          </w:p>
          <w:p w14:paraId="3F1178F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1.4配置要求：多功能清创机主机1台，超声清创手柄1把，超声清创刀头4把，脚踏开关1个，输液架1个，刀头拆装扳手3个，台车（带负压）1台，负压储液罐1个。</w:t>
            </w:r>
          </w:p>
        </w:tc>
      </w:tr>
      <w:tr w14:paraId="632C11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2F22A4A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7、设备名称</w:t>
            </w:r>
          </w:p>
        </w:tc>
        <w:tc>
          <w:tcPr>
            <w:tcW w:w="1502" w:type="dxa"/>
            <w:vAlign w:val="center"/>
          </w:tcPr>
          <w:p w14:paraId="4368162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治疗车</w:t>
            </w:r>
          </w:p>
        </w:tc>
        <w:tc>
          <w:tcPr>
            <w:tcW w:w="1134" w:type="dxa"/>
            <w:vAlign w:val="center"/>
          </w:tcPr>
          <w:p w14:paraId="5814751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7937D657">
            <w:pPr>
              <w:widowControl w:val="0"/>
              <w:spacing w:before="184"/>
              <w:ind w:right="2" w:firstLine="236" w:firstLineChars="1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4个</w:t>
            </w:r>
          </w:p>
        </w:tc>
        <w:tc>
          <w:tcPr>
            <w:tcW w:w="2007" w:type="dxa"/>
            <w:vAlign w:val="center"/>
          </w:tcPr>
          <w:p w14:paraId="4A78956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6CAFA6F1">
            <w:pPr>
              <w:widowControl w:val="0"/>
              <w:spacing w:before="184"/>
              <w:ind w:right="2" w:firstLine="472" w:firstLineChars="2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1050</w:t>
            </w:r>
          </w:p>
        </w:tc>
      </w:tr>
      <w:tr w14:paraId="021864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6" w:hRule="atLeast"/>
        </w:trPr>
        <w:tc>
          <w:tcPr>
            <w:tcW w:w="1725" w:type="dxa"/>
            <w:vAlign w:val="center"/>
          </w:tcPr>
          <w:p w14:paraId="5D6B30AC">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6D86A5D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 整体由ABS组成，轻便易推动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由一个上面板和一个下面板组成</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两层面板每层都带长短护栏，使物品存放更牢固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带把手，推动车子更加方便操作</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 带两个小抽屉，可存放更多的物品</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 超静音脚轮</w:t>
            </w:r>
          </w:p>
        </w:tc>
      </w:tr>
      <w:tr w14:paraId="0FBF8D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3BB4192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8、设备名称</w:t>
            </w:r>
          </w:p>
        </w:tc>
        <w:tc>
          <w:tcPr>
            <w:tcW w:w="1502" w:type="dxa"/>
            <w:vAlign w:val="center"/>
          </w:tcPr>
          <w:p w14:paraId="532EADFD">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输液椅</w:t>
            </w:r>
          </w:p>
        </w:tc>
        <w:tc>
          <w:tcPr>
            <w:tcW w:w="1134" w:type="dxa"/>
            <w:vAlign w:val="center"/>
          </w:tcPr>
          <w:p w14:paraId="42F5394A">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43858135">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80个</w:t>
            </w:r>
          </w:p>
        </w:tc>
        <w:tc>
          <w:tcPr>
            <w:tcW w:w="2007" w:type="dxa"/>
            <w:vAlign w:val="center"/>
          </w:tcPr>
          <w:p w14:paraId="39D5A693">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3DC98017">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675</w:t>
            </w:r>
          </w:p>
        </w:tc>
      </w:tr>
      <w:tr w14:paraId="2B389E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3" w:hRule="atLeast"/>
        </w:trPr>
        <w:tc>
          <w:tcPr>
            <w:tcW w:w="1725" w:type="dxa"/>
            <w:vAlign w:val="center"/>
          </w:tcPr>
          <w:p w14:paraId="36F07D0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0689FAB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1.材质：输液椅采用冷轧钢材质，椅腿和扶手架采用异形设计圆管拉弯焊接而成，椅面采用1.0mm冷轧钢板激光切割异型加工而成，椅面和枕面内置高弹海绵，外部采用高强耐磨皮革包面。</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2.配置：地脚套4个；不锈钢可调式输液架3支，坐垫3个，背垫3个</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3.承重：产品承重300kg。</w:t>
            </w:r>
          </w:p>
        </w:tc>
      </w:tr>
      <w:tr w14:paraId="2FA692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03307C9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9、设备名称</w:t>
            </w:r>
          </w:p>
        </w:tc>
        <w:tc>
          <w:tcPr>
            <w:tcW w:w="1502" w:type="dxa"/>
            <w:vAlign w:val="center"/>
          </w:tcPr>
          <w:p w14:paraId="74C35FCB">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尿液分析仪</w:t>
            </w:r>
          </w:p>
        </w:tc>
        <w:tc>
          <w:tcPr>
            <w:tcW w:w="1134" w:type="dxa"/>
            <w:vAlign w:val="center"/>
          </w:tcPr>
          <w:p w14:paraId="16231BA7">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1835CB2E">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651F891B">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2CBF86AD">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8000</w:t>
            </w:r>
          </w:p>
        </w:tc>
      </w:tr>
      <w:tr w14:paraId="4FD630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1CC4BF8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392742D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测试项目：尿胆原(UBG)、胆红素(BIL)、酮体(KET)、肌酐(CRE)、血(BLD)、蛋白质(PRO)、微白蛋白(MALB)、亚硝酸盐(NIT)、白细胞(LEU)、葡萄糖(GLU)、比重(SG) 、酸碱度(pH)、维生素C(VC)、尿钙(Ca)（其中肌酐、微白蛋白、维生素C、尿钙可选）</w:t>
            </w:r>
          </w:p>
          <w:p w14:paraId="0C6369E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测试波长：525nm、572nm、610nm、660nm</w:t>
            </w:r>
          </w:p>
          <w:p w14:paraId="7FAE1E5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测试原理：采用光电比色法，测试系统采用超高亮度冷光源</w:t>
            </w:r>
          </w:p>
          <w:p w14:paraId="590555E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测试速度：600条/小时</w:t>
            </w:r>
          </w:p>
          <w:p w14:paraId="3BA39E6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存储容量：10000条记录</w:t>
            </w:r>
          </w:p>
          <w:p w14:paraId="41AE060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数据接口：串行RS-232接口、并行打印接口</w:t>
            </w:r>
          </w:p>
          <w:p w14:paraId="7EDEFD3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显示屏：7英寸彩色屏幕</w:t>
            </w:r>
          </w:p>
          <w:p w14:paraId="7619567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语言：中文，英文等</w:t>
            </w:r>
          </w:p>
          <w:p w14:paraId="581764E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电源电压 ：220V  50Hz</w:t>
            </w:r>
          </w:p>
          <w:p w14:paraId="0DEA50B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功率：40VA</w:t>
            </w:r>
          </w:p>
          <w:p w14:paraId="21A35DE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外型尺寸：404mm×356mm×264mm</w:t>
            </w:r>
          </w:p>
          <w:p w14:paraId="42C18C4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净    重：8Kg</w:t>
            </w:r>
          </w:p>
          <w:p w14:paraId="4BFE0CC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报告方式：国际单位制、常规单位制、加号系统三种单位制可选</w:t>
            </w:r>
          </w:p>
          <w:p w14:paraId="1B32AAB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打印系统：内置式热敏打印机，并可外接针式打印机</w:t>
            </w:r>
          </w:p>
          <w:p w14:paraId="3F8ADE2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自动修正试纸非特异性、尿酸碱度、比重、颜色对测试结果的影响</w:t>
            </w:r>
          </w:p>
          <w:p w14:paraId="1375737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可外接条码阅读器，并可与尿沉渣分析仪联机</w:t>
            </w:r>
          </w:p>
          <w:p w14:paraId="672EBB0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具有异常值标记功能</w:t>
            </w:r>
          </w:p>
          <w:p w14:paraId="2BB0471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自动感应并运送待测试纸条</w:t>
            </w:r>
          </w:p>
          <w:p w14:paraId="209A32F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配有废料收集装置</w:t>
            </w:r>
          </w:p>
          <w:p w14:paraId="357F79C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 工作条件</w:t>
            </w:r>
          </w:p>
          <w:p w14:paraId="1901B0E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环境温度：5℃～40℃</w:t>
            </w:r>
          </w:p>
          <w:p w14:paraId="52C26FB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相对湿度：不大于80%</w:t>
            </w:r>
          </w:p>
        </w:tc>
      </w:tr>
      <w:tr w14:paraId="63A880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18FB413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10、设备名称</w:t>
            </w:r>
          </w:p>
        </w:tc>
        <w:tc>
          <w:tcPr>
            <w:tcW w:w="1502" w:type="dxa"/>
            <w:vAlign w:val="center"/>
          </w:tcPr>
          <w:p w14:paraId="4010F639">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全自动凝血分析仪</w:t>
            </w:r>
          </w:p>
        </w:tc>
        <w:tc>
          <w:tcPr>
            <w:tcW w:w="1134" w:type="dxa"/>
            <w:vAlign w:val="center"/>
          </w:tcPr>
          <w:p w14:paraId="1F7B53DC">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57CA5793">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5D8ADEDB">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52BFE8C7">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30000</w:t>
            </w:r>
          </w:p>
        </w:tc>
      </w:tr>
      <w:tr w14:paraId="6F07A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6" w:hRule="atLeast"/>
        </w:trPr>
        <w:tc>
          <w:tcPr>
            <w:tcW w:w="1725" w:type="dxa"/>
            <w:vAlign w:val="center"/>
          </w:tcPr>
          <w:p w14:paraId="1CC90E4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0E1F8F3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测试方法：光学比浊法</w:t>
            </w:r>
          </w:p>
          <w:p w14:paraId="46D6046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测试速度：≥PT:60T/H</w:t>
            </w:r>
          </w:p>
          <w:p w14:paraId="56823E2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检测通道：≥7个,包含凝固法、免疫比浊法、发色底物法三种检测通道</w:t>
            </w:r>
          </w:p>
          <w:p w14:paraId="6DBFF03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rPr>
              <w:t>检测项目：PT、APTT、TT、FIB、PLG、α2-AP、PC、Heparin、D-Dimer、FDP、各项凝血因子等。</w:t>
            </w:r>
          </w:p>
          <w:p w14:paraId="52A247F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lang w:eastAsia="zh-CN"/>
              </w:rPr>
              <w:t>FIB线性：r≥0.975</w:t>
            </w:r>
          </w:p>
          <w:p w14:paraId="1B3EE42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样本位：≥27个，均可作为急诊位</w:t>
            </w:r>
          </w:p>
          <w:p w14:paraId="2D5F01E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试剂位： ≥23个，均具备冷藏功能</w:t>
            </w:r>
          </w:p>
          <w:p w14:paraId="4C18A91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样本量：4—120 </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l</w:t>
            </w:r>
          </w:p>
          <w:p w14:paraId="6EBE5F7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试剂量：4—200 </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 xml:space="preserve">l                           </w:t>
            </w:r>
          </w:p>
          <w:p w14:paraId="1C42683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反应杯：可同时装载＞70个反应杯</w:t>
            </w:r>
          </w:p>
          <w:p w14:paraId="5A8AC2A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试剂预热：具备</w:t>
            </w:r>
          </w:p>
          <w:p w14:paraId="373B4CF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打印：内置</w:t>
            </w:r>
          </w:p>
          <w:p w14:paraId="720A69F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操作方式：触摸屏操作，一体机，不需要外接电脑控制，节约实验室空间</w:t>
            </w:r>
          </w:p>
          <w:p w14:paraId="7766BB7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纤维蛋白原（FIB）测定：PT演算法和clauss法</w:t>
            </w:r>
          </w:p>
          <w:p w14:paraId="7A8D33D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定标方法：“折线回归”、“线性回归”、“双对数直线回归”、“双对数折线回归”。</w:t>
            </w:r>
          </w:p>
          <w:p w14:paraId="42863F7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试剂量监测：对测试过程中试剂用量的实时监测，当试剂用余量较少时，系统将报警。</w:t>
            </w:r>
          </w:p>
          <w:p w14:paraId="413E7CB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质控判别规则：具备质控控制限和多规则质控等多种判别规则</w:t>
            </w:r>
          </w:p>
          <w:p w14:paraId="1ED62F1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样本管规格：支持标准试管、原始采血管和微量样本杯</w:t>
            </w:r>
          </w:p>
          <w:p w14:paraId="252BF5E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自动重测功能，依据测试结果和多种预设条件，系统可自动判断是否需要进行样本重稀释及测试，保证结果的可靠性。</w:t>
            </w:r>
          </w:p>
        </w:tc>
      </w:tr>
      <w:tr w14:paraId="040765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6C16CD6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11、设备名称</w:t>
            </w:r>
          </w:p>
        </w:tc>
        <w:tc>
          <w:tcPr>
            <w:tcW w:w="1502" w:type="dxa"/>
            <w:vAlign w:val="center"/>
          </w:tcPr>
          <w:p w14:paraId="67D9E672">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全自动生化分析仪</w:t>
            </w:r>
          </w:p>
        </w:tc>
        <w:tc>
          <w:tcPr>
            <w:tcW w:w="1134" w:type="dxa"/>
            <w:vAlign w:val="center"/>
          </w:tcPr>
          <w:p w14:paraId="181A7974">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5F25A08C">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34A341FA">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17A30409">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200000</w:t>
            </w:r>
          </w:p>
        </w:tc>
      </w:tr>
      <w:tr w14:paraId="648B0D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760B7F4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4AE3B32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测量速度：生化比色分析恒速≥800测试/小时,选配ISE后测试速度最大可达到1200测试/小时</w:t>
            </w:r>
          </w:p>
          <w:p w14:paraId="42A8598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测量方法：要求具备终点法，两点法，速率法等</w:t>
            </w:r>
          </w:p>
          <w:p w14:paraId="18DAB1A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急诊检测能力：急诊样本优先检测</w:t>
            </w:r>
          </w:p>
          <w:p w14:paraId="6712C65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糖化血红蛋白检测：具有机内自动溶血功能</w:t>
            </w:r>
          </w:p>
          <w:p w14:paraId="600CE70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分光方式：光栅后分光方式</w:t>
            </w:r>
          </w:p>
          <w:p w14:paraId="5357E0A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波长数量及范围：波长数量≥11个；范围要求340nm-800nm</w:t>
            </w:r>
          </w:p>
          <w:p w14:paraId="7867B53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吸光度线性范围：0 Abs -3.0Abs</w:t>
            </w:r>
          </w:p>
          <w:p w14:paraId="30CA062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温控方式：恒温循环水浴方式，控温精度要求达到37C±0.1C</w:t>
            </w:r>
          </w:p>
          <w:p w14:paraId="23EA975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进样方式：智能灵活，圆盘式进样</w:t>
            </w:r>
          </w:p>
          <w:p w14:paraId="2294A3D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样本针功能：具有凝块检测功能，液面探测功能</w:t>
            </w:r>
          </w:p>
          <w:p w14:paraId="065874F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最小样本量：≤2u，0.1 ul步进     </w:t>
            </w:r>
          </w:p>
          <w:p w14:paraId="6CEDC0D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最小反应液体积：≤130ul</w:t>
            </w:r>
          </w:p>
          <w:p w14:paraId="5A9441C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清洗系统：8阶全自动温水清洗反应杯</w:t>
            </w:r>
          </w:p>
          <w:p w14:paraId="0A40747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分注定量系统：高耐磨陶瓷芯分注泵</w:t>
            </w:r>
          </w:p>
          <w:p w14:paraId="05FB91D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搅拌系统：≥1个</w:t>
            </w:r>
          </w:p>
          <w:p w14:paraId="0283DFE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工作软件：配备中文软件系统</w:t>
            </w:r>
          </w:p>
          <w:p w14:paraId="06B91AA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装机配套试剂：配备装机试剂一套</w:t>
            </w:r>
          </w:p>
          <w:p w14:paraId="3F7151C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安装培训：免费安装、调试、人员培训</w:t>
            </w:r>
          </w:p>
        </w:tc>
      </w:tr>
      <w:tr w14:paraId="69ADE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0C2AB0B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12、设备名称</w:t>
            </w:r>
          </w:p>
        </w:tc>
        <w:tc>
          <w:tcPr>
            <w:tcW w:w="1502" w:type="dxa"/>
            <w:vAlign w:val="center"/>
          </w:tcPr>
          <w:p w14:paraId="1CB0AE7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全自动血细胞分析仪</w:t>
            </w:r>
          </w:p>
        </w:tc>
        <w:tc>
          <w:tcPr>
            <w:tcW w:w="1134" w:type="dxa"/>
            <w:vAlign w:val="center"/>
          </w:tcPr>
          <w:p w14:paraId="462B7F5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4CAAE8B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37CE7D9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6998765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150000</w:t>
            </w:r>
          </w:p>
        </w:tc>
      </w:tr>
      <w:tr w14:paraId="493A61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3F23E29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665BDEF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一、技术性能要求</w:t>
            </w:r>
          </w:p>
          <w:p w14:paraId="3933D71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▲产品要求</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一次进样同时进行血细胞五分类检测和C-反应蛋白检测</w:t>
            </w:r>
          </w:p>
          <w:p w14:paraId="4A50CBF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二、主要技术性能</w:t>
            </w:r>
          </w:p>
          <w:p w14:paraId="021AB6F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测试项目</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≥27项（不含散点图、直方图），白细胞五分类</w:t>
            </w:r>
          </w:p>
          <w:p w14:paraId="3771352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测试方法</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采用激光散射法对白细胞进行五分类检测，采用免疫比浊法进行C-反应蛋白（CRP）测定</w:t>
            </w:r>
          </w:p>
          <w:p w14:paraId="73EBB1C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测试模式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具有独立的静脉全血、末梢全血、预稀释血检测模式且支持预稀释校准功能</w:t>
            </w:r>
          </w:p>
          <w:p w14:paraId="57FF015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样本用量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五分类+CRP模式≤30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l</w:t>
            </w:r>
          </w:p>
          <w:p w14:paraId="5A872DE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WBC分类通道</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有单独的嗜碱性粒细胞分类通道</w:t>
            </w:r>
          </w:p>
          <w:p w14:paraId="0A77665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研究性参数</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≥10个，包含异型淋巴细胞、未成熟粒细胞、有核红细胞、原始细胞等参数的计数及百分比</w:t>
            </w:r>
          </w:p>
          <w:p w14:paraId="7A93A05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进样方式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全自动进样装置，可进行全自动封闭进样（单个或多个标本）且一次性放置样本≥50个</w:t>
            </w:r>
          </w:p>
          <w:p w14:paraId="4C0FDF7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急诊位</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具有单个封闭穿刺进样装置（非手动开放进样），避免操作人员生物危害</w:t>
            </w:r>
          </w:p>
          <w:p w14:paraId="63CF646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测试速度</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五分类+CRP模式≥60样本/小时</w:t>
            </w:r>
          </w:p>
          <w:p w14:paraId="378C222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▲操作方式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主机自带≥10.4寸彩色液晶触摸屏，方便用户操作</w:t>
            </w:r>
          </w:p>
          <w:p w14:paraId="51052F7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操作界面</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全中文操作分析报告软件</w:t>
            </w:r>
          </w:p>
          <w:p w14:paraId="4B207D6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线性范围</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WBC:0~500×109 /L;PLT:0~5000×109 /L</w:t>
            </w:r>
          </w:p>
          <w:p w14:paraId="1BABF71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报告单</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可显示、输出全中文报告</w:t>
            </w:r>
          </w:p>
          <w:p w14:paraId="69051AE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条码扫描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360°全自动旋转扫码单元；配有条码阅读器接口，具有条码识别功能</w:t>
            </w:r>
          </w:p>
          <w:p w14:paraId="6C824F2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质控方法</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包含L-J、Xbar、Xbar-R、X-B等至少四种质控方式</w:t>
            </w:r>
          </w:p>
          <w:p w14:paraId="096E227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校准</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可对仪器进行自动校准、人工校准、新鲜血校准</w:t>
            </w:r>
          </w:p>
          <w:p w14:paraId="2A14B8E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存储样本量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≥200000个样本存储（包括直方图），并可按病人信息及时间段检索，打印</w:t>
            </w:r>
          </w:p>
          <w:p w14:paraId="5D9732C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系统维护</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设备具备固定标本量后的自动系统维护功能</w:t>
            </w:r>
          </w:p>
          <w:p w14:paraId="64E6C7B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三、产品配置</w:t>
            </w:r>
          </w:p>
          <w:p w14:paraId="065D746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装机配套试剂</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免费提供装机试剂一套</w:t>
            </w:r>
          </w:p>
        </w:tc>
      </w:tr>
      <w:tr w14:paraId="540331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1EF33E2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13、设备名称</w:t>
            </w:r>
          </w:p>
        </w:tc>
        <w:tc>
          <w:tcPr>
            <w:tcW w:w="1502" w:type="dxa"/>
            <w:vAlign w:val="center"/>
          </w:tcPr>
          <w:p w14:paraId="2689808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二氧化碳激光治疗仪</w:t>
            </w:r>
          </w:p>
        </w:tc>
        <w:tc>
          <w:tcPr>
            <w:tcW w:w="1134" w:type="dxa"/>
            <w:vAlign w:val="center"/>
          </w:tcPr>
          <w:p w14:paraId="609DAD1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40785BE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7D6DCD0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41E7E8D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15000</w:t>
            </w:r>
          </w:p>
        </w:tc>
      </w:tr>
      <w:tr w14:paraId="3FBE12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725" w:type="dxa"/>
            <w:vAlign w:val="center"/>
          </w:tcPr>
          <w:p w14:paraId="57D6E84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75BFA97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使用范围：二氧化碳激光治疗机是进行医院手术类的专用设备。主要用于：皮肤表皮多余组织的汽化、碳化、切割</w:t>
            </w:r>
          </w:p>
          <w:p w14:paraId="000E6DF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二、技术参数要求：</w:t>
            </w:r>
          </w:p>
          <w:p w14:paraId="531DC51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激光波长</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10.6</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m</w:t>
            </w:r>
          </w:p>
          <w:p w14:paraId="25E79E8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▲激光功率</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28W±20%无级可调</w:t>
            </w:r>
          </w:p>
          <w:p w14:paraId="4C34536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▲光斑直径</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0.5mm±20%</w:t>
            </w:r>
          </w:p>
          <w:p w14:paraId="4C80E7B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激光功率不稳定度</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≤3%</w:t>
            </w:r>
          </w:p>
          <w:p w14:paraId="1032C9B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激光功率复现性</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≤3%</w:t>
            </w:r>
          </w:p>
          <w:p w14:paraId="70D3EB5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三、主机平台</w:t>
            </w:r>
          </w:p>
          <w:p w14:paraId="41E823D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导光系统</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六关节导光系统</w:t>
            </w:r>
          </w:p>
          <w:p w14:paraId="66A9D7A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激光器</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封离型CO2激光器</w:t>
            </w:r>
          </w:p>
          <w:p w14:paraId="2F84B7A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刀头配置</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f=100mm</w:t>
            </w:r>
          </w:p>
          <w:p w14:paraId="03F840A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可选配：f=50mm切割更精细</w:t>
            </w:r>
          </w:p>
          <w:p w14:paraId="48827A8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指示光</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半导体激光650 nm  功率≤5mmw</w:t>
            </w:r>
          </w:p>
          <w:p w14:paraId="66AB895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输出控制</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轻触型数码管显示</w:t>
            </w:r>
          </w:p>
          <w:p w14:paraId="71E5B2D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冷却方式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智能内循环水冷却控制</w:t>
            </w:r>
          </w:p>
          <w:p w14:paraId="0365593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额定电压</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＜15KV</w:t>
            </w:r>
          </w:p>
          <w:p w14:paraId="464530F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额定电流</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＜25mA</w:t>
            </w:r>
          </w:p>
          <w:p w14:paraId="405DE49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使用电源</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AC 220V/50Hz</w:t>
            </w:r>
          </w:p>
          <w:p w14:paraId="0AC1108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安全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智能报警</w:t>
            </w:r>
          </w:p>
          <w:p w14:paraId="2652496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输入功率</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 xml:space="preserve">&lt;700W+10%  </w:t>
            </w:r>
          </w:p>
        </w:tc>
      </w:tr>
      <w:tr w14:paraId="6D3C60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528367E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14、设备名称</w:t>
            </w:r>
          </w:p>
        </w:tc>
        <w:tc>
          <w:tcPr>
            <w:tcW w:w="1502" w:type="dxa"/>
            <w:vAlign w:val="center"/>
          </w:tcPr>
          <w:p w14:paraId="7544C0C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体外冲击波治疗仪</w:t>
            </w:r>
          </w:p>
        </w:tc>
        <w:tc>
          <w:tcPr>
            <w:tcW w:w="1134" w:type="dxa"/>
            <w:vAlign w:val="center"/>
          </w:tcPr>
          <w:p w14:paraId="1F7B44D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2A3E4BB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2个</w:t>
            </w:r>
          </w:p>
        </w:tc>
        <w:tc>
          <w:tcPr>
            <w:tcW w:w="2007" w:type="dxa"/>
            <w:vAlign w:val="center"/>
          </w:tcPr>
          <w:p w14:paraId="1C9395D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760CBF5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200000</w:t>
            </w:r>
          </w:p>
        </w:tc>
      </w:tr>
      <w:tr w14:paraId="29AA2F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trPr>
        <w:tc>
          <w:tcPr>
            <w:tcW w:w="1725" w:type="dxa"/>
            <w:vAlign w:val="center"/>
          </w:tcPr>
          <w:p w14:paraId="6F11563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18B8A11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▲1.工作压力：1×10²kPa-5.0×10²kPa（1—5.0bar），调节步进值0.1×10²kPa；</w:t>
            </w:r>
          </w:p>
          <w:p w14:paraId="3CC6BCD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▲2.最大能量密度5mJ/mm²，最大输出能量≥212mJ；</w:t>
            </w:r>
          </w:p>
          <w:p w14:paraId="1D0D16B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▲3.频率1-22Hz，调节步进值0.5Hz；</w:t>
            </w:r>
          </w:p>
          <w:p w14:paraId="40B6864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4.冲击次数100-9900次，调节步进值100次；</w:t>
            </w:r>
          </w:p>
          <w:p w14:paraId="52E756F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5.智能化管理系统，自动检测手枪连接状态；</w:t>
            </w:r>
          </w:p>
          <w:p w14:paraId="2F9167B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6.具有单次冲击模式和连续冲击模式；</w:t>
            </w:r>
          </w:p>
          <w:p w14:paraId="73BA0E5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7.单通道冲击治疗，标配1把冲击手枪； </w:t>
            </w:r>
          </w:p>
          <w:p w14:paraId="5B782FF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8.冲击波治疗枪具有减振功能，减少对操作人员的手部的后冲力。</w:t>
            </w:r>
          </w:p>
          <w:p w14:paraId="08DE372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9.一共配备6个传导子，包含标准、深层、变频、穴位、聚焦等传导子；标配1个子弹和1个弹道。</w:t>
            </w:r>
          </w:p>
          <w:p w14:paraId="3A182B8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10.治疗头金属部分可以在高温+135℃高温高压消毒；</w:t>
            </w:r>
          </w:p>
          <w:p w14:paraId="26BD904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11.治疗探头须通过生物相容性检测； </w:t>
            </w:r>
          </w:p>
          <w:p w14:paraId="692BF93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12.具有一通道按摩治疗，标配一把按摩手枪，振幅6mm，振动频率四档可调；</w:t>
            </w:r>
          </w:p>
          <w:p w14:paraId="54605F9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 具有按摩治疗头数量≥7个，包括扳机点、肩部、腰部、臀部、脊柱等按摩头；</w:t>
            </w:r>
          </w:p>
          <w:p w14:paraId="6A06760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14.机器自带高分辨率智能彩色触摸屏，8英寸；</w:t>
            </w:r>
          </w:p>
          <w:p w14:paraId="1823876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15.带语音播报功能，治疗开始和结束有提示音；</w:t>
            </w:r>
          </w:p>
          <w:p w14:paraId="2238089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16.输出压力波脉宽最小为160us，其误差不应超出±10%；</w:t>
            </w:r>
          </w:p>
          <w:p w14:paraId="4C075CE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17.过压安全装置，具有双重过压安全装置，防止空气压缩机在正常和单一故障状态下发生压力突然增大。</w:t>
            </w:r>
          </w:p>
          <w:p w14:paraId="6484027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▲18.带有人体治疗部位选择图，可以根据身体部位选择相应的治疗处方，内</w:t>
            </w:r>
            <w:bookmarkStart w:id="49" w:name="_Hlk112188655"/>
            <w:r>
              <w:rPr>
                <w:rFonts w:hint="eastAsia" w:ascii="宋体" w:hAnsi="宋体" w:eastAsia="宋体" w:cs="宋体"/>
                <w:color w:val="auto"/>
                <w:spacing w:val="-2"/>
                <w:sz w:val="24"/>
                <w:szCs w:val="24"/>
                <w:lang w:eastAsia="zh-CN"/>
              </w:rPr>
              <w:t>置处方数量≥200个</w:t>
            </w:r>
            <w:bookmarkEnd w:id="49"/>
            <w:r>
              <w:rPr>
                <w:rFonts w:hint="eastAsia" w:ascii="宋体" w:hAnsi="宋体" w:eastAsia="宋体" w:cs="宋体"/>
                <w:color w:val="auto"/>
                <w:spacing w:val="-2"/>
                <w:sz w:val="24"/>
                <w:szCs w:val="24"/>
                <w:lang w:eastAsia="zh-CN"/>
              </w:rPr>
              <w:t>（提供官方检测机构出具的检验报告给予佐证）；</w:t>
            </w:r>
            <w:bookmarkStart w:id="50" w:name="_Hlk112188670"/>
          </w:p>
          <w:bookmarkEnd w:id="50"/>
          <w:p w14:paraId="749DF46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19.进口核心部件：原装进口气泵，动力强，静音设计；输出能量稳定，进口部件可提供报关证明资料；SMC电磁阀，输出稳定性高；</w:t>
            </w:r>
          </w:p>
          <w:p w14:paraId="31B063C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20.台车可选配，具有储物柜，整体搭配高端大气；</w:t>
            </w:r>
          </w:p>
          <w:p w14:paraId="5B8A955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21.提供冲击波相关技术发明专利不少于7项；</w:t>
            </w:r>
          </w:p>
          <w:p w14:paraId="79B1CD7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22.该产品入选国家中医药管理局中医诊疗设备推荐目录。</w:t>
            </w:r>
          </w:p>
        </w:tc>
      </w:tr>
      <w:tr w14:paraId="1D76DA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43EF761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15、设备名称</w:t>
            </w:r>
          </w:p>
        </w:tc>
        <w:tc>
          <w:tcPr>
            <w:tcW w:w="1502" w:type="dxa"/>
            <w:vAlign w:val="center"/>
          </w:tcPr>
          <w:p w14:paraId="449DE4BD">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生物反馈治疗仪</w:t>
            </w:r>
          </w:p>
        </w:tc>
        <w:tc>
          <w:tcPr>
            <w:tcW w:w="1134" w:type="dxa"/>
            <w:vAlign w:val="center"/>
          </w:tcPr>
          <w:p w14:paraId="7D387C6A">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3D060704">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3B37F007">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09C7C758">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49000</w:t>
            </w:r>
          </w:p>
        </w:tc>
      </w:tr>
      <w:tr w14:paraId="5A9796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51DAAD1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33029B4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1、≥23.8英寸显示器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2、通道：四路独立通道，均具备采集和刺激功能；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3、具有神经康复专用治疗方案；</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4、采样频率：8kHz；</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5、反馈阈值： 10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V～1000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6、分辨率(测量灵敏度)：≤2</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7、系统噪声：≤1uV。</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8、电刺激性能：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8.1、刺激波形为双向对称波</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8.2、输出脉冲宽度：20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s～1000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s，10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s步长可调，允差：±20%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8.3、输出刺激频率：0.5Hz、1Hz～999Hz，步进1Hz，允差：±10%或±2Hz，两者取较大值，且小于1000Hz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8.4、输出刺激电流：1mA～100mA可调，1mA步长可调,允差：±15%或±2mA，两者取较大值。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8.5、持续时间：1s～20s，步进1s，允差±1s；</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8.6、间隔时间：0s～20s，步进1s，允差±1s；</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8.7、上升时间：0、0.5、1～10s，步进1s，允差±1s；</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8.8、下降时间：0、0.5、1～10s，步进1s，允差±1s ；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8.9、治疗时间：5min～40min，步进5min，允差±5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9、具有表面肌电评估、体态评估、神经肌肉电刺激方案、肌电触发电刺激方案、多媒体生物反馈训练模块；</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10、支持镜像刺激，可以根据提取的健侧肌电信号，同步刺激患侧，激发患肢产生功能动作，支持健侧带动患侧进行自主训练；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11、神经肌肉电刺激模块支持变频方案；</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12、体态评估通过可视化的智能影像捕捉技术，评估患者的身体姿态，早期筛查异常体态，辅助早期介入治疗；</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13、临床医生可根据临床常见运动功能异常症状，制定针对性治疗方案；</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14、预留数据接口，支持HIS系统对接。</w:t>
            </w:r>
          </w:p>
        </w:tc>
      </w:tr>
      <w:tr w14:paraId="034C8D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26A44C0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16、设备名称</w:t>
            </w:r>
          </w:p>
        </w:tc>
        <w:tc>
          <w:tcPr>
            <w:tcW w:w="1502" w:type="dxa"/>
            <w:vAlign w:val="center"/>
          </w:tcPr>
          <w:p w14:paraId="2D4B2CC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手指功能组合训练箱</w:t>
            </w:r>
          </w:p>
        </w:tc>
        <w:tc>
          <w:tcPr>
            <w:tcW w:w="1134" w:type="dxa"/>
            <w:vAlign w:val="center"/>
          </w:tcPr>
          <w:p w14:paraId="673FFD3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57DB6B6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743A039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1976FC7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600</w:t>
            </w:r>
          </w:p>
        </w:tc>
      </w:tr>
      <w:tr w14:paraId="7E81F2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1" w:hRule="atLeast"/>
        </w:trPr>
        <w:tc>
          <w:tcPr>
            <w:tcW w:w="1725" w:type="dxa"/>
            <w:vAlign w:val="center"/>
          </w:tcPr>
          <w:p w14:paraId="73610374">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6B19DAB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1、规格(mm):550mm×400mm×140mm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2、配有木插棍、铁插棍、螺栓、螺母等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3、用途：训练患者眼一手协调功能，改善手指功能，提高手协调性、灵活性</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4、材质：实木材、玻璃球等</w:t>
            </w:r>
          </w:p>
        </w:tc>
      </w:tr>
      <w:tr w14:paraId="2E9FBA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6F6DBD9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17、设备名称</w:t>
            </w:r>
          </w:p>
        </w:tc>
        <w:tc>
          <w:tcPr>
            <w:tcW w:w="1502" w:type="dxa"/>
            <w:vAlign w:val="center"/>
          </w:tcPr>
          <w:p w14:paraId="70594395">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上螺母</w:t>
            </w:r>
          </w:p>
        </w:tc>
        <w:tc>
          <w:tcPr>
            <w:tcW w:w="1134" w:type="dxa"/>
            <w:vAlign w:val="center"/>
          </w:tcPr>
          <w:p w14:paraId="77969BF2">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12EE8130">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160B58E7">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258791CB">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430</w:t>
            </w:r>
          </w:p>
        </w:tc>
      </w:tr>
      <w:tr w14:paraId="0525BC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7" w:hRule="atLeast"/>
        </w:trPr>
        <w:tc>
          <w:tcPr>
            <w:tcW w:w="1725" w:type="dxa"/>
            <w:vAlign w:val="center"/>
          </w:tcPr>
          <w:p w14:paraId="42EED90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2709494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1各种螺母≥24个</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材质：密度板，不锈钢螺丝、螺母</w:t>
            </w:r>
          </w:p>
        </w:tc>
      </w:tr>
      <w:tr w14:paraId="46C9D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587AA37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18、设备名称</w:t>
            </w:r>
          </w:p>
        </w:tc>
        <w:tc>
          <w:tcPr>
            <w:tcW w:w="1502" w:type="dxa"/>
            <w:vAlign w:val="center"/>
          </w:tcPr>
          <w:p w14:paraId="3F7D622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上螺丝</w:t>
            </w:r>
          </w:p>
        </w:tc>
        <w:tc>
          <w:tcPr>
            <w:tcW w:w="1134" w:type="dxa"/>
            <w:vAlign w:val="center"/>
          </w:tcPr>
          <w:p w14:paraId="4FC4D20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780E951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5C2020A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0565F186">
            <w:pPr>
              <w:widowControl w:val="0"/>
              <w:spacing w:before="184"/>
              <w:ind w:right="2" w:firstLine="472" w:firstLineChars="2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420</w:t>
            </w:r>
          </w:p>
        </w:tc>
      </w:tr>
      <w:tr w14:paraId="1040C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6" w:hRule="atLeast"/>
        </w:trPr>
        <w:tc>
          <w:tcPr>
            <w:tcW w:w="1725" w:type="dxa"/>
            <w:vAlign w:val="center"/>
          </w:tcPr>
          <w:p w14:paraId="07E7CA7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5B83601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用途：通过模拟作业，改善手指对指功能，</w:t>
            </w:r>
          </w:p>
          <w:p w14:paraId="3AA298C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提高手的协调性、灵活性</w:t>
            </w:r>
          </w:p>
          <w:p w14:paraId="3D67CC5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材质：多层板、不锈钢</w:t>
            </w:r>
          </w:p>
          <w:p w14:paraId="0605697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结构形式：底座、螺丝</w:t>
            </w:r>
          </w:p>
        </w:tc>
      </w:tr>
      <w:tr w14:paraId="52860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22BC06D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19、设备名称</w:t>
            </w:r>
          </w:p>
        </w:tc>
        <w:tc>
          <w:tcPr>
            <w:tcW w:w="1502" w:type="dxa"/>
            <w:vAlign w:val="center"/>
          </w:tcPr>
          <w:p w14:paraId="3C8EFF4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滚筒</w:t>
            </w:r>
          </w:p>
        </w:tc>
        <w:tc>
          <w:tcPr>
            <w:tcW w:w="1134" w:type="dxa"/>
            <w:vAlign w:val="center"/>
          </w:tcPr>
          <w:p w14:paraId="4370CA9C">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3ACEA1F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0EC7A83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186B2C01">
            <w:pPr>
              <w:widowControl w:val="0"/>
              <w:spacing w:before="184"/>
              <w:ind w:right="2" w:firstLine="472" w:firstLineChars="200"/>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600</w:t>
            </w:r>
          </w:p>
        </w:tc>
      </w:tr>
      <w:tr w14:paraId="0F677E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2" w:hRule="atLeast"/>
        </w:trPr>
        <w:tc>
          <w:tcPr>
            <w:tcW w:w="1725" w:type="dxa"/>
            <w:vAlign w:val="center"/>
          </w:tcPr>
          <w:p w14:paraId="17D857AC">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7B22EE5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额定载荷：80kg。</w:t>
            </w:r>
          </w:p>
          <w:p w14:paraId="645D59D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用途：偏瘫、脑瘫等运动失调患者进行平衡、协调功能。</w:t>
            </w:r>
          </w:p>
          <w:p w14:paraId="0292083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材质：钢板、海绵、皮革。</w:t>
            </w:r>
          </w:p>
          <w:p w14:paraId="6ABDAC5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结构形式：滚桶。</w:t>
            </w:r>
          </w:p>
        </w:tc>
      </w:tr>
      <w:tr w14:paraId="4A3A40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78156FB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20、设备名称</w:t>
            </w:r>
          </w:p>
        </w:tc>
        <w:tc>
          <w:tcPr>
            <w:tcW w:w="1502" w:type="dxa"/>
            <w:vAlign w:val="center"/>
          </w:tcPr>
          <w:p w14:paraId="5615BAE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肩关节旋转训练器</w:t>
            </w:r>
          </w:p>
        </w:tc>
        <w:tc>
          <w:tcPr>
            <w:tcW w:w="1134" w:type="dxa"/>
            <w:vAlign w:val="center"/>
          </w:tcPr>
          <w:p w14:paraId="204AE59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44E1BD7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3997F65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088027B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2200</w:t>
            </w:r>
          </w:p>
        </w:tc>
      </w:tr>
      <w:tr w14:paraId="0674CA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4" w:hRule="atLeast"/>
        </w:trPr>
        <w:tc>
          <w:tcPr>
            <w:tcW w:w="1725" w:type="dxa"/>
            <w:vAlign w:val="center"/>
          </w:tcPr>
          <w:p w14:paraId="627E0C5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3C41B95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平台升降调节范围（mm）：0～630。</w:t>
            </w:r>
          </w:p>
          <w:p w14:paraId="2B44189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手柄至转动轴距离调节范围（mm）：130～310。</w:t>
            </w:r>
          </w:p>
          <w:p w14:paraId="1D37C7A4">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最大阻尼（N·cm）：1650。</w:t>
            </w:r>
          </w:p>
          <w:p w14:paraId="519B419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用途：改善肩，肘关节活动范围。</w:t>
            </w:r>
          </w:p>
          <w:p w14:paraId="72BF189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材质：型材、橡胶、钢板。</w:t>
            </w:r>
          </w:p>
          <w:p w14:paraId="44B710A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结构形式：支撑架、滑动杆、把手、训练部分。</w:t>
            </w:r>
          </w:p>
        </w:tc>
      </w:tr>
      <w:tr w14:paraId="333415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08779F5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21、设备名称</w:t>
            </w:r>
          </w:p>
        </w:tc>
        <w:tc>
          <w:tcPr>
            <w:tcW w:w="1502" w:type="dxa"/>
            <w:vAlign w:val="center"/>
          </w:tcPr>
          <w:p w14:paraId="6CB05D5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上肢牵引滑轮吊环训练器</w:t>
            </w:r>
          </w:p>
        </w:tc>
        <w:tc>
          <w:tcPr>
            <w:tcW w:w="1134" w:type="dxa"/>
            <w:vAlign w:val="center"/>
          </w:tcPr>
          <w:p w14:paraId="7C1D3F84">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0F3CEF2C">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4893CBE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206B655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450</w:t>
            </w:r>
          </w:p>
        </w:tc>
      </w:tr>
      <w:tr w14:paraId="0611C8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6D06588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66FDB15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升降支架调节范围：0～200mm。</w:t>
            </w:r>
          </w:p>
          <w:p w14:paraId="0F912D7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额定载荷：15kg。</w:t>
            </w:r>
          </w:p>
          <w:p w14:paraId="6A41BFE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用途：用于肩关节活动范围训练，关节牵引，肌力训练。</w:t>
            </w:r>
          </w:p>
          <w:p w14:paraId="22EFD84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用途：训练上肢稳定性、协调性功能。提高上肢的日常活动能力。</w:t>
            </w:r>
          </w:p>
          <w:p w14:paraId="317B203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材质：不锈钢、橡胶、尼龙。</w:t>
            </w:r>
          </w:p>
          <w:p w14:paraId="0DCC698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结构形式：固定座、把手、训练架、尼龙绳。</w:t>
            </w:r>
          </w:p>
        </w:tc>
      </w:tr>
      <w:tr w14:paraId="40A978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1212FCD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22、设备名称</w:t>
            </w:r>
          </w:p>
        </w:tc>
        <w:tc>
          <w:tcPr>
            <w:tcW w:w="1502" w:type="dxa"/>
            <w:vAlign w:val="center"/>
          </w:tcPr>
          <w:p w14:paraId="0DF617A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24小时全信息动态心电分析系统</w:t>
            </w:r>
          </w:p>
        </w:tc>
        <w:tc>
          <w:tcPr>
            <w:tcW w:w="1134" w:type="dxa"/>
            <w:vAlign w:val="center"/>
          </w:tcPr>
          <w:p w14:paraId="23D7E08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3C4C05D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1805AE3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4F79920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6000</w:t>
            </w:r>
          </w:p>
        </w:tc>
      </w:tr>
      <w:tr w14:paraId="4ECA3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1725" w:type="dxa"/>
            <w:vAlign w:val="center"/>
          </w:tcPr>
          <w:p w14:paraId="13A3E16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2096D3D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1、记录器技术参数：</w:t>
            </w:r>
          </w:p>
          <w:p w14:paraId="41BD179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导联：标准12导联记录模式。</w:t>
            </w:r>
          </w:p>
          <w:p w14:paraId="2C8D7E6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采样频率： 128/512点/秒/通道可调</w:t>
            </w:r>
          </w:p>
          <w:p w14:paraId="798E2C3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A/D转换位数:最高支持16位。</w:t>
            </w:r>
          </w:p>
          <w:p w14:paraId="4618DF7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屏幕：不小于1.3寸LCD液晶显示屏，可预览心电图波形。</w:t>
            </w:r>
          </w:p>
          <w:p w14:paraId="0A45B25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存储：通用型SD闪存卡存储，容量≥8GB，存储时间≥24*7小时。</w:t>
            </w:r>
          </w:p>
          <w:p w14:paraId="5F7BCBF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记录器预留独立起搏检测通道，实现硬件标记起搏工作信号。</w:t>
            </w:r>
          </w:p>
          <w:p w14:paraId="40FBF8D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2、分析软件功能：</w:t>
            </w:r>
          </w:p>
          <w:p w14:paraId="30786EC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软件支持3导、12导联心电图同步显示和分析</w:t>
            </w:r>
          </w:p>
          <w:p w14:paraId="58E8FA7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分析前有心电图波形全程预览功能，可快速回浏览回顾24小时全息心电图；全息心电图回顾包括正常、室早、房早、起搏等模板，保证分析准确、快速；</w:t>
            </w:r>
          </w:p>
          <w:p w14:paraId="04D0156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软件采用多级模板分析技术，提供总模板、二级模板和心搏三级模板分析、编辑功能。</w:t>
            </w:r>
          </w:p>
          <w:p w14:paraId="3899BD7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软件提供心率变异性(HRV)、心率震荡、心向量、T波电交替、睡眠分析、SAEG、心率减速力等高级分析功能，满足临床科研项目需求</w:t>
            </w:r>
          </w:p>
          <w:p w14:paraId="5FB7205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软件具有专门程序提供房颤、房扑自动分析功能。</w:t>
            </w:r>
          </w:p>
          <w:p w14:paraId="2473BC6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软件自动分析起搏器工作信号并标志起搏钉，提供心房起搏、心室起搏、双腔起搏、起搏融合等起搏分析模板，保证起搏分析准确快捷。</w:t>
            </w:r>
          </w:p>
          <w:p w14:paraId="7C7D8B2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散点图功能：支持按心拍类型显示，选中方式支持任意和矩形框两种方式，支持散点图与叠加图同屏显示，支持差值散点图功能。</w:t>
            </w:r>
          </w:p>
          <w:p w14:paraId="641C8F7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瀑布图功能：支持瀑布图功能，支持瀑布图颜色深浅调节，图形可拉伸和压缩，瀑布图与PR趋势图一键切换。</w:t>
            </w:r>
          </w:p>
        </w:tc>
      </w:tr>
      <w:tr w14:paraId="23759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715682D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23、设备名称</w:t>
            </w:r>
          </w:p>
        </w:tc>
        <w:tc>
          <w:tcPr>
            <w:tcW w:w="1502" w:type="dxa"/>
            <w:vAlign w:val="center"/>
          </w:tcPr>
          <w:p w14:paraId="4423623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麻醉机</w:t>
            </w:r>
          </w:p>
        </w:tc>
        <w:tc>
          <w:tcPr>
            <w:tcW w:w="1134" w:type="dxa"/>
            <w:vAlign w:val="center"/>
          </w:tcPr>
          <w:p w14:paraId="7A3DD71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56910C4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1C56CEA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3D535FF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108000</w:t>
            </w:r>
          </w:p>
        </w:tc>
      </w:tr>
      <w:tr w14:paraId="725F68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573AE26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017AB86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≥10寸彩色触控屏，内置一体化屏幕。</w:t>
            </w:r>
          </w:p>
          <w:p w14:paraId="60C6B53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主机机身正面具备1个模块插槽，可与同品牌的插件式监护仪实现模块共享。</w:t>
            </w:r>
          </w:p>
          <w:p w14:paraId="0319229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标配氧气、空气两气源，可进行非纯氧供气</w:t>
            </w:r>
          </w:p>
          <w:p w14:paraId="58BA844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具备机械流量计，快速直观，调节范围：0-10L/min。</w:t>
            </w:r>
          </w:p>
          <w:p w14:paraId="1B66E39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通气模式：VCV、手动。</w:t>
            </w:r>
          </w:p>
          <w:p w14:paraId="5B4ED34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控制通气模式下：</w:t>
            </w:r>
          </w:p>
          <w:p w14:paraId="335159B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VCV模式下潮气量设定范围：15～1500ml。</w:t>
            </w:r>
          </w:p>
          <w:p w14:paraId="43BCE56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PCV模式下潮气量控制范围：5～1500ml。</w:t>
            </w:r>
          </w:p>
          <w:p w14:paraId="177015E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吸呼比设定范围：4:1～1:10。</w:t>
            </w:r>
          </w:p>
          <w:p w14:paraId="1E19082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吸气暂停设定范围：OFF，5%~60%。</w:t>
            </w:r>
          </w:p>
          <w:p w14:paraId="774293B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高精度潮气量控制系统：</w:t>
            </w:r>
          </w:p>
          <w:p w14:paraId="7592018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潮气量在15 mL～60 mL范围内：±10 mL；</w:t>
            </w:r>
          </w:p>
          <w:p w14:paraId="1235ADB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潮气量在210 mL～1500 mL范围内（不包括210 mL）：设置值的±7%</w:t>
            </w:r>
          </w:p>
          <w:p w14:paraId="45ABB96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重点参数监测范围：</w:t>
            </w:r>
          </w:p>
          <w:p w14:paraId="054D192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分钟通气量监测范围：0～100L/min</w:t>
            </w:r>
          </w:p>
          <w:p w14:paraId="590C2AC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吸气和呼气潮气量监测范围：0～3000ml</w:t>
            </w:r>
          </w:p>
          <w:p w14:paraId="57B2977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顺应性监测范围：0～300mL/cmH2O，精度±0.5 ml/cmH2O 或者实际读数的±15%，取大者</w:t>
            </w:r>
          </w:p>
          <w:p w14:paraId="22F4B53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气阻监测范围：0～600 cmH2O/(s/L)</w:t>
            </w:r>
          </w:p>
          <w:p w14:paraId="250EDBC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其他监测参数：呼吸频率、峰压、平均压、平台压、呼末正压、吸呼比等。</w:t>
            </w:r>
          </w:p>
          <w:p w14:paraId="75F2887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呼吸力学监测：压力波形、流速波形、容量波形、CO2波形、EEG脑电波形，能够5道波形同屏显示。</w:t>
            </w:r>
          </w:p>
          <w:p w14:paraId="5D801EA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可选配压力-容积环、压力-流速环、流速-容积环，环图分析功能，可标记参考环，并提供参考环相关呼吸力学参数。</w:t>
            </w:r>
          </w:p>
          <w:p w14:paraId="2C59C85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一体化呼吸回路固定在主机左侧，牢固不活动，的进气端和出气端均位于麻醉机正前方，便于麻醉医生操作。</w:t>
            </w:r>
          </w:p>
          <w:p w14:paraId="051108A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一体化回路采用PPSU材料制作，回路整体可134℃高温高压消毒。</w:t>
            </w:r>
          </w:p>
          <w:p w14:paraId="4B4578D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自带排水装置，无积水杯设计。 </w:t>
            </w:r>
          </w:p>
          <w:p w14:paraId="20CE7F8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具有辅助供氧功能，可不开机提供快速吸氧。</w:t>
            </w:r>
          </w:p>
          <w:p w14:paraId="0E5E342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标配智能化Bypass旁路功能，术中更换钠石灰，不影响麻醉机的运行，且无麻醉药泄漏，安全可靠。</w:t>
            </w:r>
          </w:p>
          <w:p w14:paraId="0827131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回路加热功能，不接受冷凝处理，消除水汽冷凝，增强病人呼吸舒适性，便于设备维护。</w:t>
            </w:r>
          </w:p>
          <w:p w14:paraId="5FF099D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回路泄漏量不应超过65ml/min。</w:t>
            </w:r>
          </w:p>
          <w:p w14:paraId="73E0B8D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高标准蒸发罐。</w:t>
            </w:r>
          </w:p>
        </w:tc>
      </w:tr>
      <w:tr w14:paraId="2CD1D2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7DCECE1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24、设备名称</w:t>
            </w:r>
          </w:p>
        </w:tc>
        <w:tc>
          <w:tcPr>
            <w:tcW w:w="1502" w:type="dxa"/>
            <w:vAlign w:val="center"/>
          </w:tcPr>
          <w:p w14:paraId="6430D35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压力蒸汽灭菌器</w:t>
            </w:r>
          </w:p>
        </w:tc>
        <w:tc>
          <w:tcPr>
            <w:tcW w:w="1134" w:type="dxa"/>
            <w:vAlign w:val="center"/>
          </w:tcPr>
          <w:p w14:paraId="2A32CD7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3DDAFCA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7B05174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498885A4">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56400</w:t>
            </w:r>
          </w:p>
        </w:tc>
      </w:tr>
      <w:tr w14:paraId="6B9D39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25" w:type="dxa"/>
            <w:vAlign w:val="center"/>
          </w:tcPr>
          <w:p w14:paraId="788758D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6201B6D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一：设备参数及配置</w:t>
            </w:r>
          </w:p>
          <w:p w14:paraId="76477D7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技术要求</w:t>
            </w:r>
          </w:p>
          <w:p w14:paraId="6C8113F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主体</w:t>
            </w:r>
          </w:p>
          <w:p w14:paraId="505FEEE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容积：</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60L</w:t>
            </w:r>
          </w:p>
          <w:p w14:paraId="06BA273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材质：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06Cr19Ni10(SUS304)</w:t>
            </w:r>
          </w:p>
          <w:p w14:paraId="3FA19A5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▲设计压力：</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-0.1/0.3MPa</w:t>
            </w:r>
          </w:p>
          <w:p w14:paraId="5EF8ED6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设计温度：</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144℃</w:t>
            </w:r>
          </w:p>
          <w:p w14:paraId="4320607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使用寿命：</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8年/16000次循环</w:t>
            </w:r>
          </w:p>
          <w:p w14:paraId="393F041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1.1.6</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▲主体保温：</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粘胶纤维保温层</w:t>
            </w:r>
          </w:p>
          <w:p w14:paraId="211C7FF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1.1.7</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▲腔壁加热</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覆膜式加热膜</w:t>
            </w:r>
          </w:p>
          <w:p w14:paraId="31CD034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1.1.8</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▲测试接口：</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标准Rc1/4验证口，可特制其它尺寸测试接口</w:t>
            </w:r>
          </w:p>
          <w:p w14:paraId="54DF456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密封门</w:t>
            </w:r>
          </w:p>
          <w:p w14:paraId="7AB7A25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门数量：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单门</w:t>
            </w:r>
          </w:p>
          <w:p w14:paraId="0E32804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门板</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拉伸门板，材料厚度≥2.5mm；</w:t>
            </w:r>
          </w:p>
          <w:p w14:paraId="02394F3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材质：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06Cr19Ni10(SUS304)；</w:t>
            </w:r>
          </w:p>
          <w:p w14:paraId="3FC61DE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▲开关门方式：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电机驱动，一键式侧开门；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电机驱动，手把式侧开门；</w:t>
            </w:r>
          </w:p>
          <w:p w14:paraId="190F8F0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安全联锁：</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压力安全联锁，通过省级技术监督部门鉴定；</w:t>
            </w:r>
          </w:p>
          <w:p w14:paraId="10EDAA6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1.2.6</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▲门密封方式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自胀式门胶圈，采用透明医用硅橡胶模压而成；</w:t>
            </w:r>
          </w:p>
          <w:p w14:paraId="78D9E59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管路系统</w:t>
            </w:r>
          </w:p>
          <w:p w14:paraId="6709C7D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控制阀：</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自动控制阀：5个直动式电磁阀，</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手动控制阀：1个手动球阀；</w:t>
            </w:r>
          </w:p>
          <w:p w14:paraId="51E266B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泵：</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1个增压泵；</w:t>
            </w:r>
          </w:p>
          <w:p w14:paraId="483C54A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▲压力传感器：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独立安装压力传感器（非电路板安装式），并提供报关单；</w:t>
            </w:r>
          </w:p>
          <w:p w14:paraId="78A6677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蒸汽产生方式：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内置储能式蒸发器，蒸汽质量好，无需外接蒸汽源；</w:t>
            </w:r>
          </w:p>
          <w:p w14:paraId="615E8CD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▲储水装置：</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内置单水箱，不外排蒸汽可实现汽水内循环，同时一次加水可运行多次程序，水箱容积＞17L；</w:t>
            </w:r>
          </w:p>
          <w:p w14:paraId="04AED82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1.3.6</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▲水箱排水接头：</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1根水箱排水管</w:t>
            </w:r>
          </w:p>
          <w:p w14:paraId="4320E3B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1.3.7</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▲压力表：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2个压力表：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量程：-0.1～0.5MPa；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精度等级：1.6级</w:t>
            </w:r>
          </w:p>
          <w:p w14:paraId="3435ACF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1.3.8</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▲散热器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 xml:space="preserve"> 内置2个体积大于0.0024立方米的散热器；</w:t>
            </w:r>
          </w:p>
          <w:p w14:paraId="3A79774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1.3.9</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安全阀</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内置后藏式安全阀；</w:t>
            </w:r>
          </w:p>
          <w:p w14:paraId="1FB024F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控制系统</w:t>
            </w:r>
          </w:p>
          <w:p w14:paraId="1C46ACD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▲操作方式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感应式操作</w:t>
            </w:r>
          </w:p>
          <w:p w14:paraId="2AAE118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▲控制方式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采用PLC控制,模块化设计的专用灭菌器控制器；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高度集成化的PLC，采用高速处理器芯片，可实现高速运算处理；</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水质检测功能：检测灭菌使用水质是否满足标准要求，当水质不符合要求时候，显示屏进行提示；</w:t>
            </w:r>
          </w:p>
          <w:p w14:paraId="1E1B054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▲界面显示：</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液晶显示屏：320x240点阵5.0英寸液晶屏显示，显示温度、压力、报警信息、支持多语言切换；</w:t>
            </w:r>
          </w:p>
          <w:p w14:paraId="6113311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流程控制</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准备、置换、脉动、升温、灭菌、排汽、干燥全过程自动控制；</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冷热锅自检功能：设备能够自动判断冷热锅并自动对流程进行智能调节；</w:t>
            </w:r>
          </w:p>
          <w:p w14:paraId="3CB4393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周期计数器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六位数字显示，显示设备运行的周期次数；</w:t>
            </w:r>
          </w:p>
          <w:p w14:paraId="65435AA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1.4.6</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▲记录方式：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标配内置微型热敏打印机，在打印机缺纸情况可自动存储六个灭菌流程的数据，当安装打印纸后自动将数据打印出来；</w:t>
            </w:r>
            <w:r>
              <w:rPr>
                <w:rFonts w:hint="eastAsia" w:ascii="宋体" w:hAnsi="宋体" w:eastAsia="宋体" w:cs="宋体"/>
                <w:color w:val="auto"/>
                <w:spacing w:val="-2"/>
                <w:sz w:val="24"/>
                <w:szCs w:val="24"/>
                <w:lang w:eastAsia="zh-CN"/>
              </w:rPr>
              <w:br w:type="textWrapping"/>
            </w:r>
            <w:r>
              <w:rPr>
                <w:rFonts w:ascii="宋体" w:hAnsi="宋体" w:eastAsia="宋体" w:cs="宋体"/>
                <w:color w:val="auto"/>
                <w:spacing w:val="-2"/>
                <w:sz w:val="24"/>
                <w:szCs w:val="24"/>
                <w:lang w:eastAsia="zh-CN"/>
              </w:rPr>
              <w:t>USB读取功能(选配)：可选配USB读取功能，通过插入U盘将设备历史运行数据读出，运行数据可在电脑端打开查看；</w:t>
            </w:r>
          </w:p>
          <w:p w14:paraId="382CA80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1.4.7</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记录内容：</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程序信息、程序运行阶段、程序运行转折点，各阶段温度、压力、时间、F0值等；</w:t>
            </w:r>
          </w:p>
          <w:p w14:paraId="0D195BD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1.4.8</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权限管理：</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多级权限管理：可以通过设定密码，对操作员进行多级权限管理；</w:t>
            </w:r>
          </w:p>
          <w:p w14:paraId="7C23833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1.4.9</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自校准功能</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拥有一套完善的后台自校准系统，实现压力、温度等系统参数的校准，在不拆分仪器的情况下，使用权限工具可进行现场调节；</w:t>
            </w:r>
          </w:p>
          <w:p w14:paraId="4ECC6AE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1.4.10</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安全保护</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超温自动保护装置：超过设定温度，系统自动切断加热电源；</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超压双重保护：超过设定压力自动报警功能；超过安全阀开启压力，安全阀开启泄压；</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过流保护装置：设备电流过载时，过流保护动作，系统自动切断电源；</w:t>
            </w:r>
          </w:p>
          <w:p w14:paraId="63F9E69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▲程序系统</w:t>
            </w:r>
          </w:p>
          <w:p w14:paraId="7C6F85B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程序名称：</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134通用、121通用、B134快速、N134快速、朊病毒、自定义、液体程序、BD&amp;Helix、真空测试、预热程序、干燥程序</w:t>
            </w:r>
          </w:p>
          <w:p w14:paraId="32B8E8D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134通用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灭菌温度：134℃，设定范围：105℃～138℃</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灭菌时间：6min，可设范围：0～99min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干燥时间：15min，可设范围：0～99min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脉动次数：3次，可设范围：0～6次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脉动上限：60kPa,可设范围：0～150kPa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脉动下限：-80kPa,可设范围：-99～50kPa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134通用程序主要适用于：有包装及无包装的耐高温物品的灭菌；</w:t>
            </w:r>
          </w:p>
          <w:p w14:paraId="6853CC0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121通用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灭菌温度：121℃，设定范围：105℃～138℃</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灭菌时间：20min，可设范围：0～99min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干燥时间：15min，可设范围：0～99min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脉动次数：3次，可设范围：0～6次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脉动上限：60kPa,可设范围：0～150kPa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脉动下限：-80kPa,可设范围：-99～50kPa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121通用程序主要适用于：有包装机及无包装的耐温较低的物品的灭菌；</w:t>
            </w:r>
          </w:p>
          <w:p w14:paraId="5A6DB8C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B134快速</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灭菌温度：134℃，设定范围：105℃～138℃</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灭菌时间：4min，可设范围：0～99min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干燥时间：1min，可设范围：0～99min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脉动次数：2次，可设范围：0～6次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脉动上限：60kPa,可设范围：0～150kPa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脉动下限：-80kPa,可设范围：-99～50kPa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B134快速程序主要适用于：有包装及无包装的耐高温物品的灭菌，应急情况下使用；</w:t>
            </w:r>
          </w:p>
          <w:p w14:paraId="5004D79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N134快速</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灭菌温度：134℃，设定范围：105℃～138℃</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灭菌时间：4min，可设范围：0～99min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干燥时间：1min，可设范围：0～99min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N134快速程序主要适用于：无包装的耐高温实心物品的灭菌，应急情况下使用；</w:t>
            </w:r>
          </w:p>
          <w:p w14:paraId="308A879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1.5.6</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朊病毒</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灭菌温度：134℃，设定范围：105℃～138℃</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灭菌时间：18min，可设范围：0～99min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干燥时间：15min，可设范围：0～99min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脉动次数：3次，可设范围：0～6次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脉动上限：60kPa,可设范围：0～150kPa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脉动下限：-80kPa,可设范围：-99～50kPa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朊病毒程序主要适用于：有包装及无包装的耐高温物品的灭菌；</w:t>
            </w:r>
          </w:p>
          <w:p w14:paraId="681E287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1.5.7</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自定义</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灭菌温度：134℃，设定范围：105℃～138℃</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灭菌时间：6min，可设范围：0～99min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干燥时间：15min，可设范围：0～99min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脉动次数：3次，可设范围：0～6次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脉动上限：60kPa,可设范围：0～150kPa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脉动下限：-80kPa,可设范围：-99～50kPa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用户可根据需求自行定义各参数；</w:t>
            </w:r>
          </w:p>
          <w:p w14:paraId="0307CFB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1.5.8</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液体程序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灭菌温度：121℃，设定范围：105℃～138℃</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灭菌时间：30min，可设范围：0～99min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冷却温度：80℃，可设范围：60～95℃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液体程序主要适用于：敞口非密闭液体的灭菌；</w:t>
            </w:r>
          </w:p>
          <w:p w14:paraId="15B3A37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1.5.9</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BD&amp;Helix</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BD&amp;Helix程序：检测设备蒸汽的穿透效果、冷空气排除效果；</w:t>
            </w:r>
          </w:p>
          <w:p w14:paraId="1363A84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1.5.10</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真空测试</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真空测试程序：检测设备是否泄漏；</w:t>
            </w:r>
          </w:p>
          <w:p w14:paraId="726E2D4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1.5.11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预热程序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预热程序：对设备进行充分预热；</w:t>
            </w:r>
          </w:p>
          <w:p w14:paraId="1BFF274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1.5.12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干燥程序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干燥程序：可对物品进行单独的干燥流程；</w:t>
            </w:r>
          </w:p>
          <w:p w14:paraId="442B903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1.5.13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清洗程序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清洗程序：可以对蒸发器、设备管路进行清洗，防止堵塞；</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无</w:t>
            </w:r>
          </w:p>
          <w:p w14:paraId="0F191E6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1.6</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整体参数</w:t>
            </w:r>
          </w:p>
          <w:p w14:paraId="1F6C932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1.6.1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装载装置：</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两层搁网</w:t>
            </w:r>
            <w:r>
              <w:rPr>
                <w:rFonts w:hint="eastAsia" w:ascii="宋体" w:hAnsi="宋体" w:eastAsia="宋体" w:cs="宋体"/>
                <w:color w:val="auto"/>
                <w:spacing w:val="-2"/>
                <w:sz w:val="24"/>
                <w:szCs w:val="24"/>
                <w:lang w:eastAsia="zh-CN"/>
              </w:rPr>
              <w:tab/>
            </w:r>
          </w:p>
          <w:p w14:paraId="3CD73FB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1.6.2</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腔体尺寸：</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Φ385×595</w:t>
            </w:r>
            <w:r>
              <w:rPr>
                <w:rFonts w:hint="eastAsia" w:ascii="宋体" w:hAnsi="宋体" w:eastAsia="宋体" w:cs="宋体"/>
                <w:color w:val="auto"/>
                <w:spacing w:val="-2"/>
                <w:sz w:val="24"/>
                <w:szCs w:val="24"/>
              </w:rPr>
              <w:tab/>
            </w:r>
          </w:p>
          <w:p w14:paraId="435B862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1.6.3</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外形尺寸：</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1050×730×560</w:t>
            </w:r>
            <w:r>
              <w:rPr>
                <w:rFonts w:hint="eastAsia" w:ascii="宋体" w:hAnsi="宋体" w:eastAsia="宋体" w:cs="宋体"/>
                <w:color w:val="auto"/>
                <w:spacing w:val="-2"/>
                <w:sz w:val="24"/>
                <w:szCs w:val="24"/>
              </w:rPr>
              <w:tab/>
            </w:r>
          </w:p>
          <w:p w14:paraId="13F8F60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1.6.4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设备重量：160kg</w:t>
            </w:r>
            <w:r>
              <w:rPr>
                <w:rFonts w:hint="eastAsia" w:ascii="宋体" w:hAnsi="宋体" w:eastAsia="宋体" w:cs="宋体"/>
                <w:color w:val="auto"/>
                <w:spacing w:val="-2"/>
                <w:sz w:val="24"/>
                <w:szCs w:val="24"/>
                <w:lang w:eastAsia="zh-CN"/>
              </w:rPr>
              <w:tab/>
            </w:r>
          </w:p>
          <w:p w14:paraId="3E2B51A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1.6.5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电源：单相：AC 220V，50Hz</w:t>
            </w:r>
          </w:p>
          <w:p w14:paraId="5A5922A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1.6.6</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设备输入功率：7.4kVA</w:t>
            </w:r>
            <w:r>
              <w:rPr>
                <w:rFonts w:hint="eastAsia" w:ascii="宋体" w:hAnsi="宋体" w:eastAsia="宋体" w:cs="宋体"/>
                <w:color w:val="auto"/>
                <w:spacing w:val="-2"/>
                <w:sz w:val="24"/>
                <w:szCs w:val="24"/>
                <w:lang w:eastAsia="zh-CN"/>
              </w:rPr>
              <w:tab/>
            </w:r>
          </w:p>
          <w:p w14:paraId="41796C4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标准配置</w:t>
            </w:r>
          </w:p>
          <w:p w14:paraId="3A7D41F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波纹管1个；内置热敏打印机；</w:t>
            </w:r>
          </w:p>
          <w:p w14:paraId="5D04042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球阀手柄1个；</w:t>
            </w:r>
          </w:p>
          <w:p w14:paraId="08C4A23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两层搁网；</w:t>
            </w:r>
            <w:r>
              <w:rPr>
                <w:rFonts w:hint="eastAsia" w:ascii="宋体" w:hAnsi="宋体" w:eastAsia="宋体" w:cs="宋体"/>
                <w:color w:val="auto"/>
                <w:spacing w:val="-2"/>
                <w:sz w:val="24"/>
                <w:szCs w:val="24"/>
                <w:lang w:eastAsia="zh-CN"/>
              </w:rPr>
              <w:tab/>
            </w:r>
          </w:p>
          <w:p w14:paraId="117F32E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取盘器一个；</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b/>
            </w:r>
          </w:p>
          <w:p w14:paraId="0FAB45A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排水管一根；</w:t>
            </w:r>
          </w:p>
          <w:p w14:paraId="399E183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2.6</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 xml:space="preserve">保险管4个； </w:t>
            </w:r>
            <w:r>
              <w:rPr>
                <w:rFonts w:hint="eastAsia" w:ascii="宋体" w:hAnsi="宋体" w:eastAsia="宋体" w:cs="宋体"/>
                <w:color w:val="auto"/>
                <w:spacing w:val="-2"/>
                <w:sz w:val="24"/>
                <w:szCs w:val="24"/>
              </w:rPr>
              <w:br w:type="textWrapping"/>
            </w:r>
          </w:p>
        </w:tc>
      </w:tr>
      <w:tr w14:paraId="413DCD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60A9507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25、设备名称</w:t>
            </w:r>
          </w:p>
        </w:tc>
        <w:tc>
          <w:tcPr>
            <w:tcW w:w="1502" w:type="dxa"/>
            <w:vAlign w:val="center"/>
          </w:tcPr>
          <w:p w14:paraId="688DD4F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彩色超声诊断系统</w:t>
            </w:r>
          </w:p>
        </w:tc>
        <w:tc>
          <w:tcPr>
            <w:tcW w:w="1134" w:type="dxa"/>
            <w:vAlign w:val="center"/>
          </w:tcPr>
          <w:p w14:paraId="49D9246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6CBD8B4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7524185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7AD59CF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1550000</w:t>
            </w:r>
          </w:p>
        </w:tc>
      </w:tr>
      <w:tr w14:paraId="2B8302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233BE5B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76D9E6D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51系统通用功能：</w:t>
            </w:r>
          </w:p>
          <w:p w14:paraId="28CC1B8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51.1 监视器：≥21.5″高分辨率彩色液晶显示器，全方位可调</w:t>
            </w:r>
          </w:p>
          <w:p w14:paraId="5EC4418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1.2≥12.1英寸彩色液晶触摸屏，显示智能化图标式菜单，具备多级子菜单及直觉性探头切换模式</w:t>
            </w:r>
          </w:p>
          <w:p w14:paraId="70E5562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1.3操作面板所有功能按键可编程、可依据用户需求自定义实体按键名称及功能</w:t>
            </w:r>
          </w:p>
          <w:p w14:paraId="3CE1320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 操作控制台可上下调节</w:t>
            </w:r>
          </w:p>
          <w:p w14:paraId="2FD76F8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1.5探头接口具有LED照明指示灯，便于探头更换</w:t>
            </w:r>
          </w:p>
          <w:p w14:paraId="4E557EB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1.6 探头个数：3个</w:t>
            </w:r>
          </w:p>
          <w:p w14:paraId="651709F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1.7激活成像探头接口≥4个，通用可互换</w:t>
            </w:r>
          </w:p>
          <w:p w14:paraId="28FCF7E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1.8最大成像深度≥40cm</w:t>
            </w:r>
          </w:p>
          <w:p w14:paraId="4468D4D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1.9 预设条件：针对不同的检查脏器，预置最佳化图像的检查条件，减少操作时的调节，及常用所需的外部调节及组合调节</w:t>
            </w:r>
          </w:p>
          <w:p w14:paraId="03E01BF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2探头规格：</w:t>
            </w:r>
          </w:p>
          <w:p w14:paraId="513F09B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2.1性能：超宽频带变频探头，中心频率的变频在屏幕上可视可调</w:t>
            </w:r>
          </w:p>
          <w:p w14:paraId="3CDE4F5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2.2类型：相控阵，凸阵，线阵</w:t>
            </w:r>
          </w:p>
          <w:p w14:paraId="4DBDF97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2.3阵元： 线阵探头有效阵元数≥192阵元</w:t>
            </w:r>
          </w:p>
          <w:p w14:paraId="1D8B275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凸阵探头有效阵元数≥192阵元</w:t>
            </w:r>
          </w:p>
          <w:p w14:paraId="2405F9D8">
            <w:pPr>
              <w:widowControl w:val="0"/>
              <w:spacing w:before="184"/>
              <w:ind w:right="2" w:firstLine="1180" w:firstLineChars="500"/>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相控阵探头有效阵元数≥128阵元</w:t>
            </w:r>
          </w:p>
          <w:p w14:paraId="4768159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2.4 B/D兼用：相控阵B/PWD及B/CWD</w:t>
            </w:r>
          </w:p>
          <w:p w14:paraId="2DC0EF3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线阵：B/PWD</w:t>
            </w:r>
          </w:p>
          <w:p w14:paraId="15185EB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凸阵：B/PWD</w:t>
            </w:r>
          </w:p>
          <w:p w14:paraId="038E748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2.5 凸阵探头：频率范围 1-6MHz</w:t>
            </w:r>
          </w:p>
          <w:p w14:paraId="527BEE8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2.6 线阵探头：频率范围5-14MHz</w:t>
            </w:r>
          </w:p>
          <w:p w14:paraId="335035E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2.7 相控阵探头：频率范围1-6MHz</w:t>
            </w:r>
          </w:p>
          <w:p w14:paraId="7CB2A08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3二维灰阶成像主要参数：</w:t>
            </w:r>
          </w:p>
          <w:p w14:paraId="3F5F628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3.1高密度波束形成器，数字式全程动态聚焦，数字式可变孔径及动态变迹，A/D≥12bit</w:t>
            </w:r>
          </w:p>
          <w:p w14:paraId="7310699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3.2声束发射聚焦：发射≥8段；接收可连续聚焦</w:t>
            </w:r>
          </w:p>
          <w:p w14:paraId="630A252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3.3扫描线：每帧线密度≥380超声线</w:t>
            </w:r>
          </w:p>
          <w:p w14:paraId="44D5E8E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3.4回放重现：灰阶图像回放≥2700幅，回放速度可调</w:t>
            </w:r>
          </w:p>
          <w:p w14:paraId="1B5F05B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3.5增益调节：B/M可独立调节，STC（DGC）分段≥8，侧向增益分段≥6</w:t>
            </w:r>
          </w:p>
          <w:p w14:paraId="3B717F3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3.6 相控阵探头最大成像角度：120°</w:t>
            </w:r>
          </w:p>
          <w:p w14:paraId="498B9C6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3.7成像速率：相控阵探头，90°，18cm深度时，在最高线密度下，帧速率≥65帧/秒</w:t>
            </w:r>
          </w:p>
          <w:p w14:paraId="6E4FF13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相控阵探头120°，18cm深度时，在最高线密度下，帧速率≥55帧/秒</w:t>
            </w:r>
          </w:p>
          <w:p w14:paraId="71E5F25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4频谱多普勒：</w:t>
            </w:r>
          </w:p>
          <w:p w14:paraId="5E133A9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4.1方式：脉冲波多普勒PWD ，连续波多普勒CWD</w:t>
            </w:r>
          </w:p>
          <w:p w14:paraId="37B17A6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4.2显示方式： B/D、M/D、D</w:t>
            </w:r>
          </w:p>
          <w:p w14:paraId="4C4F54D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4.3频谱显示具有自动包络、智能化显示功能</w:t>
            </w:r>
          </w:p>
          <w:p w14:paraId="671A8C2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4.4 智能多普勒聚焦，可根据多普勒取样位置自动聚焦</w:t>
            </w:r>
          </w:p>
          <w:p w14:paraId="7C2E6A54">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4.5 最大测量速度：PWD：最大血流速度≥7.0m/s</w:t>
            </w:r>
          </w:p>
          <w:p w14:paraId="48F08CD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 xml:space="preserve">                  CWD：最大血流速度≥22.0m/s</w:t>
            </w:r>
          </w:p>
          <w:p w14:paraId="30A697F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4.6 最低测量速度：≤0.3mm/s（非噪声信号）</w:t>
            </w:r>
          </w:p>
          <w:p w14:paraId="70B08E8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4.7 电影回放时间：≥30秒</w:t>
            </w:r>
          </w:p>
          <w:p w14:paraId="6D14768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4.8 零位移动：≥8级</w:t>
            </w:r>
          </w:p>
          <w:p w14:paraId="547C370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4.9 取样宽度及位置范围：宽度0.3mm至20mm；分13级</w:t>
            </w:r>
          </w:p>
          <w:p w14:paraId="402C8E8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4.10 滤波器：高通滤波或低通滤波两种，分级选择</w:t>
            </w:r>
          </w:p>
          <w:p w14:paraId="4320AF2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4.11 显示控制：反转显示（左/右；上/下 ）、零移位、B—刷新、D扩展、B/D扩展</w:t>
            </w:r>
          </w:p>
          <w:p w14:paraId="0128A47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5彩色多普勒：</w:t>
            </w:r>
          </w:p>
          <w:p w14:paraId="3829251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5.1显示方式：速度方差显示、能量显示、速度显示、方差显示、二维图像/频谱多普勒/彩色血流成像三同步显示</w:t>
            </w:r>
          </w:p>
          <w:p w14:paraId="2805615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5.2 彩色增强功能：组织多普勒成像，方向性能量图，高分辨血流成像，超微血流成像</w:t>
            </w:r>
          </w:p>
          <w:p w14:paraId="0BD9074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5.3彩色和二维/频谱多普勒可独立变频</w:t>
            </w:r>
          </w:p>
          <w:p w14:paraId="139F009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5.4扇形扫描角度：5°～120°选择</w:t>
            </w:r>
          </w:p>
          <w:p w14:paraId="725DFD3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5.5显示位置调整：线阵扫描感兴趣的图像范围：-20°～+20°</w:t>
            </w:r>
          </w:p>
          <w:p w14:paraId="4F886A1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5.6彩色显示帧频： </w:t>
            </w:r>
          </w:p>
          <w:p w14:paraId="6504381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相控阵探头， 90°，18cm深度时，彩色血流帧速率≥20帧/秒</w:t>
            </w:r>
          </w:p>
          <w:p w14:paraId="6BD30F2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相控阵探头，120°，18cm深度时，彩色血流帧速率≥18帧/秒</w:t>
            </w:r>
          </w:p>
          <w:p w14:paraId="4C18ADF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5.7显示控制：零位移动分级可调、黑/白与彩色比较、彩色对比</w:t>
            </w:r>
          </w:p>
          <w:p w14:paraId="7CCC7E0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5.8彩色显示速度：最低平均血流测量速度≤3mm/s</w:t>
            </w:r>
          </w:p>
          <w:p w14:paraId="4FD8831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5.9彩色分辨率：最小血管空间分辨率≤0.2mm </w:t>
            </w:r>
          </w:p>
          <w:p w14:paraId="01B02C6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6超声功率输出调节：B/M、PWD、CWD、彩色多普勒输出功率可调</w:t>
            </w:r>
          </w:p>
        </w:tc>
      </w:tr>
      <w:tr w14:paraId="1A9F01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1768BF3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26、设备名称</w:t>
            </w:r>
          </w:p>
        </w:tc>
        <w:tc>
          <w:tcPr>
            <w:tcW w:w="1502" w:type="dxa"/>
            <w:vAlign w:val="center"/>
          </w:tcPr>
          <w:p w14:paraId="4A22A6C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远程超声诊断系统</w:t>
            </w:r>
          </w:p>
        </w:tc>
        <w:tc>
          <w:tcPr>
            <w:tcW w:w="1134" w:type="dxa"/>
            <w:vAlign w:val="center"/>
          </w:tcPr>
          <w:p w14:paraId="47846E9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69AF356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33420D9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1D8847AC">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1400000</w:t>
            </w:r>
          </w:p>
        </w:tc>
      </w:tr>
      <w:tr w14:paraId="0E00DA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7AEBEBF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46D4B25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1.适用范围：适用于远程对成人患者的临床超声诊断检查。</w:t>
            </w:r>
          </w:p>
          <w:p w14:paraId="7B6002A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2.产品组成：由医生端与患者端组成，医生端的组成部分为结构组件、操作控制系统、音视频系统；患者端的组成部分为结构组件、运动执行系统、音视频系统。</w:t>
            </w:r>
          </w:p>
          <w:p w14:paraId="359C28E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3.远程连接功能：可实现医生端与患者端远程连接，支持医生端与多路患者端自由切换控制。</w:t>
            </w:r>
          </w:p>
          <w:p w14:paraId="412452A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4.远程音视频传输功能：可实现医生端与患者端高清、流畅的视频通话，音视频双向传输。可实现将患者端超声图像实时回传至医生端。</w:t>
            </w:r>
          </w:p>
          <w:p w14:paraId="0D77BD3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5.远程超声检查信息管理功能：</w:t>
            </w:r>
          </w:p>
          <w:p w14:paraId="35CBC60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1）具备患者信息管理功能； </w:t>
            </w:r>
          </w:p>
          <w:p w14:paraId="5D7EB07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2）具备检查图像管理功能； </w:t>
            </w:r>
          </w:p>
          <w:p w14:paraId="15FE6A3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3）具备检查报告及模板管理功能；</w:t>
            </w:r>
          </w:p>
          <w:p w14:paraId="34FE4AD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4）具备患者检查记录管理功能。</w:t>
            </w:r>
          </w:p>
          <w:p w14:paraId="729D556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6.机器人辅助功能：</w:t>
            </w:r>
          </w:p>
          <w:p w14:paraId="301369B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6.1机器人主从位姿控制：</w:t>
            </w:r>
          </w:p>
          <w:p w14:paraId="64E2572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1）空间姿态控制：通过变化医生端操作手柄的姿态，可实时操控患者端机械臂的运动姿态。用户操作手柄的运动姿态与机械臂末端探头的运动姿态一致； </w:t>
            </w:r>
          </w:p>
          <w:p w14:paraId="148A66E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2）XY平面位置控制：通过医生端操作手柄在电阻触控屏平面内滑动，可实时操控患者端机械臂在XY平面内运动。用户操作手柄的运动方向与机械臂末端探头在XY平面内的运动方向一致，运动位移量一比一映射； </w:t>
            </w:r>
          </w:p>
          <w:p w14:paraId="0E513D3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3）Z方向位置控制：医生端操作手柄按压触控板时，患者端机械臂末端探头沿Z方向竖直向下运动；医生端操作手柄离开电阻触控屏并按住Up按钮，患者端机械臂末端探头沿Z方向竖直向上运动。</w:t>
            </w:r>
          </w:p>
          <w:p w14:paraId="4BA6EB3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6.2机器人主从接触力控制：</w:t>
            </w:r>
          </w:p>
          <w:p w14:paraId="79BCB2E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具备医生端设置多档接触力阈值。在阈值范围内，可将医生端施加到电阻触控屏上的压力，一比一映射到患者端机械臂末端探头，实现接触力远程控制。</w:t>
            </w:r>
          </w:p>
          <w:p w14:paraId="6E67999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6.3机器人零力拖动：</w:t>
            </w:r>
          </w:p>
          <w:p w14:paraId="3283DA7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在以下情况下，患者端机械臂处于零力拖动模式： </w:t>
            </w:r>
          </w:p>
          <w:p w14:paraId="2484845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1）医生端操作手柄未与电阻触控屏接触并且Up按钮未按下； </w:t>
            </w:r>
          </w:p>
          <w:p w14:paraId="2FF9FA1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2）操作手柄放置在医生端插座内，插座内的微动开关闭合。 </w:t>
            </w:r>
          </w:p>
          <w:p w14:paraId="406BBAE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患者端机械臂处于零力拖动模式时，患者端医师可以手动拖动机械臂末端的超声探头。</w:t>
            </w:r>
          </w:p>
          <w:p w14:paraId="6FD5172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7.超声远程控制功能：通过医生端控制面板，可远程实时对患者端超声进行参数调节，如二维、彩色、多普勒、图像回放等。</w:t>
            </w:r>
          </w:p>
          <w:p w14:paraId="353294E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8.超声探头快换：机械臂末端支持更换超声探头。</w:t>
            </w:r>
          </w:p>
          <w:p w14:paraId="74A6EAE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9.1.1连续工作时间：整机交流供电连续工作时间：≥8h</w:t>
            </w:r>
          </w:p>
          <w:p w14:paraId="39AB3FC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9.1.2图像重合性：彩色血流图像与其所在管道的灰阶图像基本重合</w:t>
            </w:r>
          </w:p>
          <w:p w14:paraId="7B585C9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9.1.3血流方向 ：能正确识别，无混叠现象.</w:t>
            </w:r>
          </w:p>
          <w:p w14:paraId="509C68D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10.1.1病人数据管理功能：</w:t>
            </w:r>
          </w:p>
          <w:p w14:paraId="6DFC9FF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a）具备病人信息管理功能； </w:t>
            </w:r>
          </w:p>
          <w:p w14:paraId="67479A6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b）具备检查图像管理功能；</w:t>
            </w:r>
          </w:p>
          <w:p w14:paraId="4088598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c）具备检查报告及模板管理功能； </w:t>
            </w:r>
          </w:p>
          <w:p w14:paraId="63C2EE2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d）具备病人检查记录管理功能；</w:t>
            </w:r>
          </w:p>
          <w:p w14:paraId="5B64C96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e）具备病人任务管理功能。</w:t>
            </w:r>
          </w:p>
          <w:p w14:paraId="583693B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10.1.2病人数据存储和输出支持功能：</w:t>
            </w:r>
          </w:p>
          <w:p w14:paraId="01611E5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a）具备外部USB移动存储； </w:t>
            </w:r>
          </w:p>
          <w:p w14:paraId="31B3752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b）具备DICOM 3.0； </w:t>
            </w:r>
          </w:p>
          <w:p w14:paraId="43DBE4B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c）具备网络存储功能（iStorage）； </w:t>
            </w:r>
          </w:p>
          <w:p w14:paraId="293ED41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d）具备本地硬盘存储； </w:t>
            </w:r>
          </w:p>
          <w:p w14:paraId="2510CC8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e）具备打印服务功能。</w:t>
            </w:r>
          </w:p>
          <w:p w14:paraId="05FCF0D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10.1.3具备超声图像注释应用功能和体位图应用功能。</w:t>
            </w:r>
          </w:p>
          <w:p w14:paraId="776E6E5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10.1.4 至少具备7种以上软件功能：</w:t>
            </w:r>
          </w:p>
          <w:p w14:paraId="339BFB4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a）常规测量； </w:t>
            </w:r>
          </w:p>
          <w:p w14:paraId="1A0DB69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b）腹部应用软件包； </w:t>
            </w:r>
          </w:p>
          <w:p w14:paraId="3DA1D38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c）妇科应用软件包； </w:t>
            </w:r>
          </w:p>
          <w:p w14:paraId="7EA5306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d）小器官应用软件包； </w:t>
            </w:r>
          </w:p>
          <w:p w14:paraId="4924D9F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e）泌尿科应用软件包； </w:t>
            </w:r>
          </w:p>
          <w:p w14:paraId="4231504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f）血管应用软件包； </w:t>
            </w:r>
          </w:p>
          <w:p w14:paraId="655F68F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g）IMT（血管壁内中膜厚度测量）。</w:t>
            </w:r>
          </w:p>
          <w:p w14:paraId="49A74D6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10.1.5至少具备6种以上输入输出接口/功能：</w:t>
            </w:r>
          </w:p>
          <w:p w14:paraId="5CA3034C">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 xml:space="preserve">a）USB接口； </w:t>
            </w:r>
          </w:p>
          <w:p w14:paraId="5C45D41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 xml:space="preserve">b）网络接口； </w:t>
            </w:r>
          </w:p>
          <w:p w14:paraId="6009D05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 xml:space="preserve">c）HDMI接口； </w:t>
            </w:r>
          </w:p>
          <w:p w14:paraId="0D83924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 xml:space="preserve">d）S-Video分离视频输出； </w:t>
            </w:r>
          </w:p>
          <w:p w14:paraId="2BB1F58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 xml:space="preserve">e）支持WIFI ； </w:t>
            </w:r>
          </w:p>
          <w:p w14:paraId="693D614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f）探头接口。</w:t>
            </w:r>
          </w:p>
          <w:p w14:paraId="543E743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11.1具有直方图功能。</w:t>
            </w:r>
          </w:p>
          <w:p w14:paraId="1E87C66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11.2具有断面图功能。</w:t>
            </w:r>
          </w:p>
          <w:p w14:paraId="0CF3BDC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11.3具有彩色速度功能。</w:t>
            </w:r>
          </w:p>
          <w:p w14:paraId="75A6DFD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11.4具有双距离功能。</w:t>
            </w:r>
          </w:p>
          <w:p w14:paraId="7437524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11.5支持 iScanhelper超声教学软件。</w:t>
            </w:r>
          </w:p>
          <w:p w14:paraId="37C53A6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11.6支持远程超声会诊功能。</w:t>
            </w:r>
          </w:p>
          <w:p w14:paraId="2B26F4C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11.7支持图像演示（iVision）。</w:t>
            </w:r>
          </w:p>
          <w:p w14:paraId="557B272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11.8支持外屏电量数字显示。</w:t>
            </w:r>
          </w:p>
        </w:tc>
      </w:tr>
      <w:tr w14:paraId="7569EF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500FB86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27、设备名称</w:t>
            </w:r>
          </w:p>
        </w:tc>
        <w:tc>
          <w:tcPr>
            <w:tcW w:w="1502" w:type="dxa"/>
            <w:vAlign w:val="center"/>
          </w:tcPr>
          <w:p w14:paraId="6B55753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医用数字化X射线摄影系统</w:t>
            </w:r>
          </w:p>
        </w:tc>
        <w:tc>
          <w:tcPr>
            <w:tcW w:w="1134" w:type="dxa"/>
            <w:vAlign w:val="center"/>
          </w:tcPr>
          <w:p w14:paraId="4A4B472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6BDA585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7ECB8D9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6C23DC3C">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920000</w:t>
            </w:r>
          </w:p>
        </w:tc>
      </w:tr>
      <w:tr w14:paraId="2F010D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6804851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72E5CAD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 功能需求：用于拍摄头颅.脊柱.四肢.胸部.腹部等全身站立位和卧位的数字X线摄影系统</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数字化平板探测器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2.1 有效范围≥17”×17”，像素总和≥800万，整板结构</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2.2 检测器影像数据检测矩阵≥2880×2880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2.3 检测器单元尺寸≤148um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2.4 探测器材料：非晶硅</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2.5 动态范围≥16bit</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2.6 空间分辨率≥3.4LP/mm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X线球管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3.1 阳极热容量≥300KHU</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3.2 球管阳极旋转速度≥10000rpm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3.3 球管功率：32KW/78KW</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3.4 双焦点≤0.6mm（小焦点）/1.2mm（大焦点）</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3.5 管电压范围：40-150KV</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高频逆变高压发生器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4.1 输出功率≥55KW，最大电流时间乘积≥630mAs</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4.2 高频≥40KHZ</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4.3 输出电压：40-150KV</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4.4 最大管电流≥630mA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4.5 最短曝光时间≤1ms</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4.6 人体器官程序摄影（APR）≥480种</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4.7 集成的系统操作工作台，可控制X线发生器、影像探测器、图像显示及图像传输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 悬吊式球管支撑装置</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5.1 3-D移动吊架自由垂直伸缩和平衡装置，电磁制动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5.2 球管垂直运动≥1400mm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5.3 纵向方向≥2000mm，横向方向≥2250mm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5.4 球管绕水平轴旋转≥±90°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5.5 具有悬吊结构电动横向移动，精确定位</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5.6 具有球管头电动控制旋转功能，精确控制斜照角度</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5.7 具有照射野自动跟踪系统，立位摄片时，电动升降胸片架，射线束中心与探测器中心保持同步对中；卧位摄片时，探测器沿床面纵向移动，球管自动跟踪保证射线束中心与探测器中心同步对中。</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5.8 一键定位系统，通过唯一一个操作按键，够自动进行立位摄影检查和卧位摄影检查的切换，整个过程自动电动完成，无需技师干预</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 升降胸片架</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6.1 立柱高度≥2000mm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6.2 探测器运动范围≥1420mm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6.3 滤线栅（格比：10：1、栅密度：103线/cm、焦距：180cm）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 移动浮动摄片床</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7.1 床面尺寸≥2000×800mm　</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 配套采集工作站</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8.1 操作系统：不低于Windows 7</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8.2 ≥19”液晶监视器（1280×1024）</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8.3 工作站配置：内存：≥4G；硬盘：≥500GB</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8.4 具备控制X线发生器、允许编辑、管理本地病人检查资料</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8.5 根据不同检查部位设置默认的图像处理参数</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8.6 可选择自动传图存档功能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8.7 可根据需要设置自动清盘的周期</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8.8 可按胶片尺寸规格进行裁剪图像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8.9 可根据检查部位的重要性进行优先排列</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8.10 可进行图像的旋转与镜像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8.11 具有图像回放功能，显示图像信息、窗宽窗位调整</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8.12 具有全脊柱软件拼接功能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8.13 标准DICOM3.0接口以及HL7标准，可以连接至PACS、HIS、RIS及激光照相机等DICOM接口的设备，具备图像传输功能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 配套诊断工作站</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9.1  ≥19 LCD监视器一台</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9.2 CD-RW刻录机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9.3 支持CR、DR、X光机、CT、MR等DICOM图像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9.4 可配合医学影像设备自动发送功能，图像传输无需人工参与</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9.5 支持DICOM标准的中文规范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9.6 支持DICOM3.0兼容的激光相机或Windows打印机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9.7 图像排列管理；后台打印，中文打印（如中文的医院名称）；多分格多检查拼幅打印；支持多种规格胶片输出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9.8 可存储压缩图像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9.9 按成像时间、患者等将图像成组刻录到CD-RW介质上</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9.10 可根据患者姓名、性别、患者ID、检查日期等检索图像信息；影像在线存储管理，标示图像归档状态、存取方式；可实时监控硬盘存储容量，必要时清除已归档图像以接受新图像；维护图像在工作站上的索引信息，对在线硬盘图像记录其存储路径；对已归档图像记录其归档光盘标识号（卷标），便于查找</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9.11 基于DICOM多种窗宽/窗位处理，专业的双窗、SIGMA窗和自适应窗、预置窗宽/窗位设置</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9.12 电影浏览，图像连续播放</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9.13 图像布局控制，翻页，多检查/多序列导航</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9.14 图像翻转、反色</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9.15 图像放大缩小，放大镜</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9.16 图像病灶面积、密度测量，直线、角度、多边形、矩形、椭圆等标注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 为确保整机稳定性，高压发生器与整机为同一品牌</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 具备计算机软件著作权登记证书</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 具备辐射安全许可证，并盖生产厂商公章。</w:t>
            </w:r>
          </w:p>
        </w:tc>
      </w:tr>
      <w:tr w14:paraId="28BAD8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1A8086E4">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28、设备名称</w:t>
            </w:r>
          </w:p>
        </w:tc>
        <w:tc>
          <w:tcPr>
            <w:tcW w:w="1502" w:type="dxa"/>
            <w:vAlign w:val="center"/>
          </w:tcPr>
          <w:p w14:paraId="7B3F889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双摇护理床</w:t>
            </w:r>
          </w:p>
        </w:tc>
        <w:tc>
          <w:tcPr>
            <w:tcW w:w="1134" w:type="dxa"/>
            <w:vAlign w:val="center"/>
          </w:tcPr>
          <w:p w14:paraId="20A79C1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2F1640D9">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40个</w:t>
            </w:r>
          </w:p>
        </w:tc>
        <w:tc>
          <w:tcPr>
            <w:tcW w:w="2007" w:type="dxa"/>
            <w:vAlign w:val="center"/>
          </w:tcPr>
          <w:p w14:paraId="48C1D4D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3E3240D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1755</w:t>
            </w:r>
          </w:p>
        </w:tc>
      </w:tr>
      <w:tr w14:paraId="7C7D0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4" w:hRule="atLeast"/>
        </w:trPr>
        <w:tc>
          <w:tcPr>
            <w:tcW w:w="1725" w:type="dxa"/>
            <w:vAlign w:val="center"/>
          </w:tcPr>
          <w:p w14:paraId="1530AC9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2E10FBF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规格：2140*980*500*mm，长度≥2140mm，宽度≥980mm，高度=500mm。背部可升降角度：0-80°±5°，腿部可升降角度：0-45°±5°，背部升降时负荷≥150Kg。，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1.ABS欧式床头、床尾采用ABS材质经模具注塑成型，床头、床尾采用挂式连接床体可拆卸，并且具有锁定装置，床尾配备病历卡，可称重150公斤推靠，床头床尾颜色可选择。</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2.床面：床面升降结构，靠背升降通过手摇升起，背板采用双支撑卸力结构，滚轮式升降,床板整体有防夹手设计。床面任意一点承重40kg时，无任何声音和变形,床尾配置带缓降装置的翻转餐桌。</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3.床体：床体承重≥420Kg。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4..传动系统：配套专用耐磨加长铜质丝母。摇把为ABS材质，不用时可折叠，便于临床护理。钢管厚度≥3mm。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5.护栏：上下底座为金属冲压件，焊接连接，并配有尼龙护套，以防夹手。</w:t>
            </w:r>
          </w:p>
          <w:p w14:paraId="0CC5BDD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6.脚轮：承载力大，转动灵活，稳定性强，无噪音，中间脚踏不锈钢U型设计，四轮同步刹车系统，锁定稳固。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7.金属表面处理：喷塑前，床体采用专用设备整体处理，消除焊接产生的应力集中，增加病床抗金属疲劳性能，强化和清理病床表面，机械式表面处理 ，再经过整体清洗、表面磷化处理、采用全自动喷粉系统喷塑、高温固化，不产生锈蚀。</w:t>
            </w:r>
          </w:p>
        </w:tc>
      </w:tr>
      <w:tr w14:paraId="6C019D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3D818CE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29、设备名称</w:t>
            </w:r>
          </w:p>
        </w:tc>
        <w:tc>
          <w:tcPr>
            <w:tcW w:w="1502" w:type="dxa"/>
            <w:vAlign w:val="center"/>
          </w:tcPr>
          <w:p w14:paraId="0BC4378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胰岛素泵</w:t>
            </w:r>
          </w:p>
        </w:tc>
        <w:tc>
          <w:tcPr>
            <w:tcW w:w="1134" w:type="dxa"/>
            <w:vAlign w:val="center"/>
          </w:tcPr>
          <w:p w14:paraId="3692D33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3028800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2个</w:t>
            </w:r>
          </w:p>
        </w:tc>
        <w:tc>
          <w:tcPr>
            <w:tcW w:w="2007" w:type="dxa"/>
            <w:vAlign w:val="center"/>
          </w:tcPr>
          <w:p w14:paraId="32D08E9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4AEB00A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18000</w:t>
            </w:r>
          </w:p>
        </w:tc>
      </w:tr>
      <w:tr w14:paraId="559424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30B3B2F7">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2BAAE0ED">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储药器</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大于等于</w:t>
            </w:r>
            <w:r>
              <w:rPr>
                <w:rFonts w:ascii="宋体" w:hAnsi="宋体" w:eastAsia="宋体" w:cs="宋体"/>
                <w:color w:val="auto"/>
                <w:spacing w:val="-2"/>
                <w:sz w:val="24"/>
                <w:szCs w:val="24"/>
                <w:lang w:eastAsia="zh-CN"/>
              </w:rPr>
              <w:t xml:space="preserve">2ml </w:t>
            </w:r>
          </w:p>
          <w:p w14:paraId="03A30069">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胰岛素浓度</w:t>
            </w:r>
            <w:r>
              <w:rPr>
                <w:rFonts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U-100</w:t>
            </w:r>
            <w:r>
              <w:rPr>
                <w:rFonts w:hint="eastAsia" w:ascii="宋体" w:hAnsi="宋体" w:eastAsia="宋体" w:cs="宋体"/>
                <w:color w:val="auto"/>
                <w:spacing w:val="-2"/>
                <w:sz w:val="24"/>
                <w:szCs w:val="24"/>
                <w:lang w:eastAsia="zh-CN"/>
              </w:rPr>
              <w:t>，速效或常规短效</w:t>
            </w:r>
          </w:p>
          <w:p w14:paraId="79F63236">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 xml:space="preserve">3   </w:t>
            </w:r>
            <w:r>
              <w:rPr>
                <w:rFonts w:hint="eastAsia" w:ascii="宋体" w:hAnsi="宋体" w:eastAsia="宋体" w:cs="宋体"/>
                <w:color w:val="auto"/>
                <w:spacing w:val="-2"/>
                <w:sz w:val="24"/>
                <w:szCs w:val="24"/>
                <w:lang w:eastAsia="zh-CN"/>
              </w:rPr>
              <w:t>基础量调节范围</w:t>
            </w:r>
            <w:r>
              <w:rPr>
                <w:rFonts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0.05-35U /</w:t>
            </w:r>
            <w:r>
              <w:rPr>
                <w:rFonts w:hint="eastAsia" w:ascii="宋体" w:hAnsi="宋体" w:eastAsia="宋体" w:cs="宋体"/>
                <w:color w:val="auto"/>
                <w:spacing w:val="-2"/>
                <w:sz w:val="24"/>
                <w:szCs w:val="24"/>
                <w:lang w:eastAsia="zh-CN"/>
              </w:rPr>
              <w:t>小时，基础率步长：</w:t>
            </w:r>
            <w:r>
              <w:rPr>
                <w:rFonts w:ascii="宋体" w:hAnsi="宋体" w:eastAsia="宋体" w:cs="宋体"/>
                <w:color w:val="auto"/>
                <w:spacing w:val="-2"/>
                <w:sz w:val="24"/>
                <w:szCs w:val="24"/>
                <w:lang w:eastAsia="zh-CN"/>
              </w:rPr>
              <w:t>0.05U/</w:t>
            </w:r>
            <w:r>
              <w:rPr>
                <w:rFonts w:hint="eastAsia" w:ascii="宋体" w:hAnsi="宋体" w:eastAsia="宋体" w:cs="宋体"/>
                <w:color w:val="auto"/>
                <w:spacing w:val="-2"/>
                <w:sz w:val="24"/>
                <w:szCs w:val="24"/>
                <w:lang w:eastAsia="zh-CN"/>
              </w:rPr>
              <w:t>小时</w:t>
            </w:r>
          </w:p>
          <w:p w14:paraId="6A9FDE6A">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大剂量调节范围</w:t>
            </w:r>
            <w:r>
              <w:rPr>
                <w:rFonts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0.05-25U</w:t>
            </w:r>
          </w:p>
          <w:p w14:paraId="42053130">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5</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大剂量输注方式</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常规</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方波</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双波</w:t>
            </w:r>
          </w:p>
          <w:p w14:paraId="3B81D0BE">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6</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胰岛素自动分配功能</w:t>
            </w:r>
            <w:r>
              <w:rPr>
                <w:rFonts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6</w:t>
            </w:r>
            <w:r>
              <w:rPr>
                <w:rFonts w:hint="eastAsia" w:ascii="宋体" w:hAnsi="宋体" w:eastAsia="宋体" w:cs="宋体"/>
                <w:color w:val="auto"/>
                <w:spacing w:val="-2"/>
                <w:sz w:val="24"/>
                <w:szCs w:val="24"/>
                <w:lang w:eastAsia="zh-CN"/>
              </w:rPr>
              <w:t>段法，</w:t>
            </w:r>
            <w:r>
              <w:rPr>
                <w:rFonts w:ascii="宋体" w:hAnsi="宋体" w:eastAsia="宋体" w:cs="宋体"/>
                <w:color w:val="auto"/>
                <w:spacing w:val="-2"/>
                <w:sz w:val="24"/>
                <w:szCs w:val="24"/>
                <w:lang w:eastAsia="zh-CN"/>
              </w:rPr>
              <w:t>24</w:t>
            </w:r>
            <w:r>
              <w:rPr>
                <w:rFonts w:hint="eastAsia" w:ascii="宋体" w:hAnsi="宋体" w:eastAsia="宋体" w:cs="宋体"/>
                <w:color w:val="auto"/>
                <w:spacing w:val="-2"/>
                <w:sz w:val="24"/>
                <w:szCs w:val="24"/>
                <w:lang w:eastAsia="zh-CN"/>
              </w:rPr>
              <w:t>段法</w:t>
            </w:r>
          </w:p>
          <w:p w14:paraId="44FD3B70">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7</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基础率分段</w:t>
            </w:r>
            <w:r>
              <w:rPr>
                <w:rFonts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3</w:t>
            </w:r>
            <w:r>
              <w:rPr>
                <w:rFonts w:hint="eastAsia" w:ascii="宋体" w:hAnsi="宋体" w:eastAsia="宋体" w:cs="宋体"/>
                <w:color w:val="auto"/>
                <w:spacing w:val="-2"/>
                <w:sz w:val="24"/>
                <w:szCs w:val="24"/>
                <w:lang w:eastAsia="zh-CN"/>
              </w:rPr>
              <w:t>种预设，最多可设置</w:t>
            </w:r>
            <w:r>
              <w:rPr>
                <w:rFonts w:ascii="宋体" w:hAnsi="宋体" w:eastAsia="宋体" w:cs="宋体"/>
                <w:color w:val="auto"/>
                <w:spacing w:val="-2"/>
                <w:sz w:val="24"/>
                <w:szCs w:val="24"/>
                <w:lang w:eastAsia="zh-CN"/>
              </w:rPr>
              <w:t>48</w:t>
            </w:r>
            <w:r>
              <w:rPr>
                <w:rFonts w:hint="eastAsia" w:ascii="宋体" w:hAnsi="宋体" w:eastAsia="宋体" w:cs="宋体"/>
                <w:color w:val="auto"/>
                <w:spacing w:val="-2"/>
                <w:sz w:val="24"/>
                <w:szCs w:val="24"/>
                <w:lang w:eastAsia="zh-CN"/>
              </w:rPr>
              <w:t>段</w:t>
            </w:r>
          </w:p>
          <w:p w14:paraId="0F922FE1">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8</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临时基础率：</w:t>
            </w:r>
            <w:r>
              <w:rPr>
                <w:rFonts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U/</w:t>
            </w:r>
            <w:r>
              <w:rPr>
                <w:rFonts w:hint="eastAsia" w:ascii="宋体" w:hAnsi="宋体" w:eastAsia="宋体" w:cs="宋体"/>
                <w:color w:val="auto"/>
                <w:spacing w:val="-2"/>
                <w:sz w:val="24"/>
                <w:szCs w:val="24"/>
                <w:lang w:eastAsia="zh-CN"/>
              </w:rPr>
              <w:t>小时、</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和关闭三种设置方式，可记忆三组最近输入值</w:t>
            </w:r>
          </w:p>
          <w:p w14:paraId="21288F2F">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9</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胰岛素泵大剂量输注误差</w:t>
            </w:r>
            <w:r>
              <w:rPr>
                <w:rFonts w:ascii="宋体" w:hAnsi="宋体" w:eastAsia="宋体" w:cs="宋体"/>
                <w:color w:val="auto"/>
                <w:spacing w:val="-2"/>
                <w:sz w:val="24"/>
                <w:szCs w:val="24"/>
                <w:lang w:eastAsia="zh-CN"/>
              </w:rPr>
              <w:t xml:space="preserve"> </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5%</w:t>
            </w:r>
          </w:p>
          <w:p w14:paraId="11146E1B">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 xml:space="preserve">10  </w:t>
            </w:r>
            <w:r>
              <w:rPr>
                <w:rFonts w:hint="eastAsia" w:ascii="宋体" w:hAnsi="宋体" w:eastAsia="宋体" w:cs="宋体"/>
                <w:color w:val="auto"/>
                <w:spacing w:val="-2"/>
                <w:sz w:val="24"/>
                <w:szCs w:val="24"/>
                <w:lang w:eastAsia="zh-CN"/>
              </w:rPr>
              <w:t>基础率输注误差</w:t>
            </w:r>
            <w:r>
              <w:rPr>
                <w:rFonts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0.4%</w:t>
            </w:r>
          </w:p>
          <w:p w14:paraId="79400F4E">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11</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自检功能</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双处理器相互检查，每</w:t>
            </w:r>
            <w:r>
              <w:rPr>
                <w:rFonts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秒一次自检</w:t>
            </w:r>
          </w:p>
          <w:p w14:paraId="51A49AC9">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12</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助针器</w:t>
            </w:r>
            <w:r>
              <w:rPr>
                <w:rFonts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 xml:space="preserve"> </w:t>
            </w:r>
            <w:r>
              <w:rPr>
                <w:rFonts w:hint="eastAsia" w:ascii="宋体" w:hAnsi="宋体" w:eastAsia="宋体" w:cs="宋体"/>
                <w:color w:val="auto"/>
                <w:spacing w:val="-2"/>
                <w:sz w:val="24"/>
                <w:szCs w:val="24"/>
                <w:lang w:eastAsia="zh-CN"/>
              </w:rPr>
              <w:t>有，无痛进针</w:t>
            </w:r>
          </w:p>
          <w:p w14:paraId="6FE355D2">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13</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报警方式</w:t>
            </w:r>
            <w:r>
              <w:rPr>
                <w:rFonts w:ascii="宋体" w:hAnsi="宋体" w:eastAsia="宋体" w:cs="宋体"/>
                <w:color w:val="auto"/>
                <w:spacing w:val="-2"/>
                <w:sz w:val="24"/>
                <w:szCs w:val="24"/>
                <w:lang w:eastAsia="zh-CN"/>
              </w:rPr>
              <w:t xml:space="preserve"> </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泵体和控制器同时音频</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震动</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灯光</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显示</w:t>
            </w:r>
            <w:r>
              <w:rPr>
                <w:rFonts w:ascii="宋体" w:hAnsi="宋体" w:eastAsia="宋体" w:cs="宋体"/>
                <w:color w:val="auto"/>
                <w:spacing w:val="-2"/>
                <w:sz w:val="24"/>
                <w:szCs w:val="24"/>
                <w:lang w:eastAsia="zh-CN"/>
              </w:rPr>
              <w:t xml:space="preserve"> </w:t>
            </w:r>
          </w:p>
          <w:p w14:paraId="00061498">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键盘锁定功能</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有，可防误操作</w:t>
            </w:r>
          </w:p>
        </w:tc>
      </w:tr>
      <w:tr w14:paraId="5753E0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60CC746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30、设备名称</w:t>
            </w:r>
          </w:p>
        </w:tc>
        <w:tc>
          <w:tcPr>
            <w:tcW w:w="1502" w:type="dxa"/>
            <w:vAlign w:val="center"/>
          </w:tcPr>
          <w:p w14:paraId="78D7764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真空干燥柜</w:t>
            </w:r>
          </w:p>
        </w:tc>
        <w:tc>
          <w:tcPr>
            <w:tcW w:w="1134" w:type="dxa"/>
            <w:vAlign w:val="center"/>
          </w:tcPr>
          <w:p w14:paraId="226AD12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6DE75C4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0B49153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6503431C">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13000</w:t>
            </w:r>
          </w:p>
        </w:tc>
      </w:tr>
      <w:tr w14:paraId="58E65D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25" w:type="dxa"/>
            <w:vAlign w:val="center"/>
          </w:tcPr>
          <w:p w14:paraId="30DA15E9">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vAlign w:val="center"/>
          </w:tcPr>
          <w:p w14:paraId="4258B5A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显示方式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液晶一屏显示</w:t>
            </w:r>
          </w:p>
          <w:p w14:paraId="5697D45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电源电压</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AC220V 50HZ</w:t>
            </w:r>
          </w:p>
          <w:p w14:paraId="77D868E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控温范围</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室温+10～250℃</w:t>
            </w:r>
          </w:p>
          <w:p w14:paraId="4E99554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温度分辨率</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0.1℃</w:t>
            </w:r>
          </w:p>
          <w:p w14:paraId="45C97D2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波动度</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w:t>
            </w:r>
          </w:p>
          <w:p w14:paraId="69E40B1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达到真空度</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&lt;133pa</w:t>
            </w:r>
          </w:p>
          <w:p w14:paraId="1D6C297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工作环境温度</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5℃～40℃</w:t>
            </w:r>
          </w:p>
          <w:p w14:paraId="040E74F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输入功率</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2200W</w:t>
            </w:r>
          </w:p>
          <w:p w14:paraId="2A80859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载物托架</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2块</w:t>
            </w:r>
          </w:p>
          <w:p w14:paraId="315FF90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定时范围</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1～9999 min</w:t>
            </w:r>
          </w:p>
          <w:p w14:paraId="2D35BB7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售后</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全国联保</w:t>
            </w:r>
          </w:p>
          <w:p w14:paraId="56AB6C4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开门方式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手动开门</w:t>
            </w:r>
          </w:p>
          <w:p w14:paraId="68F029C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观察窗</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门上钢化玻璃加防弹玻璃</w:t>
            </w:r>
          </w:p>
          <w:p w14:paraId="221E57F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容积</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90L</w:t>
            </w:r>
          </w:p>
        </w:tc>
      </w:tr>
      <w:tr w14:paraId="6C726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740B9DF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31、设备名称</w:t>
            </w:r>
          </w:p>
        </w:tc>
        <w:tc>
          <w:tcPr>
            <w:tcW w:w="1502" w:type="dxa"/>
            <w:vAlign w:val="center"/>
          </w:tcPr>
          <w:p w14:paraId="307EA81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医用全自动电子血压计</w:t>
            </w:r>
          </w:p>
        </w:tc>
        <w:tc>
          <w:tcPr>
            <w:tcW w:w="1134" w:type="dxa"/>
            <w:vAlign w:val="center"/>
          </w:tcPr>
          <w:p w14:paraId="3B0414F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0A2EF29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2个</w:t>
            </w:r>
          </w:p>
        </w:tc>
        <w:tc>
          <w:tcPr>
            <w:tcW w:w="2007" w:type="dxa"/>
            <w:vAlign w:val="center"/>
          </w:tcPr>
          <w:p w14:paraId="51283C9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737C41B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4250</w:t>
            </w:r>
          </w:p>
        </w:tc>
      </w:tr>
      <w:tr w14:paraId="384792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trPr>
        <w:tc>
          <w:tcPr>
            <w:tcW w:w="1725" w:type="dxa"/>
            <w:vAlign w:val="center"/>
          </w:tcPr>
          <w:p w14:paraId="10D7F42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2720E82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技术要求：</w:t>
            </w:r>
            <w:r>
              <w:rPr>
                <w:rFonts w:hint="eastAsia" w:ascii="宋体" w:hAnsi="宋体" w:eastAsia="宋体" w:cs="宋体"/>
                <w:color w:val="auto"/>
                <w:spacing w:val="-2"/>
                <w:sz w:val="24"/>
                <w:szCs w:val="24"/>
                <w:lang w:eastAsia="zh-CN"/>
              </w:rPr>
              <w:tab/>
            </w:r>
          </w:p>
          <w:p w14:paraId="26083EF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  产品生产企业需通过ISO13485及ISO 9001国际质量体系认证，提供认证证明。</w:t>
            </w:r>
            <w:r>
              <w:rPr>
                <w:rFonts w:hint="eastAsia" w:ascii="宋体" w:hAnsi="宋体" w:eastAsia="宋体" w:cs="宋体"/>
                <w:color w:val="auto"/>
                <w:spacing w:val="-2"/>
                <w:sz w:val="24"/>
                <w:szCs w:val="24"/>
                <w:lang w:eastAsia="zh-CN"/>
              </w:rPr>
              <w:tab/>
            </w:r>
          </w:p>
          <w:p w14:paraId="1C0AB6D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  为确保临床精度，供应商提供的设备型号必须通过国际标准独立临床认证(ESH或BHS或AAMI)。</w:t>
            </w:r>
            <w:r>
              <w:rPr>
                <w:rFonts w:hint="eastAsia" w:ascii="宋体" w:hAnsi="宋体" w:eastAsia="宋体" w:cs="宋体"/>
                <w:color w:val="auto"/>
                <w:spacing w:val="-2"/>
                <w:sz w:val="24"/>
                <w:szCs w:val="24"/>
                <w:lang w:eastAsia="zh-CN"/>
              </w:rPr>
              <w:tab/>
            </w:r>
          </w:p>
          <w:p w14:paraId="6D60D57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3测量原理：示波法；</w:t>
            </w:r>
            <w:r>
              <w:rPr>
                <w:rFonts w:hint="eastAsia" w:ascii="宋体" w:hAnsi="宋体" w:eastAsia="宋体" w:cs="宋体"/>
                <w:color w:val="auto"/>
                <w:spacing w:val="-2"/>
                <w:sz w:val="24"/>
                <w:szCs w:val="24"/>
                <w:lang w:eastAsia="zh-CN"/>
              </w:rPr>
              <w:tab/>
            </w:r>
          </w:p>
          <w:p w14:paraId="7DD518C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4显示：LED数字显示。</w:t>
            </w:r>
            <w:r>
              <w:rPr>
                <w:rFonts w:hint="eastAsia" w:ascii="宋体" w:hAnsi="宋体" w:eastAsia="宋体" w:cs="宋体"/>
                <w:color w:val="auto"/>
                <w:spacing w:val="-2"/>
                <w:sz w:val="24"/>
                <w:szCs w:val="24"/>
                <w:lang w:eastAsia="zh-CN"/>
              </w:rPr>
              <w:tab/>
            </w:r>
          </w:p>
          <w:p w14:paraId="60047E2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  测量位置：左、右臂，适用于各种人群，机体设计更方便孕妇、老年人、残疾人及各种行动不便的病人使用；</w:t>
            </w:r>
            <w:r>
              <w:rPr>
                <w:rFonts w:hint="eastAsia" w:ascii="宋体" w:hAnsi="宋体" w:eastAsia="宋体" w:cs="宋体"/>
                <w:color w:val="auto"/>
                <w:spacing w:val="-2"/>
                <w:sz w:val="24"/>
                <w:szCs w:val="24"/>
                <w:lang w:eastAsia="zh-CN"/>
              </w:rPr>
              <w:tab/>
            </w:r>
          </w:p>
          <w:p w14:paraId="3351623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6可测量手臂周长：18~43厘米；</w:t>
            </w:r>
            <w:r>
              <w:rPr>
                <w:rFonts w:hint="eastAsia" w:ascii="宋体" w:hAnsi="宋体" w:eastAsia="宋体" w:cs="宋体"/>
                <w:color w:val="auto"/>
                <w:spacing w:val="-2"/>
                <w:sz w:val="24"/>
                <w:szCs w:val="24"/>
                <w:lang w:eastAsia="zh-CN"/>
              </w:rPr>
              <w:tab/>
            </w:r>
          </w:p>
          <w:p w14:paraId="395ED42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  血压显示范围：0~299mmHg;</w:t>
            </w:r>
            <w:r>
              <w:rPr>
                <w:rFonts w:hint="eastAsia" w:ascii="宋体" w:hAnsi="宋体" w:eastAsia="宋体" w:cs="宋体"/>
                <w:color w:val="auto"/>
                <w:spacing w:val="-2"/>
                <w:sz w:val="24"/>
                <w:szCs w:val="24"/>
                <w:lang w:eastAsia="zh-CN"/>
              </w:rPr>
              <w:tab/>
            </w:r>
          </w:p>
          <w:p w14:paraId="4991A13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8血压测量范围：血压0~290mmHg;</w:t>
            </w:r>
            <w:r>
              <w:rPr>
                <w:rFonts w:hint="eastAsia" w:ascii="宋体" w:hAnsi="宋体" w:eastAsia="宋体" w:cs="宋体"/>
                <w:color w:val="auto"/>
                <w:spacing w:val="-2"/>
                <w:sz w:val="24"/>
                <w:szCs w:val="24"/>
                <w:lang w:eastAsia="zh-CN"/>
              </w:rPr>
              <w:tab/>
            </w:r>
          </w:p>
          <w:p w14:paraId="2A20048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9  脉率测量范围：30~240次/min;</w:t>
            </w:r>
            <w:r>
              <w:rPr>
                <w:rFonts w:hint="eastAsia" w:ascii="宋体" w:hAnsi="宋体" w:eastAsia="宋体" w:cs="宋体"/>
                <w:color w:val="auto"/>
                <w:spacing w:val="-2"/>
                <w:sz w:val="24"/>
                <w:szCs w:val="24"/>
                <w:lang w:eastAsia="zh-CN"/>
              </w:rPr>
              <w:tab/>
            </w:r>
          </w:p>
          <w:p w14:paraId="711F1F4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10测量精确：血压精度±3mmHg;脉搏测量精度±5%;</w:t>
            </w:r>
            <w:r>
              <w:rPr>
                <w:rFonts w:hint="eastAsia" w:ascii="宋体" w:hAnsi="宋体" w:eastAsia="宋体" w:cs="宋体"/>
                <w:color w:val="auto"/>
                <w:spacing w:val="-2"/>
                <w:sz w:val="24"/>
                <w:szCs w:val="24"/>
                <w:lang w:eastAsia="zh-CN"/>
              </w:rPr>
              <w:tab/>
            </w:r>
          </w:p>
          <w:p w14:paraId="685A015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11测量时间：单次测量时间≤41秒；</w:t>
            </w:r>
            <w:r>
              <w:rPr>
                <w:rFonts w:hint="eastAsia" w:ascii="宋体" w:hAnsi="宋体" w:eastAsia="宋体" w:cs="宋体"/>
                <w:color w:val="auto"/>
                <w:spacing w:val="-2"/>
                <w:sz w:val="24"/>
                <w:szCs w:val="24"/>
                <w:lang w:eastAsia="zh-CN"/>
              </w:rPr>
              <w:tab/>
            </w:r>
          </w:p>
          <w:p w14:paraId="1B4C540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 SD值：收缩压标准差≤0.6mmHg,舒张压标准差≤0.6mmHg;</w:t>
            </w:r>
            <w:r>
              <w:rPr>
                <w:rFonts w:hint="eastAsia" w:ascii="宋体" w:hAnsi="宋体" w:eastAsia="宋体" w:cs="宋体"/>
                <w:color w:val="auto"/>
                <w:spacing w:val="-2"/>
                <w:sz w:val="24"/>
                <w:szCs w:val="24"/>
                <w:lang w:eastAsia="zh-CN"/>
              </w:rPr>
              <w:tab/>
            </w:r>
          </w:p>
          <w:p w14:paraId="7028203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13加压方式：气泵自动加压；</w:t>
            </w:r>
            <w:r>
              <w:rPr>
                <w:rFonts w:hint="eastAsia" w:ascii="宋体" w:hAnsi="宋体" w:eastAsia="宋体" w:cs="宋体"/>
                <w:color w:val="auto"/>
                <w:spacing w:val="-2"/>
                <w:sz w:val="24"/>
                <w:szCs w:val="24"/>
                <w:lang w:eastAsia="zh-CN"/>
              </w:rPr>
              <w:tab/>
            </w:r>
          </w:p>
          <w:p w14:paraId="78676C9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14空气控制：机械排气阀自动减压；</w:t>
            </w:r>
            <w:r>
              <w:rPr>
                <w:rFonts w:hint="eastAsia" w:ascii="宋体" w:hAnsi="宋体" w:eastAsia="宋体" w:cs="宋体"/>
                <w:color w:val="auto"/>
                <w:spacing w:val="-2"/>
                <w:sz w:val="24"/>
                <w:szCs w:val="24"/>
                <w:lang w:eastAsia="zh-CN"/>
              </w:rPr>
              <w:tab/>
            </w:r>
          </w:p>
          <w:p w14:paraId="36BE6F1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15排气方式：电磁阀快速自动排气；</w:t>
            </w:r>
            <w:r>
              <w:rPr>
                <w:rFonts w:hint="eastAsia" w:ascii="宋体" w:hAnsi="宋体" w:eastAsia="宋体" w:cs="宋体"/>
                <w:color w:val="auto"/>
                <w:spacing w:val="-2"/>
                <w:sz w:val="24"/>
                <w:szCs w:val="24"/>
                <w:lang w:eastAsia="zh-CN"/>
              </w:rPr>
              <w:tab/>
            </w:r>
          </w:p>
          <w:p w14:paraId="61AE969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16压力检测装置：电容型压力传感器；</w:t>
            </w:r>
            <w:r>
              <w:rPr>
                <w:rFonts w:hint="eastAsia" w:ascii="宋体" w:hAnsi="宋体" w:eastAsia="宋体" w:cs="宋体"/>
                <w:color w:val="auto"/>
                <w:spacing w:val="-2"/>
                <w:sz w:val="24"/>
                <w:szCs w:val="24"/>
                <w:lang w:eastAsia="zh-CN"/>
              </w:rPr>
              <w:tab/>
            </w:r>
          </w:p>
          <w:p w14:paraId="352E426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17打印装置：热敏打印，自动裁纸；</w:t>
            </w:r>
            <w:r>
              <w:rPr>
                <w:rFonts w:hint="eastAsia" w:ascii="宋体" w:hAnsi="宋体" w:eastAsia="宋体" w:cs="宋体"/>
                <w:color w:val="auto"/>
                <w:spacing w:val="-2"/>
                <w:sz w:val="24"/>
                <w:szCs w:val="24"/>
                <w:lang w:eastAsia="zh-CN"/>
              </w:rPr>
              <w:tab/>
            </w:r>
          </w:p>
          <w:p w14:paraId="6A4D0DC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18打印模式：多种模式</w:t>
            </w:r>
            <w:r>
              <w:rPr>
                <w:rFonts w:hint="eastAsia" w:ascii="宋体" w:hAnsi="宋体" w:eastAsia="宋体" w:cs="宋体"/>
                <w:color w:val="auto"/>
                <w:spacing w:val="-2"/>
                <w:sz w:val="24"/>
                <w:szCs w:val="24"/>
                <w:lang w:eastAsia="zh-CN"/>
              </w:rPr>
              <w:tab/>
            </w:r>
          </w:p>
          <w:p w14:paraId="782CCA6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19超压保护：压力达到300mmHg时，急速排气保护。排气时间不大于10秒；</w:t>
            </w:r>
            <w:r>
              <w:rPr>
                <w:rFonts w:hint="eastAsia" w:ascii="宋体" w:hAnsi="宋体" w:eastAsia="宋体" w:cs="宋体"/>
                <w:color w:val="auto"/>
                <w:spacing w:val="-2"/>
                <w:sz w:val="24"/>
                <w:szCs w:val="24"/>
                <w:lang w:eastAsia="zh-CN"/>
              </w:rPr>
              <w:tab/>
            </w:r>
          </w:p>
          <w:p w14:paraId="13792E6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20 通信数据传输功能：测量设备具备与上位机通讯功能，且提供设备通讯协议；</w:t>
            </w:r>
            <w:r>
              <w:rPr>
                <w:rFonts w:hint="eastAsia" w:ascii="宋体" w:hAnsi="宋体" w:eastAsia="宋体" w:cs="宋体"/>
                <w:color w:val="auto"/>
                <w:spacing w:val="-2"/>
                <w:sz w:val="24"/>
                <w:szCs w:val="24"/>
                <w:lang w:eastAsia="zh-CN"/>
              </w:rPr>
              <w:tab/>
            </w:r>
          </w:p>
          <w:p w14:paraId="03A8AFF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21语音播报功能：普通话指导测量，LED显示测量状态；</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b/>
            </w:r>
          </w:p>
          <w:p w14:paraId="25EF1EA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22脉搏检测音：测量时按脉搏检测的拍数同步发声；</w:t>
            </w:r>
          </w:p>
        </w:tc>
      </w:tr>
      <w:tr w14:paraId="0491AE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106622A4">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32、设备名称</w:t>
            </w:r>
          </w:p>
        </w:tc>
        <w:tc>
          <w:tcPr>
            <w:tcW w:w="1502" w:type="dxa"/>
            <w:vAlign w:val="center"/>
          </w:tcPr>
          <w:p w14:paraId="6464F72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手术床</w:t>
            </w:r>
          </w:p>
        </w:tc>
        <w:tc>
          <w:tcPr>
            <w:tcW w:w="1134" w:type="dxa"/>
            <w:vAlign w:val="center"/>
          </w:tcPr>
          <w:p w14:paraId="3FB7B5C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5245D61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2个</w:t>
            </w:r>
          </w:p>
        </w:tc>
        <w:tc>
          <w:tcPr>
            <w:tcW w:w="2007" w:type="dxa"/>
            <w:vAlign w:val="center"/>
          </w:tcPr>
          <w:p w14:paraId="150BE69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29E6E78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55000</w:t>
            </w:r>
          </w:p>
        </w:tc>
      </w:tr>
      <w:tr w14:paraId="65E1D9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6" w:hRule="atLeast"/>
        </w:trPr>
        <w:tc>
          <w:tcPr>
            <w:tcW w:w="1725" w:type="dxa"/>
            <w:vAlign w:val="center"/>
          </w:tcPr>
          <w:p w14:paraId="15B9444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5DEE5626">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手术床体采用四段式设计，由头板、背板、臀板、腿板、四部分组成。</w:t>
            </w:r>
          </w:p>
          <w:p w14:paraId="552088AE">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全电动液压手术床，以下体位必须采用电动液压控制：水平升降、头</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脚倾、左</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右倾、背板上</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下折等；</w:t>
            </w:r>
          </w:p>
          <w:p w14:paraId="4E7A0E35">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3.</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底座应设有红色的一键急停装置，用于手术过程中的紧急切断电路。</w:t>
            </w:r>
          </w:p>
          <w:p w14:paraId="1D310B1F">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手术床液压系统应无渗漏现象，液压历时</w:t>
            </w:r>
            <w:r>
              <w:rPr>
                <w:rFonts w:ascii="宋体" w:hAnsi="宋体" w:eastAsia="宋体" w:cs="宋体"/>
                <w:color w:val="auto"/>
                <w:spacing w:val="-2"/>
                <w:sz w:val="24"/>
                <w:szCs w:val="24"/>
                <w:lang w:eastAsia="zh-CN"/>
              </w:rPr>
              <w:t>5h</w:t>
            </w:r>
            <w:r>
              <w:rPr>
                <w:rFonts w:hint="eastAsia" w:ascii="宋体" w:hAnsi="宋体" w:eastAsia="宋体" w:cs="宋体"/>
                <w:color w:val="auto"/>
                <w:spacing w:val="-2"/>
                <w:sz w:val="24"/>
                <w:szCs w:val="24"/>
                <w:lang w:eastAsia="zh-CN"/>
              </w:rPr>
              <w:t>，手术台下降距离应不大于</w:t>
            </w:r>
            <w:r>
              <w:rPr>
                <w:rFonts w:ascii="宋体" w:hAnsi="宋体" w:eastAsia="宋体" w:cs="宋体"/>
                <w:color w:val="auto"/>
                <w:spacing w:val="-2"/>
                <w:sz w:val="24"/>
                <w:szCs w:val="24"/>
                <w:lang w:eastAsia="zh-CN"/>
              </w:rPr>
              <w:t xml:space="preserve"> 1mm</w:t>
            </w:r>
          </w:p>
          <w:p w14:paraId="7ED8A765">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5.</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配有减压记忆床垫，由抗静电材料制成，舒适的减压记忆床垫可减轻长时间手术对病患末肢组织造成的压力伤害。</w:t>
            </w:r>
          </w:p>
          <w:p w14:paraId="2A7BFA6B">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6.</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手术床应具有手持器控制、侧面板控制双重控制方式。</w:t>
            </w:r>
          </w:p>
          <w:p w14:paraId="029029DF">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7.</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床体在正常位置工作承重≥</w:t>
            </w:r>
            <w:r>
              <w:rPr>
                <w:rFonts w:ascii="宋体" w:hAnsi="宋体" w:eastAsia="宋体" w:cs="宋体"/>
                <w:color w:val="auto"/>
                <w:spacing w:val="-2"/>
                <w:sz w:val="24"/>
                <w:szCs w:val="24"/>
                <w:lang w:eastAsia="zh-CN"/>
              </w:rPr>
              <w:t>280kg</w:t>
            </w:r>
            <w:r>
              <w:rPr>
                <w:rFonts w:hint="eastAsia" w:ascii="宋体" w:hAnsi="宋体" w:eastAsia="宋体" w:cs="宋体"/>
                <w:color w:val="auto"/>
                <w:spacing w:val="-2"/>
                <w:sz w:val="24"/>
                <w:szCs w:val="24"/>
                <w:lang w:eastAsia="zh-CN"/>
              </w:rPr>
              <w:t>，在升降过程中极限承重≥</w:t>
            </w:r>
            <w:r>
              <w:rPr>
                <w:rFonts w:ascii="宋体" w:hAnsi="宋体" w:eastAsia="宋体" w:cs="宋体"/>
                <w:color w:val="auto"/>
                <w:spacing w:val="-2"/>
                <w:sz w:val="24"/>
                <w:szCs w:val="24"/>
                <w:lang w:eastAsia="zh-CN"/>
              </w:rPr>
              <w:t>350kg</w:t>
            </w:r>
            <w:r>
              <w:rPr>
                <w:rFonts w:hint="eastAsia" w:ascii="宋体" w:hAnsi="宋体" w:eastAsia="宋体" w:cs="宋体"/>
                <w:color w:val="auto"/>
                <w:spacing w:val="-2"/>
                <w:sz w:val="24"/>
                <w:szCs w:val="24"/>
                <w:lang w:eastAsia="zh-CN"/>
              </w:rPr>
              <w:t>。</w:t>
            </w:r>
          </w:p>
          <w:p w14:paraId="4553C722">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8.</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床体整机的防水等级≥</w:t>
            </w:r>
            <w:r>
              <w:rPr>
                <w:rFonts w:ascii="宋体" w:hAnsi="宋体" w:eastAsia="宋体" w:cs="宋体"/>
                <w:color w:val="auto"/>
                <w:spacing w:val="-2"/>
                <w:sz w:val="24"/>
                <w:szCs w:val="24"/>
                <w:lang w:eastAsia="zh-CN"/>
              </w:rPr>
              <w:t>IPX4</w:t>
            </w:r>
            <w:r>
              <w:rPr>
                <w:rFonts w:hint="eastAsia" w:ascii="宋体" w:hAnsi="宋体" w:eastAsia="宋体" w:cs="宋体"/>
                <w:color w:val="auto"/>
                <w:spacing w:val="-2"/>
                <w:sz w:val="24"/>
                <w:szCs w:val="24"/>
                <w:lang w:eastAsia="zh-CN"/>
              </w:rPr>
              <w:t>，脚踏控制器防水等级≥</w:t>
            </w:r>
            <w:r>
              <w:rPr>
                <w:rFonts w:ascii="宋体" w:hAnsi="宋体" w:eastAsia="宋体" w:cs="宋体"/>
                <w:color w:val="auto"/>
                <w:spacing w:val="-2"/>
                <w:sz w:val="24"/>
                <w:szCs w:val="24"/>
                <w:lang w:eastAsia="zh-CN"/>
              </w:rPr>
              <w:t>IPX8</w:t>
            </w:r>
            <w:r>
              <w:rPr>
                <w:rFonts w:hint="eastAsia" w:ascii="宋体" w:hAnsi="宋体" w:eastAsia="宋体" w:cs="宋体"/>
                <w:color w:val="auto"/>
                <w:spacing w:val="-2"/>
                <w:sz w:val="24"/>
                <w:szCs w:val="24"/>
                <w:lang w:eastAsia="zh-CN"/>
              </w:rPr>
              <w:t>。</w:t>
            </w:r>
          </w:p>
          <w:p w14:paraId="6D7381AA">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9.</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手术床移动轻巧省力，在坚硬的水平地面上，移动手术床的推动力应≤</w:t>
            </w:r>
            <w:r>
              <w:rPr>
                <w:rFonts w:ascii="宋体" w:hAnsi="宋体" w:eastAsia="宋体" w:cs="宋体"/>
                <w:color w:val="auto"/>
                <w:spacing w:val="-2"/>
                <w:sz w:val="24"/>
                <w:szCs w:val="24"/>
                <w:lang w:eastAsia="zh-CN"/>
              </w:rPr>
              <w:t>80N</w:t>
            </w:r>
            <w:r>
              <w:rPr>
                <w:rFonts w:hint="eastAsia" w:ascii="宋体" w:hAnsi="宋体" w:eastAsia="宋体" w:cs="宋体"/>
                <w:color w:val="auto"/>
                <w:spacing w:val="-2"/>
                <w:sz w:val="24"/>
                <w:szCs w:val="24"/>
                <w:lang w:eastAsia="zh-CN"/>
              </w:rPr>
              <w:t>。</w:t>
            </w:r>
          </w:p>
          <w:p w14:paraId="3AE68B39">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10.</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手术床应配备可移动脚轮，配有机械刹车或电动刹车，刹车锁止时，水平施加</w:t>
            </w:r>
            <w:r>
              <w:rPr>
                <w:rFonts w:ascii="宋体" w:hAnsi="宋体" w:eastAsia="宋体" w:cs="宋体"/>
                <w:color w:val="auto"/>
                <w:spacing w:val="-2"/>
                <w:sz w:val="24"/>
                <w:szCs w:val="24"/>
                <w:lang w:eastAsia="zh-CN"/>
              </w:rPr>
              <w:t>200N</w:t>
            </w:r>
            <w:r>
              <w:rPr>
                <w:rFonts w:hint="eastAsia" w:ascii="宋体" w:hAnsi="宋体" w:eastAsia="宋体" w:cs="宋体"/>
                <w:color w:val="auto"/>
                <w:spacing w:val="-2"/>
                <w:sz w:val="24"/>
                <w:szCs w:val="24"/>
                <w:lang w:eastAsia="zh-CN"/>
              </w:rPr>
              <w:t>的推力应不发生移动。</w:t>
            </w:r>
          </w:p>
          <w:p w14:paraId="49F16DC9">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11.</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床面高度可调范围</w:t>
            </w:r>
            <w:r>
              <w:rPr>
                <w:rFonts w:ascii="宋体" w:hAnsi="宋体" w:eastAsia="宋体" w:cs="宋体"/>
                <w:color w:val="auto"/>
                <w:spacing w:val="-2"/>
                <w:sz w:val="24"/>
                <w:szCs w:val="24"/>
                <w:lang w:eastAsia="zh-CN"/>
              </w:rPr>
              <w:t>:670mm-1040mm</w:t>
            </w:r>
            <w:r>
              <w:rPr>
                <w:rFonts w:hint="eastAsia" w:ascii="宋体" w:hAnsi="宋体" w:eastAsia="宋体" w:cs="宋体"/>
                <w:color w:val="auto"/>
                <w:spacing w:val="-2"/>
                <w:sz w:val="24"/>
                <w:szCs w:val="24"/>
                <w:lang w:eastAsia="zh-CN"/>
              </w:rPr>
              <w:t>。</w:t>
            </w:r>
          </w:p>
          <w:p w14:paraId="2C6862FC">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12.</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床面长度≥</w:t>
            </w:r>
            <w:r>
              <w:rPr>
                <w:rFonts w:ascii="宋体" w:hAnsi="宋体" w:eastAsia="宋体" w:cs="宋体"/>
                <w:color w:val="auto"/>
                <w:spacing w:val="-2"/>
                <w:sz w:val="24"/>
                <w:szCs w:val="24"/>
                <w:lang w:eastAsia="zh-CN"/>
              </w:rPr>
              <w:t xml:space="preserve">2050mm </w:t>
            </w:r>
            <w:r>
              <w:rPr>
                <w:rFonts w:hint="eastAsia" w:ascii="宋体" w:hAnsi="宋体" w:eastAsia="宋体" w:cs="宋体"/>
                <w:color w:val="auto"/>
                <w:spacing w:val="-2"/>
                <w:sz w:val="24"/>
                <w:szCs w:val="24"/>
                <w:lang w:eastAsia="zh-CN"/>
              </w:rPr>
              <w:t>，床面宽度≥</w:t>
            </w:r>
            <w:r>
              <w:rPr>
                <w:rFonts w:ascii="宋体" w:hAnsi="宋体" w:eastAsia="宋体" w:cs="宋体"/>
                <w:color w:val="auto"/>
                <w:spacing w:val="-2"/>
                <w:sz w:val="24"/>
                <w:szCs w:val="24"/>
                <w:lang w:eastAsia="zh-CN"/>
              </w:rPr>
              <w:t>510mm</w:t>
            </w:r>
            <w:r>
              <w:rPr>
                <w:rFonts w:hint="eastAsia" w:ascii="宋体" w:hAnsi="宋体" w:eastAsia="宋体" w:cs="宋体"/>
                <w:color w:val="auto"/>
                <w:spacing w:val="-2"/>
                <w:sz w:val="24"/>
                <w:szCs w:val="24"/>
                <w:lang w:eastAsia="zh-CN"/>
              </w:rPr>
              <w:t>。</w:t>
            </w:r>
          </w:p>
          <w:p w14:paraId="1CFB217A">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13.</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床面头倾、脚倾实际检验结果≥</w:t>
            </w:r>
            <w:r>
              <w:rPr>
                <w:rFonts w:ascii="宋体" w:hAnsi="宋体" w:eastAsia="宋体" w:cs="宋体"/>
                <w:color w:val="auto"/>
                <w:spacing w:val="-2"/>
                <w:sz w:val="24"/>
                <w:szCs w:val="24"/>
                <w:lang w:eastAsia="zh-CN"/>
              </w:rPr>
              <w:t>28°</w:t>
            </w:r>
          </w:p>
          <w:p w14:paraId="3321F364">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床面左倾≥</w:t>
            </w:r>
            <w:r>
              <w:rPr>
                <w:rFonts w:ascii="宋体" w:hAnsi="宋体" w:eastAsia="宋体" w:cs="宋体"/>
                <w:color w:val="auto"/>
                <w:spacing w:val="-2"/>
                <w:sz w:val="24"/>
                <w:szCs w:val="24"/>
                <w:lang w:eastAsia="zh-CN"/>
              </w:rPr>
              <w:t>22°±5°</w:t>
            </w:r>
            <w:r>
              <w:rPr>
                <w:rFonts w:hint="eastAsia" w:ascii="宋体" w:hAnsi="宋体" w:eastAsia="宋体" w:cs="宋体"/>
                <w:color w:val="auto"/>
                <w:spacing w:val="-2"/>
                <w:sz w:val="24"/>
                <w:szCs w:val="24"/>
                <w:lang w:eastAsia="zh-CN"/>
              </w:rPr>
              <w:t>，床面右倾≥</w:t>
            </w:r>
            <w:r>
              <w:rPr>
                <w:rFonts w:ascii="宋体" w:hAnsi="宋体" w:eastAsia="宋体" w:cs="宋体"/>
                <w:color w:val="auto"/>
                <w:spacing w:val="-2"/>
                <w:sz w:val="24"/>
                <w:szCs w:val="24"/>
                <w:lang w:eastAsia="zh-CN"/>
              </w:rPr>
              <w:t>22°±5°</w:t>
            </w:r>
            <w:r>
              <w:rPr>
                <w:rFonts w:hint="eastAsia" w:ascii="宋体" w:hAnsi="宋体" w:eastAsia="宋体" w:cs="宋体"/>
                <w:color w:val="auto"/>
                <w:spacing w:val="-2"/>
                <w:sz w:val="24"/>
                <w:szCs w:val="24"/>
                <w:lang w:eastAsia="zh-CN"/>
              </w:rPr>
              <w:t>。背板上倾≥</w:t>
            </w:r>
            <w:r>
              <w:rPr>
                <w:rFonts w:ascii="宋体" w:hAnsi="宋体" w:eastAsia="宋体" w:cs="宋体"/>
                <w:color w:val="auto"/>
                <w:spacing w:val="-2"/>
                <w:sz w:val="24"/>
                <w:szCs w:val="24"/>
                <w:lang w:eastAsia="zh-CN"/>
              </w:rPr>
              <w:t>82°±5°</w:t>
            </w:r>
            <w:r>
              <w:rPr>
                <w:rFonts w:hint="eastAsia" w:ascii="宋体" w:hAnsi="宋体" w:eastAsia="宋体" w:cs="宋体"/>
                <w:color w:val="auto"/>
                <w:spacing w:val="-2"/>
                <w:sz w:val="24"/>
                <w:szCs w:val="24"/>
                <w:lang w:eastAsia="zh-CN"/>
              </w:rPr>
              <w:t>，背板下倾≥</w:t>
            </w:r>
            <w:r>
              <w:rPr>
                <w:rFonts w:ascii="宋体" w:hAnsi="宋体" w:eastAsia="宋体" w:cs="宋体"/>
                <w:color w:val="auto"/>
                <w:spacing w:val="-2"/>
                <w:sz w:val="24"/>
                <w:szCs w:val="24"/>
                <w:lang w:eastAsia="zh-CN"/>
              </w:rPr>
              <w:t>43°±5°</w:t>
            </w:r>
            <w:r>
              <w:rPr>
                <w:rFonts w:hint="eastAsia" w:ascii="宋体" w:hAnsi="宋体" w:eastAsia="宋体" w:cs="宋体"/>
                <w:color w:val="auto"/>
                <w:spacing w:val="-2"/>
                <w:sz w:val="24"/>
                <w:szCs w:val="24"/>
                <w:lang w:eastAsia="zh-CN"/>
              </w:rPr>
              <w:t>。</w:t>
            </w:r>
          </w:p>
          <w:p w14:paraId="348587B4">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腿板上倾≥</w:t>
            </w:r>
            <w:r>
              <w:rPr>
                <w:rFonts w:ascii="宋体" w:hAnsi="宋体" w:eastAsia="宋体" w:cs="宋体"/>
                <w:color w:val="auto"/>
                <w:spacing w:val="-2"/>
                <w:sz w:val="24"/>
                <w:szCs w:val="24"/>
                <w:lang w:eastAsia="zh-CN"/>
              </w:rPr>
              <w:t>35°±5°</w:t>
            </w:r>
            <w:r>
              <w:rPr>
                <w:rFonts w:hint="eastAsia" w:ascii="宋体" w:hAnsi="宋体" w:eastAsia="宋体" w:cs="宋体"/>
                <w:color w:val="auto"/>
                <w:spacing w:val="-2"/>
                <w:sz w:val="24"/>
                <w:szCs w:val="24"/>
                <w:lang w:eastAsia="zh-CN"/>
              </w:rPr>
              <w:t>，腿板下倾≥</w:t>
            </w:r>
            <w:r>
              <w:rPr>
                <w:rFonts w:ascii="宋体" w:hAnsi="宋体" w:eastAsia="宋体" w:cs="宋体"/>
                <w:color w:val="auto"/>
                <w:spacing w:val="-2"/>
                <w:sz w:val="24"/>
                <w:szCs w:val="24"/>
                <w:lang w:eastAsia="zh-CN"/>
              </w:rPr>
              <w:t>90°±5°</w:t>
            </w:r>
            <w:r>
              <w:rPr>
                <w:rFonts w:hint="eastAsia" w:ascii="宋体" w:hAnsi="宋体" w:eastAsia="宋体" w:cs="宋体"/>
                <w:color w:val="auto"/>
                <w:spacing w:val="-2"/>
                <w:sz w:val="24"/>
                <w:szCs w:val="24"/>
                <w:lang w:eastAsia="zh-CN"/>
              </w:rPr>
              <w:t>，腿板外展≥</w:t>
            </w:r>
            <w:r>
              <w:rPr>
                <w:rFonts w:ascii="宋体" w:hAnsi="宋体" w:eastAsia="宋体" w:cs="宋体"/>
                <w:color w:val="auto"/>
                <w:spacing w:val="-2"/>
                <w:sz w:val="24"/>
                <w:szCs w:val="24"/>
                <w:lang w:eastAsia="zh-CN"/>
              </w:rPr>
              <w:t>90°±5°</w:t>
            </w:r>
            <w:r>
              <w:rPr>
                <w:rFonts w:hint="eastAsia" w:ascii="宋体" w:hAnsi="宋体" w:eastAsia="宋体" w:cs="宋体"/>
                <w:color w:val="auto"/>
                <w:spacing w:val="-2"/>
                <w:sz w:val="24"/>
                <w:szCs w:val="24"/>
                <w:lang w:eastAsia="zh-CN"/>
              </w:rPr>
              <w:t>。</w:t>
            </w:r>
          </w:p>
          <w:p w14:paraId="23917F0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附件配置</w:t>
            </w:r>
          </w:p>
          <w:p w14:paraId="6020315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手持遥控器</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立柱控制面板：</w:t>
            </w: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套</w:t>
            </w:r>
          </w:p>
          <w:p w14:paraId="0C6889D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记忆海绵床垫：</w:t>
            </w: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套</w:t>
            </w:r>
          </w:p>
          <w:p w14:paraId="592F13F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夹持器（圆形）：</w:t>
            </w: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个</w:t>
            </w:r>
          </w:p>
          <w:p w14:paraId="36C281A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麻醉屏架：</w:t>
            </w:r>
            <w:r>
              <w:rPr>
                <w:rFonts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个</w:t>
            </w:r>
          </w:p>
          <w:p w14:paraId="0EE804C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托手架：</w:t>
            </w:r>
            <w:r>
              <w:rPr>
                <w:rFonts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个</w:t>
            </w:r>
          </w:p>
        </w:tc>
      </w:tr>
      <w:tr w14:paraId="68CFBB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7141873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33、设备名称</w:t>
            </w:r>
          </w:p>
        </w:tc>
        <w:tc>
          <w:tcPr>
            <w:tcW w:w="1502" w:type="dxa"/>
            <w:vAlign w:val="center"/>
          </w:tcPr>
          <w:p w14:paraId="2CD0501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手术无影灯</w:t>
            </w:r>
          </w:p>
        </w:tc>
        <w:tc>
          <w:tcPr>
            <w:tcW w:w="1134" w:type="dxa"/>
            <w:vAlign w:val="center"/>
          </w:tcPr>
          <w:p w14:paraId="7ED6FBA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6444892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2个</w:t>
            </w:r>
          </w:p>
        </w:tc>
        <w:tc>
          <w:tcPr>
            <w:tcW w:w="2007" w:type="dxa"/>
            <w:vAlign w:val="center"/>
          </w:tcPr>
          <w:p w14:paraId="27D4DF8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2F42553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34000</w:t>
            </w:r>
          </w:p>
        </w:tc>
      </w:tr>
      <w:tr w14:paraId="04BF5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0054680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3E8942F5">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采用医用级</w:t>
            </w:r>
            <w:r>
              <w:rPr>
                <w:rFonts w:ascii="宋体" w:hAnsi="宋体" w:eastAsia="宋体" w:cs="宋体"/>
                <w:color w:val="auto"/>
                <w:spacing w:val="-2"/>
                <w:sz w:val="24"/>
                <w:szCs w:val="24"/>
                <w:lang w:eastAsia="zh-CN"/>
              </w:rPr>
              <w:t>LED</w:t>
            </w:r>
            <w:r>
              <w:rPr>
                <w:rFonts w:hint="eastAsia" w:ascii="宋体" w:hAnsi="宋体" w:eastAsia="宋体" w:cs="宋体"/>
                <w:color w:val="auto"/>
                <w:spacing w:val="-2"/>
                <w:sz w:val="24"/>
                <w:szCs w:val="24"/>
                <w:lang w:eastAsia="zh-CN"/>
              </w:rPr>
              <w:t>冷光源，母灯灯珠数量≥</w:t>
            </w:r>
            <w:r>
              <w:rPr>
                <w:rFonts w:ascii="宋体" w:hAnsi="宋体" w:eastAsia="宋体" w:cs="宋体"/>
                <w:color w:val="auto"/>
                <w:spacing w:val="-2"/>
                <w:sz w:val="24"/>
                <w:szCs w:val="24"/>
                <w:lang w:eastAsia="zh-CN"/>
              </w:rPr>
              <w:t>36</w:t>
            </w:r>
            <w:r>
              <w:rPr>
                <w:rFonts w:hint="eastAsia" w:ascii="宋体" w:hAnsi="宋体" w:eastAsia="宋体" w:cs="宋体"/>
                <w:color w:val="auto"/>
                <w:spacing w:val="-2"/>
                <w:sz w:val="24"/>
                <w:szCs w:val="24"/>
                <w:lang w:eastAsia="zh-CN"/>
              </w:rPr>
              <w:t>个，子灯灯珠数量≥</w:t>
            </w:r>
            <w:r>
              <w:rPr>
                <w:rFonts w:ascii="宋体" w:hAnsi="宋体" w:eastAsia="宋体" w:cs="宋体"/>
                <w:color w:val="auto"/>
                <w:spacing w:val="-2"/>
                <w:sz w:val="24"/>
                <w:szCs w:val="24"/>
                <w:lang w:eastAsia="zh-CN"/>
              </w:rPr>
              <w:t>15</w:t>
            </w:r>
            <w:r>
              <w:rPr>
                <w:rFonts w:hint="eastAsia" w:ascii="宋体" w:hAnsi="宋体" w:eastAsia="宋体" w:cs="宋体"/>
                <w:color w:val="auto"/>
                <w:spacing w:val="-2"/>
                <w:sz w:val="24"/>
                <w:szCs w:val="24"/>
                <w:lang w:eastAsia="zh-CN"/>
              </w:rPr>
              <w:t>个。</w:t>
            </w:r>
          </w:p>
          <w:p w14:paraId="27974065">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手术灯灯珠采用</w:t>
            </w:r>
            <w:r>
              <w:rPr>
                <w:rFonts w:ascii="宋体" w:hAnsi="宋体" w:eastAsia="宋体" w:cs="宋体"/>
                <w:color w:val="auto"/>
                <w:spacing w:val="-2"/>
                <w:sz w:val="24"/>
                <w:szCs w:val="24"/>
                <w:lang w:eastAsia="zh-CN"/>
              </w:rPr>
              <w:t>LED</w:t>
            </w:r>
            <w:r>
              <w:rPr>
                <w:rFonts w:hint="eastAsia" w:ascii="宋体" w:hAnsi="宋体" w:eastAsia="宋体" w:cs="宋体"/>
                <w:color w:val="auto"/>
                <w:spacing w:val="-2"/>
                <w:sz w:val="24"/>
                <w:szCs w:val="24"/>
                <w:lang w:eastAsia="zh-CN"/>
              </w:rPr>
              <w:t>的串联连接，能够降低电磁干扰辐射，使手术灯的性能更佳。</w:t>
            </w:r>
          </w:p>
          <w:p w14:paraId="178AF79E">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3.</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灯壳外罩采用铝合金材质，宜于散热，表面采用环保粉沫喷塑处理，粉末通过抑菌检测。</w:t>
            </w:r>
          </w:p>
          <w:p w14:paraId="723F6B77">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基础架负载</w:t>
            </w:r>
            <w:r>
              <w:rPr>
                <w:rFonts w:ascii="宋体" w:hAnsi="宋体" w:eastAsia="宋体" w:cs="宋体"/>
                <w:color w:val="auto"/>
                <w:spacing w:val="-2"/>
                <w:sz w:val="24"/>
                <w:szCs w:val="24"/>
                <w:lang w:eastAsia="zh-CN"/>
              </w:rPr>
              <w:t>10000N˙m</w:t>
            </w:r>
            <w:r>
              <w:rPr>
                <w:rFonts w:hint="eastAsia" w:ascii="宋体" w:hAnsi="宋体" w:eastAsia="宋体" w:cs="宋体"/>
                <w:color w:val="auto"/>
                <w:spacing w:val="-2"/>
                <w:sz w:val="24"/>
                <w:szCs w:val="24"/>
                <w:lang w:eastAsia="zh-CN"/>
              </w:rPr>
              <w:t>的作用力持续</w:t>
            </w:r>
            <w:r>
              <w:rPr>
                <w:rFonts w:ascii="宋体" w:hAnsi="宋体" w:eastAsia="宋体" w:cs="宋体"/>
                <w:color w:val="auto"/>
                <w:spacing w:val="-2"/>
                <w:sz w:val="24"/>
                <w:szCs w:val="24"/>
                <w:lang w:eastAsia="zh-CN"/>
              </w:rPr>
              <w:t>10min</w:t>
            </w:r>
            <w:r>
              <w:rPr>
                <w:rFonts w:hint="eastAsia" w:ascii="宋体" w:hAnsi="宋体" w:eastAsia="宋体" w:cs="宋体"/>
                <w:color w:val="auto"/>
                <w:spacing w:val="-2"/>
                <w:sz w:val="24"/>
                <w:szCs w:val="24"/>
                <w:lang w:eastAsia="zh-CN"/>
              </w:rPr>
              <w:t>，法兰盘水平倾斜角小于</w:t>
            </w:r>
            <w:r>
              <w:rPr>
                <w:rFonts w:ascii="宋体" w:hAnsi="宋体" w:eastAsia="宋体" w:cs="宋体"/>
                <w:color w:val="auto"/>
                <w:spacing w:val="-2"/>
                <w:sz w:val="24"/>
                <w:szCs w:val="24"/>
                <w:lang w:eastAsia="zh-CN"/>
              </w:rPr>
              <w:t>0.6°</w:t>
            </w:r>
            <w:r>
              <w:rPr>
                <w:rFonts w:hint="eastAsia" w:ascii="宋体" w:hAnsi="宋体" w:eastAsia="宋体" w:cs="宋体"/>
                <w:color w:val="auto"/>
                <w:spacing w:val="-2"/>
                <w:sz w:val="24"/>
                <w:szCs w:val="24"/>
                <w:lang w:eastAsia="zh-CN"/>
              </w:rPr>
              <w:t>；旋转转轴在负重</w:t>
            </w:r>
            <w:r>
              <w:rPr>
                <w:rFonts w:ascii="宋体" w:hAnsi="宋体" w:eastAsia="宋体" w:cs="宋体"/>
                <w:color w:val="auto"/>
                <w:spacing w:val="-2"/>
                <w:sz w:val="24"/>
                <w:szCs w:val="24"/>
                <w:lang w:eastAsia="zh-CN"/>
              </w:rPr>
              <w:t>300kg</w:t>
            </w:r>
            <w:r>
              <w:rPr>
                <w:rFonts w:hint="eastAsia" w:ascii="宋体" w:hAnsi="宋体" w:eastAsia="宋体" w:cs="宋体"/>
                <w:color w:val="auto"/>
                <w:spacing w:val="-2"/>
                <w:sz w:val="24"/>
                <w:szCs w:val="24"/>
                <w:lang w:eastAsia="zh-CN"/>
              </w:rPr>
              <w:t>状态下旋转寿命≥</w:t>
            </w:r>
            <w:r>
              <w:rPr>
                <w:rFonts w:ascii="宋体" w:hAnsi="宋体" w:eastAsia="宋体" w:cs="宋体"/>
                <w:color w:val="auto"/>
                <w:spacing w:val="-2"/>
                <w:sz w:val="24"/>
                <w:szCs w:val="24"/>
                <w:lang w:eastAsia="zh-CN"/>
              </w:rPr>
              <w:t>10</w:t>
            </w:r>
            <w:r>
              <w:rPr>
                <w:rFonts w:hint="eastAsia" w:ascii="宋体" w:hAnsi="宋体" w:eastAsia="宋体" w:cs="宋体"/>
                <w:color w:val="auto"/>
                <w:spacing w:val="-2"/>
                <w:sz w:val="24"/>
                <w:szCs w:val="24"/>
                <w:lang w:eastAsia="zh-CN"/>
              </w:rPr>
              <w:t>万次。</w:t>
            </w:r>
          </w:p>
          <w:p w14:paraId="36E0BBC3">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5.</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母灯采用液晶触控面板，位于灯盘转轴处，角度可调</w:t>
            </w:r>
            <w:r>
              <w:rPr>
                <w:rFonts w:ascii="宋体" w:hAnsi="宋体" w:eastAsia="宋体" w:cs="宋体"/>
                <w:color w:val="auto"/>
                <w:spacing w:val="-2"/>
                <w:sz w:val="24"/>
                <w:szCs w:val="24"/>
                <w:lang w:eastAsia="zh-CN"/>
              </w:rPr>
              <w:t>60°</w:t>
            </w:r>
            <w:r>
              <w:rPr>
                <w:rFonts w:hint="eastAsia" w:ascii="宋体" w:hAnsi="宋体" w:eastAsia="宋体" w:cs="宋体"/>
                <w:color w:val="auto"/>
                <w:spacing w:val="-2"/>
                <w:sz w:val="24"/>
                <w:szCs w:val="24"/>
                <w:lang w:eastAsia="zh-CN"/>
              </w:rPr>
              <w:t>，便于医生操作观察，具有普通照明、明亮照明、腔镜照明，可选配自动模式。</w:t>
            </w:r>
          </w:p>
          <w:p w14:paraId="3F1D3ED9">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6.</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母灯具有自定义临床模式，科室可根据临床使用习惯自定义保存</w:t>
            </w:r>
            <w:r>
              <w:rPr>
                <w:rFonts w:ascii="宋体" w:hAnsi="宋体" w:eastAsia="宋体" w:cs="宋体"/>
                <w:color w:val="auto"/>
                <w:spacing w:val="-2"/>
                <w:sz w:val="24"/>
                <w:szCs w:val="24"/>
                <w:lang w:eastAsia="zh-CN"/>
              </w:rPr>
              <w:t>3</w:t>
            </w:r>
            <w:r>
              <w:rPr>
                <w:rFonts w:hint="eastAsia" w:ascii="宋体" w:hAnsi="宋体" w:eastAsia="宋体" w:cs="宋体"/>
                <w:color w:val="auto"/>
                <w:spacing w:val="-2"/>
                <w:sz w:val="24"/>
                <w:szCs w:val="24"/>
                <w:lang w:eastAsia="zh-CN"/>
              </w:rPr>
              <w:t>个不同照明参数，一键切换。</w:t>
            </w:r>
          </w:p>
          <w:p w14:paraId="2FE824A2">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7.</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采用圆形旋转平衡臂悬挂系统，六组关节联动、移动轻巧、定位稳定，</w:t>
            </w:r>
            <w:r>
              <w:rPr>
                <w:rFonts w:ascii="宋体" w:hAnsi="宋体" w:eastAsia="宋体" w:cs="宋体"/>
                <w:color w:val="auto"/>
                <w:spacing w:val="-2"/>
                <w:sz w:val="24"/>
                <w:szCs w:val="24"/>
                <w:lang w:eastAsia="zh-CN"/>
              </w:rPr>
              <w:t>340</w:t>
            </w:r>
            <w:r>
              <w:rPr>
                <w:rFonts w:hint="eastAsia" w:ascii="宋体" w:hAnsi="宋体" w:eastAsia="宋体" w:cs="宋体"/>
                <w:color w:val="auto"/>
                <w:spacing w:val="-2"/>
                <w:sz w:val="24"/>
                <w:szCs w:val="24"/>
                <w:lang w:eastAsia="zh-CN"/>
              </w:rPr>
              <w:t>度的全方位设计，可满足手术中不同高度和角度的需要。</w:t>
            </w:r>
          </w:p>
          <w:p w14:paraId="09D107FC">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8.</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母灯具有照度稳定技术，调节光斑大小时，照度会自动补偿，保持中心照度恒定不变。</w:t>
            </w:r>
          </w:p>
          <w:p w14:paraId="6F120492">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9.</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母灯可配置自动对焦功能，开启自动功能后能适应不同创口距离，移动灯盘位置，保持照度不变。</w:t>
            </w:r>
          </w:p>
          <w:p w14:paraId="65BA78DA">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10.</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无菌手柄设计，采用</w:t>
            </w:r>
            <w:r>
              <w:rPr>
                <w:rFonts w:ascii="宋体" w:hAnsi="宋体" w:eastAsia="宋体" w:cs="宋体"/>
                <w:color w:val="auto"/>
                <w:spacing w:val="-2"/>
                <w:sz w:val="24"/>
                <w:szCs w:val="24"/>
                <w:lang w:eastAsia="zh-CN"/>
              </w:rPr>
              <w:t>PPSU</w:t>
            </w:r>
            <w:r>
              <w:rPr>
                <w:rFonts w:hint="eastAsia" w:ascii="宋体" w:hAnsi="宋体" w:eastAsia="宋体" w:cs="宋体"/>
                <w:color w:val="auto"/>
                <w:spacing w:val="-2"/>
                <w:sz w:val="24"/>
                <w:szCs w:val="24"/>
                <w:lang w:eastAsia="zh-CN"/>
              </w:rPr>
              <w:t>材料，耐受高温高压蒸汽灭菌≥</w:t>
            </w:r>
            <w:r>
              <w:rPr>
                <w:rFonts w:ascii="宋体" w:hAnsi="宋体" w:eastAsia="宋体" w:cs="宋体"/>
                <w:color w:val="auto"/>
                <w:spacing w:val="-2"/>
                <w:sz w:val="24"/>
                <w:szCs w:val="24"/>
                <w:lang w:eastAsia="zh-CN"/>
              </w:rPr>
              <w:t>134</w:t>
            </w:r>
            <w:r>
              <w:rPr>
                <w:rFonts w:hint="eastAsia" w:ascii="宋体" w:hAnsi="宋体" w:eastAsia="宋体" w:cs="宋体"/>
                <w:color w:val="auto"/>
                <w:spacing w:val="-2"/>
                <w:sz w:val="24"/>
                <w:szCs w:val="24"/>
                <w:lang w:eastAsia="zh-CN"/>
              </w:rPr>
              <w:t>℃，且便于安装拆卸，清洁消毒，同时手柄具有照度调节功能，通过顺时针</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逆时针旋转可改变照度大小。</w:t>
            </w:r>
          </w:p>
          <w:p w14:paraId="7938FCD4">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11.</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采用</w:t>
            </w:r>
            <w:r>
              <w:rPr>
                <w:rFonts w:ascii="宋体" w:hAnsi="宋体" w:eastAsia="宋体" w:cs="宋体"/>
                <w:color w:val="auto"/>
                <w:spacing w:val="-2"/>
                <w:sz w:val="24"/>
                <w:szCs w:val="24"/>
                <w:lang w:eastAsia="zh-CN"/>
              </w:rPr>
              <w:t>DC</w:t>
            </w:r>
            <w:r>
              <w:rPr>
                <w:rFonts w:hint="eastAsia" w:ascii="宋体" w:hAnsi="宋体" w:eastAsia="宋体" w:cs="宋体"/>
                <w:color w:val="auto"/>
                <w:spacing w:val="-2"/>
                <w:sz w:val="24"/>
                <w:szCs w:val="24"/>
                <w:lang w:eastAsia="zh-CN"/>
              </w:rPr>
              <w:t>调光技术，直接控制灯珠电流大小来实现照度调节，不对光源进行</w:t>
            </w:r>
            <w:r>
              <w:rPr>
                <w:rFonts w:ascii="宋体" w:hAnsi="宋体" w:eastAsia="宋体" w:cs="宋体"/>
                <w:color w:val="auto"/>
                <w:spacing w:val="-2"/>
                <w:sz w:val="24"/>
                <w:szCs w:val="24"/>
                <w:lang w:eastAsia="zh-CN"/>
              </w:rPr>
              <w:t>PWM</w:t>
            </w:r>
            <w:r>
              <w:rPr>
                <w:rFonts w:hint="eastAsia" w:ascii="宋体" w:hAnsi="宋体" w:eastAsia="宋体" w:cs="宋体"/>
                <w:color w:val="auto"/>
                <w:spacing w:val="-2"/>
                <w:sz w:val="24"/>
                <w:szCs w:val="24"/>
                <w:lang w:eastAsia="zh-CN"/>
              </w:rPr>
              <w:t>调光，避免低频频闪给医护人员带来视觉疲劳和不适，同时消除摄像时的水波纹。</w:t>
            </w:r>
          </w:p>
          <w:p w14:paraId="613F20DD">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12.</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手术灯移动轻巧便捷，子母灯上下移动作用力不大于</w:t>
            </w:r>
            <w:r>
              <w:rPr>
                <w:rFonts w:ascii="宋体" w:hAnsi="宋体" w:eastAsia="宋体" w:cs="宋体"/>
                <w:color w:val="auto"/>
                <w:spacing w:val="-2"/>
                <w:sz w:val="24"/>
                <w:szCs w:val="24"/>
                <w:lang w:eastAsia="zh-CN"/>
              </w:rPr>
              <w:t>40N</w:t>
            </w:r>
            <w:r>
              <w:rPr>
                <w:rFonts w:hint="eastAsia" w:ascii="宋体" w:hAnsi="宋体" w:eastAsia="宋体" w:cs="宋体"/>
                <w:color w:val="auto"/>
                <w:spacing w:val="-2"/>
                <w:sz w:val="24"/>
                <w:szCs w:val="24"/>
                <w:lang w:eastAsia="zh-CN"/>
              </w:rPr>
              <w:t>，水平位移作用力不大于</w:t>
            </w:r>
            <w:r>
              <w:rPr>
                <w:rFonts w:ascii="宋体" w:hAnsi="宋体" w:eastAsia="宋体" w:cs="宋体"/>
                <w:color w:val="auto"/>
                <w:spacing w:val="-2"/>
                <w:sz w:val="24"/>
                <w:szCs w:val="24"/>
                <w:lang w:eastAsia="zh-CN"/>
              </w:rPr>
              <w:t>20N</w:t>
            </w:r>
            <w:r>
              <w:rPr>
                <w:rFonts w:hint="eastAsia" w:ascii="宋体" w:hAnsi="宋体" w:eastAsia="宋体" w:cs="宋体"/>
                <w:color w:val="auto"/>
                <w:spacing w:val="-2"/>
                <w:sz w:val="24"/>
                <w:szCs w:val="24"/>
                <w:lang w:eastAsia="zh-CN"/>
              </w:rPr>
              <w:t>。</w:t>
            </w:r>
          </w:p>
          <w:p w14:paraId="3C430861">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13.</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母灯可配置智能阴影管理系统，开启后，母灯单遮挡无影率实测值≥</w:t>
            </w:r>
            <w:r>
              <w:rPr>
                <w:rFonts w:ascii="宋体" w:hAnsi="宋体" w:eastAsia="宋体" w:cs="宋体"/>
                <w:color w:val="auto"/>
                <w:spacing w:val="-2"/>
                <w:sz w:val="24"/>
                <w:szCs w:val="24"/>
                <w:lang w:eastAsia="zh-CN"/>
              </w:rPr>
              <w:t>92%</w:t>
            </w:r>
            <w:r>
              <w:rPr>
                <w:rFonts w:hint="eastAsia" w:ascii="宋体" w:hAnsi="宋体" w:eastAsia="宋体" w:cs="宋体"/>
                <w:color w:val="auto"/>
                <w:spacing w:val="-2"/>
                <w:sz w:val="24"/>
                <w:szCs w:val="24"/>
                <w:lang w:eastAsia="zh-CN"/>
              </w:rPr>
              <w:t>。</w:t>
            </w:r>
          </w:p>
          <w:p w14:paraId="2488DECE">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14.</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显色指数</w:t>
            </w:r>
            <w:r>
              <w:rPr>
                <w:rFonts w:ascii="宋体" w:hAnsi="宋体" w:eastAsia="宋体" w:cs="宋体"/>
                <w:color w:val="auto"/>
                <w:spacing w:val="-2"/>
                <w:sz w:val="24"/>
                <w:szCs w:val="24"/>
                <w:lang w:eastAsia="zh-CN"/>
              </w:rPr>
              <w:t>Ra</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98</w:t>
            </w:r>
            <w:r>
              <w:rPr>
                <w:rFonts w:hint="eastAsia" w:ascii="宋体" w:hAnsi="宋体" w:eastAsia="宋体" w:cs="宋体"/>
                <w:color w:val="auto"/>
                <w:spacing w:val="-2"/>
                <w:sz w:val="24"/>
                <w:szCs w:val="24"/>
                <w:lang w:eastAsia="zh-CN"/>
              </w:rPr>
              <w:t>，确保光源能最真实的还原创面的实际面貌。</w:t>
            </w:r>
          </w:p>
          <w:p w14:paraId="4EEF1AF5">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15.</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母灯光斑十档可调：最小光斑≤</w:t>
            </w:r>
            <w:r>
              <w:rPr>
                <w:rFonts w:ascii="宋体" w:hAnsi="宋体" w:eastAsia="宋体" w:cs="宋体"/>
                <w:color w:val="auto"/>
                <w:spacing w:val="-2"/>
                <w:sz w:val="24"/>
                <w:szCs w:val="24"/>
                <w:lang w:eastAsia="zh-CN"/>
              </w:rPr>
              <w:t>180mm</w:t>
            </w:r>
            <w:r>
              <w:rPr>
                <w:rFonts w:hint="eastAsia" w:ascii="宋体" w:hAnsi="宋体" w:eastAsia="宋体" w:cs="宋体"/>
                <w:color w:val="auto"/>
                <w:spacing w:val="-2"/>
                <w:sz w:val="24"/>
                <w:szCs w:val="24"/>
                <w:lang w:eastAsia="zh-CN"/>
              </w:rPr>
              <w:t>，最大光斑≥</w:t>
            </w:r>
            <w:r>
              <w:rPr>
                <w:rFonts w:ascii="宋体" w:hAnsi="宋体" w:eastAsia="宋体" w:cs="宋体"/>
                <w:color w:val="auto"/>
                <w:spacing w:val="-2"/>
                <w:sz w:val="24"/>
                <w:szCs w:val="24"/>
                <w:lang w:eastAsia="zh-CN"/>
              </w:rPr>
              <w:t>300mm</w:t>
            </w:r>
            <w:r>
              <w:rPr>
                <w:rFonts w:hint="eastAsia" w:ascii="宋体" w:hAnsi="宋体" w:eastAsia="宋体" w:cs="宋体"/>
                <w:color w:val="auto"/>
                <w:spacing w:val="-2"/>
                <w:sz w:val="24"/>
                <w:szCs w:val="24"/>
                <w:lang w:eastAsia="zh-CN"/>
              </w:rPr>
              <w:t>。子灯光斑</w:t>
            </w:r>
            <w:r>
              <w:rPr>
                <w:rFonts w:ascii="宋体" w:hAnsi="宋体" w:eastAsia="宋体" w:cs="宋体"/>
                <w:color w:val="auto"/>
                <w:spacing w:val="-2"/>
                <w:sz w:val="24"/>
                <w:szCs w:val="24"/>
                <w:lang w:eastAsia="zh-CN"/>
              </w:rPr>
              <w:t>230mm±10mm</w:t>
            </w:r>
            <w:r>
              <w:rPr>
                <w:rFonts w:hint="eastAsia" w:ascii="宋体" w:hAnsi="宋体" w:eastAsia="宋体" w:cs="宋体"/>
                <w:color w:val="auto"/>
                <w:spacing w:val="-2"/>
                <w:sz w:val="24"/>
                <w:szCs w:val="24"/>
                <w:lang w:eastAsia="zh-CN"/>
              </w:rPr>
              <w:t>。</w:t>
            </w:r>
          </w:p>
          <w:p w14:paraId="6A83D794">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母灯照明深度实测实≥</w:t>
            </w:r>
            <w:r>
              <w:rPr>
                <w:rFonts w:ascii="宋体" w:hAnsi="宋体" w:eastAsia="宋体" w:cs="宋体"/>
                <w:color w:val="auto"/>
                <w:spacing w:val="-2"/>
                <w:sz w:val="24"/>
                <w:szCs w:val="24"/>
                <w:lang w:eastAsia="zh-CN"/>
              </w:rPr>
              <w:t>1500mm</w:t>
            </w:r>
            <w:r>
              <w:rPr>
                <w:rFonts w:hint="eastAsia" w:ascii="宋体" w:hAnsi="宋体" w:eastAsia="宋体" w:cs="宋体"/>
                <w:color w:val="auto"/>
                <w:spacing w:val="-2"/>
                <w:sz w:val="24"/>
                <w:szCs w:val="24"/>
                <w:lang w:eastAsia="zh-CN"/>
              </w:rPr>
              <w:t>，能很好的为深腔手术提供照明。</w:t>
            </w:r>
          </w:p>
          <w:p w14:paraId="339AEDE4">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17.</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辐照度</w:t>
            </w:r>
            <w:r>
              <w:rPr>
                <w:rFonts w:ascii="宋体" w:hAnsi="宋体" w:eastAsia="宋体" w:cs="宋体"/>
                <w:color w:val="auto"/>
                <w:spacing w:val="-2"/>
                <w:sz w:val="24"/>
                <w:szCs w:val="24"/>
                <w:lang w:eastAsia="zh-CN"/>
              </w:rPr>
              <w:t>Ee</w:t>
            </w:r>
            <w:r>
              <w:rPr>
                <w:rFonts w:hint="eastAsia" w:ascii="宋体" w:hAnsi="宋体" w:eastAsia="宋体" w:cs="宋体"/>
                <w:color w:val="auto"/>
                <w:spacing w:val="-2"/>
                <w:sz w:val="24"/>
                <w:szCs w:val="24"/>
                <w:lang w:eastAsia="zh-CN"/>
              </w:rPr>
              <w:t>和照度</w:t>
            </w:r>
            <w:r>
              <w:rPr>
                <w:rFonts w:ascii="宋体" w:hAnsi="宋体" w:eastAsia="宋体" w:cs="宋体"/>
                <w:color w:val="auto"/>
                <w:spacing w:val="-2"/>
                <w:sz w:val="24"/>
                <w:szCs w:val="24"/>
                <w:lang w:eastAsia="zh-CN"/>
              </w:rPr>
              <w:t>Ec</w:t>
            </w:r>
            <w:r>
              <w:rPr>
                <w:rFonts w:hint="eastAsia" w:ascii="宋体" w:hAnsi="宋体" w:eastAsia="宋体" w:cs="宋体"/>
                <w:color w:val="auto"/>
                <w:spacing w:val="-2"/>
                <w:sz w:val="24"/>
                <w:szCs w:val="24"/>
                <w:lang w:eastAsia="zh-CN"/>
              </w:rPr>
              <w:t>的比值应不超过</w:t>
            </w:r>
            <w:r>
              <w:rPr>
                <w:rFonts w:ascii="宋体" w:hAnsi="宋体" w:eastAsia="宋体" w:cs="宋体"/>
                <w:color w:val="auto"/>
                <w:spacing w:val="-2"/>
                <w:sz w:val="24"/>
                <w:szCs w:val="24"/>
                <w:lang w:eastAsia="zh-CN"/>
              </w:rPr>
              <w:t>3.55±10%  mW/</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m2·lux</w:t>
            </w:r>
            <w:r>
              <w:rPr>
                <w:rFonts w:hint="eastAsia" w:ascii="宋体" w:hAnsi="宋体" w:eastAsia="宋体" w:cs="宋体"/>
                <w:color w:val="auto"/>
                <w:spacing w:val="-2"/>
                <w:sz w:val="24"/>
                <w:szCs w:val="24"/>
                <w:lang w:eastAsia="zh-CN"/>
              </w:rPr>
              <w:t>）。</w:t>
            </w:r>
          </w:p>
          <w:p w14:paraId="6A6E4FC9">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18.</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照度十档可调：母灯</w:t>
            </w:r>
            <w:r>
              <w:rPr>
                <w:rFonts w:ascii="宋体" w:hAnsi="宋体" w:eastAsia="宋体" w:cs="宋体"/>
                <w:color w:val="auto"/>
                <w:spacing w:val="-2"/>
                <w:sz w:val="24"/>
                <w:szCs w:val="24"/>
                <w:lang w:eastAsia="zh-CN"/>
              </w:rPr>
              <w:t>40000-160000lux/</w:t>
            </w:r>
            <w:r>
              <w:rPr>
                <w:rFonts w:hint="eastAsia" w:ascii="宋体" w:hAnsi="宋体" w:eastAsia="宋体" w:cs="宋体"/>
                <w:color w:val="auto"/>
                <w:spacing w:val="-2"/>
                <w:sz w:val="24"/>
                <w:szCs w:val="24"/>
                <w:lang w:eastAsia="zh-CN"/>
              </w:rPr>
              <w:t>子灯</w:t>
            </w:r>
            <w:r>
              <w:rPr>
                <w:rFonts w:ascii="宋体" w:hAnsi="宋体" w:eastAsia="宋体" w:cs="宋体"/>
                <w:color w:val="auto"/>
                <w:spacing w:val="-2"/>
                <w:sz w:val="24"/>
                <w:szCs w:val="24"/>
                <w:lang w:eastAsia="zh-CN"/>
              </w:rPr>
              <w:t>40000-130000lux</w:t>
            </w:r>
            <w:r>
              <w:rPr>
                <w:rFonts w:hint="eastAsia" w:ascii="宋体" w:hAnsi="宋体" w:eastAsia="宋体" w:cs="宋体"/>
                <w:color w:val="auto"/>
                <w:spacing w:val="-2"/>
                <w:sz w:val="24"/>
                <w:szCs w:val="24"/>
                <w:lang w:eastAsia="zh-CN"/>
              </w:rPr>
              <w:t>。</w:t>
            </w:r>
          </w:p>
          <w:p w14:paraId="5A42776A">
            <w:pPr>
              <w:widowControl w:val="0"/>
              <w:spacing w:before="184"/>
              <w:ind w:right="2"/>
              <w:jc w:val="both"/>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19.</w:t>
            </w:r>
            <w:r>
              <w:rPr>
                <w:rFonts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子母灯可一键切换为腔镜模式，母灯腔镜照度≤</w:t>
            </w:r>
            <w:r>
              <w:rPr>
                <w:rFonts w:ascii="宋体" w:hAnsi="宋体" w:eastAsia="宋体" w:cs="宋体"/>
                <w:color w:val="auto"/>
                <w:spacing w:val="-2"/>
                <w:sz w:val="24"/>
                <w:szCs w:val="24"/>
                <w:lang w:eastAsia="zh-CN"/>
              </w:rPr>
              <w:t>8500lux</w:t>
            </w:r>
            <w:r>
              <w:rPr>
                <w:rFonts w:hint="eastAsia" w:ascii="宋体" w:hAnsi="宋体" w:eastAsia="宋体" w:cs="宋体"/>
                <w:color w:val="auto"/>
                <w:spacing w:val="-2"/>
                <w:sz w:val="24"/>
                <w:szCs w:val="24"/>
                <w:lang w:eastAsia="zh-CN"/>
              </w:rPr>
              <w:t>，子灯腔镜照度≤</w:t>
            </w:r>
            <w:r>
              <w:rPr>
                <w:rFonts w:ascii="宋体" w:hAnsi="宋体" w:eastAsia="宋体" w:cs="宋体"/>
                <w:color w:val="auto"/>
                <w:spacing w:val="-2"/>
                <w:sz w:val="24"/>
                <w:szCs w:val="24"/>
                <w:lang w:eastAsia="zh-CN"/>
              </w:rPr>
              <w:t>500lux</w:t>
            </w:r>
            <w:r>
              <w:rPr>
                <w:rFonts w:hint="eastAsia" w:ascii="宋体" w:hAnsi="宋体" w:eastAsia="宋体" w:cs="宋体"/>
                <w:color w:val="auto"/>
                <w:spacing w:val="-2"/>
                <w:sz w:val="24"/>
                <w:szCs w:val="24"/>
                <w:lang w:eastAsia="zh-CN"/>
              </w:rPr>
              <w:t>，子灯并可选择白光或者绿光。</w:t>
            </w:r>
          </w:p>
        </w:tc>
      </w:tr>
      <w:tr w14:paraId="1CDD03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65670D5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34、设备名称</w:t>
            </w:r>
          </w:p>
        </w:tc>
        <w:tc>
          <w:tcPr>
            <w:tcW w:w="1502" w:type="dxa"/>
            <w:vAlign w:val="center"/>
          </w:tcPr>
          <w:p w14:paraId="6E21AC7B">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 xml:space="preserve">口腔CBCT  </w:t>
            </w:r>
          </w:p>
        </w:tc>
        <w:tc>
          <w:tcPr>
            <w:tcW w:w="1134" w:type="dxa"/>
            <w:vAlign w:val="center"/>
          </w:tcPr>
          <w:p w14:paraId="4038BB4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579846A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0565C71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4828A736">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310000</w:t>
            </w:r>
          </w:p>
        </w:tc>
      </w:tr>
      <w:tr w14:paraId="1F2779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6" w:hRule="atLeast"/>
        </w:trPr>
        <w:tc>
          <w:tcPr>
            <w:tcW w:w="1725" w:type="dxa"/>
            <w:vAlign w:val="center"/>
          </w:tcPr>
          <w:p w14:paraId="44BF4CC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1BF8514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一、基本要求</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 用于口腔科X射线的3D全方位摄影诊断，满足口内、口外、修复、种植、正畸、牙周等专业对三维影像的诊断需要，设备为三合一配置，可直接进行三维影像，二维全景及二维头颅片的拍摄。</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二、技术要求</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 机械设计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▲1.1开放式定位：无需镜面反射定位，侧位进入，视线清晰，整个操作更加流畅</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 自动准直器：根据临床所需要的成像视野大小，由计算机程序控制、微步进电机驱动的准直器自动控制射线束大小，无需手动调整准直器位置</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1.3 全景位SID≥591mm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1.4 头颅位SID≥1750mm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1.5 设备安装尺寸≤1204*1832*2383mm（长*宽*高），设备设计精巧，对机房尺寸要求宽泛。</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发生器和球管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2.1 发生器类型：恒压高频直流输出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2.3 电源电压：AC 100~120V / AC 200~230V, 50/60Hz</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2.4 管电压（kV）：60~90kV</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2.5 管电流（mA）：4~12mA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2.6 焦点大小≤0.5mm*0.5mm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2.7 球管阳极热容量≥35kJ</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影像系统</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3.1 曝光方式：脉冲式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3.2 扫描时间：CT片≤14.5秒</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              全景片≤17秒</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              头颅片：≤4秒</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3.3 数据获取探测器：平板探测器，像素尺寸≤100×100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ｍ</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3.4 灰阶分辨率：≥12bit，保证影像更加清晰及细腻</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3.5 体素大小：最高分辨率≤0.08×0.08×0.08mm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3.6成像视野（直径×高）：要求拥有16档以上视野范围可以调节，以针对不同诊断使用最小视野减少病人辐射剂量，标准视野：</w:t>
            </w:r>
            <w:r>
              <w:rPr>
                <w:rFonts w:hint="eastAsia" w:ascii="宋体" w:hAnsi="宋体" w:eastAsia="宋体" w:cs="宋体"/>
                <w:color w:val="auto"/>
                <w:spacing w:val="-2"/>
                <w:sz w:val="24"/>
                <w:szCs w:val="24"/>
              </w:rPr>
              <w:t>Φ</w:t>
            </w:r>
            <w:r>
              <w:rPr>
                <w:rFonts w:hint="eastAsia" w:ascii="宋体" w:hAnsi="宋体" w:eastAsia="宋体" w:cs="宋体"/>
                <w:color w:val="auto"/>
                <w:spacing w:val="-2"/>
                <w:sz w:val="24"/>
                <w:szCs w:val="24"/>
                <w:lang w:eastAsia="zh-CN"/>
              </w:rPr>
              <w:t>140×140mm,最小视野≤</w:t>
            </w:r>
            <w:r>
              <w:rPr>
                <w:rFonts w:hint="eastAsia" w:ascii="宋体" w:hAnsi="宋体" w:eastAsia="宋体" w:cs="宋体"/>
                <w:color w:val="auto"/>
                <w:spacing w:val="-2"/>
                <w:sz w:val="24"/>
                <w:szCs w:val="24"/>
              </w:rPr>
              <w:t>Φ</w:t>
            </w:r>
            <w:r>
              <w:rPr>
                <w:rFonts w:hint="eastAsia" w:ascii="宋体" w:hAnsi="宋体" w:eastAsia="宋体" w:cs="宋体"/>
                <w:color w:val="auto"/>
                <w:spacing w:val="-2"/>
                <w:sz w:val="24"/>
                <w:szCs w:val="24"/>
                <w:lang w:eastAsia="zh-CN"/>
              </w:rPr>
              <w:t>40×50mm；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3.7需配备三块独立的平板探测器，即3D，全景和头颅拍摄时分别用独立的探测器进行拍摄，大大延长了各平板的使用寿命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基本成像程序功能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4.1 标准全景程序：有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4.2 标准儿童全景程序：有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4.3 改进正交性全景程序：有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4.4 咬翼片：有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4.6 颞颌关节侧位程序：有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4.7 颞颌关节正位程序：有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4.8 颞颌关节正侧位程序：有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4.9 上颌窦程序：有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4.10侧向上颌窦程序：颞颌关节正位程序：有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 影像质量控制</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5.2恒定放大倍数：全景≤1.2；头颅定位≤1.14</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5.3 具有自动消除颈椎干扰影像功能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 头颅侧位功能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6.1 头颅定位成像功能种类：6+1种（即头影测量正位（后前/前后位）、侧位片、Submento头顶位、Water’s位、Towne’s位、掌骨片（正畸治疗前确定发育年龄））</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6.2 头颅片拍摄有激光线定位</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 数字化系统</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7.1传感器：纳米级碲化镉图层探测器，极大地减少了散射线的产生，保证图像质量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7.2 病人拍片时有语音提示功能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7.3曝光参数及拍摄程序调节集成在后处理软件内，且具备图形化定位提醒界面，方便操作者对病人进行摆位</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 软件功能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 软件运行平台：软件可在WINDOWS XP/Win7，环境下运行，软件兼容二维及三维影像：可连接并采集同品牌CT、全景机、牙片机、口腔内窥镜影像，实现二维及三维影像统一管理</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8.1 软件的基本三维处理：多平面重建，有标准的轴面、冠状面、矢状面视图，形成的三维影像有6种以上渲染方式可调，任意移动及旋转影像即时完成无需重新运算；有三维导航，结合旋转、缩放、透明化等功能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8.2 具备重建全景模块：在三维影像中可重建曲面断层全景影像，曲面断层的位置、数量、厚度及间距均可调，符合科学的解剖结构成像，并且无伪影干扰诊断</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8.3 具备序列纵断面重建：可任意选取纵断面的位置及数量，形成连续的纵断面影像，位置、数量、厚度及间距均可调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8.4 具备种植计划模块</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同品牌种植计划模块，无须调用第三方软件，实时诊断分析</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提供种植体三维放置和神经管描绘工具，种植体库包含许多制造商的逼真种植体模型，极其有助于治疗计划，描绘工具可以清楚地标识下颌神经管。放置种植体后，可以进行种植体周围骨密度检测。</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8.5 影像处理工具：二维影像编辑工具：图像移动、翻转、放大、对比度调节、亮度调节、画图标注；测量工具：距离、角度、骨密度测量、计算；三维影像显示： CT值调节、剖面影像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8.6 具有影像数据输出功能：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DICOM单个文件输出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打印编辑器，可任意排版并打印</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全功能浏览器输出功能，可在任意电脑浏览三维影像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直接刻录CD光盘，无需调用其他程序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 工作站要求</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9.1 处理器：英特尔酷睿I5处理器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9.2 内存≥16G 内存</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9.3 硬盘≥2000GB</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9.4 显卡≥3GB显存</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9.5 网卡：以太网1000Mbps</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9.6 操作系统：Windows系统</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9.7 显示器：21.5” LCD</w:t>
            </w:r>
          </w:p>
        </w:tc>
      </w:tr>
      <w:tr w14:paraId="561FC1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4181696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35、设备名称</w:t>
            </w:r>
          </w:p>
        </w:tc>
        <w:tc>
          <w:tcPr>
            <w:tcW w:w="1502" w:type="dxa"/>
            <w:vAlign w:val="center"/>
          </w:tcPr>
          <w:p w14:paraId="7156F06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根管测量仪</w:t>
            </w:r>
          </w:p>
        </w:tc>
        <w:tc>
          <w:tcPr>
            <w:tcW w:w="1134" w:type="dxa"/>
            <w:vAlign w:val="center"/>
          </w:tcPr>
          <w:p w14:paraId="057181E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7F4CD7C9">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6FF5EC1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36E429F4">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4000</w:t>
            </w:r>
          </w:p>
        </w:tc>
      </w:tr>
      <w:tr w14:paraId="0EA8D1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4" w:hRule="atLeast"/>
        </w:trPr>
        <w:tc>
          <w:tcPr>
            <w:tcW w:w="1725" w:type="dxa"/>
            <w:vAlign w:val="center"/>
          </w:tcPr>
          <w:p w14:paraId="393436E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2066A96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触摸屏</w:t>
            </w:r>
          </w:p>
          <w:p w14:paraId="040F73F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输入交流电压100~240伏，50Hz    输出5伏直流电，1000mA</w:t>
            </w:r>
          </w:p>
          <w:p w14:paraId="5B0E672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3.配有彩色液晶屏，多种颜色清晰指示工作针在根管中的轨迹;</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4.锉夹.唇挂钩.测量仪探针可高温高压消毒.</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5.可折叠，方便调整视角；</w:t>
            </w:r>
          </w:p>
        </w:tc>
      </w:tr>
      <w:tr w14:paraId="4CEBFF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15A2ADFC">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36、设备名称</w:t>
            </w:r>
          </w:p>
        </w:tc>
        <w:tc>
          <w:tcPr>
            <w:tcW w:w="1502" w:type="dxa"/>
            <w:vAlign w:val="center"/>
          </w:tcPr>
          <w:p w14:paraId="05FD514C">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空压机系统</w:t>
            </w:r>
          </w:p>
        </w:tc>
        <w:tc>
          <w:tcPr>
            <w:tcW w:w="1134" w:type="dxa"/>
            <w:vAlign w:val="center"/>
          </w:tcPr>
          <w:p w14:paraId="267CEB43">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1285220F">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111E3E62">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4C9E7315">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4800</w:t>
            </w:r>
          </w:p>
        </w:tc>
      </w:tr>
      <w:tr w14:paraId="637BE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0" w:hRule="atLeast"/>
        </w:trPr>
        <w:tc>
          <w:tcPr>
            <w:tcW w:w="1725" w:type="dxa"/>
            <w:vAlign w:val="center"/>
          </w:tcPr>
          <w:p w14:paraId="13B09ED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0505C60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用途和要求</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适用于牙科综合治疗机的气源。</w:t>
            </w:r>
          </w:p>
          <w:p w14:paraId="1C5BCBE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工作条件</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水平放置，室内环境干燥，清洁，通风，远离粉尘的</w:t>
            </w:r>
          </w:p>
          <w:p w14:paraId="188F66F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地点使用</w:t>
            </w:r>
          </w:p>
          <w:p w14:paraId="7F5CCCD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技 术 参 数</w:t>
            </w:r>
          </w:p>
          <w:p w14:paraId="1D2AC99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电      压</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AC 220V/ 50Hz</w:t>
            </w:r>
          </w:p>
          <w:p w14:paraId="7177123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额定功率</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2.2 KVA</w:t>
            </w:r>
          </w:p>
          <w:p w14:paraId="67C5072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噪      音</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65dB</w:t>
            </w:r>
          </w:p>
          <w:p w14:paraId="46CFA28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储气罐容量</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70 L</w:t>
            </w:r>
          </w:p>
          <w:p w14:paraId="44173D1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转速</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1400r/min</w:t>
            </w:r>
          </w:p>
          <w:p w14:paraId="0F825C3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机头数</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三机头</w:t>
            </w:r>
          </w:p>
          <w:p w14:paraId="38F5022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可带牙椅</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一拖六</w:t>
            </w:r>
          </w:p>
          <w:p w14:paraId="0CBBCB8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干燥器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标配</w:t>
            </w:r>
          </w:p>
          <w:p w14:paraId="135CDE3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机头材质</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全包裹铝合金材质，散热好</w:t>
            </w:r>
          </w:p>
        </w:tc>
      </w:tr>
      <w:tr w14:paraId="69F510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4CDBC141">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37、设备名称</w:t>
            </w:r>
          </w:p>
        </w:tc>
        <w:tc>
          <w:tcPr>
            <w:tcW w:w="1502" w:type="dxa"/>
            <w:vAlign w:val="center"/>
          </w:tcPr>
          <w:p w14:paraId="2234D66C">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牙科综合治疗台</w:t>
            </w:r>
          </w:p>
        </w:tc>
        <w:tc>
          <w:tcPr>
            <w:tcW w:w="1134" w:type="dxa"/>
            <w:vAlign w:val="center"/>
          </w:tcPr>
          <w:p w14:paraId="490A10C2">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123FBFC0">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3个</w:t>
            </w:r>
          </w:p>
        </w:tc>
        <w:tc>
          <w:tcPr>
            <w:tcW w:w="2007" w:type="dxa"/>
            <w:vAlign w:val="center"/>
          </w:tcPr>
          <w:p w14:paraId="3FFD2619">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66636188">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45000</w:t>
            </w:r>
          </w:p>
        </w:tc>
      </w:tr>
      <w:tr w14:paraId="65D8D4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1725" w:type="dxa"/>
            <w:vAlign w:val="center"/>
          </w:tcPr>
          <w:p w14:paraId="3209B715">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4718209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1基本参数</w:t>
            </w:r>
          </w:p>
          <w:p w14:paraId="19EA03D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 水压:0.2~0.4MPa</w:t>
            </w:r>
          </w:p>
          <w:p w14:paraId="1AF3998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 气压:0.55~0.6MPa</w:t>
            </w:r>
          </w:p>
          <w:p w14:paraId="694913D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 环境温度:5°C~ 40°C</w:t>
            </w:r>
          </w:p>
          <w:p w14:paraId="2BECC2F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 电源:AC220V，50 Hz</w:t>
            </w:r>
          </w:p>
          <w:p w14:paraId="193A9AF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 输入功率600VA</w:t>
            </w:r>
          </w:p>
          <w:p w14:paraId="542AF47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2患者座椅</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b/>
            </w:r>
          </w:p>
          <w:p w14:paraId="7549408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2.1座垫面离地面高度：最低≤390mm，最高≥800mm</w:t>
            </w:r>
            <w:r>
              <w:rPr>
                <w:rFonts w:hint="eastAsia" w:ascii="宋体" w:hAnsi="宋体" w:eastAsia="宋体" w:cs="宋体"/>
                <w:color w:val="auto"/>
                <w:spacing w:val="-2"/>
                <w:sz w:val="24"/>
                <w:szCs w:val="24"/>
                <w:lang w:eastAsia="zh-CN"/>
              </w:rPr>
              <w:tab/>
            </w:r>
          </w:p>
          <w:p w14:paraId="00A4C1A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2.2 椅位载重量：≥180KG</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ab/>
            </w:r>
          </w:p>
          <w:p w14:paraId="635C673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2.3 升降和靠背运动具有联动补偿功能，患者无搓背感，采用柔性电机，实现柔性启停功能。牙椅具有急救位功能，用于预防突发事件。</w:t>
            </w:r>
          </w:p>
          <w:p w14:paraId="2472718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2.4 椅位具有下降安全保护装置，下降时遇到阻碍物会停止下降，并回升。</w:t>
            </w:r>
          </w:p>
          <w:p w14:paraId="040AC9E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2.5 牙椅具有符合国标的紧急急停开关，避免诊疗过程中发生安全隐患，配有机椅互锁系统，手机工作状态下，椅位保持锁定。</w:t>
            </w:r>
          </w:p>
          <w:p w14:paraId="1A16CB2F">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2.6 牙椅底座上带脚控控制，可控制牙椅的升降及仰卧。</w:t>
            </w:r>
          </w:p>
          <w:p w14:paraId="3C2E596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 医师单元</w:t>
            </w:r>
            <w:r>
              <w:rPr>
                <w:rFonts w:hint="eastAsia" w:ascii="宋体" w:hAnsi="宋体" w:eastAsia="宋体" w:cs="宋体"/>
                <w:color w:val="auto"/>
                <w:spacing w:val="-2"/>
                <w:sz w:val="24"/>
                <w:szCs w:val="24"/>
                <w:lang w:eastAsia="zh-CN"/>
              </w:rPr>
              <w:tab/>
            </w:r>
          </w:p>
          <w:p w14:paraId="48154F4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3.1下挂式手机操作系统,手机挂架可内外旋转90°，收纳在器械盘下面，避免手术结束后刮伤医患人员；挂架可上下45°旋转，采用大挂架，方便医生实现盲插操作。</w:t>
            </w:r>
            <w:r>
              <w:rPr>
                <w:rFonts w:hint="eastAsia" w:ascii="宋体" w:hAnsi="宋体" w:eastAsia="宋体" w:cs="宋体"/>
                <w:color w:val="auto"/>
                <w:spacing w:val="-2"/>
                <w:sz w:val="24"/>
                <w:szCs w:val="24"/>
                <w:lang w:eastAsia="zh-CN"/>
              </w:rPr>
              <w:tab/>
            </w:r>
          </w:p>
          <w:p w14:paraId="0C67507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3.2 主控面板可设置5个记忆椅位，冲痰，漱口，加热等按键。主控、副控均具有记忆椅位功能，具有万能R键功能，可代替其他所有功能键。</w:t>
            </w:r>
          </w:p>
          <w:p w14:paraId="0B2CBB9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3.3 器械盘左右两侧把手下方均带有双气刹功能。</w:t>
            </w:r>
          </w:p>
          <w:p w14:paraId="5D2B670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3.4 可选配内置LED观片灯，安装在器械盘按键板左侧。</w:t>
            </w:r>
          </w:p>
          <w:p w14:paraId="26A45CA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4助手单元</w:t>
            </w:r>
            <w:r>
              <w:rPr>
                <w:rFonts w:hint="eastAsia" w:ascii="宋体" w:hAnsi="宋体" w:eastAsia="宋体" w:cs="宋体"/>
                <w:color w:val="auto"/>
                <w:spacing w:val="-2"/>
                <w:sz w:val="24"/>
                <w:szCs w:val="24"/>
                <w:lang w:eastAsia="zh-CN"/>
              </w:rPr>
              <w:tab/>
            </w:r>
          </w:p>
          <w:p w14:paraId="32D9082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4.1 副控具有5位挂架装置，可根据需求拓展内窥镜挂架和光固化挂架位。</w:t>
            </w:r>
          </w:p>
          <w:p w14:paraId="48159A9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4.2 副控面板上具有SET功能设置键、漱口位键，有升降、仰卧、加热、复位键等功能。</w:t>
            </w:r>
          </w:p>
          <w:p w14:paraId="7531744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4.3 副控配有可插拔式强弱吸管，配有易于拆卸清洗的过滤系统，具有延时功能，吸唾手柄挂回后会再工作5秒，保证强弱吸管道内无污物，防止有异味。</w:t>
            </w:r>
          </w:p>
          <w:p w14:paraId="7FCB3A4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4.4 治疗机侧箱水气系统与电路系统钢板双侧分离，更安全。</w:t>
            </w:r>
          </w:p>
          <w:p w14:paraId="3FC493A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4.5 侧箱采用双侧开门磁吸盖设计，不需要螺丝固定，方便维修；侧箱可以90°旋转，方便四手操作。</w:t>
            </w:r>
          </w:p>
          <w:p w14:paraId="1340174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4.6一体成型陶瓷痰盂，可向内旋转90°，无需工具，即可取下清洁和消毒。</w:t>
            </w:r>
          </w:p>
          <w:p w14:paraId="2BB9C92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4.7侧箱与牙椅连接臂可以实现180°旋转，方便侧箱转到牙椅的左、右侧以及前方，方便安装，进窄门不用拆侧箱。</w:t>
            </w:r>
          </w:p>
          <w:p w14:paraId="0765D65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4.8副控标配三用枪，并且三用枪可以实现恒温供水。</w:t>
            </w:r>
          </w:p>
          <w:p w14:paraId="2562729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5口腔灯</w:t>
            </w:r>
            <w:r>
              <w:rPr>
                <w:rFonts w:hint="eastAsia" w:ascii="宋体" w:hAnsi="宋体" w:eastAsia="宋体" w:cs="宋体"/>
                <w:color w:val="auto"/>
                <w:spacing w:val="-2"/>
                <w:sz w:val="24"/>
                <w:szCs w:val="24"/>
                <w:lang w:eastAsia="zh-CN"/>
              </w:rPr>
              <w:tab/>
            </w:r>
          </w:p>
          <w:p w14:paraId="328AD0E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5.1 采用LED光源，具有白色、黄色和黄白混色三种光源可选择，可防止光固化树脂提前固化，可感应式控制防止交叉感染。</w:t>
            </w:r>
          </w:p>
          <w:p w14:paraId="472FE54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6脚踏</w:t>
            </w:r>
            <w:r>
              <w:rPr>
                <w:rFonts w:hint="eastAsia" w:ascii="宋体" w:hAnsi="宋体" w:eastAsia="宋体" w:cs="宋体"/>
                <w:color w:val="auto"/>
                <w:spacing w:val="-2"/>
                <w:sz w:val="24"/>
                <w:szCs w:val="24"/>
                <w:lang w:eastAsia="zh-CN"/>
              </w:rPr>
              <w:tab/>
            </w:r>
          </w:p>
          <w:p w14:paraId="26E55FD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6.1脚开关带手机冷却吹屑功能，手机在操作过程中无需换三用枪，具有吹气功能。</w:t>
            </w:r>
            <w:r>
              <w:rPr>
                <w:rFonts w:hint="eastAsia" w:ascii="宋体" w:hAnsi="宋体" w:eastAsia="宋体" w:cs="宋体"/>
                <w:color w:val="auto"/>
                <w:spacing w:val="-2"/>
                <w:sz w:val="24"/>
                <w:szCs w:val="24"/>
                <w:lang w:eastAsia="zh-CN"/>
              </w:rPr>
              <w:tab/>
            </w:r>
          </w:p>
          <w:p w14:paraId="48F4DB9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7 设备使用年限：≥15年</w:t>
            </w:r>
          </w:p>
        </w:tc>
      </w:tr>
      <w:tr w14:paraId="69C11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3FF6ED7E">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38、设备名称</w:t>
            </w:r>
          </w:p>
        </w:tc>
        <w:tc>
          <w:tcPr>
            <w:tcW w:w="1502" w:type="dxa"/>
            <w:vAlign w:val="center"/>
          </w:tcPr>
          <w:p w14:paraId="04920C9A">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口腔数字印模仪</w:t>
            </w:r>
          </w:p>
        </w:tc>
        <w:tc>
          <w:tcPr>
            <w:tcW w:w="1134" w:type="dxa"/>
            <w:vAlign w:val="center"/>
          </w:tcPr>
          <w:p w14:paraId="307C6CC7">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26EDB0A3">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660F4EBE">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10690182">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55000</w:t>
            </w:r>
          </w:p>
        </w:tc>
      </w:tr>
      <w:tr w14:paraId="7524D2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8" w:hRule="atLeast"/>
        </w:trPr>
        <w:tc>
          <w:tcPr>
            <w:tcW w:w="1725" w:type="dxa"/>
            <w:vAlign w:val="center"/>
          </w:tcPr>
          <w:p w14:paraId="285251A2">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4AADE2C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 扫描范围：标准头14x14mmx15mm</w:t>
            </w:r>
          </w:p>
          <w:p w14:paraId="4684504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             迷你头 12x10mmx15mm</w:t>
            </w:r>
          </w:p>
          <w:p w14:paraId="37F102FD">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 扫描精度：单牙≤15</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m，全口≤30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m</w:t>
            </w:r>
          </w:p>
          <w:p w14:paraId="03162B9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 xml:space="preserve">3. 扫描深度 ：0-15mm    </w:t>
            </w:r>
          </w:p>
          <w:p w14:paraId="12EB320D">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 xml:space="preserve">4. 3D重建的帧率：15帧/s     </w:t>
            </w:r>
          </w:p>
          <w:p w14:paraId="2F7BC5D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5. 相机分辨率：≥1.3MP CMOS；</w:t>
            </w:r>
          </w:p>
          <w:p w14:paraId="26C6302A">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6. 像素尺寸: ≤4.8 μm</w:t>
            </w:r>
          </w:p>
          <w:p w14:paraId="480F808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7. 最大扫描速度：≥80mm/s</w:t>
            </w:r>
          </w:p>
          <w:p w14:paraId="4663FCCA">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 手柄采用封闭设计，无内置风扇，避免灰尘、液体进入导致机器故障，减少交叉感染的风险。</w:t>
            </w:r>
          </w:p>
          <w:p w14:paraId="338374E2">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9. 精度稳定，无需定期校准。</w:t>
            </w:r>
          </w:p>
          <w:p w14:paraId="721CDF8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10.描头可拆卸，支持高温高压灭菌及浸泡消毒，扫描头消毒次数≥100次。</w:t>
            </w:r>
          </w:p>
          <w:p w14:paraId="24739009">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11．扫描过程可智能扫描引导、数据质量检测</w:t>
            </w:r>
          </w:p>
          <w:p w14:paraId="4336A450">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12 备使用年限：≥10年</w:t>
            </w:r>
          </w:p>
        </w:tc>
      </w:tr>
      <w:tr w14:paraId="191430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5" w:type="dxa"/>
            <w:vAlign w:val="center"/>
          </w:tcPr>
          <w:p w14:paraId="0D0E315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39、设备名称</w:t>
            </w:r>
          </w:p>
        </w:tc>
        <w:tc>
          <w:tcPr>
            <w:tcW w:w="1502" w:type="dxa"/>
            <w:vAlign w:val="center"/>
          </w:tcPr>
          <w:p w14:paraId="72E78234">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牙科种植机</w:t>
            </w:r>
          </w:p>
        </w:tc>
        <w:tc>
          <w:tcPr>
            <w:tcW w:w="1134" w:type="dxa"/>
            <w:vAlign w:val="center"/>
          </w:tcPr>
          <w:p w14:paraId="09FE25ED">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1232" w:type="dxa"/>
            <w:vAlign w:val="center"/>
          </w:tcPr>
          <w:p w14:paraId="0C0E9923">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2007" w:type="dxa"/>
            <w:vAlign w:val="center"/>
          </w:tcPr>
          <w:p w14:paraId="36850A01">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475" w:type="dxa"/>
            <w:vAlign w:val="center"/>
          </w:tcPr>
          <w:p w14:paraId="5111DFF0">
            <w:pPr>
              <w:widowControl w:val="0"/>
              <w:spacing w:before="184"/>
              <w:ind w:right="2"/>
              <w:jc w:val="center"/>
              <w:rPr>
                <w:rFonts w:ascii="宋体" w:hAnsi="宋体" w:eastAsia="宋体" w:cs="宋体"/>
                <w:color w:val="auto"/>
                <w:spacing w:val="-2"/>
                <w:sz w:val="24"/>
                <w:szCs w:val="24"/>
              </w:rPr>
            </w:pPr>
            <w:r>
              <w:rPr>
                <w:rFonts w:hint="eastAsia" w:ascii="宋体" w:hAnsi="宋体" w:eastAsia="宋体" w:cs="宋体"/>
                <w:color w:val="auto"/>
                <w:spacing w:val="-2"/>
                <w:sz w:val="24"/>
                <w:szCs w:val="24"/>
              </w:rPr>
              <w:t>23000</w:t>
            </w:r>
          </w:p>
        </w:tc>
      </w:tr>
      <w:tr w14:paraId="753CAB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9" w:hRule="atLeast"/>
        </w:trPr>
        <w:tc>
          <w:tcPr>
            <w:tcW w:w="1725" w:type="dxa"/>
            <w:vAlign w:val="center"/>
          </w:tcPr>
          <w:p w14:paraId="347DD0AF">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7350" w:type="dxa"/>
            <w:gridSpan w:val="5"/>
          </w:tcPr>
          <w:p w14:paraId="2323932E">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一、功能特点：</w:t>
            </w:r>
          </w:p>
          <w:p w14:paraId="6CE3CD6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 引进国外先进技术，精心设计，使用芯片，产品工作性能稳定</w:t>
            </w:r>
          </w:p>
          <w:p w14:paraId="2A1475C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2）采用无碳刷马达，动力足，经久耐用；</w:t>
            </w:r>
          </w:p>
          <w:p w14:paraId="5019EBF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3）超大触屏，戴手套可调节；</w:t>
            </w:r>
          </w:p>
          <w:p w14:paraId="59A1490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3）马达输出功率150W，输出最大扭力80N； </w:t>
            </w:r>
          </w:p>
          <w:p w14:paraId="35022768">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4）马达转速调节范围：0rpm-40000rpm； 扭力调节范围：5N.cm-80N.cm；</w:t>
            </w:r>
          </w:p>
          <w:p w14:paraId="0E4430AB">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5） 可拆卸20：1种植弯机，消毒更彻底，有效防止交叉感染； </w:t>
            </w:r>
          </w:p>
          <w:p w14:paraId="3F0F2206">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 转速、扭力固定安全范围，有效防止误操作；</w:t>
            </w:r>
          </w:p>
          <w:p w14:paraId="042D92E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 图片式种植流程，操作更简单，使用更方便；</w:t>
            </w:r>
          </w:p>
          <w:p w14:paraId="1B9B91AC">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 冷却液大小可调，最大流量150ml/min，冷却效果更好；</w:t>
            </w:r>
          </w:p>
          <w:p w14:paraId="5A2B1331">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9） 内部具有多种比例参数：4:1、16:1、20:1、64:1、1:1、1:5等，可实现1机多用。</w:t>
            </w:r>
          </w:p>
          <w:p w14:paraId="6C4DF18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10）LED照明有助于临床医生更集中于治疗区域，使手术更精确高亮度，LED光源，亮度可达30000Iux；</w:t>
            </w:r>
          </w:p>
          <w:p w14:paraId="257F45C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二、技术参数：</w:t>
            </w:r>
          </w:p>
          <w:p w14:paraId="6EBB83C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最大功率：150W；</w:t>
            </w:r>
          </w:p>
          <w:p w14:paraId="525F4A7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电源：AC230V  50/60Hz；</w:t>
            </w:r>
          </w:p>
          <w:p w14:paraId="40B7E395">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马达转速：300—40000rpm；</w:t>
            </w:r>
          </w:p>
          <w:p w14:paraId="2AE018C0">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可调扭矩:5Ncm-80Ncm；</w:t>
            </w:r>
          </w:p>
          <w:p w14:paraId="064BB3E7">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 xml:space="preserve">供水流量：4档可调，150ml/min；               </w:t>
            </w:r>
          </w:p>
          <w:p w14:paraId="78613A13">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6.</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 xml:space="preserve">触屏尺寸：8cmX15cm；                          </w:t>
            </w:r>
          </w:p>
          <w:p w14:paraId="78928C38">
            <w:pPr>
              <w:widowControl w:val="0"/>
              <w:spacing w:before="184"/>
              <w:ind w:right="2"/>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7.</w:t>
            </w:r>
            <w:r>
              <w:rPr>
                <w:rFonts w:hint="eastAsia" w:ascii="宋体" w:hAnsi="宋体" w:eastAsia="宋体" w:cs="宋体"/>
                <w:color w:val="auto"/>
                <w:spacing w:val="-2"/>
                <w:sz w:val="24"/>
                <w:szCs w:val="24"/>
              </w:rPr>
              <w:tab/>
            </w:r>
            <w:r>
              <w:rPr>
                <w:rFonts w:hint="eastAsia" w:ascii="宋体" w:hAnsi="宋体" w:eastAsia="宋体" w:cs="宋体"/>
                <w:color w:val="auto"/>
                <w:spacing w:val="-2"/>
                <w:sz w:val="24"/>
                <w:szCs w:val="24"/>
              </w:rPr>
              <w:t>光源照度：30000lux。</w:t>
            </w:r>
          </w:p>
        </w:tc>
      </w:tr>
    </w:tbl>
    <w:p w14:paraId="3285144D">
      <w:pPr>
        <w:spacing w:before="240" w:beforeLines="100" w:line="360" w:lineRule="auto"/>
        <w:jc w:val="both"/>
        <w:rPr>
          <w:rFonts w:hint="eastAsia" w:ascii="宋体" w:hAnsi="宋体" w:eastAsia="宋体" w:cs="宋体"/>
          <w:b/>
          <w:bCs/>
          <w:color w:val="auto"/>
          <w:kern w:val="44"/>
          <w:sz w:val="28"/>
          <w:szCs w:val="28"/>
          <w:lang w:val="zh-CN" w:eastAsia="zh-CN"/>
        </w:rPr>
      </w:pPr>
    </w:p>
    <w:p w14:paraId="5ED418BF">
      <w:pPr>
        <w:spacing w:before="240" w:beforeLines="100" w:line="360" w:lineRule="auto"/>
        <w:jc w:val="both"/>
        <w:rPr>
          <w:rFonts w:hint="eastAsia" w:ascii="宋体" w:hAnsi="宋体" w:eastAsia="宋体" w:cs="宋体"/>
          <w:b/>
          <w:bCs/>
          <w:color w:val="auto"/>
          <w:kern w:val="44"/>
          <w:sz w:val="28"/>
          <w:szCs w:val="28"/>
          <w:lang w:val="zh-CN" w:eastAsia="zh-CN"/>
        </w:rPr>
      </w:pPr>
    </w:p>
    <w:p w14:paraId="09C63533">
      <w:pPr>
        <w:spacing w:before="240" w:beforeLines="100" w:line="360" w:lineRule="auto"/>
        <w:jc w:val="both"/>
        <w:rPr>
          <w:rFonts w:hint="eastAsia" w:ascii="宋体" w:hAnsi="宋体" w:eastAsia="宋体" w:cs="宋体"/>
          <w:b/>
          <w:bCs/>
          <w:color w:val="auto"/>
          <w:kern w:val="44"/>
          <w:sz w:val="28"/>
          <w:szCs w:val="28"/>
          <w:lang w:val="zh-CN" w:eastAsia="zh-CN"/>
        </w:rPr>
      </w:pPr>
    </w:p>
    <w:p w14:paraId="13F3A8E4">
      <w:pPr>
        <w:pStyle w:val="5"/>
        <w:ind w:firstLine="562"/>
        <w:rPr>
          <w:rFonts w:hint="eastAsia" w:ascii="宋体" w:hAnsi="宋体" w:eastAsia="宋体" w:cs="宋体"/>
          <w:b/>
          <w:bCs/>
          <w:color w:val="auto"/>
          <w:kern w:val="44"/>
          <w:sz w:val="28"/>
          <w:szCs w:val="28"/>
          <w:lang w:val="zh-CN" w:eastAsia="zh-CN"/>
        </w:rPr>
      </w:pPr>
    </w:p>
    <w:p w14:paraId="05A2F19F">
      <w:pPr>
        <w:rPr>
          <w:rFonts w:hint="eastAsia" w:ascii="宋体" w:hAnsi="宋体" w:eastAsia="宋体" w:cs="宋体"/>
          <w:b/>
          <w:bCs/>
          <w:color w:val="auto"/>
          <w:kern w:val="44"/>
          <w:sz w:val="28"/>
          <w:szCs w:val="28"/>
          <w:lang w:val="zh-CN" w:eastAsia="zh-CN"/>
        </w:rPr>
      </w:pPr>
    </w:p>
    <w:p w14:paraId="571C1C7A">
      <w:pPr>
        <w:pStyle w:val="5"/>
        <w:ind w:firstLine="562"/>
        <w:rPr>
          <w:rFonts w:hint="eastAsia" w:ascii="宋体" w:hAnsi="宋体" w:eastAsia="宋体" w:cs="宋体"/>
          <w:b/>
          <w:bCs/>
          <w:color w:val="auto"/>
          <w:kern w:val="44"/>
          <w:sz w:val="28"/>
          <w:szCs w:val="28"/>
          <w:lang w:val="zh-CN" w:eastAsia="zh-CN"/>
        </w:rPr>
      </w:pPr>
    </w:p>
    <w:p w14:paraId="6C7D6B9B">
      <w:pPr>
        <w:rPr>
          <w:rFonts w:hint="eastAsia" w:ascii="宋体" w:hAnsi="宋体" w:eastAsia="宋体" w:cs="宋体"/>
          <w:b/>
          <w:bCs/>
          <w:color w:val="auto"/>
          <w:kern w:val="44"/>
          <w:sz w:val="28"/>
          <w:szCs w:val="28"/>
          <w:lang w:val="zh-CN" w:eastAsia="zh-CN"/>
        </w:rPr>
      </w:pPr>
    </w:p>
    <w:p w14:paraId="2295F9BE">
      <w:pPr>
        <w:pStyle w:val="5"/>
        <w:ind w:firstLine="562"/>
        <w:rPr>
          <w:rFonts w:hint="eastAsia" w:ascii="宋体" w:hAnsi="宋体" w:eastAsia="宋体" w:cs="宋体"/>
          <w:b/>
          <w:bCs/>
          <w:color w:val="auto"/>
          <w:kern w:val="44"/>
          <w:sz w:val="28"/>
          <w:szCs w:val="28"/>
          <w:lang w:val="zh-CN" w:eastAsia="zh-CN"/>
        </w:rPr>
      </w:pPr>
    </w:p>
    <w:p w14:paraId="6E9ABF2B">
      <w:pPr>
        <w:rPr>
          <w:rFonts w:hint="eastAsia" w:ascii="宋体" w:hAnsi="宋体" w:eastAsia="宋体" w:cs="宋体"/>
          <w:b/>
          <w:bCs/>
          <w:color w:val="auto"/>
          <w:kern w:val="44"/>
          <w:sz w:val="28"/>
          <w:szCs w:val="28"/>
          <w:lang w:val="zh-CN" w:eastAsia="zh-CN"/>
        </w:rPr>
      </w:pPr>
    </w:p>
    <w:p w14:paraId="41A4C9F6">
      <w:pPr>
        <w:pStyle w:val="5"/>
        <w:ind w:firstLine="562"/>
        <w:rPr>
          <w:rFonts w:hint="eastAsia" w:ascii="宋体" w:hAnsi="宋体" w:eastAsia="宋体" w:cs="宋体"/>
          <w:b/>
          <w:bCs/>
          <w:color w:val="auto"/>
          <w:kern w:val="44"/>
          <w:sz w:val="28"/>
          <w:szCs w:val="28"/>
          <w:lang w:val="zh-CN" w:eastAsia="zh-CN"/>
        </w:rPr>
      </w:pPr>
    </w:p>
    <w:p w14:paraId="69E4A739">
      <w:pPr>
        <w:rPr>
          <w:rFonts w:hint="eastAsia" w:ascii="宋体" w:hAnsi="宋体" w:eastAsia="宋体" w:cs="宋体"/>
          <w:b/>
          <w:bCs/>
          <w:color w:val="auto"/>
          <w:kern w:val="44"/>
          <w:sz w:val="28"/>
          <w:szCs w:val="28"/>
          <w:lang w:val="zh-CN" w:eastAsia="zh-CN"/>
        </w:rPr>
      </w:pPr>
    </w:p>
    <w:p w14:paraId="03F03324">
      <w:pPr>
        <w:pStyle w:val="5"/>
        <w:ind w:firstLine="562"/>
        <w:rPr>
          <w:rFonts w:hint="eastAsia" w:ascii="宋体" w:hAnsi="宋体" w:eastAsia="宋体" w:cs="宋体"/>
          <w:b/>
          <w:bCs/>
          <w:color w:val="auto"/>
          <w:kern w:val="44"/>
          <w:sz w:val="28"/>
          <w:szCs w:val="28"/>
          <w:lang w:val="zh-CN" w:eastAsia="zh-CN"/>
        </w:rPr>
      </w:pPr>
    </w:p>
    <w:p w14:paraId="30E6A21A">
      <w:pPr>
        <w:rPr>
          <w:rFonts w:hint="eastAsia" w:ascii="宋体" w:hAnsi="宋体" w:eastAsia="宋体" w:cs="宋体"/>
          <w:b/>
          <w:bCs/>
          <w:color w:val="auto"/>
          <w:kern w:val="44"/>
          <w:sz w:val="28"/>
          <w:szCs w:val="28"/>
          <w:lang w:val="zh-CN" w:eastAsia="zh-CN"/>
        </w:rPr>
      </w:pPr>
    </w:p>
    <w:p w14:paraId="1AE597DD">
      <w:pPr>
        <w:pStyle w:val="5"/>
        <w:ind w:firstLine="562"/>
        <w:rPr>
          <w:rFonts w:hint="eastAsia" w:ascii="宋体" w:hAnsi="宋体" w:eastAsia="宋体" w:cs="宋体"/>
          <w:b/>
          <w:bCs/>
          <w:color w:val="auto"/>
          <w:kern w:val="44"/>
          <w:sz w:val="28"/>
          <w:szCs w:val="28"/>
          <w:lang w:val="zh-CN" w:eastAsia="zh-CN"/>
        </w:rPr>
      </w:pPr>
    </w:p>
    <w:p w14:paraId="74FFB9A5">
      <w:pPr>
        <w:rPr>
          <w:rFonts w:hint="eastAsia" w:ascii="宋体" w:hAnsi="宋体" w:eastAsia="宋体" w:cs="宋体"/>
          <w:b/>
          <w:bCs/>
          <w:color w:val="auto"/>
          <w:kern w:val="44"/>
          <w:sz w:val="28"/>
          <w:szCs w:val="28"/>
          <w:lang w:val="zh-CN" w:eastAsia="zh-CN"/>
        </w:rPr>
      </w:pPr>
    </w:p>
    <w:p w14:paraId="1181F045">
      <w:pPr>
        <w:pStyle w:val="5"/>
        <w:ind w:firstLine="562"/>
        <w:rPr>
          <w:rFonts w:hint="eastAsia" w:ascii="宋体" w:hAnsi="宋体" w:eastAsia="宋体" w:cs="宋体"/>
          <w:b/>
          <w:bCs/>
          <w:color w:val="auto"/>
          <w:kern w:val="44"/>
          <w:sz w:val="28"/>
          <w:szCs w:val="28"/>
          <w:lang w:val="zh-CN" w:eastAsia="zh-CN"/>
        </w:rPr>
      </w:pPr>
    </w:p>
    <w:p w14:paraId="40EB4E53">
      <w:pPr>
        <w:rPr>
          <w:rFonts w:hint="eastAsia" w:ascii="宋体" w:hAnsi="宋体" w:eastAsia="宋体" w:cs="宋体"/>
          <w:b/>
          <w:bCs/>
          <w:color w:val="auto"/>
          <w:kern w:val="44"/>
          <w:sz w:val="28"/>
          <w:szCs w:val="28"/>
          <w:lang w:val="zh-CN" w:eastAsia="zh-CN"/>
        </w:rPr>
      </w:pPr>
    </w:p>
    <w:p w14:paraId="1E289607">
      <w:pPr>
        <w:pStyle w:val="5"/>
        <w:ind w:firstLine="562"/>
        <w:rPr>
          <w:rFonts w:hint="eastAsia" w:ascii="宋体" w:hAnsi="宋体" w:eastAsia="宋体" w:cs="宋体"/>
          <w:b/>
          <w:bCs/>
          <w:color w:val="auto"/>
          <w:kern w:val="44"/>
          <w:sz w:val="28"/>
          <w:szCs w:val="28"/>
          <w:lang w:val="zh-CN" w:eastAsia="zh-CN"/>
        </w:rPr>
      </w:pPr>
    </w:p>
    <w:p w14:paraId="16105626">
      <w:pPr>
        <w:rPr>
          <w:lang w:val="zh-CN" w:eastAsia="zh-CN"/>
        </w:rPr>
      </w:pPr>
    </w:p>
    <w:p w14:paraId="35026BDE">
      <w:pPr>
        <w:rPr>
          <w:lang w:val="zh-CN" w:eastAsia="zh-CN"/>
        </w:rPr>
      </w:pPr>
    </w:p>
    <w:p w14:paraId="5EC63422">
      <w:pPr>
        <w:rPr>
          <w:lang w:val="zh-CN" w:eastAsia="zh-CN"/>
        </w:rPr>
      </w:pPr>
    </w:p>
    <w:p w14:paraId="4ED630B0">
      <w:pPr>
        <w:rPr>
          <w:lang w:val="zh-CN" w:eastAsia="zh-CN"/>
        </w:rPr>
      </w:pPr>
    </w:p>
    <w:p w14:paraId="75636BAA">
      <w:pPr>
        <w:rPr>
          <w:lang w:val="zh-CN" w:eastAsia="zh-CN"/>
        </w:rPr>
      </w:pPr>
    </w:p>
    <w:p w14:paraId="26B4D795">
      <w:pPr>
        <w:rPr>
          <w:lang w:val="zh-CN" w:eastAsia="zh-CN"/>
        </w:rPr>
      </w:pPr>
    </w:p>
    <w:p w14:paraId="75D79D40">
      <w:pPr>
        <w:rPr>
          <w:lang w:val="zh-CN" w:eastAsia="zh-CN"/>
        </w:rPr>
      </w:pPr>
    </w:p>
    <w:p w14:paraId="5BA77030">
      <w:pPr>
        <w:rPr>
          <w:lang w:val="zh-CN" w:eastAsia="zh-CN"/>
        </w:rPr>
      </w:pPr>
    </w:p>
    <w:p w14:paraId="47C8C155">
      <w:pPr>
        <w:rPr>
          <w:lang w:val="zh-CN" w:eastAsia="zh-CN"/>
        </w:rPr>
      </w:pPr>
    </w:p>
    <w:p w14:paraId="62F44629">
      <w:pPr>
        <w:rPr>
          <w:lang w:val="zh-CN" w:eastAsia="zh-CN"/>
        </w:rPr>
      </w:pPr>
    </w:p>
    <w:p w14:paraId="678A5413">
      <w:pPr>
        <w:rPr>
          <w:lang w:val="zh-CN" w:eastAsia="zh-CN"/>
        </w:rPr>
      </w:pPr>
    </w:p>
    <w:p w14:paraId="1F701961">
      <w:pPr>
        <w:rPr>
          <w:lang w:val="zh-CN" w:eastAsia="zh-CN"/>
        </w:rPr>
      </w:pPr>
    </w:p>
    <w:p w14:paraId="0BC5ADD9">
      <w:pPr>
        <w:spacing w:before="240" w:beforeLines="100" w:line="360" w:lineRule="auto"/>
        <w:jc w:val="both"/>
        <w:rPr>
          <w:rFonts w:hint="eastAsia" w:ascii="宋体" w:hAnsi="宋体" w:eastAsia="宋体" w:cs="宋体"/>
          <w:b/>
          <w:bCs/>
          <w:color w:val="auto"/>
          <w:kern w:val="44"/>
          <w:sz w:val="28"/>
          <w:szCs w:val="28"/>
          <w:lang w:val="zh-CN" w:eastAsia="zh-CN"/>
        </w:rPr>
      </w:pPr>
      <w:r>
        <w:rPr>
          <w:rFonts w:hint="eastAsia" w:ascii="宋体" w:hAnsi="宋体" w:eastAsia="宋体" w:cs="宋体"/>
          <w:b/>
          <w:bCs/>
          <w:color w:val="auto"/>
          <w:kern w:val="44"/>
          <w:sz w:val="28"/>
          <w:szCs w:val="28"/>
          <w:lang w:val="zh-CN" w:eastAsia="zh-CN"/>
        </w:rPr>
        <w:t>二、</w:t>
      </w:r>
      <w:r>
        <w:rPr>
          <w:rFonts w:hint="eastAsia" w:ascii="宋体" w:hAnsi="宋体" w:eastAsia="宋体" w:cs="宋体"/>
          <w:b/>
          <w:bCs/>
          <w:color w:val="auto"/>
          <w:kern w:val="44"/>
          <w:sz w:val="28"/>
          <w:szCs w:val="28"/>
          <w:lang w:val="en-US" w:eastAsia="zh-CN"/>
        </w:rPr>
        <w:t>标段二</w:t>
      </w:r>
      <w:r>
        <w:rPr>
          <w:rFonts w:hint="eastAsia" w:ascii="宋体" w:hAnsi="宋体" w:eastAsia="宋体" w:cs="宋体"/>
          <w:b/>
          <w:bCs/>
          <w:color w:val="auto"/>
          <w:kern w:val="44"/>
          <w:sz w:val="28"/>
          <w:szCs w:val="28"/>
          <w:lang w:val="zh-CN" w:eastAsia="zh-CN"/>
        </w:rPr>
        <w:t>设备技术参数</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1877"/>
        <w:gridCol w:w="1069"/>
        <w:gridCol w:w="943"/>
        <w:gridCol w:w="1981"/>
        <w:gridCol w:w="1097"/>
      </w:tblGrid>
      <w:tr w14:paraId="557858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39AB209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1、设备名称</w:t>
            </w:r>
          </w:p>
        </w:tc>
        <w:tc>
          <w:tcPr>
            <w:tcW w:w="1877" w:type="dxa"/>
            <w:vAlign w:val="center"/>
          </w:tcPr>
          <w:p w14:paraId="750E3AF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心电监护仪</w:t>
            </w:r>
          </w:p>
        </w:tc>
        <w:tc>
          <w:tcPr>
            <w:tcW w:w="1069" w:type="dxa"/>
            <w:vAlign w:val="center"/>
          </w:tcPr>
          <w:p w14:paraId="3DF9D89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34F7339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6个</w:t>
            </w:r>
          </w:p>
        </w:tc>
        <w:tc>
          <w:tcPr>
            <w:tcW w:w="1981" w:type="dxa"/>
            <w:vAlign w:val="center"/>
          </w:tcPr>
          <w:p w14:paraId="0A82B85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53E6B9F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7500</w:t>
            </w:r>
          </w:p>
        </w:tc>
      </w:tr>
      <w:tr w14:paraId="2D1DFB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04EE9D9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511FB0C5">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技术参数：</w:t>
            </w:r>
          </w:p>
          <w:p w14:paraId="47CD6163">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1.标准配置可监测心电，呼吸，无创血压，血氧饱和度，脉搏和体温</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2.可显示PI血氧灌注指数，有效反映血氧灌注情况</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3.采用专利的抗干扰和弱灌注血氧技术</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4.NIBP和BP的测量范围宽，大大提升边界情况的测量准确性成人:sys 25-290 dia 10-250 avr 15-260小儿: sys:25-240 dia:10-200 avr:15-215新生儿: sys:25-140 dia:10-115 avr:15-125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5.支持心率变化统计和动态血压分析系统功能：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6.具有三级声光报警，参数报警级别可调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7.具备报警集中设置功能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8.具备血液动力学、药物计算功能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9.具备 Nurse Call 报警功能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10.支持 VGA 外接拓展显示屏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11.具备成人、小儿、新生儿三种病人配置，支持U 盘导入导出配置</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12.整机无风扇设计，降低环境噪音干扰</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13.机身支持附件收纳盒设计，让床旁附件管理更有序、更高效</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14.防水等级达到IPX1标准</w:t>
            </w:r>
          </w:p>
        </w:tc>
      </w:tr>
      <w:tr w14:paraId="37F5B8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7242F34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2、设备名称</w:t>
            </w:r>
          </w:p>
        </w:tc>
        <w:tc>
          <w:tcPr>
            <w:tcW w:w="1877" w:type="dxa"/>
            <w:vAlign w:val="center"/>
          </w:tcPr>
          <w:p w14:paraId="0D7C394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低频电刺激治疗仪</w:t>
            </w:r>
          </w:p>
        </w:tc>
        <w:tc>
          <w:tcPr>
            <w:tcW w:w="1069" w:type="dxa"/>
            <w:vAlign w:val="center"/>
          </w:tcPr>
          <w:p w14:paraId="71AEE32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5D4D91D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03E06EA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5400A63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5200</w:t>
            </w:r>
          </w:p>
        </w:tc>
      </w:tr>
      <w:tr w14:paraId="0EEA47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9" w:hRule="atLeast"/>
        </w:trPr>
        <w:tc>
          <w:tcPr>
            <w:tcW w:w="2130" w:type="dxa"/>
            <w:vAlign w:val="center"/>
          </w:tcPr>
          <w:p w14:paraId="68A42CF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7D5DB4B4">
            <w:pPr>
              <w:widowControl w:val="0"/>
              <w:kinsoku/>
              <w:autoSpaceDE/>
              <w:autoSpaceDN/>
              <w:adjustRightInd/>
              <w:snapToGrid/>
              <w:jc w:val="both"/>
              <w:textAlignment w:val="auto"/>
              <w:rPr>
                <w:rFonts w:hint="eastAsia" w:ascii="等线" w:hAnsi="等线" w:eastAsia="等线" w:cs="宋体"/>
                <w:snapToGrid/>
                <w:sz w:val="22"/>
                <w:szCs w:val="22"/>
                <w:lang w:eastAsia="zh-CN"/>
              </w:rPr>
            </w:pPr>
            <w:r>
              <w:rPr>
                <w:rFonts w:hint="eastAsia" w:ascii="等线" w:hAnsi="等线" w:eastAsia="等线"/>
                <w:sz w:val="22"/>
                <w:szCs w:val="22"/>
                <w:lang w:eastAsia="zh-CN"/>
              </w:rPr>
              <w:t>1、交流电压220V±22V，频率50Hz±1Hz。</w:t>
            </w:r>
            <w:r>
              <w:rPr>
                <w:rFonts w:hint="eastAsia" w:ascii="等线" w:hAnsi="等线" w:eastAsia="等线"/>
                <w:sz w:val="22"/>
                <w:szCs w:val="22"/>
                <w:lang w:eastAsia="zh-CN"/>
              </w:rPr>
              <w:br w:type="textWrapping"/>
            </w:r>
            <w:r>
              <w:rPr>
                <w:rFonts w:hint="eastAsia" w:ascii="等线" w:hAnsi="等线" w:eastAsia="等线"/>
                <w:sz w:val="22"/>
                <w:szCs w:val="22"/>
                <w:lang w:eastAsia="zh-CN"/>
              </w:rPr>
              <w:t>2、额定输入功率：35VA。</w:t>
            </w:r>
            <w:r>
              <w:rPr>
                <w:rFonts w:hint="eastAsia" w:ascii="等线" w:hAnsi="等线" w:eastAsia="等线"/>
                <w:sz w:val="22"/>
                <w:szCs w:val="22"/>
                <w:lang w:eastAsia="zh-CN"/>
              </w:rPr>
              <w:br w:type="textWrapping"/>
            </w:r>
            <w:r>
              <w:rPr>
                <w:rFonts w:hint="eastAsia" w:ascii="等线" w:hAnsi="等线" w:eastAsia="等线"/>
                <w:sz w:val="22"/>
                <w:szCs w:val="22"/>
                <w:lang w:eastAsia="zh-CN"/>
              </w:rPr>
              <w:t>3、产品外形尺寸（长×宽×高）：420mm×360mm×232mm , 允差±5%。</w:t>
            </w:r>
            <w:r>
              <w:rPr>
                <w:rFonts w:hint="eastAsia" w:ascii="等线" w:hAnsi="等线" w:eastAsia="等线"/>
                <w:sz w:val="22"/>
                <w:szCs w:val="22"/>
                <w:lang w:eastAsia="zh-CN"/>
              </w:rPr>
              <w:br w:type="textWrapping"/>
            </w:r>
            <w:r>
              <w:rPr>
                <w:rFonts w:hint="eastAsia" w:ascii="等线" w:hAnsi="等线" w:eastAsia="等线"/>
                <w:sz w:val="22"/>
                <w:szCs w:val="22"/>
                <w:lang w:eastAsia="zh-CN"/>
              </w:rPr>
              <w:t>4、电极线长度：1800mm，允差±5%。</w:t>
            </w:r>
            <w:r>
              <w:rPr>
                <w:rFonts w:hint="eastAsia" w:ascii="等线" w:hAnsi="等线" w:eastAsia="等线"/>
                <w:sz w:val="22"/>
                <w:szCs w:val="22"/>
                <w:lang w:eastAsia="zh-CN"/>
              </w:rPr>
              <w:br w:type="textWrapping"/>
            </w:r>
            <w:r>
              <w:rPr>
                <w:rFonts w:hint="eastAsia" w:ascii="等线" w:hAnsi="等线" w:eastAsia="等线"/>
                <w:sz w:val="22"/>
                <w:szCs w:val="22"/>
                <w:lang w:eastAsia="zh-CN"/>
              </w:rPr>
              <w:t>5、电极板尺寸</w:t>
            </w:r>
            <w:r>
              <w:rPr>
                <w:rFonts w:hint="eastAsia" w:ascii="等线" w:hAnsi="等线" w:eastAsia="等线"/>
                <w:sz w:val="22"/>
                <w:szCs w:val="22"/>
                <w:lang w:eastAsia="zh-CN"/>
              </w:rPr>
              <w:br w:type="textWrapping"/>
            </w:r>
            <w:r>
              <w:rPr>
                <w:rFonts w:hint="eastAsia" w:ascii="等线" w:hAnsi="等线" w:eastAsia="等线"/>
                <w:sz w:val="22"/>
                <w:szCs w:val="22"/>
                <w:lang w:eastAsia="zh-CN"/>
              </w:rPr>
              <w:t>硅胶电极：圆形电极</w:t>
            </w:r>
            <w:r>
              <w:rPr>
                <w:rFonts w:hint="eastAsia" w:ascii="等线" w:hAnsi="等线" w:eastAsia="等线"/>
                <w:sz w:val="22"/>
                <w:szCs w:val="22"/>
              </w:rPr>
              <w:t>Φ</w:t>
            </w:r>
            <w:r>
              <w:rPr>
                <w:rFonts w:hint="eastAsia" w:ascii="等线" w:hAnsi="等线" w:eastAsia="等线"/>
                <w:sz w:val="22"/>
                <w:szCs w:val="22"/>
                <w:lang w:eastAsia="zh-CN"/>
              </w:rPr>
              <w:t>40mm，允差±5%；方形电极（长×宽）：80mm×40mm，允差±5%。</w:t>
            </w:r>
            <w:r>
              <w:rPr>
                <w:rFonts w:hint="eastAsia" w:ascii="等线" w:hAnsi="等线" w:eastAsia="等线"/>
                <w:sz w:val="22"/>
                <w:szCs w:val="22"/>
                <w:lang w:eastAsia="zh-CN"/>
              </w:rPr>
              <w:br w:type="textWrapping"/>
            </w:r>
            <w:r>
              <w:rPr>
                <w:rFonts w:hint="eastAsia" w:ascii="等线" w:hAnsi="等线" w:eastAsia="等线"/>
                <w:sz w:val="22"/>
                <w:szCs w:val="22"/>
                <w:lang w:eastAsia="zh-CN"/>
              </w:rPr>
              <w:t>▲6、脉冲频率：</w:t>
            </w:r>
            <w:r>
              <w:rPr>
                <w:rFonts w:hint="eastAsia" w:ascii="等线" w:hAnsi="等线" w:eastAsia="等线"/>
                <w:sz w:val="22"/>
                <w:szCs w:val="22"/>
                <w:lang w:eastAsia="zh-CN"/>
              </w:rPr>
              <w:br w:type="textWrapping"/>
            </w:r>
            <w:r>
              <w:rPr>
                <w:rFonts w:hint="eastAsia" w:ascii="等线" w:hAnsi="等线" w:eastAsia="等线"/>
                <w:sz w:val="22"/>
                <w:szCs w:val="22"/>
                <w:lang w:eastAsia="zh-CN"/>
              </w:rPr>
              <w:t>第Ⅰ挡：输出脉冲频率为500Hz,调制波频率为0.5Hz～5Hz连续可调，允差为±15%；</w:t>
            </w:r>
            <w:r>
              <w:rPr>
                <w:rFonts w:hint="eastAsia" w:ascii="等线" w:hAnsi="等线" w:eastAsia="等线"/>
                <w:sz w:val="22"/>
                <w:szCs w:val="22"/>
                <w:lang w:eastAsia="zh-CN"/>
              </w:rPr>
              <w:br w:type="textWrapping"/>
            </w:r>
            <w:r>
              <w:rPr>
                <w:rFonts w:hint="eastAsia" w:ascii="等线" w:hAnsi="等线" w:eastAsia="等线"/>
                <w:sz w:val="22"/>
                <w:szCs w:val="22"/>
                <w:lang w:eastAsia="zh-CN"/>
              </w:rPr>
              <w:t>第Ⅱ挡：输出脉冲频率为0.5Hz～5Hz连续可调，允差为±15%。</w:t>
            </w:r>
            <w:r>
              <w:rPr>
                <w:rFonts w:hint="eastAsia" w:ascii="等线" w:hAnsi="等线" w:eastAsia="等线"/>
                <w:sz w:val="22"/>
                <w:szCs w:val="22"/>
                <w:lang w:eastAsia="zh-CN"/>
              </w:rPr>
              <w:br w:type="textWrapping"/>
            </w:r>
            <w:r>
              <w:rPr>
                <w:rFonts w:hint="eastAsia" w:ascii="等线" w:hAnsi="等线" w:eastAsia="等线"/>
                <w:sz w:val="22"/>
                <w:szCs w:val="22"/>
                <w:lang w:eastAsia="zh-CN"/>
              </w:rPr>
              <w:t>▲7、脉冲宽度：</w:t>
            </w:r>
            <w:r>
              <w:rPr>
                <w:rFonts w:hint="eastAsia" w:ascii="等线" w:hAnsi="等线" w:eastAsia="等线"/>
                <w:sz w:val="22"/>
                <w:szCs w:val="22"/>
                <w:lang w:eastAsia="zh-CN"/>
              </w:rPr>
              <w:br w:type="textWrapping"/>
            </w:r>
            <w:r>
              <w:rPr>
                <w:rFonts w:hint="eastAsia" w:ascii="等线" w:hAnsi="等线" w:eastAsia="等线"/>
                <w:sz w:val="22"/>
                <w:szCs w:val="22"/>
                <w:lang w:eastAsia="zh-CN"/>
              </w:rPr>
              <w:t>第Ⅰ挡：脉冲宽度为1ms，调制波宽度为10ms，允差±30%；</w:t>
            </w:r>
            <w:r>
              <w:rPr>
                <w:rFonts w:hint="eastAsia" w:ascii="等线" w:hAnsi="等线" w:eastAsia="等线"/>
                <w:sz w:val="22"/>
                <w:szCs w:val="22"/>
                <w:lang w:eastAsia="zh-CN"/>
              </w:rPr>
              <w:br w:type="textWrapping"/>
            </w:r>
            <w:r>
              <w:rPr>
                <w:rFonts w:hint="eastAsia" w:ascii="等线" w:hAnsi="等线" w:eastAsia="等线"/>
                <w:sz w:val="22"/>
                <w:szCs w:val="22"/>
                <w:lang w:eastAsia="zh-CN"/>
              </w:rPr>
              <w:t>第Ⅱ挡：脉冲宽度为10ms，允差±30%。</w:t>
            </w:r>
            <w:r>
              <w:rPr>
                <w:rFonts w:hint="eastAsia" w:ascii="等线" w:hAnsi="等线" w:eastAsia="等线"/>
                <w:sz w:val="22"/>
                <w:szCs w:val="22"/>
                <w:lang w:eastAsia="zh-CN"/>
              </w:rPr>
              <w:br w:type="textWrapping"/>
            </w:r>
            <w:r>
              <w:rPr>
                <w:rFonts w:hint="eastAsia" w:ascii="等线" w:hAnsi="等线" w:eastAsia="等线"/>
                <w:sz w:val="22"/>
                <w:szCs w:val="22"/>
                <w:lang w:eastAsia="zh-CN"/>
              </w:rPr>
              <w:t>8、治疗仪在500</w:t>
            </w:r>
            <w:r>
              <w:rPr>
                <w:rFonts w:hint="eastAsia" w:ascii="等线" w:hAnsi="等线" w:eastAsia="等线"/>
                <w:sz w:val="22"/>
                <w:szCs w:val="22"/>
              </w:rPr>
              <w:t>Ω</w:t>
            </w:r>
            <w:r>
              <w:rPr>
                <w:rFonts w:hint="eastAsia" w:ascii="等线" w:hAnsi="等线" w:eastAsia="等线"/>
                <w:sz w:val="22"/>
                <w:szCs w:val="22"/>
                <w:lang w:eastAsia="zh-CN"/>
              </w:rPr>
              <w:t>的负载电阻下，治疗仪每路输出电流有效值不大于80mA。</w:t>
            </w:r>
            <w:r>
              <w:rPr>
                <w:rFonts w:hint="eastAsia" w:ascii="等线" w:hAnsi="等线" w:eastAsia="等线"/>
                <w:sz w:val="22"/>
                <w:szCs w:val="22"/>
                <w:lang w:eastAsia="zh-CN"/>
              </w:rPr>
              <w:br w:type="textWrapping"/>
            </w:r>
            <w:r>
              <w:rPr>
                <w:rFonts w:hint="eastAsia" w:ascii="等线" w:hAnsi="等线" w:eastAsia="等线"/>
                <w:sz w:val="22"/>
                <w:szCs w:val="22"/>
                <w:lang w:eastAsia="zh-CN"/>
              </w:rPr>
              <w:t>9、治疗时间：5min、10min、15min、20min、25min、30min六档可调,每档时间允差±10％，治疗时间结束有蜂鸣器提示音，并停止输出。</w:t>
            </w:r>
            <w:r>
              <w:rPr>
                <w:rFonts w:hint="eastAsia" w:ascii="等线" w:hAnsi="等线" w:eastAsia="等线"/>
                <w:sz w:val="22"/>
                <w:szCs w:val="22"/>
                <w:lang w:eastAsia="zh-CN"/>
              </w:rPr>
              <w:br w:type="textWrapping"/>
            </w:r>
            <w:r>
              <w:rPr>
                <w:rFonts w:hint="eastAsia" w:ascii="等线" w:hAnsi="等线" w:eastAsia="等线"/>
                <w:sz w:val="22"/>
                <w:szCs w:val="22"/>
                <w:lang w:eastAsia="zh-CN"/>
              </w:rPr>
              <w:t>10、输出脉冲幅度：0～80V,连续可调，允差±20%。</w:t>
            </w:r>
            <w:r>
              <w:rPr>
                <w:rFonts w:hint="eastAsia" w:ascii="等线" w:hAnsi="等线" w:eastAsia="等线"/>
                <w:sz w:val="22"/>
                <w:szCs w:val="22"/>
                <w:lang w:eastAsia="zh-CN"/>
              </w:rPr>
              <w:br w:type="textWrapping"/>
            </w:r>
            <w:r>
              <w:rPr>
                <w:rFonts w:hint="eastAsia" w:ascii="等线" w:hAnsi="等线" w:eastAsia="等线"/>
                <w:sz w:val="22"/>
                <w:szCs w:val="22"/>
                <w:lang w:eastAsia="zh-CN"/>
              </w:rPr>
              <w:t>11、输出波形：双向不对称方波。</w:t>
            </w:r>
            <w:r>
              <w:rPr>
                <w:rFonts w:hint="eastAsia" w:ascii="等线" w:hAnsi="等线" w:eastAsia="等线"/>
                <w:sz w:val="22"/>
                <w:szCs w:val="22"/>
                <w:lang w:eastAsia="zh-CN"/>
              </w:rPr>
              <w:br w:type="textWrapping"/>
            </w:r>
            <w:r>
              <w:rPr>
                <w:rFonts w:hint="eastAsia" w:ascii="等线" w:hAnsi="等线" w:eastAsia="等线"/>
                <w:sz w:val="22"/>
                <w:szCs w:val="22"/>
                <w:lang w:eastAsia="zh-CN"/>
              </w:rPr>
              <w:t>▲12、三路脉冲输出，可治疗三个患者或三个部位，刺激强度可独立调节</w:t>
            </w:r>
          </w:p>
        </w:tc>
      </w:tr>
      <w:tr w14:paraId="6E51F5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4CBFA87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3、设备名称</w:t>
            </w:r>
          </w:p>
        </w:tc>
        <w:tc>
          <w:tcPr>
            <w:tcW w:w="1877" w:type="dxa"/>
            <w:vAlign w:val="center"/>
          </w:tcPr>
          <w:p w14:paraId="6FAE276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红外线治疗仪</w:t>
            </w:r>
          </w:p>
        </w:tc>
        <w:tc>
          <w:tcPr>
            <w:tcW w:w="1069" w:type="dxa"/>
            <w:vAlign w:val="center"/>
          </w:tcPr>
          <w:p w14:paraId="072B972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2E51A3A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0D012A1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00B9ADE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7500</w:t>
            </w:r>
          </w:p>
        </w:tc>
      </w:tr>
      <w:tr w14:paraId="75D29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5939784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vAlign w:val="center"/>
          </w:tcPr>
          <w:p w14:paraId="0CC828D1">
            <w:pPr>
              <w:widowControl w:val="0"/>
              <w:kinsoku/>
              <w:autoSpaceDE/>
              <w:autoSpaceDN/>
              <w:adjustRightInd/>
              <w:snapToGrid/>
              <w:jc w:val="both"/>
              <w:textAlignment w:val="auto"/>
              <w:rPr>
                <w:rFonts w:hint="eastAsia" w:ascii="等线" w:hAnsi="等线" w:eastAsia="等线" w:cs="宋体"/>
                <w:snapToGrid/>
                <w:sz w:val="22"/>
                <w:szCs w:val="22"/>
                <w:lang w:eastAsia="zh-CN"/>
              </w:rPr>
            </w:pPr>
            <w:r>
              <w:rPr>
                <w:rFonts w:hint="eastAsia" w:ascii="等线" w:hAnsi="等线" w:eastAsia="等线"/>
                <w:sz w:val="22"/>
                <w:szCs w:val="22"/>
                <w:lang w:eastAsia="zh-CN"/>
              </w:rPr>
              <w:t>1、额定输入功率：180VA。</w:t>
            </w:r>
            <w:r>
              <w:rPr>
                <w:rFonts w:hint="eastAsia" w:ascii="等线" w:hAnsi="等线" w:eastAsia="等线"/>
                <w:sz w:val="22"/>
                <w:szCs w:val="22"/>
                <w:lang w:eastAsia="zh-CN"/>
              </w:rPr>
              <w:br w:type="textWrapping"/>
            </w:r>
            <w:r>
              <w:rPr>
                <w:rFonts w:hint="eastAsia" w:ascii="等线" w:hAnsi="等线" w:eastAsia="等线"/>
                <w:sz w:val="22"/>
                <w:szCs w:val="22"/>
                <w:lang w:eastAsia="zh-CN"/>
              </w:rPr>
              <w:t>2、使用电源电压：交流220V±22V，50Hz±1Hz。</w:t>
            </w:r>
            <w:r>
              <w:rPr>
                <w:rFonts w:hint="eastAsia" w:ascii="等线" w:hAnsi="等线" w:eastAsia="等线"/>
                <w:sz w:val="22"/>
                <w:szCs w:val="22"/>
                <w:lang w:eastAsia="zh-CN"/>
              </w:rPr>
              <w:br w:type="textWrapping"/>
            </w:r>
            <w:r>
              <w:rPr>
                <w:rFonts w:hint="eastAsia" w:ascii="等线" w:hAnsi="等线" w:eastAsia="等线"/>
                <w:sz w:val="22"/>
                <w:szCs w:val="22"/>
                <w:lang w:eastAsia="zh-CN"/>
              </w:rPr>
              <w:t>3、一路球状红外光输出。</w:t>
            </w:r>
            <w:r>
              <w:rPr>
                <w:rFonts w:hint="eastAsia" w:ascii="等线" w:hAnsi="等线" w:eastAsia="等线"/>
                <w:sz w:val="22"/>
                <w:szCs w:val="22"/>
                <w:lang w:eastAsia="zh-CN"/>
              </w:rPr>
              <w:br w:type="textWrapping"/>
            </w:r>
            <w:r>
              <w:rPr>
                <w:rFonts w:hint="eastAsia" w:ascii="等线" w:hAnsi="等线" w:eastAsia="等线"/>
                <w:sz w:val="22"/>
                <w:szCs w:val="22"/>
                <w:lang w:eastAsia="zh-CN"/>
              </w:rPr>
              <w:t>4、球状红外光辐射器：辐射器头直径为160mm，允差±10%；</w:t>
            </w:r>
            <w:r>
              <w:rPr>
                <w:rFonts w:hint="eastAsia" w:ascii="等线" w:hAnsi="等线" w:eastAsia="等线"/>
                <w:sz w:val="22"/>
                <w:szCs w:val="22"/>
                <w:lang w:eastAsia="zh-CN"/>
              </w:rPr>
              <w:br w:type="textWrapping"/>
            </w:r>
            <w:r>
              <w:rPr>
                <w:rFonts w:hint="eastAsia" w:ascii="等线" w:hAnsi="等线" w:eastAsia="等线"/>
                <w:sz w:val="22"/>
                <w:szCs w:val="22"/>
                <w:lang w:eastAsia="zh-CN"/>
              </w:rPr>
              <w:t>5、辐射器支架臂长为700mm，允差±10%，治疗角度和方位可在360°范围内调节。</w:t>
            </w:r>
            <w:r>
              <w:rPr>
                <w:rFonts w:hint="eastAsia" w:ascii="等线" w:hAnsi="等线" w:eastAsia="等线"/>
                <w:sz w:val="22"/>
                <w:szCs w:val="22"/>
                <w:lang w:eastAsia="zh-CN"/>
              </w:rPr>
              <w:br w:type="textWrapping"/>
            </w:r>
            <w:r>
              <w:rPr>
                <w:rFonts w:hint="eastAsia" w:ascii="等线" w:hAnsi="等线" w:eastAsia="等线"/>
                <w:sz w:val="22"/>
                <w:szCs w:val="22"/>
                <w:lang w:eastAsia="zh-CN"/>
              </w:rPr>
              <w:t>▲6、输出光波长</w:t>
            </w:r>
            <w:r>
              <w:rPr>
                <w:rFonts w:hint="eastAsia" w:ascii="等线" w:hAnsi="等线" w:eastAsia="等线"/>
                <w:sz w:val="22"/>
                <w:szCs w:val="22"/>
                <w:lang w:eastAsia="zh-CN"/>
              </w:rPr>
              <w:br w:type="textWrapping"/>
            </w:r>
            <w:r>
              <w:rPr>
                <w:rFonts w:hint="eastAsia" w:ascii="等线" w:hAnsi="等线" w:eastAsia="等线"/>
                <w:sz w:val="22"/>
                <w:szCs w:val="22"/>
                <w:lang w:eastAsia="zh-CN"/>
              </w:rPr>
              <w:t>球状红外光波长：690nm～940nm，允差±5％。</w:t>
            </w:r>
            <w:r>
              <w:rPr>
                <w:rFonts w:hint="eastAsia" w:ascii="等线" w:hAnsi="等线" w:eastAsia="等线"/>
                <w:sz w:val="22"/>
                <w:szCs w:val="22"/>
                <w:lang w:eastAsia="zh-CN"/>
              </w:rPr>
              <w:br w:type="textWrapping"/>
            </w:r>
            <w:r>
              <w:rPr>
                <w:rFonts w:hint="eastAsia" w:ascii="等线" w:hAnsi="等线" w:eastAsia="等线"/>
                <w:sz w:val="22"/>
                <w:szCs w:val="22"/>
                <w:lang w:eastAsia="zh-CN"/>
              </w:rPr>
              <w:t>▲7、球状红外光输出模式</w:t>
            </w:r>
            <w:r>
              <w:rPr>
                <w:rFonts w:hint="eastAsia" w:ascii="等线" w:hAnsi="等线" w:eastAsia="等线"/>
                <w:sz w:val="22"/>
                <w:szCs w:val="22"/>
                <w:lang w:eastAsia="zh-CN"/>
              </w:rPr>
              <w:br w:type="textWrapping"/>
            </w:r>
            <w:r>
              <w:rPr>
                <w:rFonts w:hint="eastAsia" w:ascii="等线" w:hAnsi="等线" w:eastAsia="等线"/>
                <w:sz w:val="22"/>
                <w:szCs w:val="22"/>
                <w:lang w:eastAsia="zh-CN"/>
              </w:rPr>
              <w:t>连续输出，分8档可调，辐射器加热表面最高温度为200℃，允差±20℃。</w:t>
            </w:r>
            <w:r>
              <w:rPr>
                <w:rFonts w:hint="eastAsia" w:ascii="等线" w:hAnsi="等线" w:eastAsia="等线"/>
                <w:sz w:val="22"/>
                <w:szCs w:val="22"/>
                <w:lang w:eastAsia="zh-CN"/>
              </w:rPr>
              <w:br w:type="textWrapping"/>
            </w:r>
            <w:r>
              <w:rPr>
                <w:rFonts w:hint="eastAsia" w:ascii="等线" w:hAnsi="等线" w:eastAsia="等线"/>
                <w:sz w:val="22"/>
                <w:szCs w:val="22"/>
                <w:lang w:eastAsia="zh-CN"/>
              </w:rPr>
              <w:t>8、主机尺寸：长440mm×宽295mm×高850mm，允差±10%</w:t>
            </w:r>
            <w:r>
              <w:rPr>
                <w:rFonts w:hint="eastAsia" w:ascii="等线" w:hAnsi="等线" w:eastAsia="等线"/>
                <w:sz w:val="22"/>
                <w:szCs w:val="22"/>
                <w:lang w:eastAsia="zh-CN"/>
              </w:rPr>
              <w:br w:type="textWrapping"/>
            </w:r>
            <w:r>
              <w:rPr>
                <w:rFonts w:hint="eastAsia" w:ascii="等线" w:hAnsi="等线" w:eastAsia="等线"/>
                <w:sz w:val="22"/>
                <w:szCs w:val="22"/>
                <w:lang w:eastAsia="zh-CN"/>
              </w:rPr>
              <w:t>9、球状红外光具有超温停止输出功能。</w:t>
            </w:r>
            <w:r>
              <w:rPr>
                <w:rFonts w:hint="eastAsia" w:ascii="等线" w:hAnsi="等线" w:eastAsia="等线"/>
                <w:sz w:val="22"/>
                <w:szCs w:val="22"/>
                <w:lang w:eastAsia="zh-CN"/>
              </w:rPr>
              <w:br w:type="textWrapping"/>
            </w:r>
            <w:r>
              <w:rPr>
                <w:rFonts w:hint="eastAsia" w:ascii="等线" w:hAnsi="等线" w:eastAsia="等线"/>
                <w:sz w:val="22"/>
                <w:szCs w:val="22"/>
                <w:lang w:eastAsia="zh-CN"/>
              </w:rPr>
              <w:t>10、采用医疗专用光源，照射面大，性能稳定。</w:t>
            </w:r>
            <w:r>
              <w:rPr>
                <w:rFonts w:hint="eastAsia" w:ascii="等线" w:hAnsi="等线" w:eastAsia="等线"/>
                <w:sz w:val="22"/>
                <w:szCs w:val="22"/>
                <w:lang w:eastAsia="zh-CN"/>
              </w:rPr>
              <w:br w:type="textWrapping"/>
            </w:r>
            <w:r>
              <w:rPr>
                <w:rFonts w:hint="eastAsia" w:ascii="等线" w:hAnsi="等线" w:eastAsia="等线"/>
                <w:sz w:val="22"/>
                <w:szCs w:val="22"/>
                <w:lang w:eastAsia="zh-CN"/>
              </w:rPr>
              <w:t>11、微电脑控制液晶显示。</w:t>
            </w:r>
            <w:r>
              <w:rPr>
                <w:rFonts w:hint="eastAsia" w:ascii="等线" w:hAnsi="等线" w:eastAsia="等线"/>
                <w:sz w:val="22"/>
                <w:szCs w:val="22"/>
                <w:lang w:eastAsia="zh-CN"/>
              </w:rPr>
              <w:br w:type="textWrapping"/>
            </w:r>
            <w:r>
              <w:rPr>
                <w:rFonts w:hint="eastAsia" w:ascii="等线" w:hAnsi="等线" w:eastAsia="等线"/>
                <w:sz w:val="22"/>
                <w:szCs w:val="22"/>
                <w:lang w:eastAsia="zh-CN"/>
              </w:rPr>
              <w:t>12、定时：定时范围在0～99min可调，级差1min，误差应不大于设定值的±2%。</w:t>
            </w:r>
            <w:r>
              <w:rPr>
                <w:rFonts w:hint="eastAsia" w:ascii="等线" w:hAnsi="等线" w:eastAsia="等线"/>
                <w:sz w:val="22"/>
                <w:szCs w:val="22"/>
                <w:lang w:eastAsia="zh-CN"/>
              </w:rPr>
              <w:br w:type="textWrapping"/>
            </w:r>
            <w:r>
              <w:rPr>
                <w:rFonts w:hint="eastAsia" w:ascii="等线" w:hAnsi="等线" w:eastAsia="等线"/>
                <w:sz w:val="22"/>
                <w:szCs w:val="22"/>
                <w:lang w:eastAsia="zh-CN"/>
              </w:rPr>
              <w:t>▲13、治疗仪配有钥匙开关，顺时针方向旋转启动治疗仪。治疗仪配有紧急理疗终止器，当需要立即停止输出时，马上按下终止器按钮，就可终止光源输出。</w:t>
            </w:r>
            <w:r>
              <w:rPr>
                <w:rFonts w:hint="eastAsia" w:ascii="等线" w:hAnsi="等线" w:eastAsia="等线"/>
                <w:sz w:val="22"/>
                <w:szCs w:val="22"/>
                <w:lang w:eastAsia="zh-CN"/>
              </w:rPr>
              <w:br w:type="textWrapping"/>
            </w:r>
            <w:r>
              <w:rPr>
                <w:rFonts w:hint="eastAsia" w:ascii="等线" w:hAnsi="等线" w:eastAsia="等线"/>
                <w:sz w:val="22"/>
                <w:szCs w:val="22"/>
                <w:lang w:eastAsia="zh-CN"/>
              </w:rPr>
              <w:t>14、治疗仪的四个脚轮，有两个具有锁定功能。</w:t>
            </w:r>
            <w:r>
              <w:rPr>
                <w:rFonts w:hint="eastAsia" w:ascii="等线" w:hAnsi="等线" w:eastAsia="等线"/>
                <w:sz w:val="22"/>
                <w:szCs w:val="22"/>
                <w:lang w:eastAsia="zh-CN"/>
              </w:rPr>
              <w:br w:type="textWrapping"/>
            </w:r>
            <w:r>
              <w:rPr>
                <w:rFonts w:hint="eastAsia" w:ascii="等线" w:hAnsi="等线" w:eastAsia="等线"/>
                <w:sz w:val="22"/>
                <w:szCs w:val="22"/>
                <w:lang w:eastAsia="zh-CN"/>
              </w:rPr>
              <w:t>▲15、具有倾倒防护报警功能。</w:t>
            </w:r>
            <w:r>
              <w:rPr>
                <w:rFonts w:hint="eastAsia" w:ascii="等线" w:hAnsi="等线" w:eastAsia="等线"/>
                <w:sz w:val="22"/>
                <w:szCs w:val="22"/>
                <w:lang w:eastAsia="zh-CN"/>
              </w:rPr>
              <w:br w:type="textWrapping"/>
            </w:r>
            <w:r>
              <w:rPr>
                <w:rFonts w:hint="eastAsia" w:ascii="等线" w:hAnsi="等线" w:eastAsia="等线"/>
                <w:sz w:val="22"/>
                <w:szCs w:val="22"/>
                <w:lang w:eastAsia="zh-CN"/>
              </w:rPr>
              <w:t>16、治疗仪工作噪音≤60dB(A)。</w:t>
            </w:r>
          </w:p>
        </w:tc>
      </w:tr>
      <w:tr w14:paraId="12BF1E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2B2E071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4、设备名称</w:t>
            </w:r>
          </w:p>
        </w:tc>
        <w:tc>
          <w:tcPr>
            <w:tcW w:w="1877" w:type="dxa"/>
            <w:vAlign w:val="center"/>
          </w:tcPr>
          <w:p w14:paraId="1FD26BC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光子治疗仪</w:t>
            </w:r>
          </w:p>
        </w:tc>
        <w:tc>
          <w:tcPr>
            <w:tcW w:w="1069" w:type="dxa"/>
            <w:vAlign w:val="center"/>
          </w:tcPr>
          <w:p w14:paraId="667C644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4D2045E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6A273CC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7E54B56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21000</w:t>
            </w:r>
          </w:p>
        </w:tc>
      </w:tr>
      <w:tr w14:paraId="3D3910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49004EA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2BD59EC7">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1、电源电压:交流电压220V ，频率50Hz。</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2、额定输入功率:≥300VA。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3、灯珠功率:≥100W。</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4、光源:矩阵集成高功率半导体固态光源。</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5、灯珠数量及排列方式:≥100颗灯珠， ≥10*10矩阵排布。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6、治疗时间:1-60min 可调，步进≥1min。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7、能量调节方式:分3档调节。</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(1)第1档，有效红光辐照度为21mw/cm2，允差±25%;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(2)第2档，有效红光辐照度为34mW/cm2，允差±25%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(3)第3档，有效红光辐照度为60mW/cm2，允差±25%。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8、波长范围:≥640nm±10nm(冷光源波段)。</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9、光功率密度:在距离光杯口≥15cm处测量时(推荐治疗距离)＞60mW/cm²。</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10、操作面板:≥7寸电容液晶触摸屏、智能触控操作。</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11、辐照度均匀性:采用光学透镜式聚光设计，有效红光辐照度的均性＞0.7。</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12、辐照度稳定性控制:有效红光辐照度的不稳定度≤5%。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13、有效辐照面积:＞350cm²。</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14、有效治疗深度:＞5cm。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15、支臂结构:采用气弹簧结构设计，可根据灯头重力无级调节支撑力度，保证治疗时光源稳定性，定位 精准、操作简便。</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16、灯头设计:采用三维立体灯头旋转设计，辐射面积更广。</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17、安全设计:防倾倒设计，倾倒自动断电。</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18、漏电保护:具有自动漏电保护功能。</w:t>
            </w:r>
          </w:p>
        </w:tc>
      </w:tr>
      <w:tr w14:paraId="2CFC09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5145B65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5、设备名称</w:t>
            </w:r>
          </w:p>
        </w:tc>
        <w:tc>
          <w:tcPr>
            <w:tcW w:w="1877" w:type="dxa"/>
            <w:vAlign w:val="center"/>
          </w:tcPr>
          <w:p w14:paraId="7A71718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极超短波治疗仪析仪</w:t>
            </w:r>
          </w:p>
        </w:tc>
        <w:tc>
          <w:tcPr>
            <w:tcW w:w="1069" w:type="dxa"/>
            <w:vAlign w:val="center"/>
          </w:tcPr>
          <w:p w14:paraId="6D1D829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2028A5F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2个</w:t>
            </w:r>
          </w:p>
        </w:tc>
        <w:tc>
          <w:tcPr>
            <w:tcW w:w="1981" w:type="dxa"/>
            <w:vAlign w:val="center"/>
          </w:tcPr>
          <w:p w14:paraId="5273C1F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3DE59E7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16000</w:t>
            </w:r>
          </w:p>
        </w:tc>
      </w:tr>
      <w:tr w14:paraId="346581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5C13B26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7AAF5BE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eastAsia="zh-CN"/>
              </w:rPr>
              <w:t>1 1、额定输入功率：400VA。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2、辐射器尺寸：</w:t>
            </w:r>
            <w:r>
              <w:rPr>
                <w:rFonts w:hint="eastAsia" w:ascii="宋体" w:hAnsi="宋体" w:eastAsia="宋体" w:cs="宋体"/>
                <w:color w:val="auto"/>
                <w:spacing w:val="-2"/>
                <w:sz w:val="24"/>
                <w:szCs w:val="24"/>
              </w:rPr>
              <w:t>φ</w:t>
            </w:r>
            <w:r>
              <w:rPr>
                <w:rFonts w:hint="eastAsia" w:ascii="宋体" w:hAnsi="宋体" w:eastAsia="宋体" w:cs="宋体"/>
                <w:color w:val="auto"/>
                <w:spacing w:val="-2"/>
                <w:sz w:val="24"/>
                <w:szCs w:val="24"/>
                <w:lang w:eastAsia="zh-CN"/>
              </w:rPr>
              <w:t>80×95mm，允差±5mm。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3、配有可旋转支臂，方便医务人员操作。</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4、治疗时间：0～30min，连续可调，级差1min。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 5、输出方式：连续式和脉冲式。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 ▲6、辐射器驻波比不大于3。</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7、外形尺寸（长×宽×高）：≥420×357×245mm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 ▲8、工作频率：2450MHz±50MHz。</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rPr>
              <w:t>9、输出功率：0～50W连续可调，级差1W。</w:t>
            </w:r>
          </w:p>
        </w:tc>
      </w:tr>
      <w:tr w14:paraId="5508BD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3534BAB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6、设备名称</w:t>
            </w:r>
          </w:p>
        </w:tc>
        <w:tc>
          <w:tcPr>
            <w:tcW w:w="1877" w:type="dxa"/>
            <w:vAlign w:val="center"/>
          </w:tcPr>
          <w:p w14:paraId="42EB720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平衡杠</w:t>
            </w:r>
          </w:p>
        </w:tc>
        <w:tc>
          <w:tcPr>
            <w:tcW w:w="1069" w:type="dxa"/>
            <w:vAlign w:val="center"/>
          </w:tcPr>
          <w:p w14:paraId="5D82E3F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0171528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7376E06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328C8CF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3100</w:t>
            </w:r>
          </w:p>
        </w:tc>
      </w:tr>
      <w:tr w14:paraId="39F7F5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4B4DE18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05D0E543">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规格：3500×1160×780～1250mm。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矫正板坡度：15°。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杠杆直径：</w:t>
            </w:r>
            <w:r>
              <w:rPr>
                <w:rFonts w:hint="eastAsia" w:ascii="宋体" w:hAnsi="宋体" w:eastAsia="宋体" w:cs="宋体"/>
                <w:color w:val="auto"/>
                <w:spacing w:val="-2"/>
                <w:sz w:val="24"/>
                <w:szCs w:val="24"/>
              </w:rPr>
              <w:t>φ</w:t>
            </w:r>
            <w:r>
              <w:rPr>
                <w:rFonts w:hint="eastAsia" w:ascii="宋体" w:hAnsi="宋体" w:eastAsia="宋体" w:cs="宋体"/>
                <w:color w:val="auto"/>
                <w:spacing w:val="-2"/>
                <w:sz w:val="24"/>
                <w:szCs w:val="24"/>
                <w:lang w:eastAsia="zh-CN"/>
              </w:rPr>
              <w:t>38mm。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杠杆宽度调节范围：340～600mm，允差±20mm。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额定载荷：135kg。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用途：借助上肢帮助进行步态训练，矫正行走中的足外翻、髋外展，增加行走的稳定性。适合于骨关节、神经系统疾病患者及老年人的步态练习。</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材质：型材、多层板、橡胶、地板革。</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结构形式：底架、扶手、矫正板。</w:t>
            </w:r>
          </w:p>
        </w:tc>
      </w:tr>
      <w:tr w14:paraId="78EF5C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7885EE9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7、设备名称</w:t>
            </w:r>
          </w:p>
        </w:tc>
        <w:tc>
          <w:tcPr>
            <w:tcW w:w="1877" w:type="dxa"/>
            <w:vAlign w:val="center"/>
          </w:tcPr>
          <w:p w14:paraId="451F84A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PT床</w:t>
            </w:r>
          </w:p>
        </w:tc>
        <w:tc>
          <w:tcPr>
            <w:tcW w:w="1069" w:type="dxa"/>
            <w:vAlign w:val="center"/>
          </w:tcPr>
          <w:p w14:paraId="6531CF1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42E1A06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2个</w:t>
            </w:r>
          </w:p>
        </w:tc>
        <w:tc>
          <w:tcPr>
            <w:tcW w:w="1981" w:type="dxa"/>
            <w:vAlign w:val="center"/>
          </w:tcPr>
          <w:p w14:paraId="64D4935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4A24983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900</w:t>
            </w:r>
          </w:p>
        </w:tc>
      </w:tr>
      <w:tr w14:paraId="66102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11C6207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78D96D98">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技术参数：</w:t>
            </w:r>
          </w:p>
          <w:p w14:paraId="484E48AB">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1、外形尺寸长×宽×高（单位mm；允差±5%）：1910×1250×480。</w:t>
            </w:r>
          </w:p>
          <w:p w14:paraId="7E46AA0D">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2、结构型式：床面、床架、垫子。</w:t>
            </w:r>
          </w:p>
          <w:p w14:paraId="77F69E12">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3、材质：静电喷塑架、凹凸革。</w:t>
            </w:r>
          </w:p>
          <w:p w14:paraId="4B1B015D">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4、用途：用于PT训练患者床上活动。</w:t>
            </w:r>
          </w:p>
        </w:tc>
      </w:tr>
      <w:tr w14:paraId="3CDB3F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1553120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8、设备名称</w:t>
            </w:r>
          </w:p>
        </w:tc>
        <w:tc>
          <w:tcPr>
            <w:tcW w:w="1877" w:type="dxa"/>
            <w:vAlign w:val="center"/>
          </w:tcPr>
          <w:p w14:paraId="2EE7D1F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PT凳</w:t>
            </w:r>
          </w:p>
        </w:tc>
        <w:tc>
          <w:tcPr>
            <w:tcW w:w="1069" w:type="dxa"/>
            <w:vAlign w:val="center"/>
          </w:tcPr>
          <w:p w14:paraId="0E6DC8E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24C0B17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2个</w:t>
            </w:r>
          </w:p>
        </w:tc>
        <w:tc>
          <w:tcPr>
            <w:tcW w:w="1981" w:type="dxa"/>
            <w:vAlign w:val="center"/>
          </w:tcPr>
          <w:p w14:paraId="0F64E58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2CC5D72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580</w:t>
            </w:r>
          </w:p>
        </w:tc>
      </w:tr>
      <w:tr w14:paraId="0CF5DE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7" w:hRule="atLeast"/>
        </w:trPr>
        <w:tc>
          <w:tcPr>
            <w:tcW w:w="2130" w:type="dxa"/>
            <w:vAlign w:val="center"/>
          </w:tcPr>
          <w:p w14:paraId="422FEAE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43541D53">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 外形尺寸/mm：长600，宽600，高：420～560可调，允差±10mm。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凳面高度调节范围/mm：420～560，允差±10mm。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额定载荷/N：2000（允差±5%）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质量：7.0kg（允差±5%）</w:t>
            </w:r>
          </w:p>
        </w:tc>
      </w:tr>
      <w:tr w14:paraId="3BC2A2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4F72578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9、设备名称</w:t>
            </w:r>
          </w:p>
        </w:tc>
        <w:tc>
          <w:tcPr>
            <w:tcW w:w="1877" w:type="dxa"/>
            <w:vAlign w:val="center"/>
          </w:tcPr>
          <w:p w14:paraId="7094170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抽屉式阶梯</w:t>
            </w:r>
          </w:p>
        </w:tc>
        <w:tc>
          <w:tcPr>
            <w:tcW w:w="1069" w:type="dxa"/>
            <w:vAlign w:val="center"/>
          </w:tcPr>
          <w:p w14:paraId="7C444A9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62EEAE8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79A9DD2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04974F1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1400</w:t>
            </w:r>
          </w:p>
        </w:tc>
      </w:tr>
      <w:tr w14:paraId="546741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0" w:hRule="atLeast"/>
        </w:trPr>
        <w:tc>
          <w:tcPr>
            <w:tcW w:w="2130" w:type="dxa"/>
            <w:vAlign w:val="center"/>
          </w:tcPr>
          <w:p w14:paraId="34E258E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6A798EC6">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 规格(mm)：330～1200×600×400（允差±5%）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用途：除可作为不同高度坐具外，亦可当简易的训练阶梯使用。 阶梯差100mm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材质：多层板</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结构形式：抽屉式阶梯</w:t>
            </w:r>
          </w:p>
        </w:tc>
      </w:tr>
      <w:tr w14:paraId="19663D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184CC4E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10、设备名称</w:t>
            </w:r>
          </w:p>
        </w:tc>
        <w:tc>
          <w:tcPr>
            <w:tcW w:w="1877" w:type="dxa"/>
            <w:vAlign w:val="center"/>
          </w:tcPr>
          <w:p w14:paraId="542BAE5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OT桌</w:t>
            </w:r>
          </w:p>
        </w:tc>
        <w:tc>
          <w:tcPr>
            <w:tcW w:w="1069" w:type="dxa"/>
            <w:vAlign w:val="center"/>
          </w:tcPr>
          <w:p w14:paraId="2ACBE4D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6B1716D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6FD5522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65BCDC8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1100</w:t>
            </w:r>
          </w:p>
        </w:tc>
      </w:tr>
      <w:tr w14:paraId="08796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4" w:hRule="atLeast"/>
        </w:trPr>
        <w:tc>
          <w:tcPr>
            <w:tcW w:w="2130" w:type="dxa"/>
            <w:vAlign w:val="center"/>
          </w:tcPr>
          <w:p w14:paraId="02590CF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2D53F20B">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1、桌面升架范围：620～850mm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2、手柄转动力距：10mm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3、桌面额定载荷≥：50kg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4、桌面尺寸（长×宽）mm：1500×800 允差： ±30mm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5、外形尺寸（长×宽×高）mm： ≥1500×800×620～850</w:t>
            </w:r>
          </w:p>
        </w:tc>
      </w:tr>
      <w:tr w14:paraId="41039A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34CA005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11、设备名称</w:t>
            </w:r>
          </w:p>
        </w:tc>
        <w:tc>
          <w:tcPr>
            <w:tcW w:w="1877" w:type="dxa"/>
            <w:vAlign w:val="center"/>
          </w:tcPr>
          <w:p w14:paraId="447B36F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电解质分析仪</w:t>
            </w:r>
          </w:p>
        </w:tc>
        <w:tc>
          <w:tcPr>
            <w:tcW w:w="1069" w:type="dxa"/>
            <w:vAlign w:val="center"/>
          </w:tcPr>
          <w:p w14:paraId="45F847C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60E71B1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1D068A1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1EEB395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18000</w:t>
            </w:r>
          </w:p>
        </w:tc>
      </w:tr>
      <w:tr w14:paraId="55249C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425AFAD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37550EC6">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1、技术特点：</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1-1、7英寸真彩色高清触摸屏，人机交互式菜单，操作和维护导航功能，在线故障自动报警及排除</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1-2、功能部件自动检测，传感部件自动判断、自动适应和自动校正</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1-3、先进的泉涌清洗和分段式气液混合冲洗，配合清洗配方，杜绝了堵塞和交叉污染现象</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1-4、一键式全方位维护操作，免除操作者繁杂工作及确保仪器最优工作状态</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1-5、 检测和计算项目: K+、Na+、Cl—、Ca2+、pH、nCa、TCa、等多种参数组合</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1-6、 较低的样品耗量：80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l～150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l，电解质项目从吸样到显示结果≤25秒</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1-7、 断电后仍可储存质控和样品数据，实现数据储存再现，超大存储量&gt;5000,并支持无限扩展</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1-8、 国际标准HL7协议，标配网络接口支持LIS联网，支持外接打印机、鼠标和键盘，支持U盘数据导出，支持软件在线升级。</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1-9、自动一点及两点定标，附加人工定标功能，自动斜率和均差参数调整，支持原厂质控参数条码扫描输入</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1-10、一体化试剂包，降低生物污染风险,符合环保要求</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1-11、独特的背光式电极观察窗，让检测一目了然</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1-12、试剂余量报警，条码耗材控制技术，确保用户用得放心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1-13、可选项自动进样盘，自动进样盘提供1个急诊测试位，3个质控测试位及25个样品测试位；进样盘配原始管加样、无需分装样品直接测量，液面检测及采样针防碰撞功能，外置条码扫描。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1-14、在线图文指导、自动纠错导航、帮助信息</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3 1-15、支持多任务操作</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1-16、支持样本或流路堵报警及自动和手动排堵功能,气泡报警功能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5 1-17、配套原厂质控(提供注册证) QC质控报警,锁定报警参数以防止测试</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6 1-18、PH有温度较准功能,保证结果更加准确</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 2、样品种类：血清</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3、测量范围和精度：</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 4. 工作条件：4-1、工作温度：10℃—40℃ 4-2、相对湿度：≤80%</w:t>
            </w:r>
          </w:p>
        </w:tc>
      </w:tr>
      <w:tr w14:paraId="06C33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789564F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12、设备名称</w:t>
            </w:r>
          </w:p>
        </w:tc>
        <w:tc>
          <w:tcPr>
            <w:tcW w:w="1877" w:type="dxa"/>
            <w:vAlign w:val="center"/>
          </w:tcPr>
          <w:p w14:paraId="164E6E7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恒温电蜡疗仪</w:t>
            </w:r>
          </w:p>
        </w:tc>
        <w:tc>
          <w:tcPr>
            <w:tcW w:w="1069" w:type="dxa"/>
            <w:vAlign w:val="center"/>
          </w:tcPr>
          <w:p w14:paraId="59F0508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734F071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39CFDD5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766B204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8500</w:t>
            </w:r>
          </w:p>
        </w:tc>
      </w:tr>
      <w:tr w14:paraId="322D2B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3" w:hRule="atLeast"/>
        </w:trPr>
        <w:tc>
          <w:tcPr>
            <w:tcW w:w="2130" w:type="dxa"/>
            <w:vAlign w:val="center"/>
          </w:tcPr>
          <w:p w14:paraId="0A499A1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44A968FB">
            <w:pPr>
              <w:widowControl w:val="0"/>
              <w:kinsoku/>
              <w:autoSpaceDE/>
              <w:autoSpaceDN/>
              <w:adjustRightInd/>
              <w:snapToGrid/>
              <w:jc w:val="both"/>
              <w:textAlignment w:val="auto"/>
              <w:rPr>
                <w:rFonts w:hint="eastAsia" w:ascii="等线" w:hAnsi="等线" w:eastAsia="等线" w:cs="宋体"/>
                <w:snapToGrid/>
                <w:sz w:val="22"/>
                <w:szCs w:val="22"/>
                <w:lang w:eastAsia="zh-CN"/>
              </w:rPr>
            </w:pPr>
            <w:r>
              <w:rPr>
                <w:rFonts w:hint="eastAsia" w:ascii="等线" w:hAnsi="等线" w:eastAsia="等线"/>
                <w:sz w:val="22"/>
                <w:szCs w:val="22"/>
                <w:lang w:eastAsia="zh-CN"/>
              </w:rPr>
              <w:t>1、电源：AC220V±10%  50Hz。</w:t>
            </w:r>
            <w:r>
              <w:rPr>
                <w:rFonts w:hint="eastAsia" w:ascii="等线" w:hAnsi="等线" w:eastAsia="等线"/>
                <w:sz w:val="22"/>
                <w:szCs w:val="22"/>
                <w:lang w:eastAsia="zh-CN"/>
              </w:rPr>
              <w:br w:type="textWrapping"/>
            </w:r>
            <w:r>
              <w:rPr>
                <w:rFonts w:hint="eastAsia" w:ascii="等线" w:hAnsi="等线" w:eastAsia="等线"/>
                <w:sz w:val="22"/>
                <w:szCs w:val="22"/>
                <w:lang w:eastAsia="zh-CN"/>
              </w:rPr>
              <w:t>2、额定输入功率：2600VA±10%</w:t>
            </w:r>
            <w:r>
              <w:rPr>
                <w:rFonts w:hint="eastAsia" w:ascii="等线" w:hAnsi="等线" w:eastAsia="等线"/>
                <w:sz w:val="22"/>
                <w:szCs w:val="22"/>
                <w:lang w:eastAsia="zh-CN"/>
              </w:rPr>
              <w:br w:type="textWrapping"/>
            </w:r>
            <w:r>
              <w:rPr>
                <w:rFonts w:hint="eastAsia" w:ascii="等线" w:hAnsi="等线" w:eastAsia="等线"/>
                <w:sz w:val="22"/>
                <w:szCs w:val="22"/>
                <w:lang w:eastAsia="zh-CN"/>
              </w:rPr>
              <w:t>▲3、设定温度范围：1～99℃可调，级差±1℃；</w:t>
            </w:r>
            <w:r>
              <w:rPr>
                <w:rFonts w:hint="eastAsia" w:ascii="等线" w:hAnsi="等线" w:eastAsia="等线"/>
                <w:sz w:val="22"/>
                <w:szCs w:val="22"/>
                <w:lang w:eastAsia="zh-CN"/>
              </w:rPr>
              <w:br w:type="textWrapping"/>
            </w:r>
            <w:r>
              <w:rPr>
                <w:rFonts w:hint="eastAsia" w:ascii="等线" w:hAnsi="等线" w:eastAsia="等线"/>
                <w:sz w:val="22"/>
                <w:szCs w:val="22"/>
                <w:lang w:eastAsia="zh-CN"/>
              </w:rPr>
              <w:t xml:space="preserve">4、外形尺寸：1040×425×670mm±10%(长*宽*高) </w:t>
            </w:r>
            <w:r>
              <w:rPr>
                <w:rFonts w:hint="eastAsia" w:ascii="等线" w:hAnsi="等线" w:eastAsia="等线"/>
                <w:sz w:val="22"/>
                <w:szCs w:val="22"/>
                <w:lang w:eastAsia="zh-CN"/>
              </w:rPr>
              <w:br w:type="textWrapping"/>
            </w:r>
            <w:r>
              <w:rPr>
                <w:rFonts w:hint="eastAsia" w:ascii="等线" w:hAnsi="等线" w:eastAsia="等线"/>
                <w:sz w:val="22"/>
                <w:szCs w:val="22"/>
                <w:lang w:eastAsia="zh-CN"/>
              </w:rPr>
              <w:t>5、熔蜡量：30kg；熔蜡槽容积：45L；</w:t>
            </w:r>
            <w:r>
              <w:rPr>
                <w:rFonts w:hint="eastAsia" w:ascii="等线" w:hAnsi="等线" w:eastAsia="等线"/>
                <w:sz w:val="22"/>
                <w:szCs w:val="22"/>
                <w:lang w:eastAsia="zh-CN"/>
              </w:rPr>
              <w:br w:type="textWrapping"/>
            </w:r>
            <w:r>
              <w:rPr>
                <w:rFonts w:hint="eastAsia" w:ascii="等线" w:hAnsi="等线" w:eastAsia="等线"/>
                <w:sz w:val="22"/>
                <w:szCs w:val="22"/>
                <w:lang w:eastAsia="zh-CN"/>
              </w:rPr>
              <w:t>▲6、具有自然过滤装置，达到温度后自动对熔化后的蜡液进行过滤，过滤密度：50目。</w:t>
            </w:r>
            <w:r>
              <w:rPr>
                <w:rFonts w:hint="eastAsia" w:ascii="等线" w:hAnsi="等线" w:eastAsia="等线"/>
                <w:sz w:val="22"/>
                <w:szCs w:val="22"/>
                <w:lang w:eastAsia="zh-CN"/>
              </w:rPr>
              <w:br w:type="textWrapping"/>
            </w:r>
            <w:r>
              <w:rPr>
                <w:rFonts w:hint="eastAsia" w:ascii="等线" w:hAnsi="等线" w:eastAsia="等线"/>
                <w:sz w:val="22"/>
                <w:szCs w:val="22"/>
                <w:lang w:eastAsia="zh-CN"/>
              </w:rPr>
              <w:t>7、显示方式：数码管显示。</w:t>
            </w:r>
            <w:r>
              <w:rPr>
                <w:rFonts w:hint="eastAsia" w:ascii="等线" w:hAnsi="等线" w:eastAsia="等线"/>
                <w:sz w:val="22"/>
                <w:szCs w:val="22"/>
                <w:lang w:eastAsia="zh-CN"/>
              </w:rPr>
              <w:br w:type="textWrapping"/>
            </w:r>
            <w:r>
              <w:rPr>
                <w:rFonts w:hint="eastAsia" w:ascii="等线" w:hAnsi="等线" w:eastAsia="等线"/>
                <w:sz w:val="22"/>
                <w:szCs w:val="22"/>
                <w:lang w:eastAsia="zh-CN"/>
              </w:rPr>
              <w:t>产品优势：</w:t>
            </w:r>
            <w:r>
              <w:rPr>
                <w:rFonts w:hint="eastAsia" w:ascii="等线" w:hAnsi="等线" w:eastAsia="等线"/>
                <w:sz w:val="22"/>
                <w:szCs w:val="22"/>
                <w:lang w:eastAsia="zh-CN"/>
              </w:rPr>
              <w:br w:type="textWrapping"/>
            </w:r>
            <w:r>
              <w:rPr>
                <w:rFonts w:hint="eastAsia" w:ascii="等线" w:hAnsi="等线" w:eastAsia="等线"/>
                <w:sz w:val="22"/>
                <w:szCs w:val="22"/>
                <w:lang w:eastAsia="zh-CN"/>
              </w:rPr>
              <w:t>1、温度控制精度：±1℃；</w:t>
            </w:r>
            <w:r>
              <w:rPr>
                <w:rFonts w:hint="eastAsia" w:ascii="等线" w:hAnsi="等线" w:eastAsia="等线"/>
                <w:sz w:val="22"/>
                <w:szCs w:val="22"/>
                <w:lang w:eastAsia="zh-CN"/>
              </w:rPr>
              <w:br w:type="textWrapping"/>
            </w:r>
            <w:r>
              <w:rPr>
                <w:rFonts w:hint="eastAsia" w:ascii="等线" w:hAnsi="等线" w:eastAsia="等线"/>
                <w:sz w:val="22"/>
                <w:szCs w:val="22"/>
                <w:lang w:eastAsia="zh-CN"/>
              </w:rPr>
              <w:t>2、熔蜡量：30kg（初次熔蜡≤2小时）；</w:t>
            </w:r>
            <w:r>
              <w:rPr>
                <w:rFonts w:hint="eastAsia" w:ascii="等线" w:hAnsi="等线" w:eastAsia="等线"/>
                <w:sz w:val="22"/>
                <w:szCs w:val="22"/>
                <w:lang w:eastAsia="zh-CN"/>
              </w:rPr>
              <w:br w:type="textWrapping"/>
            </w:r>
            <w:r>
              <w:rPr>
                <w:rFonts w:hint="eastAsia" w:ascii="等线" w:hAnsi="等线" w:eastAsia="等线"/>
                <w:sz w:val="22"/>
                <w:szCs w:val="22"/>
                <w:lang w:eastAsia="zh-CN"/>
              </w:rPr>
              <w:t>3、自动控温装置，使蜡始终保持在58℃-60℃之间；</w:t>
            </w:r>
            <w:r>
              <w:rPr>
                <w:rFonts w:hint="eastAsia" w:ascii="等线" w:hAnsi="等线" w:eastAsia="等线"/>
                <w:sz w:val="22"/>
                <w:szCs w:val="22"/>
                <w:lang w:eastAsia="zh-CN"/>
              </w:rPr>
              <w:br w:type="textWrapping"/>
            </w:r>
            <w:r>
              <w:rPr>
                <w:rFonts w:hint="eastAsia" w:ascii="等线" w:hAnsi="等线" w:eastAsia="等线"/>
                <w:sz w:val="22"/>
                <w:szCs w:val="22"/>
                <w:lang w:eastAsia="zh-CN"/>
              </w:rPr>
              <w:t>4、具有自动开关机功能，可设定7*24h工作参数，开机后自动工作，无需每天关机，参数设定后，可长期保存；</w:t>
            </w:r>
            <w:r>
              <w:rPr>
                <w:rFonts w:hint="eastAsia" w:ascii="等线" w:hAnsi="等线" w:eastAsia="等线"/>
                <w:sz w:val="22"/>
                <w:szCs w:val="22"/>
                <w:lang w:eastAsia="zh-CN"/>
              </w:rPr>
              <w:br w:type="textWrapping"/>
            </w:r>
            <w:r>
              <w:rPr>
                <w:rFonts w:hint="eastAsia" w:ascii="等线" w:hAnsi="等线" w:eastAsia="等线"/>
                <w:sz w:val="22"/>
                <w:szCs w:val="22"/>
                <w:lang w:eastAsia="zh-CN"/>
              </w:rPr>
              <w:t>5、设有强制加热、停止键，可应付非常规时间治疗，无需重设参数；</w:t>
            </w:r>
            <w:r>
              <w:rPr>
                <w:rFonts w:hint="eastAsia" w:ascii="等线" w:hAnsi="等线" w:eastAsia="等线"/>
                <w:sz w:val="22"/>
                <w:szCs w:val="22"/>
                <w:lang w:eastAsia="zh-CN"/>
              </w:rPr>
              <w:br w:type="textWrapping"/>
            </w:r>
            <w:r>
              <w:rPr>
                <w:rFonts w:hint="eastAsia" w:ascii="等线" w:hAnsi="等线" w:eastAsia="等线"/>
                <w:sz w:val="22"/>
                <w:szCs w:val="22"/>
                <w:lang w:eastAsia="zh-CN"/>
              </w:rPr>
              <w:t>6、橡胶脚轮，移动时平稳安静没有噪音，结实耐用；</w:t>
            </w:r>
            <w:r>
              <w:rPr>
                <w:rFonts w:hint="eastAsia" w:ascii="等线" w:hAnsi="等线" w:eastAsia="等线"/>
                <w:sz w:val="22"/>
                <w:szCs w:val="22"/>
                <w:lang w:eastAsia="zh-CN"/>
              </w:rPr>
              <w:br w:type="textWrapping"/>
            </w:r>
            <w:r>
              <w:rPr>
                <w:rFonts w:hint="eastAsia" w:ascii="等线" w:hAnsi="等线" w:eastAsia="等线"/>
                <w:sz w:val="22"/>
                <w:szCs w:val="22"/>
                <w:lang w:eastAsia="zh-CN"/>
              </w:rPr>
              <w:t>7、有水化蜡型，具有防干烧装置；</w:t>
            </w:r>
            <w:r>
              <w:rPr>
                <w:rFonts w:hint="eastAsia" w:ascii="等线" w:hAnsi="等线" w:eastAsia="等线"/>
                <w:sz w:val="22"/>
                <w:szCs w:val="22"/>
                <w:lang w:eastAsia="zh-CN"/>
              </w:rPr>
              <w:br w:type="textWrapping"/>
            </w:r>
            <w:r>
              <w:rPr>
                <w:rFonts w:hint="eastAsia" w:ascii="等线" w:hAnsi="等线" w:eastAsia="等线"/>
                <w:sz w:val="22"/>
                <w:szCs w:val="22"/>
                <w:lang w:eastAsia="zh-CN"/>
              </w:rPr>
              <w:t>▲8、具有漏电、超流、超压保护装置；具有双重软件和独立的硬件温度保护功能；</w:t>
            </w:r>
            <w:r>
              <w:rPr>
                <w:rFonts w:hint="eastAsia" w:ascii="等线" w:hAnsi="等线" w:eastAsia="等线"/>
                <w:sz w:val="22"/>
                <w:szCs w:val="22"/>
                <w:lang w:eastAsia="zh-CN"/>
              </w:rPr>
              <w:br w:type="textWrapping"/>
            </w:r>
            <w:r>
              <w:rPr>
                <w:rFonts w:hint="eastAsia" w:ascii="等线" w:hAnsi="等线" w:eastAsia="等线"/>
                <w:sz w:val="22"/>
                <w:szCs w:val="22"/>
                <w:lang w:eastAsia="zh-CN"/>
              </w:rPr>
              <w:t>9、全自动微电脑PWM控制，节能且稳定，可做浸蜡治疗，亦可手动做蜡饼（自带不锈钢托盘）；</w:t>
            </w:r>
            <w:r>
              <w:rPr>
                <w:rFonts w:hint="eastAsia" w:ascii="等线" w:hAnsi="等线" w:eastAsia="等线"/>
                <w:sz w:val="22"/>
                <w:szCs w:val="22"/>
                <w:lang w:eastAsia="zh-CN"/>
              </w:rPr>
              <w:br w:type="textWrapping"/>
            </w:r>
            <w:r>
              <w:rPr>
                <w:rFonts w:hint="eastAsia" w:ascii="等线" w:hAnsi="等线" w:eastAsia="等线"/>
                <w:sz w:val="22"/>
                <w:szCs w:val="22"/>
                <w:lang w:eastAsia="zh-CN"/>
              </w:rPr>
              <w:t>10、多重故障自检，错误代码显示。</w:t>
            </w:r>
          </w:p>
        </w:tc>
      </w:tr>
      <w:tr w14:paraId="6D8BA0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09FD7BB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13、设备名称</w:t>
            </w:r>
          </w:p>
        </w:tc>
        <w:tc>
          <w:tcPr>
            <w:tcW w:w="1877" w:type="dxa"/>
            <w:vAlign w:val="center"/>
          </w:tcPr>
          <w:p w14:paraId="5C7F665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吞咽治疗仪</w:t>
            </w:r>
          </w:p>
        </w:tc>
        <w:tc>
          <w:tcPr>
            <w:tcW w:w="1069" w:type="dxa"/>
            <w:vAlign w:val="center"/>
          </w:tcPr>
          <w:p w14:paraId="1E86933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2BCA7CD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1225535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3CFA689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31000</w:t>
            </w:r>
          </w:p>
        </w:tc>
      </w:tr>
      <w:tr w14:paraId="34A56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trPr>
        <w:tc>
          <w:tcPr>
            <w:tcW w:w="2130" w:type="dxa"/>
            <w:vAlign w:val="center"/>
          </w:tcPr>
          <w:p w14:paraId="2096768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474EC9ED">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 用途：适用于非机械性吞咽功能障碍患者的辅助治疗。</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2.技术参数</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治疗模式：连续脉冲治疗模式。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GAME模式具有力量训练、耐力训练、协调性训练三种主动肌电反馈训练程序，并在软件程序上有显示。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 .具有输出保护功能，任何单一组件具有短路保护（电极脱路或未连接电极具有提示）。。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 软件控制程序具有数据存储功能。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 反馈阈值：10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V～1000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8.分辨率(测量灵敏度)： 1</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9.通频带20Hz～500Hz( 3dB)(不包括陷波波段)。</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10.工频陷波器：刺激仪应有50Hz陷波滤波器，衰减后幅值应不大于5</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V(峰～谷值)。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 ETS（触发电刺激）模式性能：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（1）频率(FQ)：2Hz～100Hz可调，2Hz～5Hz级差1Hz；5Hz～100Hz级差5Hz，允差±0.5Hz或±10%取大值；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输出波形：双向方波；</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阈值（HTR）：10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V～1000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V可调，级差10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V，允差±2</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V或±10%取较大值；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触发后延时输出时间（WT）：0.1s～4.0s可调，级差0.1s，允差±0.05s或允差±10%取较大值；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 启动后输出持续时间（TD）：0.0～4.0s可调，级差0.1s，允差±0.05s或允差±10%取较大值；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（6）脉冲宽度：200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s，允差±10%；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251.16.7 输出峰值电流：0～60mA可调，0～5mA，级差1mA；5mA～21mA,级差0.5mA；21mA～60mA；级差0.1mA；允差±2mA或±10%取较大值。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 NMES模式性能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 输出波形：双向平衡波；</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机内共有4个固定处方，1个自定义处方，自定义可设定参数如下：</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频率（FQ)2Hz～100Hz，级差1Hz,允差±0.5Hz或±10%取较大值;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单个脉冲持续时间(PD)50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s～450</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s可调，级差1</w:t>
            </w:r>
            <w:r>
              <w:rPr>
                <w:rFonts w:hint="eastAsia" w:ascii="宋体" w:hAnsi="宋体" w:eastAsia="宋体" w:cs="宋体"/>
                <w:color w:val="auto"/>
                <w:spacing w:val="-2"/>
                <w:sz w:val="24"/>
                <w:szCs w:val="24"/>
              </w:rPr>
              <w:t>μ</w:t>
            </w:r>
            <w:r>
              <w:rPr>
                <w:rFonts w:hint="eastAsia" w:ascii="宋体" w:hAnsi="宋体" w:eastAsia="宋体" w:cs="宋体"/>
                <w:color w:val="auto"/>
                <w:spacing w:val="-2"/>
                <w:sz w:val="24"/>
                <w:szCs w:val="24"/>
                <w:lang w:eastAsia="zh-CN"/>
              </w:rPr>
              <w:t>s，允差±10%;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 脉冲串持续时间（WT）1s～100s，级差1s,允差±10%;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 脉冲串间隔时间（RT）1s～100s，级差1s,允差±10%；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 上升时间（RU）与下降时间（RD）之和不大于脉冲串持续时间，允差±10%；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（8）治疗时间（Time）：1min～120min可调，步进为1min，允差为±30s。</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 输出峰值电流：0～60mA可调，0～5mA，级差1mA；5mA～21mA,级差0.5mA；21～60mA；级差0.1mA；允差±2mA或±10%取较大值。</w:t>
            </w:r>
          </w:p>
        </w:tc>
      </w:tr>
      <w:tr w14:paraId="7D315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485E3C8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14、设备名称</w:t>
            </w:r>
          </w:p>
        </w:tc>
        <w:tc>
          <w:tcPr>
            <w:tcW w:w="1877" w:type="dxa"/>
            <w:vAlign w:val="center"/>
          </w:tcPr>
          <w:p w14:paraId="6244AFF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电动起立床</w:t>
            </w:r>
          </w:p>
        </w:tc>
        <w:tc>
          <w:tcPr>
            <w:tcW w:w="1069" w:type="dxa"/>
            <w:vAlign w:val="center"/>
          </w:tcPr>
          <w:p w14:paraId="001F043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40F1DDB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19D39B9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660587A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13000</w:t>
            </w:r>
          </w:p>
        </w:tc>
      </w:tr>
      <w:tr w14:paraId="39583F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698FE47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503C6E17">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1.使用电源：交流电压 220V±22V，频率 50Hz±1Hz；</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2.额定输入功率：120VA；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3.控制方式：手柄控制；</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4.床体（不含扶手桌面或扶手杆）尺寸：长 2100mm×宽780mm×高840mm，允差±50mm；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5.床面离地高度 550mm，允差±50mm；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6.扶手桌面固定架调节最长长度：200mm±10mm，在 0 到最长长度范围内连续可调；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7.脚踏板承重 135kg；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8.床面载荷 135Kg；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9.床面直立角度：最大为 90°±5°；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#10.脚踏板调节角度：内翻最小为 0°±3°，最大为 30°±3°；外翻最小为0°±3°，最大为 30°±3°；背屈最小为 0°±3°，最大为 25°±3°；跖屈最小为0°±3°，最大为 26°±3；</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11.治疗时间：由操作者通过手柄控制控制治疗时间；</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12.工作噪音≤55dB(A)。</w:t>
            </w:r>
          </w:p>
        </w:tc>
      </w:tr>
      <w:tr w14:paraId="0FA35B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0985EEA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15、设备名称</w:t>
            </w:r>
          </w:p>
        </w:tc>
        <w:tc>
          <w:tcPr>
            <w:tcW w:w="1877" w:type="dxa"/>
            <w:vAlign w:val="center"/>
          </w:tcPr>
          <w:p w14:paraId="7220222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站立架</w:t>
            </w:r>
          </w:p>
        </w:tc>
        <w:tc>
          <w:tcPr>
            <w:tcW w:w="1069" w:type="dxa"/>
            <w:vAlign w:val="center"/>
          </w:tcPr>
          <w:p w14:paraId="55CBFF1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0E0556F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7DE5299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5B7AC34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1300</w:t>
            </w:r>
          </w:p>
        </w:tc>
      </w:tr>
      <w:tr w14:paraId="08511A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6" w:hRule="atLeast"/>
        </w:trPr>
        <w:tc>
          <w:tcPr>
            <w:tcW w:w="2130" w:type="dxa"/>
            <w:vAlign w:val="center"/>
          </w:tcPr>
          <w:p w14:paraId="08FF169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3D12764C">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1.用途：截瘫、脑瘫等站立功能障碍患者站立训练，也可预防改善骨质疏松、压疮、心肺功能降低等</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2.台面高度调节范围mm：980～1150胸托架前后调节范围mm：90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3.背托架前后调节范围mm：200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4.膝部托架调节范围mm：前后：80、上下：230</w:t>
            </w:r>
          </w:p>
        </w:tc>
      </w:tr>
      <w:tr w14:paraId="64C42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2A717E2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16、设备名称</w:t>
            </w:r>
          </w:p>
        </w:tc>
        <w:tc>
          <w:tcPr>
            <w:tcW w:w="1877" w:type="dxa"/>
            <w:vAlign w:val="center"/>
          </w:tcPr>
          <w:p w14:paraId="5F00A09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训练用阶梯</w:t>
            </w:r>
          </w:p>
        </w:tc>
        <w:tc>
          <w:tcPr>
            <w:tcW w:w="1069" w:type="dxa"/>
            <w:vAlign w:val="center"/>
          </w:tcPr>
          <w:p w14:paraId="361D8A3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264C0CC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4E936CA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08BD647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2900</w:t>
            </w:r>
          </w:p>
        </w:tc>
      </w:tr>
      <w:tr w14:paraId="46A230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3" w:hRule="atLeast"/>
        </w:trPr>
        <w:tc>
          <w:tcPr>
            <w:tcW w:w="2130" w:type="dxa"/>
            <w:vAlign w:val="center"/>
          </w:tcPr>
          <w:p w14:paraId="5379646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730CA1A5">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1.用途：主要用于患者恢复日常上下楼功能及行走能力的训练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2.扶手杠调节范围0～20cm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3.扶手杠侧向额定载荷≥70kg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4.结构由阶梯，扶手组成</w:t>
            </w:r>
          </w:p>
        </w:tc>
      </w:tr>
      <w:tr w14:paraId="5DAE0D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573BC2D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17、设备名称</w:t>
            </w:r>
          </w:p>
        </w:tc>
        <w:tc>
          <w:tcPr>
            <w:tcW w:w="1877" w:type="dxa"/>
            <w:vAlign w:val="center"/>
          </w:tcPr>
          <w:p w14:paraId="2AAED50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木插板</w:t>
            </w:r>
          </w:p>
        </w:tc>
        <w:tc>
          <w:tcPr>
            <w:tcW w:w="1069" w:type="dxa"/>
            <w:vAlign w:val="center"/>
          </w:tcPr>
          <w:p w14:paraId="102E367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57ED634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49067D0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18F72E0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500</w:t>
            </w:r>
          </w:p>
        </w:tc>
      </w:tr>
      <w:tr w14:paraId="4AD62C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5" w:hRule="atLeast"/>
        </w:trPr>
        <w:tc>
          <w:tcPr>
            <w:tcW w:w="2130" w:type="dxa"/>
            <w:vAlign w:val="center"/>
          </w:tcPr>
          <w:p w14:paraId="7955297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5324EE48">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1.外形尺寸（长x宽x高）（大）：≥34.5x28x10cm，棒</w:t>
            </w:r>
            <w:r>
              <w:rPr>
                <w:rFonts w:hint="eastAsia" w:ascii="宋体" w:hAnsi="宋体" w:eastAsia="宋体" w:cs="宋体"/>
                <w:color w:val="auto"/>
                <w:spacing w:val="-2"/>
                <w:sz w:val="24"/>
                <w:szCs w:val="24"/>
              </w:rPr>
              <w:t>Φ</w:t>
            </w:r>
            <w:r>
              <w:rPr>
                <w:rFonts w:hint="eastAsia" w:ascii="宋体" w:hAnsi="宋体" w:eastAsia="宋体" w:cs="宋体"/>
                <w:color w:val="auto"/>
                <w:spacing w:val="-2"/>
                <w:sz w:val="24"/>
                <w:szCs w:val="24"/>
                <w:lang w:eastAsia="zh-CN"/>
              </w:rPr>
              <w:t>≥2.5x10cm，≥20个</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2.外形尺寸（长x宽x高）（中）：≥21.5x17x9cm，直径≥1.8x0.9cm，数量≥20个 3.外形尺寸（长x宽x高）（小）：≥17x14x7cm，直径≥1.3x0.8cm，数量≥20个</w:t>
            </w:r>
          </w:p>
        </w:tc>
      </w:tr>
      <w:tr w14:paraId="1D3B45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1578FD3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18、设备名称</w:t>
            </w:r>
          </w:p>
        </w:tc>
        <w:tc>
          <w:tcPr>
            <w:tcW w:w="1877" w:type="dxa"/>
            <w:vAlign w:val="center"/>
          </w:tcPr>
          <w:p w14:paraId="5D97CDF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上肢协调功能训练器</w:t>
            </w:r>
          </w:p>
        </w:tc>
        <w:tc>
          <w:tcPr>
            <w:tcW w:w="1069" w:type="dxa"/>
            <w:vAlign w:val="center"/>
          </w:tcPr>
          <w:p w14:paraId="23C5A7D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70C5C46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6E0C1AE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616FE89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700</w:t>
            </w:r>
          </w:p>
        </w:tc>
      </w:tr>
      <w:tr w14:paraId="0BD539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2" w:hRule="atLeast"/>
        </w:trPr>
        <w:tc>
          <w:tcPr>
            <w:tcW w:w="2130" w:type="dxa"/>
            <w:vAlign w:val="center"/>
          </w:tcPr>
          <w:p w14:paraId="05D5975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6E1A8E62">
            <w:pPr>
              <w:widowControl w:val="0"/>
              <w:kinsoku/>
              <w:autoSpaceDE/>
              <w:autoSpaceDN/>
              <w:adjustRightInd/>
              <w:snapToGrid/>
              <w:jc w:val="both"/>
              <w:textAlignment w:val="auto"/>
              <w:rPr>
                <w:rFonts w:hint="eastAsia" w:ascii="等线" w:hAnsi="等线" w:eastAsia="等线" w:cs="宋体"/>
                <w:snapToGrid/>
                <w:sz w:val="22"/>
                <w:szCs w:val="22"/>
                <w:lang w:eastAsia="zh-CN"/>
              </w:rPr>
            </w:pPr>
            <w:r>
              <w:rPr>
                <w:rFonts w:hint="eastAsia" w:ascii="等线" w:hAnsi="等线" w:eastAsia="等线"/>
                <w:sz w:val="22"/>
                <w:szCs w:val="22"/>
                <w:lang w:eastAsia="zh-CN"/>
              </w:rPr>
              <w:t>规格(mm)：240×230×300</w:t>
            </w:r>
            <w:r>
              <w:rPr>
                <w:rFonts w:hint="eastAsia" w:ascii="等线" w:hAnsi="等线" w:eastAsia="等线"/>
                <w:sz w:val="22"/>
                <w:szCs w:val="22"/>
                <w:lang w:eastAsia="zh-CN"/>
              </w:rPr>
              <w:br w:type="textWrapping"/>
            </w:r>
            <w:r>
              <w:rPr>
                <w:rFonts w:hint="eastAsia" w:ascii="等线" w:hAnsi="等线" w:eastAsia="等线"/>
                <w:sz w:val="22"/>
                <w:szCs w:val="22"/>
                <w:lang w:eastAsia="zh-CN"/>
              </w:rPr>
              <w:t>功能：作为患者进行上肢灵活性、协调性训练的辅助用具，</w:t>
            </w:r>
            <w:r>
              <w:rPr>
                <w:rFonts w:hint="eastAsia" w:ascii="等线" w:hAnsi="等线" w:eastAsia="等线"/>
                <w:sz w:val="22"/>
                <w:szCs w:val="22"/>
                <w:lang w:eastAsia="zh-CN"/>
              </w:rPr>
              <w:br w:type="textWrapping"/>
            </w:r>
            <w:r>
              <w:rPr>
                <w:rFonts w:hint="eastAsia" w:ascii="等线" w:hAnsi="等线" w:eastAsia="等线"/>
                <w:sz w:val="22"/>
                <w:szCs w:val="22"/>
                <w:lang w:eastAsia="zh-CN"/>
              </w:rPr>
              <w:t>提高上肢的日常活动能力</w:t>
            </w:r>
            <w:r>
              <w:rPr>
                <w:rFonts w:hint="eastAsia" w:ascii="等线" w:hAnsi="等线" w:eastAsia="等线"/>
                <w:sz w:val="22"/>
                <w:szCs w:val="22"/>
                <w:lang w:eastAsia="zh-CN"/>
              </w:rPr>
              <w:br w:type="textWrapping"/>
            </w:r>
            <w:r>
              <w:rPr>
                <w:rFonts w:hint="eastAsia" w:ascii="等线" w:hAnsi="等线" w:eastAsia="等线"/>
                <w:sz w:val="22"/>
                <w:szCs w:val="22"/>
                <w:lang w:eastAsia="zh-CN"/>
              </w:rPr>
              <w:t>材质：多层板、实木</w:t>
            </w:r>
            <w:r>
              <w:rPr>
                <w:rFonts w:hint="eastAsia" w:ascii="等线" w:hAnsi="等线" w:eastAsia="等线"/>
                <w:sz w:val="22"/>
                <w:szCs w:val="22"/>
                <w:lang w:eastAsia="zh-CN"/>
              </w:rPr>
              <w:br w:type="textWrapping"/>
            </w:r>
            <w:r>
              <w:rPr>
                <w:rFonts w:hint="eastAsia" w:ascii="等线" w:hAnsi="等线" w:eastAsia="等线"/>
                <w:sz w:val="22"/>
                <w:szCs w:val="22"/>
                <w:lang w:eastAsia="zh-CN"/>
              </w:rPr>
              <w:t>结构形式：底座、训练块、木螺丝等</w:t>
            </w:r>
          </w:p>
        </w:tc>
      </w:tr>
      <w:tr w14:paraId="693FF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0E1AB61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19、设备名称</w:t>
            </w:r>
          </w:p>
        </w:tc>
        <w:tc>
          <w:tcPr>
            <w:tcW w:w="1877" w:type="dxa"/>
            <w:vAlign w:val="center"/>
          </w:tcPr>
          <w:p w14:paraId="31C7AD0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体操棒与抛接球</w:t>
            </w:r>
          </w:p>
        </w:tc>
        <w:tc>
          <w:tcPr>
            <w:tcW w:w="1069" w:type="dxa"/>
            <w:vAlign w:val="center"/>
          </w:tcPr>
          <w:p w14:paraId="5444B86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6B626A3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39914E9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1680E0E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800</w:t>
            </w:r>
          </w:p>
        </w:tc>
      </w:tr>
      <w:tr w14:paraId="0A6C05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55432B0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0CD60AE1">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结构型式：体操棒、抛接球、木架</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材质：木制</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xml:space="preserve">体操棒规格(cm)： </w:t>
            </w:r>
            <w:r>
              <w:rPr>
                <w:rFonts w:hint="eastAsia" w:ascii="宋体" w:hAnsi="宋体" w:eastAsia="宋体" w:cs="宋体"/>
                <w:color w:val="auto"/>
                <w:spacing w:val="-2"/>
                <w:sz w:val="24"/>
                <w:szCs w:val="24"/>
              </w:rPr>
              <w:t>Φ</w:t>
            </w:r>
            <w:r>
              <w:rPr>
                <w:rFonts w:hint="eastAsia" w:ascii="宋体" w:hAnsi="宋体" w:eastAsia="宋体" w:cs="宋体"/>
                <w:color w:val="auto"/>
                <w:spacing w:val="-2"/>
                <w:sz w:val="24"/>
                <w:szCs w:val="24"/>
                <w:lang w:eastAsia="zh-CN"/>
              </w:rPr>
              <w:t>3×100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体操棒数量：≥ 4个</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抛接球直径(cm)： 20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抛接球数量：3个</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操棒侧向可承受最大荷载(n)：≥ 100改善上肢活动范围，提高肢体协调控制及平衡能力</w:t>
            </w:r>
          </w:p>
        </w:tc>
      </w:tr>
      <w:tr w14:paraId="2BE56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6D24559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20、设备名称</w:t>
            </w:r>
          </w:p>
        </w:tc>
        <w:tc>
          <w:tcPr>
            <w:tcW w:w="1877" w:type="dxa"/>
            <w:vAlign w:val="center"/>
          </w:tcPr>
          <w:p w14:paraId="25F42AF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海绵枕</w:t>
            </w:r>
          </w:p>
        </w:tc>
        <w:tc>
          <w:tcPr>
            <w:tcW w:w="1069" w:type="dxa"/>
            <w:vAlign w:val="center"/>
          </w:tcPr>
          <w:p w14:paraId="2322217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6F6AF89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75CEDC2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1BE14374">
            <w:pPr>
              <w:widowControl w:val="0"/>
              <w:jc w:val="center"/>
              <w:rPr>
                <w:rFonts w:hint="eastAsia" w:ascii="仿宋" w:hAnsi="仿宋" w:eastAsia="仿宋"/>
                <w:sz w:val="24"/>
                <w:szCs w:val="24"/>
              </w:rPr>
            </w:pPr>
            <w:r>
              <w:rPr>
                <w:rFonts w:hint="eastAsia" w:ascii="仿宋" w:hAnsi="仿宋" w:eastAsia="仿宋"/>
                <w:sz w:val="24"/>
                <w:szCs w:val="24"/>
              </w:rPr>
              <w:t>300</w:t>
            </w:r>
          </w:p>
        </w:tc>
      </w:tr>
      <w:tr w14:paraId="6215FB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2130" w:type="dxa"/>
            <w:vAlign w:val="center"/>
          </w:tcPr>
          <w:p w14:paraId="1AAA44E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11220B3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材质：帆布、海绵</w:t>
            </w:r>
          </w:p>
        </w:tc>
      </w:tr>
      <w:tr w14:paraId="6CF0D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00559DA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21、设备名称</w:t>
            </w:r>
          </w:p>
        </w:tc>
        <w:tc>
          <w:tcPr>
            <w:tcW w:w="1877" w:type="dxa"/>
            <w:vAlign w:val="center"/>
          </w:tcPr>
          <w:p w14:paraId="6F8DAE6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平衡垫</w:t>
            </w:r>
          </w:p>
        </w:tc>
        <w:tc>
          <w:tcPr>
            <w:tcW w:w="1069" w:type="dxa"/>
            <w:vAlign w:val="center"/>
          </w:tcPr>
          <w:p w14:paraId="2967F7F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149F90A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487DF23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22C14E98">
            <w:pPr>
              <w:widowControl w:val="0"/>
              <w:jc w:val="center"/>
              <w:rPr>
                <w:rFonts w:hint="eastAsia" w:ascii="仿宋" w:hAnsi="仿宋" w:eastAsia="仿宋"/>
                <w:sz w:val="24"/>
                <w:szCs w:val="24"/>
              </w:rPr>
            </w:pPr>
            <w:r>
              <w:rPr>
                <w:rFonts w:hint="eastAsia" w:ascii="仿宋" w:hAnsi="仿宋" w:eastAsia="仿宋"/>
                <w:sz w:val="24"/>
                <w:szCs w:val="24"/>
              </w:rPr>
              <w:t>540</w:t>
            </w:r>
          </w:p>
        </w:tc>
      </w:tr>
      <w:tr w14:paraId="73D9C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8" w:hRule="atLeast"/>
        </w:trPr>
        <w:tc>
          <w:tcPr>
            <w:tcW w:w="2130" w:type="dxa"/>
            <w:vAlign w:val="center"/>
          </w:tcPr>
          <w:p w14:paraId="6F409A4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1C6BEFC3">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1、长度≥180cm，宽度≥60cm，厚度≥8mm。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2、环保材质 ，采用双色复合，具备突出的高回弹性和肌肤亲和力</w:t>
            </w:r>
          </w:p>
        </w:tc>
      </w:tr>
      <w:tr w14:paraId="68B550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05D1FDF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22、设备名称</w:t>
            </w:r>
          </w:p>
        </w:tc>
        <w:tc>
          <w:tcPr>
            <w:tcW w:w="1877" w:type="dxa"/>
            <w:vAlign w:val="center"/>
          </w:tcPr>
          <w:p w14:paraId="64091E6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中频治疗仪</w:t>
            </w:r>
          </w:p>
        </w:tc>
        <w:tc>
          <w:tcPr>
            <w:tcW w:w="1069" w:type="dxa"/>
            <w:vAlign w:val="center"/>
          </w:tcPr>
          <w:p w14:paraId="4CDF892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369D075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41305A1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76FD265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2900</w:t>
            </w:r>
          </w:p>
        </w:tc>
      </w:tr>
      <w:tr w14:paraId="5BB5B5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0EDEC1A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12B8EF01">
            <w:pPr>
              <w:widowControl w:val="0"/>
              <w:kinsoku/>
              <w:autoSpaceDE/>
              <w:autoSpaceDN/>
              <w:adjustRightInd/>
              <w:snapToGrid/>
              <w:jc w:val="both"/>
              <w:textAlignment w:val="auto"/>
              <w:rPr>
                <w:rFonts w:hint="eastAsia" w:ascii="等线" w:hAnsi="等线" w:eastAsia="等线" w:cs="宋体"/>
                <w:snapToGrid/>
                <w:sz w:val="22"/>
                <w:szCs w:val="22"/>
                <w:lang w:eastAsia="zh-CN"/>
              </w:rPr>
            </w:pPr>
            <w:r>
              <w:rPr>
                <w:rFonts w:hint="eastAsia" w:ascii="等线" w:hAnsi="等线" w:eastAsia="等线"/>
                <w:sz w:val="22"/>
                <w:szCs w:val="22"/>
                <w:lang w:eastAsia="zh-CN"/>
              </w:rPr>
              <w:t>1、额定输入功率：130VA。额定电源电压：220V，频率：50Hz</w:t>
            </w:r>
            <w:r>
              <w:rPr>
                <w:rFonts w:hint="eastAsia" w:ascii="等线" w:hAnsi="等线" w:eastAsia="等线"/>
                <w:sz w:val="22"/>
                <w:szCs w:val="22"/>
                <w:lang w:eastAsia="zh-CN"/>
              </w:rPr>
              <w:br w:type="textWrapping"/>
            </w:r>
            <w:r>
              <w:rPr>
                <w:rFonts w:hint="eastAsia" w:ascii="等线" w:hAnsi="等线" w:eastAsia="等线"/>
                <w:sz w:val="22"/>
                <w:szCs w:val="22"/>
                <w:lang w:eastAsia="zh-CN"/>
              </w:rPr>
              <w:t>▲2、两路中频加透热输出。</w:t>
            </w:r>
            <w:r>
              <w:rPr>
                <w:rFonts w:hint="eastAsia" w:ascii="等线" w:hAnsi="等线" w:eastAsia="等线"/>
                <w:sz w:val="22"/>
                <w:szCs w:val="22"/>
                <w:lang w:eastAsia="zh-CN"/>
              </w:rPr>
              <w:br w:type="textWrapping"/>
            </w:r>
            <w:r>
              <w:rPr>
                <w:rFonts w:hint="eastAsia" w:ascii="等线" w:hAnsi="等线" w:eastAsia="等线"/>
                <w:sz w:val="22"/>
                <w:szCs w:val="22"/>
                <w:lang w:eastAsia="zh-CN"/>
              </w:rPr>
              <w:t>3、工作频率：2kHz～10kHz，单一频率允差±10%。</w:t>
            </w:r>
            <w:r>
              <w:rPr>
                <w:rFonts w:hint="eastAsia" w:ascii="等线" w:hAnsi="等线" w:eastAsia="等线"/>
                <w:sz w:val="22"/>
                <w:szCs w:val="22"/>
                <w:lang w:eastAsia="zh-CN"/>
              </w:rPr>
              <w:br w:type="textWrapping"/>
            </w:r>
            <w:r>
              <w:rPr>
                <w:rFonts w:hint="eastAsia" w:ascii="等线" w:hAnsi="等线" w:eastAsia="等线"/>
                <w:sz w:val="22"/>
                <w:szCs w:val="22"/>
                <w:lang w:eastAsia="zh-CN"/>
              </w:rPr>
              <w:t>4、调制频率：0～150Hz，单一频率允差±10%或±1Hz取最大值。</w:t>
            </w:r>
            <w:r>
              <w:rPr>
                <w:rFonts w:hint="eastAsia" w:ascii="等线" w:hAnsi="等线" w:eastAsia="等线"/>
                <w:sz w:val="22"/>
                <w:szCs w:val="22"/>
                <w:lang w:eastAsia="zh-CN"/>
              </w:rPr>
              <w:br w:type="textWrapping"/>
            </w:r>
            <w:r>
              <w:rPr>
                <w:rFonts w:hint="eastAsia" w:ascii="等线" w:hAnsi="等线" w:eastAsia="等线"/>
                <w:sz w:val="22"/>
                <w:szCs w:val="22"/>
                <w:lang w:eastAsia="zh-CN"/>
              </w:rPr>
              <w:t>5、中频载波波形：双向方波，脉宽：50us～250us，允差±10％。</w:t>
            </w:r>
            <w:r>
              <w:rPr>
                <w:rFonts w:hint="eastAsia" w:ascii="等线" w:hAnsi="等线" w:eastAsia="等线"/>
                <w:sz w:val="22"/>
                <w:szCs w:val="22"/>
                <w:lang w:eastAsia="zh-CN"/>
              </w:rPr>
              <w:br w:type="textWrapping"/>
            </w:r>
            <w:r>
              <w:rPr>
                <w:rFonts w:hint="eastAsia" w:ascii="等线" w:hAnsi="等线" w:eastAsia="等线"/>
                <w:sz w:val="22"/>
                <w:szCs w:val="22"/>
                <w:lang w:eastAsia="zh-CN"/>
              </w:rPr>
              <w:t>▲6、中频调制波形：正弦波、方波、三角波、指数波、锯齿波、尖波、等幅波。</w:t>
            </w:r>
            <w:r>
              <w:rPr>
                <w:rFonts w:hint="eastAsia" w:ascii="等线" w:hAnsi="等线" w:eastAsia="等线"/>
                <w:sz w:val="22"/>
                <w:szCs w:val="22"/>
                <w:lang w:eastAsia="zh-CN"/>
              </w:rPr>
              <w:br w:type="textWrapping"/>
            </w:r>
            <w:r>
              <w:rPr>
                <w:rFonts w:hint="eastAsia" w:ascii="等线" w:hAnsi="等线" w:eastAsia="等线"/>
                <w:sz w:val="22"/>
                <w:szCs w:val="22"/>
                <w:lang w:eastAsia="zh-CN"/>
              </w:rPr>
              <w:t>▲7、调制方式：连续、断续、间歇、变频和交替调制。</w:t>
            </w:r>
            <w:r>
              <w:rPr>
                <w:rFonts w:hint="eastAsia" w:ascii="等线" w:hAnsi="等线" w:eastAsia="等线"/>
                <w:sz w:val="22"/>
                <w:szCs w:val="22"/>
                <w:lang w:eastAsia="zh-CN"/>
              </w:rPr>
              <w:br w:type="textWrapping"/>
            </w:r>
            <w:r>
              <w:rPr>
                <w:rFonts w:hint="eastAsia" w:ascii="等线" w:hAnsi="等线" w:eastAsia="等线"/>
                <w:sz w:val="22"/>
                <w:szCs w:val="22"/>
                <w:lang w:eastAsia="zh-CN"/>
              </w:rPr>
              <w:t>8、中频调幅度：0%、25%、50%、75%、100%，允差±5％。</w:t>
            </w:r>
            <w:r>
              <w:rPr>
                <w:rFonts w:hint="eastAsia" w:ascii="等线" w:hAnsi="等线" w:eastAsia="等线"/>
                <w:sz w:val="22"/>
                <w:szCs w:val="22"/>
                <w:lang w:eastAsia="zh-CN"/>
              </w:rPr>
              <w:br w:type="textWrapping"/>
            </w:r>
            <w:r>
              <w:rPr>
                <w:rFonts w:hint="eastAsia" w:ascii="等线" w:hAnsi="等线" w:eastAsia="等线"/>
                <w:sz w:val="22"/>
                <w:szCs w:val="22"/>
                <w:lang w:eastAsia="zh-CN"/>
              </w:rPr>
              <w:t>9、干扰电性能：</w:t>
            </w:r>
            <w:r>
              <w:rPr>
                <w:rFonts w:hint="eastAsia" w:ascii="等线" w:hAnsi="等线" w:eastAsia="等线"/>
                <w:sz w:val="22"/>
                <w:szCs w:val="22"/>
                <w:lang w:eastAsia="zh-CN"/>
              </w:rPr>
              <w:br w:type="textWrapping"/>
            </w:r>
            <w:r>
              <w:rPr>
                <w:rFonts w:hint="eastAsia" w:ascii="等线" w:hAnsi="等线" w:eastAsia="等线"/>
                <w:sz w:val="22"/>
                <w:szCs w:val="22"/>
                <w:lang w:eastAsia="zh-CN"/>
              </w:rPr>
              <w:t>9.1工作频率：4kHz，允差±10％。</w:t>
            </w:r>
            <w:r>
              <w:rPr>
                <w:rFonts w:hint="eastAsia" w:ascii="等线" w:hAnsi="等线" w:eastAsia="等线"/>
                <w:sz w:val="22"/>
                <w:szCs w:val="22"/>
                <w:lang w:eastAsia="zh-CN"/>
              </w:rPr>
              <w:br w:type="textWrapping"/>
            </w:r>
            <w:r>
              <w:rPr>
                <w:rFonts w:hint="eastAsia" w:ascii="等线" w:hAnsi="等线" w:eastAsia="等线"/>
                <w:sz w:val="22"/>
                <w:szCs w:val="22"/>
                <w:lang w:eastAsia="zh-CN"/>
              </w:rPr>
              <w:t>9.2调制频率：0.125Hz，允差±10％。</w:t>
            </w:r>
            <w:r>
              <w:rPr>
                <w:rFonts w:hint="eastAsia" w:ascii="等线" w:hAnsi="等线" w:eastAsia="等线"/>
                <w:sz w:val="22"/>
                <w:szCs w:val="22"/>
                <w:lang w:eastAsia="zh-CN"/>
              </w:rPr>
              <w:br w:type="textWrapping"/>
            </w:r>
            <w:r>
              <w:rPr>
                <w:rFonts w:hint="eastAsia" w:ascii="等线" w:hAnsi="等线" w:eastAsia="等线"/>
                <w:sz w:val="22"/>
                <w:szCs w:val="22"/>
                <w:lang w:eastAsia="zh-CN"/>
              </w:rPr>
              <w:t>9.3差频频率范围：0～112Hz，允差±10％或±1Hz取较大值。</w:t>
            </w:r>
            <w:r>
              <w:rPr>
                <w:rFonts w:hint="eastAsia" w:ascii="等线" w:hAnsi="等线" w:eastAsia="等线"/>
                <w:sz w:val="22"/>
                <w:szCs w:val="22"/>
                <w:lang w:eastAsia="zh-CN"/>
              </w:rPr>
              <w:br w:type="textWrapping"/>
            </w:r>
            <w:r>
              <w:rPr>
                <w:rFonts w:hint="eastAsia" w:ascii="等线" w:hAnsi="等线" w:eastAsia="等线"/>
                <w:sz w:val="22"/>
                <w:szCs w:val="22"/>
                <w:lang w:eastAsia="zh-CN"/>
              </w:rPr>
              <w:t>9.4调幅度：0%、100%，允差±5％。</w:t>
            </w:r>
            <w:r>
              <w:rPr>
                <w:rFonts w:hint="eastAsia" w:ascii="等线" w:hAnsi="等线" w:eastAsia="等线"/>
                <w:sz w:val="22"/>
                <w:szCs w:val="22"/>
                <w:lang w:eastAsia="zh-CN"/>
              </w:rPr>
              <w:br w:type="textWrapping"/>
            </w:r>
            <w:r>
              <w:rPr>
                <w:rFonts w:hint="eastAsia" w:ascii="等线" w:hAnsi="等线" w:eastAsia="等线"/>
                <w:sz w:val="22"/>
                <w:szCs w:val="22"/>
                <w:lang w:eastAsia="zh-CN"/>
              </w:rPr>
              <w:t>▲10、中频治疗处方：60个。</w:t>
            </w:r>
            <w:r>
              <w:rPr>
                <w:rFonts w:hint="eastAsia" w:ascii="等线" w:hAnsi="等线" w:eastAsia="等线"/>
                <w:sz w:val="22"/>
                <w:szCs w:val="22"/>
                <w:lang w:eastAsia="zh-CN"/>
              </w:rPr>
              <w:br w:type="textWrapping"/>
            </w:r>
            <w:r>
              <w:rPr>
                <w:rFonts w:hint="eastAsia" w:ascii="等线" w:hAnsi="等线" w:eastAsia="等线"/>
                <w:sz w:val="22"/>
                <w:szCs w:val="22"/>
                <w:lang w:eastAsia="zh-CN"/>
              </w:rPr>
              <w:t>11、中频输出电流：在500</w:t>
            </w:r>
            <w:r>
              <w:rPr>
                <w:rFonts w:hint="eastAsia" w:ascii="等线" w:hAnsi="等线" w:eastAsia="等线"/>
                <w:sz w:val="22"/>
                <w:szCs w:val="22"/>
              </w:rPr>
              <w:t>Ω</w:t>
            </w:r>
            <w:r>
              <w:rPr>
                <w:rFonts w:hint="eastAsia" w:ascii="等线" w:hAnsi="等线" w:eastAsia="等线"/>
                <w:sz w:val="22"/>
                <w:szCs w:val="22"/>
                <w:lang w:eastAsia="zh-CN"/>
              </w:rPr>
              <w:t>的负载下，每路输出电流不大于100mA；分0～99级可调。</w:t>
            </w:r>
            <w:r>
              <w:rPr>
                <w:rFonts w:hint="eastAsia" w:ascii="等线" w:hAnsi="等线" w:eastAsia="等线"/>
                <w:sz w:val="22"/>
                <w:szCs w:val="22"/>
                <w:lang w:eastAsia="zh-CN"/>
              </w:rPr>
              <w:br w:type="textWrapping"/>
            </w:r>
            <w:r>
              <w:rPr>
                <w:rFonts w:hint="eastAsia" w:ascii="等线" w:hAnsi="等线" w:eastAsia="等线"/>
                <w:sz w:val="22"/>
                <w:szCs w:val="22"/>
                <w:lang w:eastAsia="zh-CN"/>
              </w:rPr>
              <w:t>12、输出电流稳定度：不同负载下的输出电流变化率应不大于10%。</w:t>
            </w:r>
            <w:r>
              <w:rPr>
                <w:rFonts w:hint="eastAsia" w:ascii="等线" w:hAnsi="等线" w:eastAsia="等线"/>
                <w:sz w:val="22"/>
                <w:szCs w:val="22"/>
                <w:lang w:eastAsia="zh-CN"/>
              </w:rPr>
              <w:br w:type="textWrapping"/>
            </w:r>
            <w:r>
              <w:rPr>
                <w:rFonts w:hint="eastAsia" w:ascii="等线" w:hAnsi="等线" w:eastAsia="等线"/>
                <w:sz w:val="22"/>
                <w:szCs w:val="22"/>
                <w:lang w:eastAsia="zh-CN"/>
              </w:rPr>
              <w:t>13、中频输出峰值电压：在开路条件下测量时，中频输出峰值电压不得超过500V。</w:t>
            </w:r>
            <w:r>
              <w:rPr>
                <w:rFonts w:hint="eastAsia" w:ascii="等线" w:hAnsi="等线" w:eastAsia="等线"/>
                <w:sz w:val="22"/>
                <w:szCs w:val="22"/>
                <w:lang w:eastAsia="zh-CN"/>
              </w:rPr>
              <w:br w:type="textWrapping"/>
            </w:r>
            <w:r>
              <w:rPr>
                <w:rFonts w:hint="eastAsia" w:ascii="等线" w:hAnsi="等线" w:eastAsia="等线"/>
                <w:sz w:val="22"/>
                <w:szCs w:val="22"/>
                <w:lang w:eastAsia="zh-CN"/>
              </w:rPr>
              <w:t>14、运行：输出设定到最大值时，将输出端开路运行10min后再短路运行5min，治疗仪应能正常工作。</w:t>
            </w:r>
            <w:r>
              <w:rPr>
                <w:rFonts w:hint="eastAsia" w:ascii="等线" w:hAnsi="等线" w:eastAsia="等线"/>
                <w:sz w:val="22"/>
                <w:szCs w:val="22"/>
                <w:lang w:eastAsia="zh-CN"/>
              </w:rPr>
              <w:br w:type="textWrapping"/>
            </w:r>
            <w:r>
              <w:rPr>
                <w:rFonts w:hint="eastAsia" w:ascii="等线" w:hAnsi="等线" w:eastAsia="等线"/>
                <w:sz w:val="22"/>
                <w:szCs w:val="22"/>
                <w:lang w:eastAsia="zh-CN"/>
              </w:rPr>
              <w:t>15、治疗时间已在处方中，治疗时间结束，停止输出，并有声音提示。</w:t>
            </w:r>
            <w:r>
              <w:rPr>
                <w:rFonts w:hint="eastAsia" w:ascii="等线" w:hAnsi="等线" w:eastAsia="等线"/>
                <w:sz w:val="22"/>
                <w:szCs w:val="22"/>
                <w:lang w:eastAsia="zh-CN"/>
              </w:rPr>
              <w:br w:type="textWrapping"/>
            </w:r>
            <w:r>
              <w:rPr>
                <w:rFonts w:hint="eastAsia" w:ascii="等线" w:hAnsi="等线" w:eastAsia="等线"/>
                <w:sz w:val="22"/>
                <w:szCs w:val="22"/>
                <w:lang w:eastAsia="zh-CN"/>
              </w:rPr>
              <w:t>16、电极片温度范围：37℃～55℃，分6档可调，允差±3℃。</w:t>
            </w:r>
          </w:p>
        </w:tc>
      </w:tr>
      <w:tr w14:paraId="3C128C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64F0B78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23、设备名称</w:t>
            </w:r>
          </w:p>
        </w:tc>
        <w:tc>
          <w:tcPr>
            <w:tcW w:w="1877" w:type="dxa"/>
            <w:vAlign w:val="center"/>
          </w:tcPr>
          <w:p w14:paraId="01BE7CA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超声波治疗仪</w:t>
            </w:r>
          </w:p>
        </w:tc>
        <w:tc>
          <w:tcPr>
            <w:tcW w:w="1069" w:type="dxa"/>
            <w:vAlign w:val="center"/>
          </w:tcPr>
          <w:p w14:paraId="03C10A1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1FAD75D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5C8DB2C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430F468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13000</w:t>
            </w:r>
          </w:p>
        </w:tc>
      </w:tr>
      <w:tr w14:paraId="61FF39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2EB07EC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43FD2848">
            <w:pPr>
              <w:widowControl w:val="0"/>
              <w:kinsoku/>
              <w:autoSpaceDE/>
              <w:autoSpaceDN/>
              <w:adjustRightInd/>
              <w:snapToGrid/>
              <w:jc w:val="both"/>
              <w:textAlignment w:val="auto"/>
              <w:rPr>
                <w:rFonts w:hint="eastAsia" w:ascii="等线" w:hAnsi="等线" w:eastAsia="等线" w:cs="宋体"/>
                <w:snapToGrid/>
                <w:sz w:val="22"/>
                <w:szCs w:val="22"/>
                <w:lang w:eastAsia="zh-CN"/>
              </w:rPr>
            </w:pPr>
            <w:r>
              <w:rPr>
                <w:rFonts w:hint="eastAsia" w:ascii="等线" w:hAnsi="等线" w:eastAsia="等线"/>
                <w:sz w:val="22"/>
                <w:szCs w:val="22"/>
                <w:lang w:eastAsia="zh-CN"/>
              </w:rPr>
              <w:t>1、输入电压：a.c.220V</w:t>
            </w:r>
            <w:r>
              <w:rPr>
                <w:rFonts w:hint="eastAsia" w:ascii="等线" w:hAnsi="等线" w:eastAsia="等线"/>
                <w:sz w:val="22"/>
                <w:szCs w:val="22"/>
                <w:lang w:eastAsia="zh-CN"/>
              </w:rPr>
              <w:br w:type="textWrapping"/>
            </w:r>
            <w:r>
              <w:rPr>
                <w:rFonts w:hint="eastAsia" w:ascii="等线" w:hAnsi="等线" w:eastAsia="等线"/>
                <w:sz w:val="22"/>
                <w:szCs w:val="22"/>
                <w:lang w:eastAsia="zh-CN"/>
              </w:rPr>
              <w:t>2、输入频率：50Hz±1Hz</w:t>
            </w:r>
            <w:r>
              <w:rPr>
                <w:rFonts w:hint="eastAsia" w:ascii="等线" w:hAnsi="等线" w:eastAsia="等线"/>
                <w:sz w:val="22"/>
                <w:szCs w:val="22"/>
                <w:lang w:eastAsia="zh-CN"/>
              </w:rPr>
              <w:br w:type="textWrapping"/>
            </w:r>
            <w:r>
              <w:rPr>
                <w:rFonts w:hint="eastAsia" w:ascii="等线" w:hAnsi="等线" w:eastAsia="等线"/>
                <w:sz w:val="22"/>
                <w:szCs w:val="22"/>
                <w:lang w:eastAsia="zh-CN"/>
              </w:rPr>
              <w:t>3、输入功率：50VA</w:t>
            </w:r>
            <w:r>
              <w:rPr>
                <w:rFonts w:hint="eastAsia" w:ascii="等线" w:hAnsi="等线" w:eastAsia="等线"/>
                <w:sz w:val="22"/>
                <w:szCs w:val="22"/>
                <w:lang w:eastAsia="zh-CN"/>
              </w:rPr>
              <w:br w:type="textWrapping"/>
            </w:r>
            <w:r>
              <w:rPr>
                <w:rFonts w:hint="eastAsia" w:ascii="等线" w:hAnsi="等线" w:eastAsia="等线"/>
                <w:sz w:val="22"/>
                <w:szCs w:val="22"/>
                <w:lang w:eastAsia="zh-CN"/>
              </w:rPr>
              <w:t>4、输出通道：单路输出</w:t>
            </w:r>
            <w:r>
              <w:rPr>
                <w:rFonts w:hint="eastAsia" w:ascii="等线" w:hAnsi="等线" w:eastAsia="等线"/>
                <w:sz w:val="22"/>
                <w:szCs w:val="22"/>
                <w:lang w:eastAsia="zh-CN"/>
              </w:rPr>
              <w:br w:type="textWrapping"/>
            </w:r>
            <w:r>
              <w:rPr>
                <w:rFonts w:hint="eastAsia" w:ascii="等线" w:hAnsi="等线" w:eastAsia="等线"/>
                <w:sz w:val="22"/>
                <w:szCs w:val="22"/>
                <w:lang w:eastAsia="zh-CN"/>
              </w:rPr>
              <w:t>5、显示方式：5寸液晶显示</w:t>
            </w:r>
            <w:r>
              <w:rPr>
                <w:rFonts w:hint="eastAsia" w:ascii="等线" w:hAnsi="等线" w:eastAsia="等线"/>
                <w:sz w:val="22"/>
                <w:szCs w:val="22"/>
                <w:lang w:eastAsia="zh-CN"/>
              </w:rPr>
              <w:br w:type="textWrapping"/>
            </w:r>
            <w:r>
              <w:rPr>
                <w:rFonts w:hint="eastAsia" w:ascii="等线" w:hAnsi="等线" w:eastAsia="等线"/>
                <w:sz w:val="22"/>
                <w:szCs w:val="22"/>
                <w:lang w:eastAsia="zh-CN"/>
              </w:rPr>
              <w:t>6、声工作频率：1MHz±10%</w:t>
            </w:r>
            <w:r>
              <w:rPr>
                <w:rFonts w:hint="eastAsia" w:ascii="等线" w:hAnsi="等线" w:eastAsia="等线"/>
                <w:sz w:val="22"/>
                <w:szCs w:val="22"/>
                <w:lang w:eastAsia="zh-CN"/>
              </w:rPr>
              <w:br w:type="textWrapping"/>
            </w:r>
            <w:r>
              <w:rPr>
                <w:rFonts w:hint="eastAsia" w:ascii="等线" w:hAnsi="等线" w:eastAsia="等线"/>
                <w:sz w:val="22"/>
                <w:szCs w:val="22"/>
                <w:lang w:eastAsia="zh-CN"/>
              </w:rPr>
              <w:t>▲7、输出模式：</w:t>
            </w:r>
            <w:r>
              <w:rPr>
                <w:rFonts w:hint="eastAsia" w:ascii="等线" w:hAnsi="等线" w:eastAsia="等线"/>
                <w:sz w:val="22"/>
                <w:szCs w:val="22"/>
                <w:lang w:eastAsia="zh-CN"/>
              </w:rPr>
              <w:br w:type="textWrapping"/>
            </w:r>
            <w:r>
              <w:rPr>
                <w:rFonts w:hint="eastAsia" w:ascii="等线" w:hAnsi="等线" w:eastAsia="等线"/>
                <w:sz w:val="22"/>
                <w:szCs w:val="22"/>
                <w:lang w:eastAsia="zh-CN"/>
              </w:rPr>
              <w:t>a)连续输出；</w:t>
            </w:r>
            <w:r>
              <w:rPr>
                <w:rFonts w:hint="eastAsia" w:ascii="等线" w:hAnsi="等线" w:eastAsia="等线"/>
                <w:sz w:val="22"/>
                <w:szCs w:val="22"/>
                <w:lang w:eastAsia="zh-CN"/>
              </w:rPr>
              <w:br w:type="textWrapping"/>
            </w:r>
            <w:r>
              <w:rPr>
                <w:rFonts w:hint="eastAsia" w:ascii="等线" w:hAnsi="等线" w:eastAsia="等线"/>
                <w:sz w:val="22"/>
                <w:szCs w:val="22"/>
                <w:lang w:eastAsia="zh-CN"/>
              </w:rPr>
              <w:t>b)断续1：输出1s，间歇1s；</w:t>
            </w:r>
            <w:r>
              <w:rPr>
                <w:rFonts w:hint="eastAsia" w:ascii="等线" w:hAnsi="等线" w:eastAsia="等线"/>
                <w:sz w:val="22"/>
                <w:szCs w:val="22"/>
                <w:lang w:eastAsia="zh-CN"/>
              </w:rPr>
              <w:br w:type="textWrapping"/>
            </w:r>
            <w:r>
              <w:rPr>
                <w:rFonts w:hint="eastAsia" w:ascii="等线" w:hAnsi="等线" w:eastAsia="等线"/>
                <w:sz w:val="22"/>
                <w:szCs w:val="22"/>
                <w:lang w:eastAsia="zh-CN"/>
              </w:rPr>
              <w:t>c)断续2：输出0.5s，间歇0.5s；</w:t>
            </w:r>
            <w:r>
              <w:rPr>
                <w:rFonts w:hint="eastAsia" w:ascii="等线" w:hAnsi="等线" w:eastAsia="等线"/>
                <w:sz w:val="22"/>
                <w:szCs w:val="22"/>
                <w:lang w:eastAsia="zh-CN"/>
              </w:rPr>
              <w:br w:type="textWrapping"/>
            </w:r>
            <w:r>
              <w:rPr>
                <w:rFonts w:hint="eastAsia" w:ascii="等线" w:hAnsi="等线" w:eastAsia="等线"/>
                <w:sz w:val="22"/>
                <w:szCs w:val="22"/>
                <w:lang w:eastAsia="zh-CN"/>
              </w:rPr>
              <w:t xml:space="preserve">d)断续3：输出0.3s，间歇0.3s。 </w:t>
            </w:r>
            <w:r>
              <w:rPr>
                <w:rFonts w:hint="eastAsia" w:ascii="等线" w:hAnsi="等线" w:eastAsia="等线"/>
                <w:sz w:val="22"/>
                <w:szCs w:val="22"/>
                <w:lang w:eastAsia="zh-CN"/>
              </w:rPr>
              <w:br w:type="textWrapping"/>
            </w:r>
            <w:r>
              <w:rPr>
                <w:rFonts w:hint="eastAsia" w:ascii="等线" w:hAnsi="等线" w:eastAsia="等线"/>
                <w:sz w:val="22"/>
                <w:szCs w:val="22"/>
                <w:lang w:eastAsia="zh-CN"/>
              </w:rPr>
              <w:t>▲8、有效声强：0-1.5W/cm²。</w:t>
            </w:r>
            <w:r>
              <w:rPr>
                <w:rFonts w:hint="eastAsia" w:ascii="等线" w:hAnsi="等线" w:eastAsia="等线"/>
                <w:sz w:val="22"/>
                <w:szCs w:val="22"/>
                <w:lang w:eastAsia="zh-CN"/>
              </w:rPr>
              <w:br w:type="textWrapping"/>
            </w:r>
            <w:r>
              <w:rPr>
                <w:rFonts w:hint="eastAsia" w:ascii="等线" w:hAnsi="等线" w:eastAsia="等线"/>
                <w:sz w:val="22"/>
                <w:szCs w:val="22"/>
                <w:lang w:eastAsia="zh-CN"/>
              </w:rPr>
              <w:t xml:space="preserve">9、定时范围：1-30min </w:t>
            </w:r>
            <w:r>
              <w:rPr>
                <w:rFonts w:hint="eastAsia" w:ascii="等线" w:hAnsi="等线" w:eastAsia="等线"/>
                <w:sz w:val="22"/>
                <w:szCs w:val="22"/>
                <w:lang w:eastAsia="zh-CN"/>
              </w:rPr>
              <w:br w:type="textWrapping"/>
            </w:r>
            <w:r>
              <w:rPr>
                <w:rFonts w:hint="eastAsia" w:ascii="等线" w:hAnsi="等线" w:eastAsia="等线"/>
                <w:sz w:val="22"/>
                <w:szCs w:val="22"/>
                <w:lang w:eastAsia="zh-CN"/>
              </w:rPr>
              <w:t>10、尺寸：380mm×310mm×135mm</w:t>
            </w:r>
            <w:r>
              <w:rPr>
                <w:rFonts w:hint="eastAsia" w:ascii="等线" w:hAnsi="等线" w:eastAsia="等线"/>
                <w:sz w:val="22"/>
                <w:szCs w:val="22"/>
                <w:lang w:eastAsia="zh-CN"/>
              </w:rPr>
              <w:br w:type="textWrapping"/>
            </w:r>
            <w:r>
              <w:rPr>
                <w:rFonts w:hint="eastAsia" w:ascii="等线" w:hAnsi="等线" w:eastAsia="等线"/>
                <w:sz w:val="22"/>
                <w:szCs w:val="22"/>
                <w:lang w:eastAsia="zh-CN"/>
              </w:rPr>
              <w:t>11、最大输出功率：6W，允差±20%。</w:t>
            </w:r>
            <w:r>
              <w:rPr>
                <w:rFonts w:hint="eastAsia" w:ascii="等线" w:hAnsi="等线" w:eastAsia="等线"/>
                <w:sz w:val="22"/>
                <w:szCs w:val="22"/>
                <w:lang w:eastAsia="zh-CN"/>
              </w:rPr>
              <w:br w:type="textWrapping"/>
            </w:r>
            <w:r>
              <w:rPr>
                <w:rFonts w:hint="eastAsia" w:ascii="等线" w:hAnsi="等线" w:eastAsia="等线"/>
                <w:sz w:val="22"/>
                <w:szCs w:val="22"/>
                <w:lang w:eastAsia="zh-CN"/>
              </w:rPr>
              <w:t>12、有效辐射面积：4cm2。</w:t>
            </w:r>
            <w:r>
              <w:rPr>
                <w:rFonts w:hint="eastAsia" w:ascii="等线" w:hAnsi="等线" w:eastAsia="等线"/>
                <w:sz w:val="22"/>
                <w:szCs w:val="22"/>
                <w:lang w:eastAsia="zh-CN"/>
              </w:rPr>
              <w:br w:type="textWrapping"/>
            </w:r>
            <w:r>
              <w:rPr>
                <w:rFonts w:hint="eastAsia" w:ascii="等线" w:hAnsi="等线" w:eastAsia="等线"/>
                <w:sz w:val="22"/>
                <w:szCs w:val="22"/>
                <w:lang w:eastAsia="zh-CN"/>
              </w:rPr>
              <w:t>13、具备治疗头连接提示功能。</w:t>
            </w:r>
            <w:r>
              <w:rPr>
                <w:rFonts w:hint="eastAsia" w:ascii="等线" w:hAnsi="等线" w:eastAsia="等线"/>
                <w:sz w:val="22"/>
                <w:szCs w:val="22"/>
                <w:lang w:eastAsia="zh-CN"/>
              </w:rPr>
              <w:br w:type="textWrapping"/>
            </w:r>
            <w:r>
              <w:rPr>
                <w:rFonts w:hint="eastAsia" w:ascii="等线" w:hAnsi="等线" w:eastAsia="等线"/>
                <w:sz w:val="22"/>
                <w:szCs w:val="22"/>
                <w:lang w:eastAsia="zh-CN"/>
              </w:rPr>
              <w:t>▲14、具有超温保护功能，当温度超过41℃时，治疗头停止输出。</w:t>
            </w:r>
          </w:p>
        </w:tc>
      </w:tr>
      <w:tr w14:paraId="56176A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1752CFC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24、设备名称</w:t>
            </w:r>
          </w:p>
        </w:tc>
        <w:tc>
          <w:tcPr>
            <w:tcW w:w="1877" w:type="dxa"/>
            <w:vAlign w:val="center"/>
          </w:tcPr>
          <w:p w14:paraId="5EF9A330">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空气波压力循环治疗仪</w:t>
            </w:r>
          </w:p>
        </w:tc>
        <w:tc>
          <w:tcPr>
            <w:tcW w:w="1069" w:type="dxa"/>
            <w:vAlign w:val="center"/>
          </w:tcPr>
          <w:p w14:paraId="29F6547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6A13F00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19EC850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21B9204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9000</w:t>
            </w:r>
          </w:p>
        </w:tc>
      </w:tr>
      <w:tr w14:paraId="0BF8AA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4" w:hRule="atLeast"/>
        </w:trPr>
        <w:tc>
          <w:tcPr>
            <w:tcW w:w="2130" w:type="dxa"/>
            <w:vAlign w:val="center"/>
          </w:tcPr>
          <w:p w14:paraId="5B56F70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324E96B7">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压力范围：5kPa～27kPa（38mmHg～203mmHg）可调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2、气囊腔数：4 腔，具有单腔关闭功能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2技术参数</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1、压力模式：1 种压力模式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2、额定电压：a.c.220V 额定频率：50Hz</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3、输入功率：70VA</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4、定时：1min～99min，定时误差为±2％，最大误差不超过±1min。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5、可同时治疗两个肢体</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6、充气压力、时间可调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7、电机特殊减震处理，噪音低</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8、超强抗压气囊，不易破损</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9、防电磁波干扰</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10、具有空气滤清除功能，延长压缩机使用寿命</w:t>
            </w:r>
          </w:p>
        </w:tc>
      </w:tr>
      <w:tr w14:paraId="07E2F8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5DB37BF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25、设备名称</w:t>
            </w:r>
          </w:p>
        </w:tc>
        <w:tc>
          <w:tcPr>
            <w:tcW w:w="1877" w:type="dxa"/>
            <w:vAlign w:val="center"/>
          </w:tcPr>
          <w:p w14:paraId="49A6F0D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斜板</w:t>
            </w:r>
          </w:p>
        </w:tc>
        <w:tc>
          <w:tcPr>
            <w:tcW w:w="1069" w:type="dxa"/>
            <w:vAlign w:val="center"/>
          </w:tcPr>
          <w:p w14:paraId="24735B7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78882CB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6个</w:t>
            </w:r>
          </w:p>
        </w:tc>
        <w:tc>
          <w:tcPr>
            <w:tcW w:w="1981" w:type="dxa"/>
            <w:vAlign w:val="center"/>
          </w:tcPr>
          <w:p w14:paraId="1B28051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69589F4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1700</w:t>
            </w:r>
          </w:p>
        </w:tc>
      </w:tr>
      <w:tr w14:paraId="76F7BB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7" w:hRule="atLeast"/>
        </w:trPr>
        <w:tc>
          <w:tcPr>
            <w:tcW w:w="2130" w:type="dxa"/>
            <w:vAlign w:val="center"/>
          </w:tcPr>
          <w:p w14:paraId="295D755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016ABD95">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1、外形尺寸（长×宽×高）：（2010～3240）mm×850mm×355mm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 斜板的倾斜度（与水平夹角）：15°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阶梯相邻台阶距离：85mm，（允差±5）；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踏板额定承载：2000N，（允差±50N）；</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 产品用途：用于健身和康复，训练腿部肌肉和脚部关节的活动能力，可以增强腿部力量。</w:t>
            </w:r>
          </w:p>
        </w:tc>
      </w:tr>
      <w:tr w14:paraId="46584F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18D169E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26、设备名称</w:t>
            </w:r>
          </w:p>
        </w:tc>
        <w:tc>
          <w:tcPr>
            <w:tcW w:w="1877" w:type="dxa"/>
            <w:vAlign w:val="center"/>
          </w:tcPr>
          <w:p w14:paraId="34D799C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橡筋手指训练器</w:t>
            </w:r>
          </w:p>
        </w:tc>
        <w:tc>
          <w:tcPr>
            <w:tcW w:w="1069" w:type="dxa"/>
            <w:vAlign w:val="center"/>
          </w:tcPr>
          <w:p w14:paraId="4E344F1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47CB551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5E8B1EA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1A22DBD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500</w:t>
            </w:r>
          </w:p>
        </w:tc>
      </w:tr>
      <w:tr w14:paraId="05DCC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3" w:hRule="atLeast"/>
        </w:trPr>
        <w:tc>
          <w:tcPr>
            <w:tcW w:w="2130" w:type="dxa"/>
            <w:vAlign w:val="center"/>
          </w:tcPr>
          <w:p w14:paraId="44FFE16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27767114">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1、规格(mm)：约610×420×500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2、搁手垫尺寸（长×宽）（mm）：约580×240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3、橡筋框尺寸（长×宽）（mm）：约540×400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4、用途：提高手指的主动屈伸活动能力</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5、材质：多层板、海绵、皮革、橡胶</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6、结构形式：底座、支撑垫、橡皮筋</w:t>
            </w:r>
          </w:p>
        </w:tc>
      </w:tr>
      <w:tr w14:paraId="4F0578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0183A46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27、设备名称</w:t>
            </w:r>
          </w:p>
        </w:tc>
        <w:tc>
          <w:tcPr>
            <w:tcW w:w="1877" w:type="dxa"/>
            <w:vAlign w:val="center"/>
          </w:tcPr>
          <w:p w14:paraId="3246272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肩梯</w:t>
            </w:r>
          </w:p>
        </w:tc>
        <w:tc>
          <w:tcPr>
            <w:tcW w:w="1069" w:type="dxa"/>
            <w:vAlign w:val="center"/>
          </w:tcPr>
          <w:p w14:paraId="4859F8E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3EAEE8E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57290D5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5CF21B1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600</w:t>
            </w:r>
          </w:p>
        </w:tc>
      </w:tr>
      <w:tr w14:paraId="7094A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4" w:hRule="atLeast"/>
        </w:trPr>
        <w:tc>
          <w:tcPr>
            <w:tcW w:w="2130" w:type="dxa"/>
            <w:vAlign w:val="center"/>
          </w:tcPr>
          <w:p w14:paraId="1FED979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78DDD080">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1、额定载荷kg：约135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2、用途：借助肋木杠进行上下肢体关节活动范围和肌力训练、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3、坐站立训练、平衡训练及躯干的牵伸训练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4、质量：约8.0kg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5、肩梯升降范围（cm）： 0～40</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6、垂直方向额定载荷(kg)：约10</w:t>
            </w:r>
          </w:p>
        </w:tc>
      </w:tr>
      <w:tr w14:paraId="36F284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127F328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28、设备名称</w:t>
            </w:r>
          </w:p>
        </w:tc>
        <w:tc>
          <w:tcPr>
            <w:tcW w:w="1877" w:type="dxa"/>
            <w:vAlign w:val="center"/>
          </w:tcPr>
          <w:p w14:paraId="34C1545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磨砂桌</w:t>
            </w:r>
          </w:p>
        </w:tc>
        <w:tc>
          <w:tcPr>
            <w:tcW w:w="1069" w:type="dxa"/>
            <w:vAlign w:val="center"/>
          </w:tcPr>
          <w:p w14:paraId="77CE0A8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3678188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38526B6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4CF03A1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1200</w:t>
            </w:r>
          </w:p>
        </w:tc>
      </w:tr>
      <w:tr w14:paraId="2469A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6" w:hRule="atLeast"/>
        </w:trPr>
        <w:tc>
          <w:tcPr>
            <w:tcW w:w="2130" w:type="dxa"/>
            <w:vAlign w:val="center"/>
          </w:tcPr>
          <w:p w14:paraId="10E3B91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0B3FAA01">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1.规格：约1000*800*800 mm</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2.砂磨板可调角度：不小于45°</w:t>
            </w:r>
          </w:p>
        </w:tc>
      </w:tr>
      <w:tr w14:paraId="095257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0335F12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29、设备名称</w:t>
            </w:r>
          </w:p>
        </w:tc>
        <w:tc>
          <w:tcPr>
            <w:tcW w:w="1877" w:type="dxa"/>
            <w:vAlign w:val="center"/>
          </w:tcPr>
          <w:p w14:paraId="47710B3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上肢推举训练器</w:t>
            </w:r>
          </w:p>
        </w:tc>
        <w:tc>
          <w:tcPr>
            <w:tcW w:w="1069" w:type="dxa"/>
            <w:vAlign w:val="center"/>
          </w:tcPr>
          <w:p w14:paraId="56C8BAC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6DB1C3F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57B902D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6FAE35C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3500</w:t>
            </w:r>
          </w:p>
        </w:tc>
      </w:tr>
      <w:tr w14:paraId="42CE11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0" w:hRule="atLeast"/>
        </w:trPr>
        <w:tc>
          <w:tcPr>
            <w:tcW w:w="2130" w:type="dxa"/>
            <w:vAlign w:val="center"/>
          </w:tcPr>
          <w:p w14:paraId="36FD6B2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330430BA">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3.用途：上肢肌力协调活动能力和关节活动度的作业训练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4.推拉范围（cm）：0-36</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5.底盘与底座板角度调节范围：30°～45°</w:t>
            </w:r>
          </w:p>
        </w:tc>
      </w:tr>
      <w:tr w14:paraId="459554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76855BF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30、设备名称</w:t>
            </w:r>
          </w:p>
        </w:tc>
        <w:tc>
          <w:tcPr>
            <w:tcW w:w="1877" w:type="dxa"/>
            <w:vAlign w:val="center"/>
          </w:tcPr>
          <w:p w14:paraId="75250C1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麻醉监护仪</w:t>
            </w:r>
          </w:p>
        </w:tc>
        <w:tc>
          <w:tcPr>
            <w:tcW w:w="1069" w:type="dxa"/>
            <w:vAlign w:val="center"/>
          </w:tcPr>
          <w:p w14:paraId="294D723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1B24B50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6A4194B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70F36C7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98000</w:t>
            </w:r>
          </w:p>
        </w:tc>
      </w:tr>
      <w:tr w14:paraId="2E34CF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0CC60E0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6094DC04">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1.基本功能模块支持心电，呼吸，心率，无创血压，血氧饱和度，脉搏，双通道体温和双通道有创血压的同时监测</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2.支持3/5导心电监测</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3.支持房颤心律失常分析功能，标配支持≥20种实时心律失常分析</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4.心电支持≥</w:t>
            </w:r>
            <w:r>
              <w:rPr>
                <w:rFonts w:ascii="宋体" w:hAnsi="宋体" w:eastAsia="宋体" w:cs="宋体"/>
                <w:color w:val="auto"/>
                <w:spacing w:val="-2"/>
                <w:sz w:val="24"/>
                <w:szCs w:val="24"/>
                <w:lang w:eastAsia="zh-CN"/>
              </w:rPr>
              <w:t>3</w:t>
            </w:r>
            <w:r>
              <w:rPr>
                <w:rFonts w:hint="eastAsia" w:ascii="宋体" w:hAnsi="宋体" w:eastAsia="宋体" w:cs="宋体"/>
                <w:color w:val="auto"/>
                <w:spacing w:val="-2"/>
                <w:sz w:val="24"/>
                <w:szCs w:val="24"/>
                <w:lang w:eastAsia="zh-CN"/>
              </w:rPr>
              <w:t>个分析导联实时动态同步分析</w:t>
            </w:r>
          </w:p>
          <w:p w14:paraId="21C62EA3">
            <w:pPr>
              <w:widowControl w:val="0"/>
              <w:spacing w:before="184"/>
              <w:ind w:right="2"/>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5.提供ST段分析功能，适用于成人，小儿和新生儿，支持在专门的窗口中分组显示心脏前壁，下壁和侧壁的ST实时片段和参考片段</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6.支持</w:t>
            </w:r>
            <w:r>
              <w:rPr>
                <w:rFonts w:ascii="宋体" w:hAnsi="宋体" w:eastAsia="宋体" w:cs="宋体"/>
                <w:color w:val="auto"/>
                <w:spacing w:val="-2"/>
                <w:sz w:val="24"/>
                <w:szCs w:val="24"/>
                <w:lang w:eastAsia="zh-CN"/>
              </w:rPr>
              <w:t>RR</w:t>
            </w:r>
            <w:r>
              <w:rPr>
                <w:rFonts w:hint="eastAsia" w:ascii="宋体" w:hAnsi="宋体" w:eastAsia="宋体" w:cs="宋体"/>
                <w:color w:val="auto"/>
                <w:spacing w:val="-2"/>
                <w:sz w:val="24"/>
                <w:szCs w:val="24"/>
                <w:lang w:eastAsia="zh-CN"/>
              </w:rPr>
              <w:t>呼吸率测量，测量范围：</w:t>
            </w:r>
            <w:r>
              <w:rPr>
                <w:rFonts w:ascii="宋体" w:hAnsi="宋体" w:eastAsia="宋体" w:cs="宋体"/>
                <w:color w:val="auto"/>
                <w:spacing w:val="-2"/>
                <w:sz w:val="24"/>
                <w:szCs w:val="24"/>
                <w:lang w:eastAsia="zh-CN"/>
              </w:rPr>
              <w:t>1~200rpm</w:t>
            </w:r>
          </w:p>
          <w:p w14:paraId="2514E8D4">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7.具有QT/QTc实时连续测量功能，提供QT，QTc和</w:t>
            </w:r>
            <w:r>
              <w:rPr>
                <w:rFonts w:hint="eastAsia" w:ascii="宋体" w:hAnsi="宋体" w:eastAsia="宋体" w:cs="宋体"/>
                <w:color w:val="auto"/>
                <w:spacing w:val="-2"/>
                <w:sz w:val="24"/>
                <w:szCs w:val="24"/>
              </w:rPr>
              <w:t>Δ</w:t>
            </w:r>
            <w:r>
              <w:rPr>
                <w:rFonts w:hint="eastAsia" w:ascii="宋体" w:hAnsi="宋体" w:eastAsia="宋体" w:cs="宋体"/>
                <w:color w:val="auto"/>
                <w:spacing w:val="-2"/>
                <w:sz w:val="24"/>
                <w:szCs w:val="24"/>
                <w:lang w:eastAsia="zh-CN"/>
              </w:rPr>
              <w:t>QTc参数值的显示</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8.无创血压适用于成人，小儿和新生儿</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 无创血压提供手动、自动间隔、连续、序列四种测量模式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10.提供辅助静脉穿刺功能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11.NIBP 成人病人类型收缩压测量：25~290mmHg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12.血氧监测适用于成人，小儿和新生儿</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13.提供灌注指数（PI）的监测</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▲14.配置指套式血氧探头，支持浸泡清洁与消毒，防水等级IPx7</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15.支持双通道有创压IBP监测，支持升级多达4通道有创压监测</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16.有创压适用于成人，小儿和新生儿</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17.IBP有创压测量范围：-50~360mmHg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18.提供肺动脉锲压（PAWP）的监测和PPV参数监测</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19.支持升级多达4道IBP波形叠加显示，满足临床对比查看和节约显示空间的需求</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20.支持升级EtCO2监测模块，采用旁流技术，支持升级顺磁氧监测技术进行氧气监测，水槽要求易用快速更换</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21.支持升级麻醉气体监测模块儿。</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22.支持升级模块，与主流呼吸机品牌的呼吸机相连，实现呼吸机设备的信息在监护仪上显示、存储、记录、打印或者用于参与计算。</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23.具有图形化报警指示功能，看报警信息更容易</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24.标配具备血液动力学，药物计算，氧合计算，通气计算和肾功能计算功能支持≥120小时趋势表和趋势图回顾</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25.支持≥1000条事件回顾。每条报警事件至少能够存储32秒三道相关波形，以及报警触发时所有测量参数值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26.具备≥40小时全息波形的存储与回顾功能</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27.支持≥120小时ST波形片段的存储与回顾</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28.患者离开科室，监护仪状态由接收患者到解除患者后，患者数据不删除，支持在监护仪回顾历史病人数据</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29.工作模式提供：监护模式、待机模式、体外循环模式模式、插管模式，夜间模式、隐私模式、演示模式</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 30.支持升级与除颤监护仪，遥测混合联通至中心监护系统，实现护士站的集中管理</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31.模块化插件式床边监护仪，主机、显示屏和插件槽一体化设计，主机插槽数≥4个.≥12.1英寸彩色触摸屏，高分辨率达1280*800像素，8通道显示，显示屏亮度自动调工作海拔高度≥4550米，满足高原地区采用无风扇设计可内置高能锂电池，供电时间≥4小时配置≥4个USB接口，支持连接存储介质、鼠标、键盘、条码扫描枪等USB设备</w:t>
            </w:r>
          </w:p>
        </w:tc>
      </w:tr>
      <w:tr w14:paraId="3DFE5D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3AF71A5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31、设备名称</w:t>
            </w:r>
          </w:p>
        </w:tc>
        <w:tc>
          <w:tcPr>
            <w:tcW w:w="1877" w:type="dxa"/>
            <w:vAlign w:val="center"/>
          </w:tcPr>
          <w:p w14:paraId="34BAF49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麻醉系统</w:t>
            </w:r>
          </w:p>
        </w:tc>
        <w:tc>
          <w:tcPr>
            <w:tcW w:w="1069" w:type="dxa"/>
            <w:vAlign w:val="center"/>
          </w:tcPr>
          <w:p w14:paraId="0346356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377B5D2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12B1658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3A8FE985">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270000</w:t>
            </w:r>
          </w:p>
        </w:tc>
      </w:tr>
      <w:tr w14:paraId="09827B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2" w:hRule="atLeast"/>
        </w:trPr>
        <w:tc>
          <w:tcPr>
            <w:tcW w:w="2130" w:type="dxa"/>
            <w:vAlign w:val="center"/>
          </w:tcPr>
          <w:p w14:paraId="624744E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1EEA8B5B">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宋体" w:hAnsi="宋体" w:cs="宋体"/>
                <w:color w:val="auto"/>
                <w:spacing w:val="-2"/>
                <w:sz w:val="24"/>
                <w:szCs w:val="24"/>
                <w:lang w:eastAsia="zh-CN"/>
              </w:rPr>
              <w:t>▲</w:t>
            </w:r>
            <w:r>
              <w:rPr>
                <w:rFonts w:hint="eastAsia" w:asciiTheme="minorEastAsia" w:hAnsiTheme="minorEastAsia" w:eastAsiaTheme="minorEastAsia" w:cstheme="minorEastAsia"/>
                <w:sz w:val="24"/>
                <w:szCs w:val="24"/>
                <w:lang w:eastAsia="zh-CN"/>
              </w:rPr>
              <w:t>麻醉机主机≥12英寸彩色触控屏，可以根据操作位置的需要，在四维层面多角度旋转调节，可折叠。</w:t>
            </w:r>
          </w:p>
          <w:p w14:paraId="26F0DCE1">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主机机身正面具备3个模块插槽，支持3个模块同时使用，可与同品牌的插件式监护仪实现模块共享。监测CO</w:t>
            </w:r>
            <w:r>
              <w:rPr>
                <w:rFonts w:hint="eastAsia" w:asciiTheme="minorEastAsia" w:hAnsiTheme="minorEastAsia" w:eastAsiaTheme="minorEastAsia" w:cstheme="minorEastAsia"/>
                <w:sz w:val="24"/>
                <w:szCs w:val="24"/>
                <w:vertAlign w:val="subscript"/>
                <w:lang w:eastAsia="zh-CN"/>
              </w:rPr>
              <w:t>2</w:t>
            </w:r>
            <w:r>
              <w:rPr>
                <w:rFonts w:hint="eastAsia" w:asciiTheme="minorEastAsia" w:hAnsiTheme="minorEastAsia" w:eastAsiaTheme="minorEastAsia" w:cstheme="minorEastAsia"/>
                <w:sz w:val="24"/>
                <w:szCs w:val="24"/>
                <w:lang w:eastAsia="zh-CN"/>
              </w:rPr>
              <w:t>、AG、BIS、O2等监测。</w:t>
            </w:r>
          </w:p>
          <w:p w14:paraId="01567946">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氧气，笑气，空气三气源，可进行非纯氧供气，工作压力为0.28~0.6Mpa。</w:t>
            </w:r>
          </w:p>
          <w:p w14:paraId="6D771FDF">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宋体" w:hAnsi="宋体" w:cs="宋体"/>
                <w:color w:val="auto"/>
                <w:spacing w:val="-2"/>
                <w:sz w:val="24"/>
                <w:szCs w:val="24"/>
                <w:lang w:eastAsia="zh-CN"/>
              </w:rPr>
              <w:t>▲</w:t>
            </w:r>
            <w:r>
              <w:rPr>
                <w:rFonts w:hint="eastAsia" w:asciiTheme="minorEastAsia" w:hAnsiTheme="minorEastAsia" w:eastAsiaTheme="minorEastAsia" w:cstheme="minorEastAsia"/>
                <w:sz w:val="24"/>
                <w:szCs w:val="24"/>
                <w:lang w:eastAsia="zh-CN"/>
              </w:rPr>
              <w:t>具备氧气，笑气，空气电子流量计，快速直观，调节范围：0-10L/min，调节精度为0.01L，适合低微流量麻醉手术。</w:t>
            </w:r>
          </w:p>
          <w:p w14:paraId="0E0EA15E">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通气模式：VCV、PCV、SIMV-VC、SIMV-PC、CPAP/PSV、手动，可选配 PRVC</w:t>
            </w:r>
          </w:p>
          <w:p w14:paraId="62515768">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控制通气模式下：</w:t>
            </w:r>
          </w:p>
          <w:p w14:paraId="65931CD3">
            <w:pPr>
              <w:pStyle w:val="33"/>
              <w:widowControl w:val="0"/>
              <w:numPr>
                <w:ilvl w:val="1"/>
                <w:numId w:val="9"/>
              </w:numPr>
              <w:spacing w:line="300" w:lineRule="auto"/>
              <w:ind w:left="127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VCV模式下潮气量设定范围：15～1500ml。</w:t>
            </w:r>
          </w:p>
          <w:p w14:paraId="57C5C802">
            <w:pPr>
              <w:pStyle w:val="33"/>
              <w:widowControl w:val="0"/>
              <w:numPr>
                <w:ilvl w:val="1"/>
                <w:numId w:val="9"/>
              </w:numPr>
              <w:spacing w:line="300" w:lineRule="auto"/>
              <w:ind w:left="1276"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PCV模式下潮气量控制范围：5～1500ml。</w:t>
            </w:r>
          </w:p>
          <w:p w14:paraId="5996CA25">
            <w:pPr>
              <w:pStyle w:val="33"/>
              <w:widowControl w:val="0"/>
              <w:numPr>
                <w:ilvl w:val="1"/>
                <w:numId w:val="9"/>
              </w:numPr>
              <w:spacing w:line="300" w:lineRule="auto"/>
              <w:ind w:left="1276"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吸呼比设定范围：4:1～1:10。</w:t>
            </w:r>
          </w:p>
          <w:p w14:paraId="08D5C9FB">
            <w:pPr>
              <w:pStyle w:val="33"/>
              <w:widowControl w:val="0"/>
              <w:numPr>
                <w:ilvl w:val="1"/>
                <w:numId w:val="9"/>
              </w:numPr>
              <w:spacing w:line="300" w:lineRule="auto"/>
              <w:ind w:left="127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吸气暂停设定范围：OFF，5%~60%。</w:t>
            </w:r>
          </w:p>
          <w:p w14:paraId="0CB2622D">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高精度潮气量控制系统：</w:t>
            </w:r>
          </w:p>
          <w:p w14:paraId="326D1078">
            <w:pPr>
              <w:pStyle w:val="33"/>
              <w:widowControl w:val="0"/>
              <w:spacing w:line="300" w:lineRule="auto"/>
              <w:ind w:firstLine="960" w:firstLineChars="4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7.1潮气量在15 mL～60 mL范围内：±10 mL；</w:t>
            </w:r>
          </w:p>
          <w:p w14:paraId="1D1DA74F">
            <w:pPr>
              <w:pStyle w:val="33"/>
              <w:widowControl w:val="0"/>
              <w:spacing w:line="300" w:lineRule="auto"/>
              <w:ind w:firstLine="960" w:firstLineChars="4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7.2潮气量在210 mL～1500 mL范围内（不包括210 mL）：设置值的±7%。</w:t>
            </w:r>
          </w:p>
          <w:p w14:paraId="15A841C4">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重点参数监测范围：</w:t>
            </w:r>
          </w:p>
          <w:p w14:paraId="72EFBB4A">
            <w:pPr>
              <w:pStyle w:val="33"/>
              <w:widowControl w:val="0"/>
              <w:spacing w:line="300" w:lineRule="auto"/>
              <w:ind w:left="856"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8.1分钟通气量监测范围：0～100L/min</w:t>
            </w:r>
          </w:p>
          <w:p w14:paraId="71F103D6">
            <w:pPr>
              <w:pStyle w:val="33"/>
              <w:widowControl w:val="0"/>
              <w:spacing w:line="300" w:lineRule="auto"/>
              <w:ind w:left="856"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8.2吸气和呼气潮气量监测范围：0～3000ml</w:t>
            </w:r>
          </w:p>
          <w:p w14:paraId="462D0F9E">
            <w:pPr>
              <w:pStyle w:val="33"/>
              <w:widowControl w:val="0"/>
              <w:spacing w:line="300" w:lineRule="auto"/>
              <w:ind w:left="856"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8.3顺应性监测范围：0～300mL/cmH2O</w:t>
            </w:r>
          </w:p>
          <w:p w14:paraId="49BD095F">
            <w:pPr>
              <w:pStyle w:val="33"/>
              <w:widowControl w:val="0"/>
              <w:spacing w:line="300" w:lineRule="auto"/>
              <w:ind w:left="856"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8.4</w:t>
            </w:r>
            <w:r>
              <w:rPr>
                <w:rFonts w:hint="eastAsia" w:asciiTheme="minorEastAsia" w:hAnsiTheme="minorEastAsia" w:eastAsiaTheme="minorEastAsia" w:cstheme="minorEastAsia"/>
                <w:sz w:val="24"/>
                <w:szCs w:val="24"/>
              </w:rPr>
              <w:t>气阻监测范围：0～600 cmH2O/(s/L)</w:t>
            </w:r>
          </w:p>
          <w:p w14:paraId="741D6DB5">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其他监测参数：呼吸频率、峰压、平均压、平台压、呼末正压、吸入和呼出氧浓度、吸呼比、，可选配：吸入和呼末CO2浓度、吸入和呼末麻醉气体浓度、麻醉深度监测等。</w:t>
            </w:r>
          </w:p>
          <w:p w14:paraId="28069DAF">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呼吸力学监测：压力波形、流速波形、容量波形、CO2波形、EEG波形，能够5道波形同屏显示。</w:t>
            </w:r>
          </w:p>
          <w:p w14:paraId="20DC0FD4">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压力-容积环、压力-流速环、流速-容积环，环图分析功能，可标记参考环，并提供参考环相关呼吸力学参数。</w:t>
            </w:r>
          </w:p>
          <w:p w14:paraId="3557F5E8">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呼吸回路的进气端和出气端均位于麻醉机正前方，便于麻醉医生操作。</w:t>
            </w:r>
          </w:p>
          <w:p w14:paraId="0A81A079">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一体化回路采用PPSU材料制作，回路整体可134℃高温高压消毒</w:t>
            </w:r>
          </w:p>
          <w:p w14:paraId="29F5F79B">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有外部气体出口ACGO，辅助气路开关与辅助气路盖一体化设计，气路盖采用旋转卡扣式设计，方便开启和关闭辅助气路，能外接Bain回路、T管回路等。</w:t>
            </w:r>
          </w:p>
          <w:p w14:paraId="5C28D13F">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具有辅助供氧功能，可不开机提供快速吸氧。</w:t>
            </w:r>
          </w:p>
          <w:p w14:paraId="24F032DB">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智能化Bypass旁路功能，术中更换钠石灰，不影响麻醉机的运行，且无麻醉药泄漏，安全可靠。</w:t>
            </w:r>
          </w:p>
          <w:p w14:paraId="2DDBD4A6">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回路加热功能，不接受冷凝处理，消除水汽冷凝，增强病人呼吸舒适性，便于设备维护。</w:t>
            </w:r>
          </w:p>
          <w:p w14:paraId="6579BD05">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宋体" w:hAnsi="宋体" w:cs="宋体"/>
                <w:color w:val="auto"/>
                <w:spacing w:val="-2"/>
                <w:sz w:val="24"/>
                <w:szCs w:val="24"/>
                <w:lang w:eastAsia="zh-CN"/>
              </w:rPr>
              <w:t>▲</w:t>
            </w:r>
            <w:r>
              <w:rPr>
                <w:rFonts w:hint="eastAsia" w:asciiTheme="minorEastAsia" w:hAnsiTheme="minorEastAsia" w:eastAsiaTheme="minorEastAsia" w:cstheme="minorEastAsia"/>
                <w:sz w:val="24"/>
                <w:szCs w:val="24"/>
                <w:lang w:eastAsia="zh-CN"/>
              </w:rPr>
              <w:t>回路泄漏量不应超过65ml/min。</w:t>
            </w:r>
          </w:p>
          <w:p w14:paraId="0A55450F">
            <w:pPr>
              <w:pStyle w:val="33"/>
              <w:widowControl w:val="0"/>
              <w:numPr>
                <w:ilvl w:val="0"/>
                <w:numId w:val="8"/>
              </w:numPr>
              <w:spacing w:line="300" w:lineRule="auto"/>
              <w:ind w:left="426"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高标准蒸发罐，具有温度、压力、流量补偿功能。</w:t>
            </w:r>
          </w:p>
          <w:p w14:paraId="0446F492">
            <w:pPr>
              <w:pStyle w:val="29"/>
              <w:widowControl w:val="0"/>
              <w:ind w:firstLine="0" w:firstLine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20.</w:t>
            </w:r>
            <w:r>
              <w:rPr>
                <w:rFonts w:hint="eastAsia" w:ascii="宋体" w:hAnsi="宋体" w:eastAsia="宋体" w:cs="宋体"/>
                <w:color w:val="auto"/>
                <w:spacing w:val="-2"/>
                <w:sz w:val="24"/>
                <w:szCs w:val="24"/>
                <w:lang w:eastAsia="zh-CN"/>
              </w:rPr>
              <w:t>▲</w:t>
            </w:r>
            <w:r>
              <w:rPr>
                <w:rFonts w:hint="eastAsia" w:asciiTheme="minorEastAsia" w:hAnsiTheme="minorEastAsia" w:eastAsiaTheme="minorEastAsia" w:cstheme="minorEastAsia"/>
                <w:color w:val="auto"/>
                <w:sz w:val="24"/>
                <w:szCs w:val="24"/>
                <w:lang w:eastAsia="zh-CN"/>
              </w:rPr>
              <w:t>标配插件式监护仪，通过国家III类注册，主机内置≥2槽位插件槽。</w:t>
            </w:r>
          </w:p>
          <w:p w14:paraId="31212748">
            <w:pPr>
              <w:pStyle w:val="29"/>
              <w:widowControl w:val="0"/>
              <w:ind w:firstLine="0" w:firstLine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21.监护仪≥15英寸彩色液晶电容触摸屏，分辨率为1366*768，</w:t>
            </w:r>
            <w:r>
              <w:rPr>
                <w:rFonts w:hint="eastAsia" w:ascii="宋体" w:hAnsi="宋体" w:eastAsia="宋体" w:cs="宋体"/>
                <w:color w:val="auto"/>
                <w:spacing w:val="-2"/>
                <w:sz w:val="24"/>
                <w:szCs w:val="24"/>
                <w:lang w:eastAsia="zh-CN"/>
              </w:rPr>
              <w:t>▲</w:t>
            </w:r>
            <w:r>
              <w:rPr>
                <w:rFonts w:hint="eastAsia" w:asciiTheme="minorEastAsia" w:hAnsiTheme="minorEastAsia" w:eastAsiaTheme="minorEastAsia" w:cstheme="minorEastAsia"/>
                <w:color w:val="auto"/>
                <w:sz w:val="24"/>
                <w:szCs w:val="24"/>
                <w:lang w:eastAsia="zh-CN"/>
              </w:rPr>
              <w:t>≥12通道波形显示。</w:t>
            </w:r>
          </w:p>
          <w:p w14:paraId="5FECCF5E">
            <w:pPr>
              <w:pStyle w:val="29"/>
              <w:widowControl w:val="0"/>
              <w:ind w:firstLine="0" w:firstLine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22.具有光传感器，根据环境光自动调节屏幕亮度功能。</w:t>
            </w:r>
          </w:p>
          <w:p w14:paraId="1ADC3DAA">
            <w:pPr>
              <w:pStyle w:val="29"/>
              <w:widowControl w:val="0"/>
              <w:ind w:firstLine="0" w:firstLine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23.支持拼音、英文等输入法。</w:t>
            </w:r>
          </w:p>
          <w:p w14:paraId="0E36678C">
            <w:pPr>
              <w:pStyle w:val="33"/>
              <w:widowControl w:val="0"/>
              <w:spacing w:line="300" w:lineRule="auto"/>
              <w:ind w:left="6"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eastAsia="zh-CN"/>
              </w:rPr>
              <w:t>24.可监测心电、血氧、脉博、无创血压、呼吸、体温等基础参数，可升级Masimo/Nellcor SPO2、顺泰血压、IBP、ETCO2、C.O.、AG、ICG、麻醉深度、氧浓度、窒息唤醒等参数模块</w:t>
            </w:r>
          </w:p>
          <w:p w14:paraId="582F0F98">
            <w:pPr>
              <w:pStyle w:val="29"/>
              <w:widowControl w:val="0"/>
              <w:ind w:firstLine="0" w:firstLine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 xml:space="preserve">25.具有强大的心电抗干扰能力，耐极化电压：±800mV； </w:t>
            </w:r>
          </w:p>
          <w:p w14:paraId="20761ABB">
            <w:pPr>
              <w:pStyle w:val="29"/>
              <w:widowControl w:val="0"/>
              <w:ind w:firstLine="0" w:firstLine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26.心电模式具有诊断、手术、监护、ST模式，其中手术、监护、ST模式共模抑制能力&gt;106db；</w:t>
            </w:r>
          </w:p>
          <w:p w14:paraId="6DEC299C">
            <w:pPr>
              <w:widowControl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27.标配输液系统一拖四通道，可支持最多24个输注泵通道，即插即用，单泵与输液信息采集系统数据无缝连接。</w:t>
            </w:r>
          </w:p>
          <w:p w14:paraId="18052FEC">
            <w:pPr>
              <w:widowControl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28.输液信息采集系统应具有独立的中控显示屏，能同时显示当前已开机的输液泵/注射泵的运行状态，剩余时间、累积量。</w:t>
            </w:r>
          </w:p>
          <w:p w14:paraId="1A0C3A18">
            <w:pPr>
              <w:widowControl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29.输液信息采集系统应能同步显示输液泵和注射泵的报警信息。中控屏上设置病人信息、系统设置、报警设置可以一键自动同步到各通道单泵。</w:t>
            </w:r>
          </w:p>
          <w:p w14:paraId="621D5786">
            <w:pPr>
              <w:widowControl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30.3英寸电容触摸显示屏。可选配环境光自动调节功能，屏幕亮度可根据环境光的强弱自动进行调节。</w:t>
            </w:r>
          </w:p>
          <w:p w14:paraId="524360DF">
            <w:pPr>
              <w:widowControl w:val="0"/>
              <w:numPr>
                <w:ilvl w:val="0"/>
                <w:numId w:val="10"/>
              </w:numPr>
              <w:spacing w:line="360" w:lineRule="auto"/>
              <w:jc w:val="both"/>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auto"/>
                <w:spacing w:val="-2"/>
                <w:sz w:val="24"/>
                <w:szCs w:val="24"/>
                <w:lang w:eastAsia="zh-CN"/>
              </w:rPr>
              <w:t>▲</w:t>
            </w:r>
            <w:r>
              <w:rPr>
                <w:rFonts w:hint="eastAsia" w:asciiTheme="minorEastAsia" w:hAnsiTheme="minorEastAsia" w:eastAsiaTheme="minorEastAsia" w:cstheme="minorEastAsia"/>
                <w:color w:val="auto"/>
                <w:sz w:val="24"/>
                <w:szCs w:val="24"/>
                <w:lang w:eastAsia="zh-CN"/>
              </w:rPr>
              <w:t>系统可显示三种用药曲线：压力曲线、速度曲线、累积量曲线。</w:t>
            </w:r>
          </w:p>
          <w:p w14:paraId="679991FD">
            <w:pPr>
              <w:widowControl w:val="0"/>
              <w:numPr>
                <w:ilvl w:val="0"/>
                <w:numId w:val="0"/>
              </w:numPr>
              <w:spacing w:line="360" w:lineRule="auto"/>
              <w:jc w:val="both"/>
              <w:rPr>
                <w:rFonts w:hint="eastAsia" w:ascii="宋体" w:hAnsi="宋体" w:eastAsia="宋体" w:cs="宋体"/>
                <w:color w:val="auto"/>
                <w:spacing w:val="-2"/>
                <w:sz w:val="24"/>
                <w:szCs w:val="24"/>
                <w:lang w:eastAsia="zh-CN"/>
              </w:rPr>
            </w:pPr>
            <w:r>
              <w:rPr>
                <w:rFonts w:hint="eastAsia" w:asciiTheme="minorEastAsia" w:hAnsiTheme="minorEastAsia" w:eastAsiaTheme="minorEastAsia" w:cstheme="minorEastAsia"/>
                <w:color w:val="auto"/>
                <w:sz w:val="24"/>
                <w:szCs w:val="24"/>
                <w:lang w:eastAsia="zh-CN"/>
              </w:rPr>
              <w:t>32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输液信息采集系统具有独立的内置锂电池，可给系统供电，工作时间不少于5.5h。可支持通过扫描枪输入病人信息。可加装无线模块，实现无线联网监测。</w:t>
            </w:r>
          </w:p>
        </w:tc>
      </w:tr>
      <w:tr w14:paraId="2BC16F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6DC4750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32、设备名称</w:t>
            </w:r>
          </w:p>
        </w:tc>
        <w:tc>
          <w:tcPr>
            <w:tcW w:w="1877" w:type="dxa"/>
            <w:vAlign w:val="center"/>
          </w:tcPr>
          <w:p w14:paraId="24CB901A">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呼吸机（无创）</w:t>
            </w:r>
          </w:p>
        </w:tc>
        <w:tc>
          <w:tcPr>
            <w:tcW w:w="1069" w:type="dxa"/>
            <w:vAlign w:val="center"/>
          </w:tcPr>
          <w:p w14:paraId="3063EC3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0469F1B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6F6ADD5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71BAF121">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98000</w:t>
            </w:r>
          </w:p>
        </w:tc>
      </w:tr>
      <w:tr w14:paraId="3DFB3F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trPr>
        <w:tc>
          <w:tcPr>
            <w:tcW w:w="2130" w:type="dxa"/>
            <w:vAlign w:val="center"/>
          </w:tcPr>
          <w:p w14:paraId="36E3677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54B884D9">
            <w:pPr>
              <w:widowControl w:val="0"/>
              <w:numPr>
                <w:ilvl w:val="0"/>
                <w:numId w:val="11"/>
              </w:numPr>
              <w:spacing w:before="184"/>
              <w:ind w:right="2"/>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适用于对成人和小儿患者进行通气辅助及呼吸支持，中文操作界面，能够满足危重症患者的无创通气需求。</w:t>
            </w:r>
            <w:r>
              <w:rPr>
                <w:rFonts w:hint="eastAsia" w:asciiTheme="minorEastAsia" w:hAnsiTheme="minorEastAsia" w:eastAsiaTheme="minorEastAsia" w:cstheme="minorEastAsia"/>
                <w:color w:val="auto"/>
                <w:spacing w:val="-2"/>
                <w:sz w:val="24"/>
                <w:szCs w:val="24"/>
                <w:lang w:eastAsia="zh-CN"/>
              </w:rPr>
              <w:br w:type="textWrapping"/>
            </w:r>
            <w:r>
              <w:rPr>
                <w:rFonts w:hint="eastAsia" w:asciiTheme="minorEastAsia" w:hAnsiTheme="minorEastAsia" w:eastAsiaTheme="minorEastAsia" w:cstheme="minorEastAsia"/>
                <w:color w:val="auto"/>
                <w:spacing w:val="-2"/>
                <w:sz w:val="24"/>
                <w:szCs w:val="24"/>
                <w:lang w:eastAsia="zh-CN"/>
              </w:rPr>
              <w:t>2.</w:t>
            </w:r>
            <w:r>
              <w:rPr>
                <w:rFonts w:hint="eastAsia" w:ascii="宋体" w:hAnsi="宋体" w:eastAsia="宋体" w:cs="宋体"/>
                <w:color w:val="auto"/>
                <w:spacing w:val="-2"/>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采用≥12英寸高清全贴合电容触摸屏，分辨率≥1280*800，屏幕可上下左右调整角度，并采用屏机分离技术，方便临床医护人员进行观察及清洁。</w:t>
            </w:r>
          </w:p>
          <w:p w14:paraId="45CD6075">
            <w:pPr>
              <w:pStyle w:val="15"/>
              <w:widowControl w:val="0"/>
              <w:spacing w:line="360" w:lineRule="auto"/>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3.屏幕显示：同屏显示≥4道波形，可同屏显示短趋势、波形、监测值。</w:t>
            </w:r>
          </w:p>
          <w:p w14:paraId="72FA4A5C">
            <w:pPr>
              <w:pStyle w:val="15"/>
              <w:widowControl w:val="0"/>
              <w:spacing w:line="360" w:lineRule="auto"/>
              <w:jc w:val="both"/>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hint="eastAsia" w:ascii="宋体" w:hAnsi="宋体" w:cs="宋体"/>
                <w:color w:val="auto"/>
                <w:spacing w:val="-2"/>
              </w:rPr>
              <w:t>▲</w:t>
            </w:r>
            <w:r>
              <w:rPr>
                <w:rFonts w:hint="eastAsia" w:asciiTheme="minorEastAsia" w:hAnsiTheme="minorEastAsia" w:eastAsiaTheme="minorEastAsia" w:cstheme="minorEastAsia"/>
                <w:color w:val="000000" w:themeColor="text1"/>
                <w14:textFill>
                  <w14:solidFill>
                    <w14:schemeClr w14:val="tx1"/>
                  </w14:solidFill>
                </w14:textFill>
              </w:rPr>
              <w:t>内置后备可充电锂电池≥180分钟（1块电池），可选双电池≥360分钟，电池总剩余电量能显示在屏幕上。</w:t>
            </w:r>
          </w:p>
          <w:p w14:paraId="07038DCE">
            <w:pPr>
              <w:pStyle w:val="15"/>
              <w:widowControl w:val="0"/>
              <w:spacing w:line="360" w:lineRule="auto"/>
              <w:jc w:val="both"/>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spacing w:val="-2"/>
              </w:rPr>
              <w:t>5.吸气阀组件一体化设计，可快速拆卸，可高温高压蒸汽消毒（134℃）。</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6.通气模式：</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6.1配备标准通气模式：持续气道正压通气、自主通气、自主/时控通气、压力控制通气、容量保证压力支持模式、容量保证时控通气</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6.2可选配高级通气模式：压力调节容量控制通气、比例压力支持通气</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6.3具备高流量氧疗功能，可以调节氧疗流速（2-80L/min）具有ROX指数视图功能，可监测治疗时间，同时动态观察氧疗效果。</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6.4可选配血氧 可显示ROX和S/F指数；</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7.设置参数范围</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7.1 成人潮气量: 50-2000 mL</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7.2 吸气时间：0.2 -5.00 s</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7.3 压力释放功能： 1-3档可调或OFF</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7.4压力上升时间：1-6档可调</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7.5呼吸频率：1-60bpm</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7.6 EPAP：4-30cmH2O</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7.7IPAP：4-50cmH2O</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7.8 吸入氧浓度：21-100%</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8.监测参数：</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8..1气道压力监测：气道峰压、呼气末正压等参数监测；</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8.2潮气量监测：潮气量、分钟通气量、分钟泄漏量等参数监测</w:t>
            </w:r>
            <w:r>
              <w:rPr>
                <w:rFonts w:hint="eastAsia" w:asciiTheme="minorEastAsia" w:hAnsiTheme="minorEastAsia" w:eastAsiaTheme="minorEastAsia" w:cstheme="minorEastAsia"/>
                <w:color w:val="auto"/>
                <w:spacing w:val="-2"/>
              </w:rPr>
              <w:br w:type="textWrapping"/>
            </w:r>
            <w:r>
              <w:rPr>
                <w:rFonts w:hint="eastAsia" w:asciiTheme="minorEastAsia" w:hAnsiTheme="minorEastAsia" w:eastAsiaTheme="minorEastAsia" w:cstheme="minorEastAsia"/>
                <w:color w:val="auto"/>
                <w:spacing w:val="-2"/>
              </w:rPr>
              <w:t>8.3呼吸频率监测：呼吸频率、病人触发百分比监测；</w:t>
            </w:r>
          </w:p>
          <w:p w14:paraId="2E63DE58">
            <w:pPr>
              <w:pStyle w:val="15"/>
              <w:widowControl w:val="0"/>
              <w:spacing w:line="360" w:lineRule="auto"/>
              <w:jc w:val="both"/>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000000" w:themeColor="text1"/>
                <w14:textFill>
                  <w14:solidFill>
                    <w14:schemeClr w14:val="tx1"/>
                  </w14:solidFill>
                </w14:textFill>
              </w:rPr>
              <w:t>9.具备截屏功能，可储存≥10000条事件记录</w:t>
            </w:r>
          </w:p>
          <w:p w14:paraId="4D046DF5">
            <w:pPr>
              <w:widowControl w:val="0"/>
              <w:spacing w:before="184"/>
              <w:ind w:right="2"/>
              <w:jc w:val="both"/>
              <w:rPr>
                <w:rFonts w:hint="eastAsia" w:ascii="宋体" w:hAnsi="宋体" w:eastAsia="宋体" w:cs="宋体"/>
                <w:color w:val="auto"/>
                <w:spacing w:val="-2"/>
                <w:sz w:val="24"/>
                <w:szCs w:val="24"/>
                <w:lang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10.</w:t>
            </w:r>
            <w:r>
              <w:rPr>
                <w:rFonts w:hint="eastAsia" w:ascii="宋体" w:hAnsi="宋体" w:eastAsia="宋体" w:cs="宋体"/>
                <w:color w:val="auto"/>
                <w:spacing w:val="-2"/>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能够通过网络联网，把呼吸机的监测信息实时显示到</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监护仪、</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中央监护站或全院监护系统，满足科室信息化的需求和呼吸机管理。</w:t>
            </w:r>
          </w:p>
        </w:tc>
      </w:tr>
      <w:tr w14:paraId="50F774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6AB7302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33、设备名称</w:t>
            </w:r>
          </w:p>
        </w:tc>
        <w:tc>
          <w:tcPr>
            <w:tcW w:w="1877" w:type="dxa"/>
            <w:vAlign w:val="center"/>
          </w:tcPr>
          <w:p w14:paraId="10BF2C3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实时动态胰岛素泵722</w:t>
            </w:r>
          </w:p>
        </w:tc>
        <w:tc>
          <w:tcPr>
            <w:tcW w:w="1069" w:type="dxa"/>
            <w:vAlign w:val="center"/>
          </w:tcPr>
          <w:p w14:paraId="110F66D0">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16E7FB9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5CAB113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29C04A8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35000</w:t>
            </w:r>
          </w:p>
        </w:tc>
      </w:tr>
      <w:tr w14:paraId="3CFCEC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6" w:hRule="atLeast"/>
        </w:trPr>
        <w:tc>
          <w:tcPr>
            <w:tcW w:w="2130" w:type="dxa"/>
            <w:vAlign w:val="center"/>
          </w:tcPr>
          <w:p w14:paraId="402F0F7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6870731C">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1.输注精度：小于等于±5%；</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2.连续运行。</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 储药器容量大于200U（2ml）</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2.基础率</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2.1 基础率增幅 :0.05-35u/h</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2.2 基础率步长 :≥0.05u/h</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 2.3 基础率分段:48段</w:t>
            </w:r>
          </w:p>
        </w:tc>
      </w:tr>
      <w:tr w14:paraId="4F24D5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4DFDC04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34、设备名称</w:t>
            </w:r>
          </w:p>
        </w:tc>
        <w:tc>
          <w:tcPr>
            <w:tcW w:w="1877" w:type="dxa"/>
            <w:vAlign w:val="center"/>
          </w:tcPr>
          <w:p w14:paraId="1AC76C7F">
            <w:pPr>
              <w:widowControl w:val="0"/>
              <w:spacing w:before="184"/>
              <w:ind w:right="2"/>
              <w:jc w:val="both"/>
              <w:rPr>
                <w:rFonts w:hint="eastAsia" w:ascii="宋体" w:hAnsi="宋体" w:eastAsia="宋体" w:cs="宋体"/>
                <w:color w:val="auto"/>
                <w:spacing w:val="-2"/>
                <w:sz w:val="24"/>
                <w:szCs w:val="24"/>
                <w:lang w:eastAsia="zh-CN"/>
              </w:rPr>
            </w:pPr>
            <w:bookmarkStart w:id="51" w:name="OLE_LINK16"/>
            <w:bookmarkStart w:id="52" w:name="OLE_LINK17"/>
            <w:r>
              <w:rPr>
                <w:rFonts w:hint="eastAsia" w:ascii="宋体" w:hAnsi="宋体" w:eastAsia="宋体" w:cs="宋体"/>
                <w:color w:val="auto"/>
                <w:spacing w:val="-2"/>
                <w:sz w:val="24"/>
                <w:szCs w:val="24"/>
                <w:lang w:eastAsia="zh-CN"/>
              </w:rPr>
              <w:t>全自动中药方调剂中心</w:t>
            </w:r>
            <w:bookmarkEnd w:id="51"/>
            <w:bookmarkEnd w:id="52"/>
          </w:p>
        </w:tc>
        <w:tc>
          <w:tcPr>
            <w:tcW w:w="1069" w:type="dxa"/>
            <w:vAlign w:val="center"/>
          </w:tcPr>
          <w:p w14:paraId="6F99F6C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009D752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33A3536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1BC4274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995000</w:t>
            </w:r>
          </w:p>
        </w:tc>
      </w:tr>
      <w:tr w14:paraId="127758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3" w:hRule="atLeast"/>
        </w:trPr>
        <w:tc>
          <w:tcPr>
            <w:tcW w:w="2130" w:type="dxa"/>
            <w:vAlign w:val="center"/>
          </w:tcPr>
          <w:p w14:paraId="531429B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4791DA6D">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自动调配模块技术要求；</w:t>
            </w:r>
          </w:p>
          <w:p w14:paraId="41756C3A">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数量：自动调配模块大于等于3组</w:t>
            </w:r>
          </w:p>
          <w:p w14:paraId="50C5C4BC">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数据溯源：全程追踪调剂信息，方便医院数据统计。</w:t>
            </w:r>
          </w:p>
          <w:p w14:paraId="4E194E11">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全流程可溯源，采用高清摄像头及传感器，实时监控药品入库，上药，调剂，防止差错。</w:t>
            </w:r>
          </w:p>
          <w:p w14:paraId="3BD4BFFD">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智能识别：识别煎药桶身二维码，确保调剂准确无误。</w:t>
            </w:r>
          </w:p>
          <w:p w14:paraId="6BD61045">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并行调剂：可同时多处方，多味数并行调剂</w:t>
            </w:r>
          </w:p>
          <w:p w14:paraId="0E3B0C39">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多处方并行调剂作业模式，提高效率。。</w:t>
            </w:r>
          </w:p>
          <w:p w14:paraId="0A50A294">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涵盖广泛：可实现饮片自动化调剂85%以上品类。</w:t>
            </w:r>
          </w:p>
          <w:p w14:paraId="5279C043">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精度准确：每位饮片单独称重，精准把控。</w:t>
            </w:r>
          </w:p>
          <w:p w14:paraId="23D1A288">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1.料斗采用智能控制算法，在每次调剂前，自动校准。</w:t>
            </w:r>
          </w:p>
          <w:p w14:paraId="3C550D3A">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2.单味饮片误差±5%以内，饮片自动调剂正确率100%。</w:t>
            </w:r>
          </w:p>
          <w:p w14:paraId="25E95166">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无交叉污染：每味饮片有单独的落药通道。</w:t>
            </w:r>
          </w:p>
          <w:p w14:paraId="02E47C0B">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整个调剂过程由上位机控制，从处方到饮片输出实现全自动化操作，减少人为因素的干扰，提高调剂的准确性和效率。</w:t>
            </w:r>
          </w:p>
        </w:tc>
      </w:tr>
      <w:tr w14:paraId="770113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077CFBA8">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35、设备名称</w:t>
            </w:r>
          </w:p>
        </w:tc>
        <w:tc>
          <w:tcPr>
            <w:tcW w:w="1877" w:type="dxa"/>
            <w:vAlign w:val="center"/>
          </w:tcPr>
          <w:p w14:paraId="60CF0457">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循环风消毒机</w:t>
            </w:r>
          </w:p>
        </w:tc>
        <w:tc>
          <w:tcPr>
            <w:tcW w:w="1069" w:type="dxa"/>
            <w:vAlign w:val="center"/>
          </w:tcPr>
          <w:p w14:paraId="00E6732C">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23DD123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15个</w:t>
            </w:r>
          </w:p>
        </w:tc>
        <w:tc>
          <w:tcPr>
            <w:tcW w:w="1981" w:type="dxa"/>
            <w:vAlign w:val="center"/>
          </w:tcPr>
          <w:p w14:paraId="73116AE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7E3FF759">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4900</w:t>
            </w:r>
          </w:p>
        </w:tc>
      </w:tr>
      <w:tr w14:paraId="690A9F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2" w:hRule="atLeast"/>
        </w:trPr>
        <w:tc>
          <w:tcPr>
            <w:tcW w:w="2130" w:type="dxa"/>
            <w:vAlign w:val="center"/>
          </w:tcPr>
          <w:p w14:paraId="7F554326">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04FE178C">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1.消毒因子：等离子体。</w:t>
            </w:r>
          </w:p>
          <w:p w14:paraId="22DA0A63">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2.特定适用空间体积≤100㎥。</w:t>
            </w:r>
          </w:p>
          <w:p w14:paraId="21CD381B">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3.安装方式：壁挂式安装。</w:t>
            </w:r>
          </w:p>
          <w:p w14:paraId="58EE29DE">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 xml:space="preserve">4.额定输入功率≤55W，工作电源环境：220V±22V  50Hz±1Hz </w:t>
            </w:r>
          </w:p>
          <w:p w14:paraId="43C8FD1E">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5.循环风量≥800m3/h。</w:t>
            </w:r>
          </w:p>
          <w:p w14:paraId="10A34F14">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6. 等离子体空气消毒机内部不得装有中、高效过滤器和紫外线杀菌灯，符合WS/T 648-2019《空气消毒机通用卫生要求》第6.4.2条。</w:t>
            </w:r>
          </w:p>
          <w:p w14:paraId="641D6A4F">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7.设备电源安全性：保护接地阻抗≤0.1</w:t>
            </w:r>
            <w:r>
              <w:rPr>
                <w:rFonts w:hint="eastAsia" w:ascii="宋体" w:hAnsi="宋体" w:eastAsia="宋体" w:cs="宋体"/>
                <w:color w:val="auto"/>
                <w:spacing w:val="-2"/>
                <w:sz w:val="24"/>
                <w:szCs w:val="24"/>
              </w:rPr>
              <w:t>Ω</w:t>
            </w:r>
            <w:r>
              <w:rPr>
                <w:rFonts w:hint="eastAsia" w:ascii="宋体" w:hAnsi="宋体" w:eastAsia="宋体" w:cs="宋体"/>
                <w:color w:val="auto"/>
                <w:spacing w:val="-2"/>
                <w:sz w:val="24"/>
                <w:szCs w:val="24"/>
                <w:lang w:eastAsia="zh-CN"/>
              </w:rPr>
              <w:t>。（提供第三方检测报告）</w:t>
            </w:r>
          </w:p>
          <w:p w14:paraId="578453CE">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8.设备对白色葡萄球菌（8032）进行60Min消毒作业后的菌数≤30（cfu/m3）。（提供第三方检测报告）</w:t>
            </w:r>
          </w:p>
          <w:p w14:paraId="0A8FF063">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9.设备对100m3空间作业120min后，≥0.5㎛悬浮粒子数≤1.7x10^6（粒/m3）。（提供第三方检测报告）</w:t>
            </w:r>
          </w:p>
          <w:p w14:paraId="4F05C4AE">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▲10.设备对毒株A/PR8/34进行60min消毒作业后去除率≥99.9%。（提供第三方检测报告）</w:t>
            </w:r>
          </w:p>
          <w:p w14:paraId="2B572253">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▲11.设备对大肠杆菌进行60Min消毒作业后杀灭率≥99.92%。（提供第三方检测报告）</w:t>
            </w:r>
          </w:p>
          <w:p w14:paraId="48CC9F32">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▲12.设备对金黄色葡萄球菌进行60Min消毒作业后杀灭率≥99.92%。（提供第三方检测报告）</w:t>
            </w:r>
          </w:p>
          <w:p w14:paraId="6D042138">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▲13.设备对白色念珠菌进行60Min消毒作业后杀灭率≥99.92%。（提供第三方检测报告）</w:t>
            </w:r>
          </w:p>
          <w:p w14:paraId="527B5C4D">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▲14.设备对肺炎克雷伯氏菌进行60Min消毒作业后杀灭率≥99.92%。（提供第三方检测报告）</w:t>
            </w:r>
          </w:p>
          <w:p w14:paraId="6190D2A8">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▲15.设备对黑曲霉菌进行60min消毒作业后杀灭率≥99.9%。（提供第三方检测报告）</w:t>
            </w:r>
          </w:p>
          <w:p w14:paraId="0BEE6B53">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▲16.设备对冠状病毒（HCoV-229E）进行60min消毒作业后杀灭率≥99.99%。（提供第三方检测报告）</w:t>
            </w:r>
          </w:p>
          <w:p w14:paraId="5497FF08">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17.运行时可显示工作模式、消毒剩余时间、风速、湿度、温度等信息。</w:t>
            </w:r>
          </w:p>
          <w:p w14:paraId="661FB25E">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18.具有滤网过期、风机故障、等离子故障提示。</w:t>
            </w:r>
          </w:p>
        </w:tc>
      </w:tr>
      <w:tr w14:paraId="735BDE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14:paraId="57970703">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36、设备名称</w:t>
            </w:r>
          </w:p>
        </w:tc>
        <w:tc>
          <w:tcPr>
            <w:tcW w:w="1877" w:type="dxa"/>
            <w:vAlign w:val="center"/>
          </w:tcPr>
          <w:p w14:paraId="57F4D96D">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上肢被动训练仪</w:t>
            </w:r>
          </w:p>
        </w:tc>
        <w:tc>
          <w:tcPr>
            <w:tcW w:w="1069" w:type="dxa"/>
            <w:vAlign w:val="center"/>
          </w:tcPr>
          <w:p w14:paraId="6746148B">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数量</w:t>
            </w:r>
          </w:p>
        </w:tc>
        <w:tc>
          <w:tcPr>
            <w:tcW w:w="943" w:type="dxa"/>
            <w:vAlign w:val="center"/>
          </w:tcPr>
          <w:p w14:paraId="068F128F">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1个</w:t>
            </w:r>
          </w:p>
        </w:tc>
        <w:tc>
          <w:tcPr>
            <w:tcW w:w="1981" w:type="dxa"/>
            <w:vAlign w:val="center"/>
          </w:tcPr>
          <w:p w14:paraId="39C7A74E">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暂估</w:t>
            </w:r>
            <w:r>
              <w:rPr>
                <w:rFonts w:hint="eastAsia" w:ascii="宋体" w:hAnsi="宋体" w:eastAsia="宋体" w:cs="宋体"/>
                <w:color w:val="auto"/>
                <w:spacing w:val="-2"/>
                <w:sz w:val="24"/>
                <w:szCs w:val="24"/>
              </w:rPr>
              <w:t>单价（元）</w:t>
            </w:r>
          </w:p>
        </w:tc>
        <w:tc>
          <w:tcPr>
            <w:tcW w:w="1097" w:type="dxa"/>
            <w:vAlign w:val="center"/>
          </w:tcPr>
          <w:p w14:paraId="3B6A2D62">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65000</w:t>
            </w:r>
          </w:p>
        </w:tc>
      </w:tr>
      <w:tr w14:paraId="203A3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0" w:hRule="atLeast"/>
        </w:trPr>
        <w:tc>
          <w:tcPr>
            <w:tcW w:w="2130" w:type="dxa"/>
            <w:vAlign w:val="center"/>
          </w:tcPr>
          <w:p w14:paraId="26728194">
            <w:pPr>
              <w:widowControl w:val="0"/>
              <w:spacing w:before="184"/>
              <w:ind w:right="2"/>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产品技术要求</w:t>
            </w:r>
          </w:p>
        </w:tc>
        <w:tc>
          <w:tcPr>
            <w:tcW w:w="6967" w:type="dxa"/>
            <w:gridSpan w:val="5"/>
          </w:tcPr>
          <w:p w14:paraId="11E1D878">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1.最大承重200kg</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2.训练时间可设置：1～99min可调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3.电磁阻力等级可调：10级可调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4.训练过程中阻力可调节，可随时进行训练调整，适合肌力提升训练；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5.座椅配备安全绑带，确保患者训练时安全；</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6.握把旋转角度可调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7.座椅位置可调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8.握把长度可调</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9.显示内容：时间、功率、步频、新陈代谢率、步数、卡路里、阻力等级</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10.训练结束后可统计训练时长、总里程、总消耗卡路里等多种数值</w:t>
            </w:r>
            <w:r>
              <w:rPr>
                <w:rFonts w:hint="eastAsia" w:ascii="宋体" w:hAnsi="宋体" w:eastAsia="宋体" w:cs="宋体"/>
                <w:color w:val="auto"/>
                <w:spacing w:val="-2"/>
                <w:sz w:val="24"/>
                <w:szCs w:val="24"/>
                <w:lang w:eastAsia="zh-CN"/>
              </w:rPr>
              <w:br w:type="textWrapping"/>
            </w:r>
            <w:r>
              <w:rPr>
                <w:rFonts w:hint="eastAsia" w:ascii="宋体" w:hAnsi="宋体" w:eastAsia="宋体" w:cs="宋体"/>
                <w:color w:val="auto"/>
                <w:spacing w:val="-2"/>
                <w:sz w:val="24"/>
                <w:szCs w:val="24"/>
                <w:lang w:eastAsia="zh-CN"/>
              </w:rPr>
              <w:t>11.可配备多媒体康复训练系统</w:t>
            </w:r>
          </w:p>
        </w:tc>
      </w:tr>
    </w:tbl>
    <w:p w14:paraId="43A609C8">
      <w:pPr>
        <w:spacing w:before="240" w:beforeLines="100" w:line="360" w:lineRule="auto"/>
        <w:jc w:val="both"/>
        <w:rPr>
          <w:rFonts w:hint="eastAsia" w:ascii="宋体" w:hAnsi="宋体" w:eastAsia="宋体" w:cs="宋体"/>
          <w:b/>
          <w:bCs/>
          <w:color w:val="auto"/>
          <w:kern w:val="44"/>
          <w:sz w:val="28"/>
          <w:szCs w:val="28"/>
          <w:lang w:eastAsia="zh-CN"/>
        </w:rPr>
      </w:pPr>
      <w:r>
        <w:rPr>
          <w:rFonts w:hint="eastAsia" w:ascii="宋体" w:hAnsi="宋体" w:eastAsia="宋体" w:cs="宋体"/>
          <w:b/>
          <w:bCs/>
          <w:color w:val="auto"/>
          <w:kern w:val="44"/>
          <w:sz w:val="28"/>
          <w:szCs w:val="28"/>
          <w:lang w:eastAsia="zh-CN"/>
        </w:rPr>
        <w:t>三、商务要求</w:t>
      </w:r>
    </w:p>
    <w:p w14:paraId="53D2049D">
      <w:pPr>
        <w:spacing w:before="184"/>
        <w:ind w:right="2"/>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交货地点：延吉市朝阳川镇中心卫生院指定地点；</w:t>
      </w:r>
    </w:p>
    <w:p w14:paraId="3B07D566">
      <w:pPr>
        <w:spacing w:before="184"/>
        <w:ind w:right="2"/>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交货时间：合同签订后一个月内。</w:t>
      </w:r>
    </w:p>
    <w:p w14:paraId="36928624">
      <w:pPr>
        <w:spacing w:before="184"/>
        <w:ind w:right="2"/>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zh-CN" w:eastAsia="zh-CN"/>
        </w:rPr>
        <w:t>验收（严格执行国家相关标准）：免费送货上门，包装及运输责任由卖方负责。在货物到达用户单位后，卖方应在7天内派技术人员到达现场，提供安装、调试等服务，并协助医院组织验收。</w:t>
      </w:r>
      <w:r>
        <w:rPr>
          <w:rFonts w:hint="eastAsia" w:ascii="宋体" w:hAnsi="宋体" w:eastAsia="宋体" w:cs="宋体"/>
          <w:color w:val="auto"/>
          <w:spacing w:val="-2"/>
          <w:sz w:val="24"/>
          <w:szCs w:val="24"/>
          <w:lang w:eastAsia="zh-CN"/>
        </w:rPr>
        <w:t>合同签订设备安装培训后由使用科室、设备科、财务科一起验收。</w:t>
      </w:r>
    </w:p>
    <w:p w14:paraId="2E30F5FC">
      <w:pPr>
        <w:spacing w:before="184"/>
        <w:ind w:right="2"/>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伴随服务：1、软件免费升级、提供免费维修热线电话。2、需有机房的设备，负责机房免费设计、线路布置，设备安装、调试，确保正常运转。3、负责操作人员的免费培训，直至他们对操作技术完全掌握为止。</w:t>
      </w:r>
    </w:p>
    <w:p w14:paraId="27599565">
      <w:pPr>
        <w:spacing w:before="184"/>
        <w:ind w:right="2"/>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质量保证期及售后服务：</w:t>
      </w:r>
      <w:r>
        <w:rPr>
          <w:rFonts w:hint="eastAsia" w:ascii="宋体" w:hAnsi="宋体" w:eastAsia="宋体" w:cs="宋体"/>
          <w:color w:val="auto"/>
          <w:spacing w:val="-2"/>
          <w:sz w:val="24"/>
          <w:szCs w:val="24"/>
          <w:lang w:val="zh-CN"/>
        </w:rPr>
        <w:t>上述设备整机免费保修1年，提供维修地点及专职维修工程师联系电话</w:t>
      </w:r>
      <w:r>
        <w:rPr>
          <w:rFonts w:hint="eastAsia" w:ascii="宋体" w:hAnsi="宋体" w:eastAsia="宋体" w:cs="宋体"/>
          <w:color w:val="auto"/>
          <w:spacing w:val="-2"/>
          <w:sz w:val="24"/>
          <w:szCs w:val="24"/>
          <w:lang w:val="en-US" w:eastAsia="zh-CN"/>
        </w:rPr>
        <w:t>,如设备质保期内发生损坏，中标供应商需承担相应违约责任</w:t>
      </w:r>
      <w:r>
        <w:rPr>
          <w:rFonts w:hint="eastAsia" w:ascii="宋体" w:hAnsi="宋体" w:eastAsia="宋体" w:cs="宋体"/>
          <w:color w:val="auto"/>
          <w:spacing w:val="-2"/>
          <w:sz w:val="24"/>
          <w:szCs w:val="24"/>
          <w:lang w:val="zh-CN"/>
        </w:rPr>
        <w:t>。维修响应速度：2小时内做出响应，电话不能解决的须48小时内到达现场</w:t>
      </w:r>
      <w:r>
        <w:rPr>
          <w:rFonts w:hint="eastAsia" w:ascii="宋体" w:hAnsi="宋体" w:eastAsia="宋体" w:cs="宋体"/>
          <w:color w:val="auto"/>
          <w:spacing w:val="-2"/>
          <w:sz w:val="24"/>
          <w:szCs w:val="24"/>
          <w:lang w:val="zh-CN" w:eastAsia="zh-CN"/>
        </w:rPr>
        <w:t>。</w:t>
      </w:r>
    </w:p>
    <w:p w14:paraId="32C51D28">
      <w:pPr>
        <w:spacing w:before="184"/>
        <w:ind w:right="2"/>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质量保证：</w:t>
      </w:r>
    </w:p>
    <w:p w14:paraId="4EFC5CB9">
      <w:pPr>
        <w:spacing w:before="184"/>
        <w:ind w:right="2"/>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highlight w:val="none"/>
          <w:lang w:val="zh-CN" w:eastAsia="zh-CN"/>
        </w:rPr>
        <w:t>供应商应保证提供医疗设备是验收前半年内生产的全新的、未使用过的</w:t>
      </w:r>
      <w:r>
        <w:rPr>
          <w:rFonts w:hint="eastAsia" w:ascii="宋体" w:hAnsi="宋体" w:eastAsia="宋体" w:cs="宋体"/>
          <w:color w:val="auto"/>
          <w:spacing w:val="-2"/>
          <w:sz w:val="24"/>
          <w:szCs w:val="24"/>
          <w:lang w:val="zh-CN" w:eastAsia="zh-CN"/>
        </w:rPr>
        <w:t>，并符合国家有关标准、行业标准、制造厂标准及合同技术标准要求。供应商应保证正确安装、正常使用、保养条件下，在其使用寿命内应具有满意的性能。</w:t>
      </w:r>
    </w:p>
    <w:p w14:paraId="427E1334">
      <w:pPr>
        <w:spacing w:before="184"/>
        <w:ind w:right="2"/>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2、采购人验收合格后，发现设备质量和规格不符合合同的，7天内应应调换与合同相符的新零件。</w:t>
      </w:r>
    </w:p>
    <w:p w14:paraId="79B37E3D">
      <w:pPr>
        <w:pStyle w:val="15"/>
      </w:pPr>
    </w:p>
    <w:p w14:paraId="75FEEDE2">
      <w:pPr>
        <w:spacing w:line="360" w:lineRule="auto"/>
        <w:ind w:firstLine="435"/>
        <w:jc w:val="center"/>
        <w:rPr>
          <w:rFonts w:hint="eastAsia" w:ascii="宋体" w:hAnsi="宋体" w:eastAsia="宋体" w:cs="宋体"/>
          <w:color w:val="0000FF"/>
          <w:kern w:val="44"/>
          <w:highlight w:val="yellow"/>
          <w:lang w:val="zh-CN" w:eastAsia="zh-CN"/>
        </w:rPr>
      </w:pPr>
    </w:p>
    <w:p w14:paraId="36F0850E">
      <w:pPr>
        <w:spacing w:line="360" w:lineRule="auto"/>
        <w:ind w:firstLine="435"/>
        <w:jc w:val="center"/>
        <w:rPr>
          <w:rFonts w:hint="eastAsia" w:ascii="宋体" w:hAnsi="宋体" w:eastAsia="宋体" w:cs="宋体"/>
          <w:color w:val="0000FF"/>
          <w:kern w:val="44"/>
          <w:highlight w:val="yellow"/>
          <w:lang w:val="zh-CN" w:eastAsia="zh-CN"/>
        </w:rPr>
      </w:pPr>
    </w:p>
    <w:p w14:paraId="187FA42C">
      <w:pPr>
        <w:spacing w:line="360" w:lineRule="auto"/>
        <w:ind w:firstLine="435"/>
        <w:jc w:val="center"/>
        <w:rPr>
          <w:rFonts w:hint="eastAsia" w:ascii="宋体" w:hAnsi="宋体" w:eastAsia="宋体" w:cs="宋体"/>
          <w:color w:val="0000FF"/>
          <w:kern w:val="44"/>
          <w:highlight w:val="yellow"/>
          <w:lang w:val="zh-CN" w:eastAsia="zh-CN"/>
        </w:rPr>
      </w:pPr>
    </w:p>
    <w:p w14:paraId="0C9CF336">
      <w:pPr>
        <w:spacing w:line="360" w:lineRule="auto"/>
        <w:ind w:firstLine="435"/>
        <w:jc w:val="center"/>
        <w:rPr>
          <w:rFonts w:hint="eastAsia" w:ascii="宋体" w:hAnsi="宋体" w:eastAsia="宋体" w:cs="宋体"/>
          <w:color w:val="0000FF"/>
          <w:kern w:val="44"/>
          <w:highlight w:val="yellow"/>
          <w:lang w:val="zh-CN" w:eastAsia="zh-CN"/>
        </w:rPr>
      </w:pPr>
    </w:p>
    <w:p w14:paraId="0D86F1FF">
      <w:pPr>
        <w:spacing w:line="360" w:lineRule="auto"/>
        <w:ind w:firstLine="435"/>
        <w:jc w:val="center"/>
        <w:rPr>
          <w:rFonts w:hint="eastAsia" w:ascii="宋体" w:hAnsi="宋体" w:eastAsia="宋体" w:cs="宋体"/>
          <w:color w:val="0000FF"/>
          <w:kern w:val="44"/>
          <w:highlight w:val="yellow"/>
          <w:lang w:val="zh-CN" w:eastAsia="zh-CN"/>
        </w:rPr>
      </w:pPr>
    </w:p>
    <w:p w14:paraId="354520E6">
      <w:pPr>
        <w:spacing w:line="360" w:lineRule="auto"/>
        <w:ind w:firstLine="435"/>
        <w:jc w:val="center"/>
        <w:rPr>
          <w:rFonts w:hint="eastAsia" w:ascii="宋体" w:hAnsi="宋体" w:eastAsia="宋体" w:cs="宋体"/>
          <w:color w:val="0000FF"/>
          <w:kern w:val="44"/>
          <w:highlight w:val="yellow"/>
          <w:lang w:val="zh-CN" w:eastAsia="zh-CN"/>
        </w:rPr>
      </w:pPr>
    </w:p>
    <w:p w14:paraId="45E6765E">
      <w:pPr>
        <w:spacing w:line="360" w:lineRule="auto"/>
        <w:ind w:firstLine="435"/>
        <w:jc w:val="center"/>
        <w:rPr>
          <w:rFonts w:hint="eastAsia" w:ascii="宋体" w:hAnsi="宋体" w:eastAsia="宋体" w:cs="宋体"/>
          <w:color w:val="0000FF"/>
          <w:kern w:val="44"/>
          <w:highlight w:val="yellow"/>
          <w:lang w:val="zh-CN" w:eastAsia="zh-CN"/>
        </w:rPr>
      </w:pPr>
    </w:p>
    <w:p w14:paraId="68488950">
      <w:pPr>
        <w:spacing w:line="360" w:lineRule="auto"/>
        <w:ind w:firstLine="435"/>
        <w:jc w:val="center"/>
        <w:rPr>
          <w:rFonts w:hint="eastAsia" w:ascii="宋体" w:hAnsi="宋体" w:eastAsia="宋体" w:cs="宋体"/>
          <w:color w:val="0000FF"/>
          <w:kern w:val="44"/>
          <w:highlight w:val="yellow"/>
          <w:lang w:val="zh-CN" w:eastAsia="zh-CN"/>
        </w:rPr>
      </w:pPr>
    </w:p>
    <w:p w14:paraId="1AA7D0A6">
      <w:pPr>
        <w:spacing w:line="360" w:lineRule="auto"/>
        <w:ind w:firstLine="435"/>
        <w:jc w:val="center"/>
        <w:rPr>
          <w:rFonts w:hint="eastAsia" w:ascii="宋体" w:hAnsi="宋体" w:eastAsia="宋体" w:cs="宋体"/>
          <w:color w:val="0000FF"/>
          <w:kern w:val="44"/>
          <w:highlight w:val="yellow"/>
          <w:lang w:val="zh-CN" w:eastAsia="zh-CN"/>
        </w:rPr>
      </w:pPr>
    </w:p>
    <w:p w14:paraId="35FC8391">
      <w:pPr>
        <w:spacing w:line="360" w:lineRule="auto"/>
        <w:ind w:firstLine="435"/>
        <w:jc w:val="center"/>
        <w:rPr>
          <w:rFonts w:hint="eastAsia" w:ascii="宋体" w:hAnsi="宋体" w:eastAsia="宋体" w:cs="宋体"/>
          <w:color w:val="0000FF"/>
          <w:kern w:val="44"/>
          <w:highlight w:val="yellow"/>
          <w:lang w:val="zh-CN" w:eastAsia="zh-CN"/>
        </w:rPr>
      </w:pPr>
    </w:p>
    <w:p w14:paraId="2E8169E7">
      <w:pPr>
        <w:spacing w:line="360" w:lineRule="auto"/>
        <w:ind w:firstLine="435"/>
        <w:jc w:val="center"/>
        <w:rPr>
          <w:rFonts w:hint="eastAsia" w:ascii="宋体" w:hAnsi="宋体" w:eastAsia="宋体" w:cs="宋体"/>
          <w:color w:val="0000FF"/>
          <w:kern w:val="44"/>
          <w:highlight w:val="yellow"/>
          <w:lang w:val="zh-CN" w:eastAsia="zh-CN"/>
        </w:rPr>
      </w:pPr>
    </w:p>
    <w:p w14:paraId="463CFFC0">
      <w:pPr>
        <w:spacing w:line="360" w:lineRule="auto"/>
        <w:ind w:firstLine="435"/>
        <w:jc w:val="center"/>
        <w:rPr>
          <w:rFonts w:hint="eastAsia" w:ascii="宋体" w:hAnsi="宋体" w:eastAsia="宋体" w:cs="宋体"/>
          <w:color w:val="0000FF"/>
          <w:kern w:val="44"/>
          <w:highlight w:val="yellow"/>
          <w:lang w:val="zh-CN" w:eastAsia="zh-CN"/>
        </w:rPr>
      </w:pPr>
    </w:p>
    <w:p w14:paraId="08129DD5">
      <w:pPr>
        <w:spacing w:line="360" w:lineRule="auto"/>
        <w:ind w:firstLine="435"/>
        <w:jc w:val="center"/>
        <w:rPr>
          <w:rFonts w:hint="eastAsia" w:ascii="宋体" w:hAnsi="宋体" w:eastAsia="宋体" w:cs="宋体"/>
          <w:color w:val="0000FF"/>
          <w:kern w:val="44"/>
          <w:highlight w:val="yellow"/>
          <w:lang w:val="zh-CN" w:eastAsia="zh-CN"/>
        </w:rPr>
      </w:pPr>
    </w:p>
    <w:p w14:paraId="51EA1BE7">
      <w:pPr>
        <w:spacing w:line="360" w:lineRule="auto"/>
        <w:ind w:firstLine="435"/>
        <w:jc w:val="center"/>
        <w:rPr>
          <w:rFonts w:hint="eastAsia" w:ascii="宋体" w:hAnsi="宋体" w:eastAsia="宋体" w:cs="宋体"/>
          <w:color w:val="0000FF"/>
          <w:kern w:val="44"/>
          <w:highlight w:val="yellow"/>
          <w:lang w:val="zh-CN" w:eastAsia="zh-CN"/>
        </w:rPr>
      </w:pPr>
    </w:p>
    <w:p w14:paraId="30803A03">
      <w:pPr>
        <w:spacing w:line="360" w:lineRule="auto"/>
        <w:ind w:firstLine="435"/>
        <w:jc w:val="center"/>
        <w:rPr>
          <w:rFonts w:hint="eastAsia" w:ascii="宋体" w:hAnsi="宋体" w:eastAsia="宋体" w:cs="宋体"/>
          <w:color w:val="0000FF"/>
          <w:kern w:val="44"/>
          <w:highlight w:val="yellow"/>
          <w:lang w:val="zh-CN" w:eastAsia="zh-CN"/>
        </w:rPr>
      </w:pPr>
    </w:p>
    <w:p w14:paraId="10756794">
      <w:pPr>
        <w:spacing w:line="360" w:lineRule="auto"/>
        <w:ind w:firstLine="435"/>
        <w:jc w:val="center"/>
        <w:rPr>
          <w:rFonts w:hint="eastAsia" w:ascii="宋体" w:hAnsi="宋体" w:eastAsia="宋体" w:cs="宋体"/>
          <w:color w:val="0000FF"/>
          <w:kern w:val="44"/>
          <w:highlight w:val="yellow"/>
          <w:lang w:val="zh-CN" w:eastAsia="zh-CN"/>
        </w:rPr>
      </w:pPr>
    </w:p>
    <w:p w14:paraId="2385DD1A">
      <w:pPr>
        <w:spacing w:line="360" w:lineRule="auto"/>
        <w:ind w:firstLine="435"/>
        <w:jc w:val="center"/>
        <w:rPr>
          <w:rFonts w:hint="eastAsia" w:ascii="宋体" w:hAnsi="宋体" w:eastAsia="宋体" w:cs="宋体"/>
          <w:color w:val="0000FF"/>
          <w:kern w:val="44"/>
          <w:highlight w:val="yellow"/>
          <w:lang w:val="zh-CN" w:eastAsia="zh-CN"/>
        </w:rPr>
      </w:pPr>
    </w:p>
    <w:p w14:paraId="524A4CF8">
      <w:pPr>
        <w:spacing w:line="360" w:lineRule="auto"/>
        <w:ind w:firstLine="435"/>
        <w:jc w:val="center"/>
        <w:rPr>
          <w:rFonts w:hint="eastAsia" w:ascii="宋体" w:hAnsi="宋体" w:eastAsia="宋体" w:cs="宋体"/>
          <w:color w:val="0000FF"/>
          <w:kern w:val="44"/>
          <w:highlight w:val="yellow"/>
          <w:lang w:val="zh-CN" w:eastAsia="zh-CN"/>
        </w:rPr>
      </w:pPr>
    </w:p>
    <w:p w14:paraId="47DACA85">
      <w:pPr>
        <w:spacing w:line="360" w:lineRule="auto"/>
        <w:ind w:firstLine="435"/>
        <w:jc w:val="center"/>
        <w:rPr>
          <w:rFonts w:hint="eastAsia" w:ascii="宋体" w:hAnsi="宋体" w:eastAsia="宋体" w:cs="宋体"/>
          <w:color w:val="0000FF"/>
          <w:kern w:val="44"/>
          <w:highlight w:val="yellow"/>
          <w:lang w:val="zh-CN" w:eastAsia="zh-CN"/>
        </w:rPr>
      </w:pPr>
    </w:p>
    <w:p w14:paraId="4FF8DD87">
      <w:pPr>
        <w:spacing w:line="360" w:lineRule="auto"/>
        <w:ind w:firstLine="2168" w:firstLineChars="600"/>
        <w:outlineLvl w:val="0"/>
        <w:rPr>
          <w:rFonts w:hint="eastAsia" w:ascii="宋体" w:hAnsi="宋体" w:eastAsia="宋体" w:cs="宋体"/>
          <w:b/>
          <w:bCs/>
          <w:color w:val="auto"/>
          <w:sz w:val="36"/>
          <w:szCs w:val="36"/>
          <w:lang w:eastAsia="zh-CN"/>
        </w:rPr>
      </w:pPr>
      <w:bookmarkStart w:id="53" w:name="_Toc6096"/>
      <w:r>
        <w:rPr>
          <w:rFonts w:hint="eastAsia" w:ascii="宋体" w:hAnsi="宋体" w:eastAsia="宋体" w:cs="宋体"/>
          <w:b/>
          <w:bCs/>
          <w:color w:val="auto"/>
          <w:sz w:val="36"/>
          <w:szCs w:val="36"/>
          <w:lang w:eastAsia="zh-CN"/>
        </w:rPr>
        <w:t>第六章 投标文件构成及格式</w:t>
      </w:r>
      <w:bookmarkEnd w:id="53"/>
    </w:p>
    <w:p w14:paraId="19576993">
      <w:pPr>
        <w:pStyle w:val="7"/>
        <w:spacing w:line="318" w:lineRule="auto"/>
        <w:rPr>
          <w:rFonts w:hint="eastAsia" w:ascii="宋体" w:hAnsi="宋体" w:eastAsia="宋体" w:cs="宋体"/>
          <w:color w:val="auto"/>
          <w:lang w:eastAsia="zh-CN"/>
        </w:rPr>
      </w:pPr>
    </w:p>
    <w:p w14:paraId="4979E49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采购人特别声明：</w:t>
      </w:r>
    </w:p>
    <w:p w14:paraId="6443A44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投标人应提交本“投标文件格式 ”所列举和要求的全部投标文件，并且所提交的投标</w:t>
      </w:r>
    </w:p>
    <w:p w14:paraId="120180A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文件都是真实有效的，否则，将是投标人的风险。</w:t>
      </w:r>
    </w:p>
    <w:p w14:paraId="5EB11FC4">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4C1C9CA3">
      <w:pPr>
        <w:pStyle w:val="16"/>
        <w:rPr>
          <w:rFonts w:hint="eastAsia" w:ascii="宋体" w:hAnsi="宋体" w:eastAsia="宋体" w:cs="宋体"/>
          <w:color w:val="auto"/>
          <w:kern w:val="44"/>
          <w:sz w:val="36"/>
          <w:lang w:val="zh-CN" w:eastAsia="zh-CN"/>
        </w:rPr>
      </w:pPr>
    </w:p>
    <w:p w14:paraId="00B1EB6A">
      <w:pPr>
        <w:pStyle w:val="16"/>
        <w:widowControl w:val="0"/>
        <w:kinsoku/>
        <w:autoSpaceDE/>
        <w:autoSpaceDN/>
        <w:snapToGrid/>
        <w:outlineLvl w:val="9"/>
        <w:rPr>
          <w:rFonts w:hint="eastAsia" w:ascii="宋体" w:hAnsi="宋体" w:eastAsia="宋体" w:cs="宋体"/>
          <w:color w:val="auto"/>
          <w:sz w:val="28"/>
          <w:szCs w:val="28"/>
          <w:u w:val="single"/>
          <w:lang w:eastAsia="zh-CN"/>
        </w:rPr>
      </w:pPr>
    </w:p>
    <w:p w14:paraId="44A0FEF3">
      <w:pPr>
        <w:pStyle w:val="16"/>
        <w:widowControl w:val="0"/>
        <w:kinsoku/>
        <w:autoSpaceDE/>
        <w:autoSpaceDN/>
        <w:snapToGrid/>
        <w:outlineLvl w:val="9"/>
        <w:rPr>
          <w:rFonts w:hint="eastAsia" w:ascii="宋体" w:hAnsi="宋体" w:eastAsia="宋体" w:cs="宋体"/>
          <w:color w:val="auto"/>
          <w:kern w:val="44"/>
          <w:sz w:val="36"/>
          <w:lang w:val="zh-CN" w:eastAsia="zh-CN"/>
        </w:rPr>
      </w:pPr>
      <w:r>
        <w:rPr>
          <w:rFonts w:hint="eastAsia" w:ascii="宋体" w:hAnsi="宋体" w:eastAsia="宋体" w:cs="宋体"/>
          <w:color w:val="auto"/>
          <w:sz w:val="28"/>
          <w:szCs w:val="28"/>
          <w:u w:val="single"/>
          <w:lang w:eastAsia="zh-CN"/>
        </w:rPr>
        <w:t xml:space="preserve">                                </w:t>
      </w:r>
      <w:bookmarkStart w:id="54" w:name="_Toc6030"/>
      <w:r>
        <w:rPr>
          <w:rFonts w:hint="eastAsia" w:ascii="宋体" w:hAnsi="宋体" w:eastAsia="宋体" w:cs="宋体"/>
          <w:color w:val="auto"/>
          <w:sz w:val="28"/>
          <w:szCs w:val="28"/>
          <w:lang w:eastAsia="zh-CN"/>
        </w:rPr>
        <w:t>（项目名称）</w:t>
      </w:r>
      <w:bookmarkEnd w:id="54"/>
    </w:p>
    <w:p w14:paraId="6F618804">
      <w:pPr>
        <w:spacing w:line="360" w:lineRule="auto"/>
        <w:jc w:val="center"/>
        <w:rPr>
          <w:rFonts w:hint="eastAsia" w:ascii="宋体" w:hAnsi="宋体" w:eastAsia="宋体" w:cs="宋体"/>
          <w:color w:val="auto"/>
          <w:sz w:val="28"/>
          <w:szCs w:val="28"/>
          <w:lang w:eastAsia="zh-CN"/>
        </w:rPr>
      </w:pPr>
    </w:p>
    <w:p w14:paraId="0BAC01A9">
      <w:pPr>
        <w:spacing w:line="360" w:lineRule="auto"/>
        <w:jc w:val="center"/>
        <w:rPr>
          <w:rFonts w:hint="eastAsia" w:ascii="宋体" w:hAnsi="宋体" w:eastAsia="宋体" w:cs="宋体"/>
          <w:color w:val="auto"/>
          <w:sz w:val="28"/>
          <w:szCs w:val="28"/>
          <w:lang w:eastAsia="zh-CN"/>
        </w:rPr>
      </w:pPr>
    </w:p>
    <w:p w14:paraId="60C85BC7">
      <w:pPr>
        <w:spacing w:line="360" w:lineRule="auto"/>
        <w:jc w:val="center"/>
        <w:rPr>
          <w:rFonts w:hint="eastAsia" w:ascii="宋体" w:hAnsi="宋体" w:eastAsia="宋体" w:cs="宋体"/>
          <w:color w:val="auto"/>
          <w:sz w:val="28"/>
          <w:szCs w:val="28"/>
          <w:lang w:eastAsia="zh-CN"/>
        </w:rPr>
      </w:pPr>
    </w:p>
    <w:p w14:paraId="0175C1A8">
      <w:pPr>
        <w:spacing w:line="360" w:lineRule="auto"/>
        <w:jc w:val="center"/>
        <w:rPr>
          <w:rFonts w:hint="eastAsia" w:ascii="宋体" w:hAnsi="宋体" w:eastAsia="宋体" w:cs="宋体"/>
          <w:color w:val="auto"/>
          <w:sz w:val="28"/>
          <w:szCs w:val="28"/>
          <w:lang w:eastAsia="zh-CN"/>
        </w:rPr>
      </w:pPr>
    </w:p>
    <w:p w14:paraId="1D92EDC6">
      <w:pPr>
        <w:spacing w:line="360" w:lineRule="auto"/>
        <w:jc w:val="center"/>
        <w:rPr>
          <w:rFonts w:hint="eastAsia" w:ascii="宋体" w:hAnsi="宋体" w:eastAsia="宋体" w:cs="宋体"/>
          <w:color w:val="auto"/>
          <w:sz w:val="28"/>
          <w:szCs w:val="28"/>
          <w:lang w:eastAsia="zh-CN"/>
        </w:rPr>
      </w:pPr>
    </w:p>
    <w:p w14:paraId="28B8910F">
      <w:pPr>
        <w:spacing w:line="360" w:lineRule="auto"/>
        <w:jc w:val="center"/>
        <w:rPr>
          <w:rFonts w:hint="eastAsia" w:ascii="宋体" w:hAnsi="宋体" w:eastAsia="宋体" w:cs="宋体"/>
          <w:color w:val="auto"/>
          <w:sz w:val="72"/>
          <w:szCs w:val="72"/>
          <w:lang w:eastAsia="zh-CN"/>
        </w:rPr>
      </w:pPr>
      <w:r>
        <w:rPr>
          <w:rFonts w:hint="eastAsia" w:ascii="宋体" w:hAnsi="宋体" w:eastAsia="宋体" w:cs="宋体"/>
          <w:color w:val="auto"/>
          <w:sz w:val="72"/>
          <w:szCs w:val="72"/>
          <w:lang w:eastAsia="zh-CN"/>
        </w:rPr>
        <w:t>投 标 文 件</w:t>
      </w:r>
    </w:p>
    <w:p w14:paraId="4BA1C068">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项目编号：</w:t>
      </w:r>
    </w:p>
    <w:p w14:paraId="175F30B6">
      <w:pPr>
        <w:spacing w:line="480" w:lineRule="auto"/>
        <w:ind w:firstLine="3360" w:firstLineChars="1200"/>
        <w:rPr>
          <w:rFonts w:hint="eastAsia" w:ascii="宋体" w:hAnsi="宋体" w:eastAsia="宋体" w:cs="宋体"/>
          <w:color w:val="auto"/>
          <w:sz w:val="28"/>
          <w:szCs w:val="28"/>
          <w:u w:val="single"/>
          <w:lang w:eastAsia="zh-CN"/>
        </w:rPr>
      </w:pPr>
    </w:p>
    <w:p w14:paraId="39DC6686">
      <w:pPr>
        <w:spacing w:line="360" w:lineRule="auto"/>
        <w:jc w:val="center"/>
        <w:rPr>
          <w:rFonts w:hint="eastAsia" w:ascii="宋体" w:hAnsi="宋体" w:eastAsia="宋体" w:cs="宋体"/>
          <w:color w:val="auto"/>
          <w:sz w:val="28"/>
          <w:szCs w:val="28"/>
          <w:lang w:eastAsia="zh-CN"/>
        </w:rPr>
      </w:pPr>
    </w:p>
    <w:p w14:paraId="5755E331">
      <w:pPr>
        <w:spacing w:line="360" w:lineRule="auto"/>
        <w:ind w:firstLine="1260" w:firstLineChars="450"/>
        <w:rPr>
          <w:rFonts w:hint="eastAsia" w:ascii="宋体" w:hAnsi="宋体" w:eastAsia="宋体" w:cs="宋体"/>
          <w:color w:val="auto"/>
          <w:sz w:val="28"/>
          <w:szCs w:val="28"/>
          <w:lang w:eastAsia="zh-CN"/>
        </w:rPr>
      </w:pPr>
    </w:p>
    <w:p w14:paraId="14F9B7B4">
      <w:pPr>
        <w:spacing w:line="360" w:lineRule="auto"/>
        <w:ind w:firstLine="1260" w:firstLineChars="450"/>
        <w:rPr>
          <w:rFonts w:hint="eastAsia" w:ascii="宋体" w:hAnsi="宋体" w:eastAsia="宋体" w:cs="宋体"/>
          <w:color w:val="auto"/>
          <w:sz w:val="28"/>
          <w:szCs w:val="28"/>
          <w:lang w:eastAsia="zh-CN"/>
        </w:rPr>
      </w:pPr>
    </w:p>
    <w:p w14:paraId="4B093341">
      <w:pPr>
        <w:spacing w:line="360" w:lineRule="auto"/>
        <w:ind w:firstLine="1260" w:firstLineChars="450"/>
        <w:rPr>
          <w:rFonts w:hint="eastAsia" w:ascii="宋体" w:hAnsi="宋体" w:eastAsia="宋体" w:cs="宋体"/>
          <w:color w:val="auto"/>
          <w:sz w:val="28"/>
          <w:szCs w:val="28"/>
          <w:lang w:eastAsia="zh-CN"/>
        </w:rPr>
      </w:pPr>
    </w:p>
    <w:p w14:paraId="3B002DAA">
      <w:pPr>
        <w:spacing w:line="360" w:lineRule="auto"/>
        <w:ind w:firstLine="1260" w:firstLineChars="450"/>
        <w:rPr>
          <w:rFonts w:hint="eastAsia" w:ascii="宋体" w:hAnsi="宋体" w:eastAsia="宋体" w:cs="宋体"/>
          <w:color w:val="auto"/>
          <w:sz w:val="28"/>
          <w:szCs w:val="28"/>
          <w:lang w:eastAsia="zh-CN"/>
        </w:rPr>
      </w:pPr>
    </w:p>
    <w:p w14:paraId="10E49F90">
      <w:pPr>
        <w:spacing w:line="360" w:lineRule="auto"/>
        <w:ind w:firstLine="1260" w:firstLineChars="450"/>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（盖单位章）</w:t>
      </w:r>
    </w:p>
    <w:p w14:paraId="2DCA11C2">
      <w:pPr>
        <w:spacing w:line="360" w:lineRule="auto"/>
        <w:ind w:firstLine="1260" w:firstLineChars="45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法定代表人或其委托代理人：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（签字）</w:t>
      </w:r>
    </w:p>
    <w:p w14:paraId="3C180D07">
      <w:pPr>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w:t>
      </w:r>
    </w:p>
    <w:p w14:paraId="01B89F50">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22C46468">
      <w:pPr>
        <w:kinsoku/>
        <w:autoSpaceDE/>
        <w:autoSpaceDN/>
        <w:spacing w:after="240" w:afterLines="10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格式一：</w:t>
      </w:r>
    </w:p>
    <w:p w14:paraId="634CA0EE">
      <w:pPr>
        <w:spacing w:before="182" w:line="220" w:lineRule="auto"/>
        <w:ind w:left="3809"/>
        <w:rPr>
          <w:rFonts w:hint="eastAsia" w:ascii="宋体" w:hAnsi="宋体" w:eastAsia="宋体" w:cs="宋体"/>
          <w:color w:val="auto"/>
          <w:sz w:val="24"/>
          <w:szCs w:val="24"/>
          <w:lang w:eastAsia="zh-CN"/>
        </w:rPr>
      </w:pPr>
      <w:bookmarkStart w:id="55" w:name="_Toc15346"/>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投标函（格式）</w:t>
      </w:r>
      <w:bookmarkEnd w:id="55"/>
    </w:p>
    <w:p w14:paraId="0DC6AF51">
      <w:pPr>
        <w:spacing w:line="360" w:lineRule="auto"/>
        <w:rPr>
          <w:rFonts w:hint="eastAsia" w:ascii="宋体" w:hAnsi="宋体" w:eastAsia="宋体" w:cs="宋体"/>
          <w:color w:val="auto"/>
          <w:sz w:val="24"/>
          <w:szCs w:val="24"/>
          <w:lang w:eastAsia="zh-CN"/>
        </w:rPr>
      </w:pPr>
    </w:p>
    <w:p w14:paraId="1A407CA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致：中科高盛咨询集团有限公司</w:t>
      </w:r>
    </w:p>
    <w:p w14:paraId="36FA344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我方参加你方就</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（项目名称，项目编号/包号）组织的招标活动，并对此项目进行投标。</w:t>
      </w:r>
    </w:p>
    <w:p w14:paraId="37B3A6E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我方已详细审查全部招标文件，自愿参与投标并承诺如下：</w:t>
      </w:r>
    </w:p>
    <w:p w14:paraId="021717CF">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(1)按招标文件规定提供货物及服务的投标总价为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 xml:space="preserve">（大写）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人民币，质保期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w:t>
      </w:r>
    </w:p>
    <w:p w14:paraId="4AF9078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(2)我方保证根据招标文件规定履行合同责任和义务。</w:t>
      </w:r>
    </w:p>
    <w:p w14:paraId="4EA2FA7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(3)我方已详细审核了全部招标文件，包括招标文件的修改、补充文件（如果有的话）、参考资料及有关的附件，我们知道必须放弃提出含糊不清或误解的问题的权利。</w:t>
      </w:r>
    </w:p>
    <w:p w14:paraId="5D6FCD6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(4)我方同意在投标人须知规定的开标日期起遵循本投标书，并在投标人须知规定的投标有效期满之前均具有约束力，并有可能中标。</w:t>
      </w:r>
    </w:p>
    <w:p w14:paraId="25287D6E">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(5)我方如果在规定的投标有效期内撤回投标，则我们的投标保证金可被贵方没收。</w:t>
      </w:r>
    </w:p>
    <w:p w14:paraId="1D60AC9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(6)我方已提供的全部文件资料是真实、准确的，并对此承担一切法律后果。</w:t>
      </w:r>
    </w:p>
    <w:p w14:paraId="20CA0F9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(7)我方完全理解贵方不一定要接受最低报价的投标或收到的任何投标。</w:t>
      </w:r>
    </w:p>
    <w:p w14:paraId="02C4316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(8)本投标自开标之日起 90 天内有效。</w:t>
      </w:r>
    </w:p>
    <w:p w14:paraId="3BA7FC55">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与本投标有关的正式通信地址为：</w:t>
      </w:r>
    </w:p>
    <w:p w14:paraId="36882066">
      <w:pPr>
        <w:pStyle w:val="7"/>
        <w:spacing w:line="245" w:lineRule="auto"/>
        <w:rPr>
          <w:rFonts w:hint="eastAsia" w:ascii="宋体" w:hAnsi="宋体" w:eastAsia="宋体" w:cs="宋体"/>
          <w:color w:val="auto"/>
          <w:lang w:eastAsia="zh-CN"/>
        </w:rPr>
      </w:pPr>
    </w:p>
    <w:p w14:paraId="1F4FB988">
      <w:pPr>
        <w:pStyle w:val="7"/>
        <w:spacing w:line="246" w:lineRule="auto"/>
        <w:rPr>
          <w:rFonts w:hint="eastAsia" w:ascii="宋体" w:hAnsi="宋体" w:eastAsia="宋体" w:cs="宋体"/>
          <w:color w:val="auto"/>
          <w:lang w:eastAsia="zh-CN"/>
        </w:rPr>
      </w:pPr>
    </w:p>
    <w:p w14:paraId="508D4D07">
      <w:pPr>
        <w:spacing w:before="78" w:line="229" w:lineRule="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地址：</w:t>
      </w:r>
    </w:p>
    <w:p w14:paraId="57D0EF57">
      <w:pPr>
        <w:spacing w:before="170" w:line="219" w:lineRule="auto"/>
        <w:ind w:left="28"/>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电话：</w:t>
      </w:r>
    </w:p>
    <w:p w14:paraId="057AC8BB">
      <w:pPr>
        <w:spacing w:before="170" w:line="219" w:lineRule="auto"/>
        <w:ind w:left="28"/>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传真：</w:t>
      </w:r>
    </w:p>
    <w:p w14:paraId="52736588">
      <w:pPr>
        <w:spacing w:before="181" w:line="219" w:lineRule="auto"/>
        <w:ind w:left="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14:paraId="300AE3B4">
      <w:pPr>
        <w:spacing w:before="181" w:line="468" w:lineRule="exact"/>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法定代表人（单位负责人）</w:t>
      </w:r>
    </w:p>
    <w:p w14:paraId="2CCE4D4E">
      <w:pPr>
        <w:spacing w:line="220" w:lineRule="auto"/>
        <w:ind w:left="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或授权代表（签字</w:t>
      </w:r>
      <w:r>
        <w:rPr>
          <w:rFonts w:hint="eastAsia" w:ascii="宋体" w:hAnsi="宋体" w:eastAsia="宋体" w:cs="宋体"/>
          <w:color w:val="auto"/>
          <w:spacing w:val="1"/>
          <w:sz w:val="24"/>
          <w:szCs w:val="24"/>
          <w:lang w:eastAsia="zh-CN"/>
        </w:rPr>
        <w:t>）：</w:t>
      </w:r>
    </w:p>
    <w:p w14:paraId="017865CF">
      <w:pPr>
        <w:spacing w:before="182" w:line="220" w:lineRule="auto"/>
        <w:ind w:left="41"/>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日期：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14:paraId="02E659B8">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5A0C9F1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13F2F7F">
      <w:pPr>
        <w:spacing w:before="182" w:line="220" w:lineRule="auto"/>
        <w:ind w:left="3809"/>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pPr>
      <w:bookmarkStart w:id="56" w:name="_Toc246996358"/>
      <w:bookmarkStart w:id="57" w:name="_Toc179632810"/>
      <w:bookmarkStart w:id="58" w:name="_Toc363457205"/>
      <w:bookmarkStart w:id="59" w:name="_Toc152045790"/>
      <w:bookmarkStart w:id="60" w:name="_Toc152042579"/>
      <w:bookmarkStart w:id="61" w:name="_Toc246997101"/>
      <w:bookmarkStart w:id="62" w:name="_Toc144974859"/>
      <w:bookmarkStart w:id="63" w:name="_Toc247085876"/>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投标函附录</w:t>
      </w:r>
      <w:bookmarkEnd w:id="56"/>
      <w:bookmarkEnd w:id="57"/>
      <w:bookmarkEnd w:id="58"/>
      <w:bookmarkEnd w:id="59"/>
      <w:bookmarkEnd w:id="60"/>
      <w:bookmarkEnd w:id="61"/>
      <w:bookmarkEnd w:id="62"/>
      <w:bookmarkEnd w:id="63"/>
    </w:p>
    <w:p w14:paraId="600DDDF9">
      <w:pPr>
        <w:kinsoku/>
        <w:autoSpaceDE/>
        <w:adjustRightInd/>
        <w:snapToGrid/>
        <w:spacing w:line="440" w:lineRule="exact"/>
        <w:rPr>
          <w:rFonts w:hint="eastAsia" w:ascii="宋体" w:hAnsi="宋体" w:eastAsia="宋体" w:cs="宋体"/>
          <w:color w:val="auto"/>
          <w:sz w:val="20"/>
          <w:szCs w:val="20"/>
          <w:lang w:bidi="ar"/>
        </w:rPr>
      </w:pPr>
    </w:p>
    <w:tbl>
      <w:tblPr>
        <w:tblStyle w:val="18"/>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8"/>
        <w:gridCol w:w="2137"/>
        <w:gridCol w:w="4321"/>
        <w:gridCol w:w="1885"/>
      </w:tblGrid>
      <w:tr w14:paraId="337BFC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97433">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B7ABA">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0263C">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79E98">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是否响应</w:t>
            </w:r>
          </w:p>
        </w:tc>
      </w:tr>
      <w:tr w14:paraId="24D716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10F22">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E5CBA">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80916">
            <w:pPr>
              <w:widowControl w:val="0"/>
              <w:kinsoku/>
              <w:snapToGrid/>
              <w:spacing w:line="320" w:lineRule="exact"/>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16FB4">
            <w:pPr>
              <w:kinsoku/>
              <w:autoSpaceDE/>
              <w:adjustRightInd/>
              <w:snapToGrid/>
              <w:spacing w:line="440" w:lineRule="exact"/>
              <w:jc w:val="center"/>
              <w:rPr>
                <w:rFonts w:hint="eastAsia" w:ascii="宋体" w:hAnsi="宋体" w:eastAsia="宋体" w:cs="宋体"/>
                <w:color w:val="auto"/>
                <w:sz w:val="24"/>
                <w:szCs w:val="24"/>
                <w:lang w:bidi="ar"/>
              </w:rPr>
            </w:pPr>
          </w:p>
        </w:tc>
      </w:tr>
      <w:tr w14:paraId="1CA151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9201">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A16F1">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EE894">
            <w:pPr>
              <w:kinsoku/>
              <w:autoSpaceDE/>
              <w:adjustRightInd/>
              <w:snapToGrid/>
              <w:spacing w:line="440" w:lineRule="exact"/>
              <w:jc w:val="center"/>
              <w:rPr>
                <w:rFonts w:hint="eastAsia" w:ascii="宋体" w:hAnsi="宋体" w:eastAsia="宋体" w:cs="宋体"/>
                <w:color w:val="auto"/>
                <w:sz w:val="24"/>
                <w:szCs w:val="24"/>
                <w:u w:val="singl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D451D">
            <w:pPr>
              <w:kinsoku/>
              <w:autoSpaceDE/>
              <w:adjustRightInd/>
              <w:snapToGrid/>
              <w:spacing w:line="440" w:lineRule="exact"/>
              <w:jc w:val="center"/>
              <w:rPr>
                <w:rFonts w:hint="eastAsia" w:ascii="宋体" w:hAnsi="宋体" w:eastAsia="宋体" w:cs="宋体"/>
                <w:color w:val="auto"/>
                <w:sz w:val="24"/>
                <w:szCs w:val="24"/>
                <w:lang w:bidi="ar"/>
              </w:rPr>
            </w:pPr>
          </w:p>
        </w:tc>
      </w:tr>
      <w:tr w14:paraId="387BA8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93E1">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6053D">
            <w:pPr>
              <w:kinsoku/>
              <w:snapToGrid/>
              <w:spacing w:line="2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3E195">
            <w:pPr>
              <w:kinsoku/>
              <w:snapToGrid/>
              <w:spacing w:line="2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 xml:space="preserve"> </w:t>
            </w:r>
            <w:r>
              <w:rPr>
                <w:rFonts w:hint="eastAsia" w:ascii="宋体" w:hAnsi="宋体" w:eastAsia="宋体" w:cs="宋体"/>
                <w:color w:val="auto"/>
                <w:sz w:val="24"/>
                <w:szCs w:val="24"/>
                <w:u w:val="single"/>
                <w:lang w:eastAsia="zh-CN" w:bidi="ar"/>
              </w:rPr>
              <w:t xml:space="preserve">   </w:t>
            </w:r>
            <w:r>
              <w:rPr>
                <w:rFonts w:hint="eastAsia" w:ascii="宋体" w:hAnsi="宋体" w:eastAsia="宋体" w:cs="宋体"/>
                <w:color w:val="auto"/>
                <w:sz w:val="24"/>
                <w:szCs w:val="24"/>
                <w:lang w:eastAsia="zh-CN"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1E49A">
            <w:pPr>
              <w:kinsoku/>
              <w:autoSpaceDE/>
              <w:adjustRightInd/>
              <w:snapToGrid/>
              <w:spacing w:line="440" w:lineRule="exact"/>
              <w:jc w:val="center"/>
              <w:rPr>
                <w:rFonts w:hint="eastAsia" w:ascii="宋体" w:hAnsi="宋体" w:eastAsia="宋体" w:cs="宋体"/>
                <w:color w:val="auto"/>
                <w:sz w:val="24"/>
                <w:szCs w:val="24"/>
                <w:lang w:bidi="ar"/>
              </w:rPr>
            </w:pPr>
          </w:p>
        </w:tc>
      </w:tr>
      <w:tr w14:paraId="42B717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5F8E2">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9F136">
            <w:pPr>
              <w:kinsoku/>
              <w:snapToGrid/>
              <w:spacing w:line="2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768E0">
            <w:pPr>
              <w:kinsoku/>
              <w:snapToGrid/>
              <w:spacing w:line="240" w:lineRule="exact"/>
              <w:rPr>
                <w:rFonts w:hint="eastAsia" w:ascii="宋体" w:hAnsi="宋体" w:eastAsia="宋体" w:cs="宋体"/>
                <w:color w:val="auto"/>
                <w:sz w:val="24"/>
                <w:szCs w:val="24"/>
                <w:lang w:eastAsia="zh-CN" w:bidi="ar"/>
              </w:rPr>
            </w:pPr>
            <w:r>
              <w:rPr>
                <w:rFonts w:hint="eastAsia" w:ascii="宋体" w:hAnsi="宋体" w:eastAsia="宋体" w:cs="宋体"/>
                <w:bCs/>
                <w:color w:val="auto"/>
                <w:sz w:val="24"/>
                <w:szCs w:val="24"/>
                <w:lang w:val="zh-CN" w:eastAsia="zh-CN" w:bidi="ar"/>
              </w:rPr>
              <w:t>符合第四</w:t>
            </w:r>
            <w:r>
              <w:rPr>
                <w:rFonts w:hint="eastAsia" w:ascii="宋体" w:hAnsi="宋体" w:eastAsia="宋体" w:cs="宋体"/>
                <w:bCs/>
                <w:color w:val="auto"/>
                <w:sz w:val="24"/>
                <w:szCs w:val="24"/>
                <w:lang w:eastAsia="zh-CN" w:bidi="ar"/>
              </w:rPr>
              <w:t>部分</w:t>
            </w:r>
            <w:r>
              <w:rPr>
                <w:rFonts w:hint="eastAsia" w:ascii="宋体" w:hAnsi="宋体" w:eastAsia="宋体" w:cs="宋体"/>
                <w:bCs/>
                <w:color w:val="auto"/>
                <w:sz w:val="24"/>
                <w:szCs w:val="24"/>
                <w:lang w:val="zh-CN" w:eastAsia="zh-CN" w:bidi="ar"/>
              </w:rPr>
              <w:t>“合同格式”规定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F456C">
            <w:pPr>
              <w:kinsoku/>
              <w:autoSpaceDE/>
              <w:adjustRightInd/>
              <w:snapToGrid/>
              <w:spacing w:line="440" w:lineRule="exact"/>
              <w:jc w:val="center"/>
              <w:rPr>
                <w:rFonts w:hint="eastAsia" w:ascii="宋体" w:hAnsi="宋体" w:eastAsia="宋体" w:cs="宋体"/>
                <w:color w:val="auto"/>
                <w:sz w:val="24"/>
                <w:szCs w:val="24"/>
                <w:lang w:eastAsia="zh-CN" w:bidi="ar"/>
              </w:rPr>
            </w:pPr>
          </w:p>
        </w:tc>
      </w:tr>
      <w:tr w14:paraId="758DA3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8A13C">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E28BB">
            <w:pPr>
              <w:kinsoku/>
              <w:snapToGrid/>
              <w:spacing w:line="2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D4EAD">
            <w:pPr>
              <w:kinsoku/>
              <w:snapToGrid/>
              <w:spacing w:line="240" w:lineRule="exac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符合第五部分“采购需求”规定。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FF3EC">
            <w:pPr>
              <w:kinsoku/>
              <w:autoSpaceDE/>
              <w:adjustRightInd/>
              <w:snapToGrid/>
              <w:spacing w:line="440" w:lineRule="exact"/>
              <w:jc w:val="center"/>
              <w:rPr>
                <w:rFonts w:hint="eastAsia" w:ascii="宋体" w:hAnsi="宋体" w:eastAsia="宋体" w:cs="宋体"/>
                <w:color w:val="auto"/>
                <w:sz w:val="24"/>
                <w:szCs w:val="24"/>
                <w:lang w:eastAsia="zh-CN" w:bidi="ar"/>
              </w:rPr>
            </w:pPr>
          </w:p>
        </w:tc>
      </w:tr>
      <w:tr w14:paraId="17D8D1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7FE8A">
            <w:pPr>
              <w:kinsoku/>
              <w:autoSpaceDE/>
              <w:adjustRightInd/>
              <w:snapToGrid/>
              <w:spacing w:line="440" w:lineRule="exact"/>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CDCCE">
            <w:pPr>
              <w:kinsoku/>
              <w:snapToGrid/>
              <w:spacing w:line="240" w:lineRule="exact"/>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分包</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FC186">
            <w:pPr>
              <w:kinsoku/>
              <w:snapToGrid/>
              <w:spacing w:line="240" w:lineRule="exact"/>
              <w:rPr>
                <w:rFonts w:hint="eastAsia" w:ascii="宋体" w:hAnsi="宋体" w:eastAsia="宋体" w:cs="宋体"/>
                <w:color w:val="auto"/>
                <w:sz w:val="24"/>
                <w:szCs w:val="24"/>
                <w:lang w:eastAsia="zh-CN"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000BB">
            <w:pPr>
              <w:kinsoku/>
              <w:autoSpaceDE/>
              <w:adjustRightInd/>
              <w:snapToGrid/>
              <w:spacing w:line="440" w:lineRule="exact"/>
              <w:jc w:val="center"/>
              <w:rPr>
                <w:rFonts w:hint="eastAsia" w:ascii="宋体" w:hAnsi="宋体" w:eastAsia="宋体" w:cs="宋体"/>
                <w:color w:val="auto"/>
                <w:sz w:val="24"/>
                <w:szCs w:val="24"/>
                <w:lang w:bidi="ar"/>
              </w:rPr>
            </w:pPr>
          </w:p>
        </w:tc>
      </w:tr>
      <w:tr w14:paraId="18D563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FEA9E">
            <w:pPr>
              <w:kinsoku/>
              <w:autoSpaceDE/>
              <w:adjustRightInd/>
              <w:snapToGrid/>
              <w:spacing w:line="4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7</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CBEE6">
            <w:pPr>
              <w:kinsoku/>
              <w:snapToGrid/>
              <w:spacing w:line="2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联合体</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6E745">
            <w:pPr>
              <w:kinsoku/>
              <w:snapToGrid/>
              <w:spacing w:line="240" w:lineRule="exact"/>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不接受</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FC0A6">
            <w:pPr>
              <w:kinsoku/>
              <w:autoSpaceDE/>
              <w:adjustRightInd/>
              <w:snapToGrid/>
              <w:spacing w:line="440" w:lineRule="exact"/>
              <w:jc w:val="center"/>
              <w:rPr>
                <w:rFonts w:hint="eastAsia" w:ascii="宋体" w:hAnsi="宋体" w:eastAsia="宋体" w:cs="宋体"/>
                <w:color w:val="auto"/>
                <w:sz w:val="24"/>
                <w:szCs w:val="24"/>
                <w:lang w:bidi="ar"/>
              </w:rPr>
            </w:pPr>
          </w:p>
        </w:tc>
      </w:tr>
      <w:tr w14:paraId="208D21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E390B">
            <w:pPr>
              <w:kinsoku/>
              <w:autoSpaceDE/>
              <w:adjustRightInd/>
              <w:snapToGrid/>
              <w:spacing w:line="4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8</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F4001">
            <w:pPr>
              <w:kinsoku/>
              <w:snapToGrid/>
              <w:spacing w:line="2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兼投兼中</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71426">
            <w:pPr>
              <w:kinsoku/>
              <w:snapToGrid/>
              <w:spacing w:line="240" w:lineRule="exact"/>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不允许</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CA89B">
            <w:pPr>
              <w:kinsoku/>
              <w:autoSpaceDE/>
              <w:adjustRightInd/>
              <w:snapToGrid/>
              <w:spacing w:line="440" w:lineRule="exact"/>
              <w:jc w:val="center"/>
              <w:rPr>
                <w:rFonts w:hint="eastAsia" w:ascii="宋体" w:hAnsi="宋体" w:eastAsia="宋体" w:cs="宋体"/>
                <w:color w:val="auto"/>
                <w:sz w:val="24"/>
                <w:szCs w:val="24"/>
                <w:lang w:bidi="ar"/>
              </w:rPr>
            </w:pPr>
          </w:p>
        </w:tc>
      </w:tr>
      <w:tr w14:paraId="77A74E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DE563">
            <w:pPr>
              <w:kinsoku/>
              <w:autoSpaceDE/>
              <w:adjustRightInd/>
              <w:snapToGrid/>
              <w:spacing w:line="4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9</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5F82E">
            <w:pPr>
              <w:kinsoku/>
              <w:snapToGrid/>
              <w:spacing w:line="240" w:lineRule="exact"/>
              <w:jc w:val="center"/>
              <w:rPr>
                <w:rFonts w:hint="eastAsia" w:ascii="宋体" w:hAnsi="宋体" w:eastAsia="宋体" w:cs="宋体"/>
                <w:color w:val="auto"/>
                <w:kern w:val="2"/>
                <w:sz w:val="24"/>
                <w:szCs w:val="24"/>
                <w:lang w:eastAsia="zh-CN" w:bidi="ar"/>
              </w:rPr>
            </w:pPr>
            <w:r>
              <w:rPr>
                <w:rFonts w:hint="eastAsia" w:ascii="宋体" w:hAnsi="宋体" w:eastAsia="宋体" w:cs="宋体"/>
                <w:color w:val="auto"/>
                <w:sz w:val="24"/>
                <w:szCs w:val="24"/>
                <w:lang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EE829">
            <w:pPr>
              <w:kinsoku/>
              <w:snapToGrid/>
              <w:spacing w:line="240" w:lineRule="exact"/>
              <w:rPr>
                <w:rFonts w:hint="eastAsia" w:ascii="宋体" w:hAnsi="宋体" w:eastAsia="宋体" w:cs="宋体"/>
                <w:color w:val="auto"/>
                <w:kern w:val="2"/>
                <w:sz w:val="24"/>
                <w:szCs w:val="24"/>
                <w:lang w:eastAsia="zh-CN" w:bidi="ar"/>
              </w:rPr>
            </w:pPr>
            <w:r>
              <w:rPr>
                <w:rFonts w:hint="eastAsia" w:ascii="宋体" w:hAnsi="宋体" w:eastAsia="宋体" w:cs="宋体"/>
                <w:color w:val="auto"/>
                <w:sz w:val="24"/>
                <w:szCs w:val="24"/>
                <w:lang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D3281">
            <w:pPr>
              <w:kinsoku/>
              <w:autoSpaceDE/>
              <w:adjustRightInd/>
              <w:snapToGrid/>
              <w:spacing w:line="440" w:lineRule="exact"/>
              <w:jc w:val="center"/>
              <w:rPr>
                <w:rFonts w:hint="eastAsia" w:ascii="宋体" w:hAnsi="宋体" w:eastAsia="宋体" w:cs="宋体"/>
                <w:color w:val="auto"/>
                <w:sz w:val="24"/>
                <w:szCs w:val="24"/>
                <w:lang w:bidi="ar"/>
              </w:rPr>
            </w:pPr>
          </w:p>
        </w:tc>
      </w:tr>
    </w:tbl>
    <w:p w14:paraId="688A3401">
      <w:pPr>
        <w:ind w:firstLine="420"/>
        <w:rPr>
          <w:rFonts w:hint="eastAsia" w:ascii="宋体" w:hAnsi="宋体" w:eastAsia="宋体" w:cs="宋体"/>
          <w:sz w:val="24"/>
          <w:szCs w:val="24"/>
          <w:lang w:eastAsia="zh-CN"/>
        </w:rPr>
      </w:pPr>
      <w:r>
        <w:rPr>
          <w:rFonts w:hint="eastAsia" w:ascii="宋体" w:hAnsi="宋体" w:eastAsia="宋体" w:cs="宋体"/>
          <w:sz w:val="24"/>
          <w:szCs w:val="24"/>
          <w:lang w:val="zh-CN" w:eastAsia="zh-CN"/>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18F9E69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6106C6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F1C5A3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DBD571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3C374F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C6AC63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743762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217F91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CBC32D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AF808A6">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870A34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434552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6B46148">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105015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812307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CD928DB">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格式二：</w:t>
      </w:r>
    </w:p>
    <w:p w14:paraId="1201302E">
      <w:pPr>
        <w:spacing w:before="182" w:line="220" w:lineRule="auto"/>
        <w:ind w:left="2240"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法定代表人身份证明（格式）</w:t>
      </w:r>
    </w:p>
    <w:p w14:paraId="52A20749">
      <w:pPr>
        <w:pStyle w:val="7"/>
        <w:spacing w:line="283" w:lineRule="auto"/>
        <w:rPr>
          <w:rFonts w:hint="eastAsia" w:ascii="宋体" w:hAnsi="宋体" w:eastAsia="宋体" w:cs="宋体"/>
          <w:color w:val="auto"/>
          <w:lang w:eastAsia="zh-CN"/>
        </w:rPr>
      </w:pPr>
    </w:p>
    <w:p w14:paraId="2CFE6CAA">
      <w:pPr>
        <w:pStyle w:val="7"/>
        <w:spacing w:line="283" w:lineRule="auto"/>
        <w:rPr>
          <w:rFonts w:hint="eastAsia" w:ascii="宋体" w:hAnsi="宋体" w:eastAsia="宋体" w:cs="宋体"/>
          <w:color w:val="auto"/>
          <w:lang w:eastAsia="zh-CN"/>
        </w:rPr>
      </w:pPr>
    </w:p>
    <w:p w14:paraId="379B73E0">
      <w:pPr>
        <w:spacing w:before="78"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致</w:t>
      </w:r>
      <w:r>
        <w:rPr>
          <w:rFonts w:hint="eastAsia" w:ascii="宋体" w:hAnsi="宋体" w:eastAsia="宋体" w:cs="宋体"/>
          <w:color w:val="auto"/>
          <w:spacing w:val="-18"/>
          <w:sz w:val="24"/>
          <w:szCs w:val="24"/>
          <w:lang w:eastAsia="zh-CN"/>
        </w:rPr>
        <w:t>：（</w:t>
      </w:r>
      <w:r>
        <w:rPr>
          <w:rFonts w:hint="eastAsia" w:ascii="宋体" w:hAnsi="宋体" w:eastAsia="宋体" w:cs="宋体"/>
          <w:color w:val="auto"/>
          <w:spacing w:val="2"/>
          <w:sz w:val="24"/>
          <w:szCs w:val="24"/>
          <w:lang w:eastAsia="zh-CN"/>
        </w:rPr>
        <w:t>采购人或采购代理机构）</w:t>
      </w:r>
    </w:p>
    <w:p w14:paraId="61B9221A">
      <w:pPr>
        <w:spacing w:before="180" w:line="360" w:lineRule="auto"/>
        <w:ind w:firstLine="468"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兹证明，姓名：</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97"/>
          <w:sz w:val="24"/>
          <w:szCs w:val="24"/>
          <w:lang w:eastAsia="zh-CN"/>
        </w:rPr>
        <w:t xml:space="preserve"> </w:t>
      </w:r>
      <w:r>
        <w:rPr>
          <w:rFonts w:hint="eastAsia" w:ascii="宋体" w:hAnsi="宋体" w:eastAsia="宋体" w:cs="宋体"/>
          <w:color w:val="auto"/>
          <w:spacing w:val="-3"/>
          <w:sz w:val="24"/>
          <w:szCs w:val="24"/>
          <w:lang w:eastAsia="zh-CN"/>
        </w:rPr>
        <w:t>性别：</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10"/>
          <w:sz w:val="24"/>
          <w:szCs w:val="24"/>
          <w:lang w:eastAsia="zh-CN"/>
        </w:rPr>
        <w:t xml:space="preserve"> </w:t>
      </w:r>
      <w:r>
        <w:rPr>
          <w:rFonts w:hint="eastAsia" w:ascii="宋体" w:hAnsi="宋体" w:eastAsia="宋体" w:cs="宋体"/>
          <w:color w:val="auto"/>
          <w:spacing w:val="-3"/>
          <w:sz w:val="24"/>
          <w:szCs w:val="24"/>
          <w:lang w:eastAsia="zh-CN"/>
        </w:rPr>
        <w:t>年龄：</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3"/>
          <w:sz w:val="24"/>
          <w:szCs w:val="24"/>
          <w:lang w:eastAsia="zh-CN"/>
        </w:rPr>
        <w:t>职务：</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6"/>
          <w:sz w:val="24"/>
          <w:szCs w:val="24"/>
          <w:lang w:eastAsia="zh-CN"/>
        </w:rPr>
        <w:t xml:space="preserve"> </w:t>
      </w:r>
      <w:r>
        <w:rPr>
          <w:rFonts w:hint="eastAsia" w:ascii="宋体" w:hAnsi="宋体" w:eastAsia="宋体" w:cs="宋体"/>
          <w:color w:val="auto"/>
          <w:spacing w:val="-3"/>
          <w:sz w:val="24"/>
          <w:szCs w:val="24"/>
          <w:lang w:eastAsia="zh-CN"/>
        </w:rPr>
        <w:t>系</w:t>
      </w:r>
      <w:r>
        <w:rPr>
          <w:rFonts w:hint="eastAsia" w:ascii="宋体" w:hAnsi="宋体" w:eastAsia="宋体" w:cs="宋体"/>
          <w:color w:val="auto"/>
          <w:spacing w:val="-3"/>
          <w:sz w:val="24"/>
          <w:szCs w:val="24"/>
          <w:u w:val="single"/>
          <w:lang w:eastAsia="zh-CN"/>
        </w:rPr>
        <w:t xml:space="preserve">（投标人名称）  </w:t>
      </w:r>
      <w:r>
        <w:rPr>
          <w:rFonts w:hint="eastAsia" w:ascii="宋体" w:hAnsi="宋体" w:eastAsia="宋体" w:cs="宋体"/>
          <w:color w:val="auto"/>
          <w:spacing w:val="-3"/>
          <w:sz w:val="24"/>
          <w:szCs w:val="24"/>
          <w:lang w:eastAsia="zh-CN"/>
        </w:rPr>
        <w:t>的法定代表</w:t>
      </w:r>
      <w:r>
        <w:rPr>
          <w:rFonts w:hint="eastAsia" w:ascii="宋体" w:hAnsi="宋体" w:eastAsia="宋体" w:cs="宋体"/>
          <w:color w:val="auto"/>
          <w:spacing w:val="-2"/>
          <w:sz w:val="24"/>
          <w:szCs w:val="24"/>
          <w:lang w:eastAsia="zh-CN"/>
        </w:rPr>
        <w:t>人（单位负责人）。</w:t>
      </w:r>
    </w:p>
    <w:p w14:paraId="165E3576">
      <w:pPr>
        <w:spacing w:before="182" w:line="219" w:lineRule="auto"/>
        <w:ind w:left="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附：法定代表人（单位负责人）身份证复印件：</w:t>
      </w:r>
    </w:p>
    <w:p w14:paraId="3735A691">
      <w:pPr>
        <w:pStyle w:val="7"/>
        <w:spacing w:line="283" w:lineRule="auto"/>
        <w:rPr>
          <w:rFonts w:hint="eastAsia" w:ascii="宋体" w:hAnsi="宋体" w:eastAsia="宋体" w:cs="宋体"/>
          <w:color w:val="auto"/>
          <w:lang w:eastAsia="zh-CN"/>
        </w:rPr>
      </w:pPr>
    </w:p>
    <w:p w14:paraId="2043D315">
      <w:pPr>
        <w:pStyle w:val="7"/>
        <w:spacing w:line="284" w:lineRule="auto"/>
        <w:rPr>
          <w:rFonts w:hint="eastAsia" w:ascii="宋体" w:hAnsi="宋体" w:eastAsia="宋体" w:cs="宋体"/>
          <w:color w:val="auto"/>
          <w:lang w:eastAsia="zh-CN"/>
        </w:rPr>
      </w:pPr>
    </w:p>
    <w:p w14:paraId="65058E44">
      <w:pPr>
        <w:spacing w:before="78" w:line="219"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14:paraId="212FA50A">
      <w:pPr>
        <w:spacing w:before="180" w:line="219"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法定代表人（单位负责人</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1"/>
          <w:sz w:val="24"/>
          <w:szCs w:val="24"/>
          <w:lang w:eastAsia="zh-CN"/>
        </w:rPr>
        <w:t>签字或盖章</w:t>
      </w:r>
      <w:r>
        <w:rPr>
          <w:rFonts w:hint="eastAsia" w:ascii="宋体" w:hAnsi="宋体" w:eastAsia="宋体" w:cs="宋体"/>
          <w:color w:val="auto"/>
          <w:spacing w:val="-7"/>
          <w:sz w:val="24"/>
          <w:szCs w:val="24"/>
          <w:lang w:eastAsia="zh-CN"/>
        </w:rPr>
        <w:t>）：</w:t>
      </w:r>
    </w:p>
    <w:p w14:paraId="3BDB3E69">
      <w:pPr>
        <w:spacing w:before="181" w:line="220" w:lineRule="auto"/>
        <w:ind w:left="521"/>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日期：</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14:paraId="64F60A73">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4DFBC27B">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格式三：</w:t>
      </w:r>
    </w:p>
    <w:p w14:paraId="4E60C751">
      <w:pPr>
        <w:spacing w:before="182" w:line="219" w:lineRule="auto"/>
        <w:ind w:left="356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授权委托书（格式）</w:t>
      </w:r>
    </w:p>
    <w:p w14:paraId="71CB5812">
      <w:pPr>
        <w:pStyle w:val="7"/>
        <w:spacing w:line="284" w:lineRule="auto"/>
        <w:rPr>
          <w:rFonts w:hint="eastAsia" w:ascii="宋体" w:hAnsi="宋体" w:eastAsia="宋体" w:cs="宋体"/>
          <w:color w:val="auto"/>
          <w:lang w:eastAsia="zh-CN"/>
        </w:rPr>
      </w:pPr>
    </w:p>
    <w:p w14:paraId="20FEAF17">
      <w:pPr>
        <w:pStyle w:val="7"/>
        <w:spacing w:line="284" w:lineRule="auto"/>
        <w:rPr>
          <w:rFonts w:hint="eastAsia" w:ascii="宋体" w:hAnsi="宋体" w:eastAsia="宋体" w:cs="宋体"/>
          <w:color w:val="auto"/>
          <w:lang w:eastAsia="zh-CN"/>
        </w:rPr>
      </w:pPr>
    </w:p>
    <w:p w14:paraId="658FC544">
      <w:pPr>
        <w:spacing w:before="78" w:line="359" w:lineRule="auto"/>
        <w:ind w:right="21"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本人</w:t>
      </w:r>
      <w:r>
        <w:rPr>
          <w:rFonts w:hint="eastAsia" w:ascii="宋体" w:hAnsi="宋体" w:eastAsia="宋体" w:cs="宋体"/>
          <w:color w:val="auto"/>
          <w:spacing w:val="-118"/>
          <w:sz w:val="24"/>
          <w:szCs w:val="24"/>
          <w:lang w:eastAsia="zh-CN"/>
        </w:rPr>
        <w:t xml:space="preserve"> </w:t>
      </w:r>
      <w:r>
        <w:rPr>
          <w:rFonts w:hint="eastAsia" w:ascii="宋体" w:hAnsi="宋体" w:eastAsia="宋体" w:cs="宋体"/>
          <w:color w:val="auto"/>
          <w:spacing w:val="20"/>
          <w:sz w:val="24"/>
          <w:szCs w:val="24"/>
          <w:u w:val="single"/>
          <w:lang w:eastAsia="zh-CN"/>
        </w:rPr>
        <w:t xml:space="preserve">      </w:t>
      </w:r>
      <w:r>
        <w:rPr>
          <w:rFonts w:hint="eastAsia" w:ascii="宋体" w:hAnsi="宋体" w:eastAsia="宋体" w:cs="宋体"/>
          <w:color w:val="auto"/>
          <w:spacing w:val="2"/>
          <w:sz w:val="24"/>
          <w:szCs w:val="24"/>
          <w:lang w:eastAsia="zh-CN"/>
        </w:rPr>
        <w:t>（姓名）系</w:t>
      </w:r>
      <w:r>
        <w:rPr>
          <w:rFonts w:hint="eastAsia" w:ascii="宋体" w:hAnsi="宋体" w:eastAsia="宋体" w:cs="宋体"/>
          <w:color w:val="auto"/>
          <w:spacing w:val="-120"/>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2"/>
          <w:sz w:val="24"/>
          <w:szCs w:val="24"/>
          <w:lang w:eastAsia="zh-CN"/>
        </w:rPr>
        <w:t>（投标人名称）的法定代表人（</w:t>
      </w:r>
      <w:r>
        <w:rPr>
          <w:rFonts w:hint="eastAsia" w:ascii="宋体" w:hAnsi="宋体" w:eastAsia="宋体" w:cs="宋体"/>
          <w:color w:val="auto"/>
          <w:spacing w:val="1"/>
          <w:sz w:val="24"/>
          <w:szCs w:val="24"/>
          <w:lang w:eastAsia="zh-CN"/>
        </w:rPr>
        <w:t>单位负责人</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1"/>
          <w:sz w:val="24"/>
          <w:szCs w:val="24"/>
          <w:lang w:eastAsia="zh-CN"/>
        </w:rPr>
        <w:t>现委托</w:t>
      </w:r>
      <w:r>
        <w:rPr>
          <w:rFonts w:hint="eastAsia" w:ascii="宋体" w:hAnsi="宋体" w:eastAsia="宋体" w:cs="宋体"/>
          <w:color w:val="auto"/>
          <w:spacing w:val="-117"/>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
          <w:sz w:val="24"/>
          <w:szCs w:val="24"/>
          <w:lang w:eastAsia="zh-CN"/>
        </w:rPr>
        <w:t>（姓名）为我方代理人。代理人根据授权，以我方名义</w:t>
      </w:r>
      <w:r>
        <w:rPr>
          <w:rFonts w:hint="eastAsia" w:ascii="宋体" w:hAnsi="宋体" w:eastAsia="宋体" w:cs="宋体"/>
          <w:color w:val="auto"/>
          <w:sz w:val="24"/>
          <w:szCs w:val="24"/>
          <w:lang w:eastAsia="zh-CN"/>
        </w:rPr>
        <w:t>签署、澄清</w:t>
      </w:r>
      <w:r>
        <w:rPr>
          <w:rFonts w:hint="eastAsia" w:ascii="宋体" w:hAnsi="宋体" w:eastAsia="宋体" w:cs="宋体"/>
          <w:color w:val="auto"/>
          <w:spacing w:val="-1"/>
          <w:sz w:val="24"/>
          <w:szCs w:val="24"/>
          <w:lang w:eastAsia="zh-CN"/>
        </w:rPr>
        <w:t>确认、提交、撤回、修改</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lang w:eastAsia="zh-CN"/>
        </w:rPr>
        <w:t>（项目名称）投标文件和处理有关事宜，其法律后果由我方承担。</w:t>
      </w:r>
    </w:p>
    <w:p w14:paraId="578FBF95">
      <w:pPr>
        <w:spacing w:before="179" w:line="468" w:lineRule="exact"/>
        <w:ind w:left="480"/>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委托期限：</w:t>
      </w:r>
      <w:r>
        <w:rPr>
          <w:rFonts w:hint="eastAsia" w:ascii="宋体" w:hAnsi="宋体" w:eastAsia="宋体" w:cs="宋体"/>
          <w:color w:val="auto"/>
          <w:spacing w:val="-72"/>
          <w:position w:val="17"/>
          <w:sz w:val="24"/>
          <w:szCs w:val="24"/>
          <w:lang w:eastAsia="zh-CN"/>
        </w:rPr>
        <w:t xml:space="preserve"> </w:t>
      </w:r>
      <w:r>
        <w:rPr>
          <w:rFonts w:hint="eastAsia" w:ascii="宋体" w:hAnsi="宋体" w:eastAsia="宋体" w:cs="宋体"/>
          <w:color w:val="auto"/>
          <w:spacing w:val="-2"/>
          <w:position w:val="17"/>
          <w:sz w:val="24"/>
          <w:szCs w:val="24"/>
          <w:lang w:eastAsia="zh-CN"/>
        </w:rPr>
        <w:t>自本授权委托书签署之日起至投标有效期届满之日止。</w:t>
      </w:r>
    </w:p>
    <w:p w14:paraId="40B596F6">
      <w:pPr>
        <w:spacing w:line="220"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代理人无转委托权。</w:t>
      </w:r>
    </w:p>
    <w:p w14:paraId="116D416C">
      <w:pPr>
        <w:pStyle w:val="7"/>
        <w:spacing w:line="282" w:lineRule="auto"/>
        <w:rPr>
          <w:rFonts w:hint="eastAsia" w:ascii="宋体" w:hAnsi="宋体" w:eastAsia="宋体" w:cs="宋体"/>
          <w:color w:val="auto"/>
          <w:lang w:eastAsia="zh-CN"/>
        </w:rPr>
      </w:pPr>
    </w:p>
    <w:p w14:paraId="27738ED9">
      <w:pPr>
        <w:pStyle w:val="7"/>
        <w:spacing w:line="282" w:lineRule="auto"/>
        <w:rPr>
          <w:rFonts w:hint="eastAsia" w:ascii="宋体" w:hAnsi="宋体" w:eastAsia="宋体" w:cs="宋体"/>
          <w:color w:val="auto"/>
          <w:lang w:eastAsia="zh-CN"/>
        </w:rPr>
      </w:pPr>
    </w:p>
    <w:p w14:paraId="173BE0AB">
      <w:pPr>
        <w:spacing w:before="78" w:line="219" w:lineRule="auto"/>
        <w:ind w:left="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投标人名称（加盖公章</w:t>
      </w:r>
      <w:r>
        <w:rPr>
          <w:rFonts w:hint="eastAsia" w:ascii="宋体" w:hAnsi="宋体" w:eastAsia="宋体" w:cs="宋体"/>
          <w:color w:val="auto"/>
          <w:spacing w:val="3"/>
          <w:sz w:val="24"/>
          <w:szCs w:val="24"/>
          <w:lang w:eastAsia="zh-CN"/>
        </w:rPr>
        <w:t>）：</w:t>
      </w:r>
      <w:r>
        <w:rPr>
          <w:rFonts w:hint="eastAsia" w:ascii="宋体" w:hAnsi="宋体" w:eastAsia="宋体" w:cs="宋体"/>
          <w:color w:val="auto"/>
          <w:sz w:val="24"/>
          <w:szCs w:val="24"/>
          <w:u w:val="single"/>
          <w:lang w:eastAsia="zh-CN"/>
        </w:rPr>
        <w:t xml:space="preserve">                </w:t>
      </w:r>
    </w:p>
    <w:p w14:paraId="6F26BEAF">
      <w:pPr>
        <w:spacing w:before="182" w:line="360" w:lineRule="auto"/>
        <w:ind w:left="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法定代表人（单位负责人</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1"/>
          <w:sz w:val="24"/>
          <w:szCs w:val="24"/>
          <w:lang w:eastAsia="zh-CN"/>
        </w:rPr>
        <w:t>签字或签章</w:t>
      </w:r>
      <w:r>
        <w:rPr>
          <w:rFonts w:hint="eastAsia" w:ascii="宋体" w:hAnsi="宋体" w:eastAsia="宋体" w:cs="宋体"/>
          <w:color w:val="auto"/>
          <w:spacing w:val="-7"/>
          <w:sz w:val="24"/>
          <w:szCs w:val="24"/>
          <w:lang w:eastAsia="zh-CN"/>
        </w:rPr>
        <w:t>）：</w:t>
      </w:r>
      <w:r>
        <w:rPr>
          <w:rFonts w:hint="eastAsia" w:ascii="宋体" w:hAnsi="宋体" w:eastAsia="宋体" w:cs="宋体"/>
          <w:color w:val="auto"/>
          <w:sz w:val="24"/>
          <w:szCs w:val="24"/>
          <w:u w:val="single"/>
          <w:lang w:eastAsia="zh-CN"/>
        </w:rPr>
        <w:t xml:space="preserve">                </w:t>
      </w:r>
    </w:p>
    <w:p w14:paraId="3C6E331D">
      <w:pPr>
        <w:spacing w:before="1"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委托代理人（签字或签章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eastAsia="zh-CN"/>
        </w:rPr>
        <w:t xml:space="preserve">                </w:t>
      </w:r>
    </w:p>
    <w:p w14:paraId="6AABBCF8">
      <w:pPr>
        <w:spacing w:before="180" w:line="220" w:lineRule="auto"/>
        <w:ind w:left="42"/>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日期：</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14:paraId="597D6357">
      <w:pPr>
        <w:spacing w:before="183" w:line="219" w:lineRule="auto"/>
        <w:ind w:left="1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附：法定代表人及委托代理人身份证复印件：</w:t>
      </w:r>
    </w:p>
    <w:p w14:paraId="3A58D400">
      <w:pPr>
        <w:pStyle w:val="7"/>
        <w:spacing w:line="257" w:lineRule="auto"/>
        <w:rPr>
          <w:rFonts w:hint="eastAsia" w:ascii="宋体" w:hAnsi="宋体" w:eastAsia="宋体" w:cs="宋体"/>
          <w:color w:val="auto"/>
          <w:lang w:eastAsia="zh-CN"/>
        </w:rPr>
      </w:pPr>
    </w:p>
    <w:p w14:paraId="7CC9E434">
      <w:pPr>
        <w:pStyle w:val="7"/>
        <w:spacing w:line="257" w:lineRule="auto"/>
        <w:rPr>
          <w:rFonts w:hint="eastAsia" w:ascii="宋体" w:hAnsi="宋体" w:eastAsia="宋体" w:cs="宋体"/>
          <w:color w:val="auto"/>
          <w:lang w:eastAsia="zh-CN"/>
        </w:rPr>
      </w:pPr>
    </w:p>
    <w:p w14:paraId="6844A7C8">
      <w:pPr>
        <w:pStyle w:val="7"/>
        <w:spacing w:line="257" w:lineRule="auto"/>
        <w:rPr>
          <w:rFonts w:hint="eastAsia" w:ascii="宋体" w:hAnsi="宋体" w:eastAsia="宋体" w:cs="宋体"/>
          <w:color w:val="auto"/>
          <w:lang w:eastAsia="zh-CN"/>
        </w:rPr>
      </w:pPr>
    </w:p>
    <w:p w14:paraId="2CE59E77">
      <w:pPr>
        <w:pStyle w:val="7"/>
        <w:spacing w:line="258" w:lineRule="auto"/>
        <w:rPr>
          <w:rFonts w:hint="eastAsia" w:ascii="宋体" w:hAnsi="宋体" w:eastAsia="宋体" w:cs="宋体"/>
          <w:color w:val="auto"/>
          <w:lang w:eastAsia="zh-CN"/>
        </w:rPr>
      </w:pPr>
    </w:p>
    <w:p w14:paraId="7FFD09E7">
      <w:pPr>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p>
    <w:p w14:paraId="2971D87B">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F8AC060">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902E69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F55D04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A250DCF">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A8FB75B">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67A1352">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44414F8">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2E5426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030B71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7EBDE9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EC8434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3C968D0">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0C6B69F">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258E167">
      <w:pPr>
        <w:spacing w:before="182" w:line="220" w:lineRule="auto"/>
        <w:ind w:left="121"/>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6CC1EFB">
      <w:pPr>
        <w:spacing w:before="182" w:line="220" w:lineRule="auto"/>
        <w:ind w:left="12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格式四：</w:t>
      </w:r>
    </w:p>
    <w:p w14:paraId="6FCD790B">
      <w:pPr>
        <w:spacing w:before="182" w:line="220" w:lineRule="auto"/>
        <w:ind w:left="368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开标一览表（格式）</w:t>
      </w:r>
    </w:p>
    <w:p w14:paraId="38A9907C">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w:t>
      </w:r>
    </w:p>
    <w:p w14:paraId="5C18B7B1">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3B4BE88D">
      <w:pPr>
        <w:spacing w:line="288"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货币单位:元</w:t>
      </w:r>
    </w:p>
    <w:tbl>
      <w:tblPr>
        <w:tblStyle w:val="18"/>
        <w:tblW w:w="50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2"/>
        <w:gridCol w:w="2006"/>
        <w:gridCol w:w="1742"/>
        <w:gridCol w:w="1732"/>
        <w:gridCol w:w="1142"/>
        <w:gridCol w:w="1142"/>
      </w:tblGrid>
      <w:tr w14:paraId="73D43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7" w:hRule="atLeast"/>
          <w:jc w:val="center"/>
        </w:trPr>
        <w:tc>
          <w:tcPr>
            <w:tcW w:w="946" w:type="pct"/>
            <w:vAlign w:val="center"/>
          </w:tcPr>
          <w:p w14:paraId="6A254E99">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投标人名称</w:t>
            </w:r>
          </w:p>
        </w:tc>
        <w:tc>
          <w:tcPr>
            <w:tcW w:w="1047" w:type="pct"/>
            <w:vAlign w:val="center"/>
          </w:tcPr>
          <w:p w14:paraId="34453A92">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投标报价</w:t>
            </w:r>
          </w:p>
          <w:p w14:paraId="5EE4B799">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（元）</w:t>
            </w:r>
          </w:p>
        </w:tc>
        <w:tc>
          <w:tcPr>
            <w:tcW w:w="909" w:type="pct"/>
            <w:vAlign w:val="center"/>
          </w:tcPr>
          <w:p w14:paraId="748D7CCA">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货物名称</w:t>
            </w:r>
          </w:p>
        </w:tc>
        <w:tc>
          <w:tcPr>
            <w:tcW w:w="904" w:type="pct"/>
            <w:vAlign w:val="center"/>
          </w:tcPr>
          <w:p w14:paraId="2D7D0D96">
            <w:pPr>
              <w:pStyle w:val="8"/>
              <w:spacing w:after="0"/>
              <w:ind w:left="0" w:leftChars="0"/>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合同履行期限</w:t>
            </w:r>
          </w:p>
        </w:tc>
        <w:tc>
          <w:tcPr>
            <w:tcW w:w="596" w:type="pct"/>
            <w:vAlign w:val="center"/>
          </w:tcPr>
          <w:p w14:paraId="317F0A69">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质量</w:t>
            </w:r>
            <w:r>
              <w:rPr>
                <w:rFonts w:hint="eastAsia" w:ascii="宋体" w:hAnsi="宋体" w:eastAsia="宋体" w:cs="宋体"/>
                <w:b/>
                <w:bCs/>
                <w:color w:val="auto"/>
                <w:sz w:val="24"/>
                <w:lang w:eastAsia="zh-CN"/>
              </w:rPr>
              <w:t>标准</w:t>
            </w:r>
          </w:p>
        </w:tc>
        <w:tc>
          <w:tcPr>
            <w:tcW w:w="596" w:type="pct"/>
            <w:vAlign w:val="center"/>
          </w:tcPr>
          <w:p w14:paraId="5A3D8566">
            <w:pPr>
              <w:pStyle w:val="8"/>
              <w:spacing w:after="0"/>
              <w:ind w:left="0" w:leftChars="0"/>
              <w:jc w:val="center"/>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14:paraId="2137F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3" w:hRule="atLeast"/>
          <w:jc w:val="center"/>
        </w:trPr>
        <w:tc>
          <w:tcPr>
            <w:tcW w:w="946" w:type="pct"/>
            <w:vAlign w:val="center"/>
          </w:tcPr>
          <w:p w14:paraId="4E1EA3E0">
            <w:pPr>
              <w:pStyle w:val="8"/>
              <w:spacing w:after="0"/>
              <w:ind w:left="0" w:leftChars="0"/>
              <w:jc w:val="center"/>
              <w:rPr>
                <w:rFonts w:hint="eastAsia" w:ascii="宋体" w:hAnsi="宋体" w:eastAsia="宋体" w:cs="宋体"/>
                <w:color w:val="auto"/>
                <w:szCs w:val="21"/>
              </w:rPr>
            </w:pPr>
          </w:p>
        </w:tc>
        <w:tc>
          <w:tcPr>
            <w:tcW w:w="1047" w:type="pct"/>
            <w:vAlign w:val="center"/>
          </w:tcPr>
          <w:p w14:paraId="03B80839">
            <w:pPr>
              <w:pStyle w:val="8"/>
              <w:spacing w:after="0"/>
              <w:ind w:left="0" w:leftChars="0"/>
              <w:jc w:val="center"/>
              <w:rPr>
                <w:rFonts w:hint="eastAsia" w:ascii="宋体" w:hAnsi="宋体" w:eastAsia="宋体" w:cs="宋体"/>
                <w:color w:val="auto"/>
                <w:szCs w:val="21"/>
              </w:rPr>
            </w:pPr>
          </w:p>
        </w:tc>
        <w:tc>
          <w:tcPr>
            <w:tcW w:w="909" w:type="pct"/>
            <w:vAlign w:val="center"/>
          </w:tcPr>
          <w:p w14:paraId="6138BE1F">
            <w:pPr>
              <w:pStyle w:val="8"/>
              <w:spacing w:after="0"/>
              <w:ind w:left="0" w:leftChars="0"/>
              <w:jc w:val="center"/>
              <w:rPr>
                <w:rFonts w:hint="eastAsia" w:ascii="宋体" w:hAnsi="宋体" w:eastAsia="宋体" w:cs="宋体"/>
                <w:color w:val="auto"/>
                <w:szCs w:val="21"/>
              </w:rPr>
            </w:pPr>
          </w:p>
        </w:tc>
        <w:tc>
          <w:tcPr>
            <w:tcW w:w="904" w:type="pct"/>
            <w:vAlign w:val="center"/>
          </w:tcPr>
          <w:p w14:paraId="2BE7C022">
            <w:pPr>
              <w:pStyle w:val="8"/>
              <w:spacing w:after="0"/>
              <w:ind w:left="0" w:leftChars="0"/>
              <w:jc w:val="center"/>
              <w:rPr>
                <w:rFonts w:hint="eastAsia" w:ascii="宋体" w:hAnsi="宋体" w:eastAsia="宋体" w:cs="宋体"/>
                <w:color w:val="auto"/>
                <w:szCs w:val="21"/>
              </w:rPr>
            </w:pPr>
          </w:p>
        </w:tc>
        <w:tc>
          <w:tcPr>
            <w:tcW w:w="596" w:type="pct"/>
            <w:vAlign w:val="center"/>
          </w:tcPr>
          <w:p w14:paraId="2BA8C001">
            <w:pPr>
              <w:pStyle w:val="8"/>
              <w:spacing w:after="0"/>
              <w:ind w:left="0" w:leftChars="0"/>
              <w:jc w:val="center"/>
              <w:rPr>
                <w:rFonts w:hint="eastAsia" w:ascii="宋体" w:hAnsi="宋体" w:eastAsia="宋体" w:cs="宋体"/>
                <w:color w:val="auto"/>
                <w:szCs w:val="21"/>
              </w:rPr>
            </w:pPr>
          </w:p>
        </w:tc>
        <w:tc>
          <w:tcPr>
            <w:tcW w:w="596" w:type="pct"/>
            <w:vAlign w:val="center"/>
          </w:tcPr>
          <w:p w14:paraId="08B82C55">
            <w:pPr>
              <w:pStyle w:val="8"/>
              <w:spacing w:after="0"/>
              <w:ind w:left="0" w:leftChars="0"/>
              <w:jc w:val="center"/>
              <w:rPr>
                <w:rFonts w:hint="eastAsia" w:ascii="宋体" w:hAnsi="宋体" w:eastAsia="宋体" w:cs="宋体"/>
                <w:color w:val="auto"/>
                <w:szCs w:val="21"/>
              </w:rPr>
            </w:pPr>
          </w:p>
        </w:tc>
      </w:tr>
    </w:tbl>
    <w:p w14:paraId="78ADAC56">
      <w:pPr>
        <w:spacing w:before="78" w:line="220" w:lineRule="auto"/>
        <w:rPr>
          <w:rFonts w:hint="eastAsia" w:ascii="宋体" w:hAnsi="宋体" w:eastAsia="宋体" w:cs="宋体"/>
          <w:color w:val="auto"/>
          <w:sz w:val="24"/>
          <w:szCs w:val="24"/>
        </w:rPr>
      </w:pPr>
      <w:r>
        <w:rPr>
          <w:rFonts w:hint="eastAsia" w:ascii="宋体" w:hAnsi="宋体" w:eastAsia="宋体" w:cs="宋体"/>
          <w:color w:val="auto"/>
          <w:spacing w:val="-5"/>
          <w:sz w:val="24"/>
          <w:szCs w:val="24"/>
        </w:rPr>
        <w:t>说明：</w:t>
      </w:r>
    </w:p>
    <w:p w14:paraId="39B9630B">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1.本“开标一览表”用于开标时唱标使用。</w:t>
      </w:r>
    </w:p>
    <w:p w14:paraId="181963F5">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2.此表中的各项内容应与投标文件的相应内容一致。</w:t>
      </w:r>
    </w:p>
    <w:p w14:paraId="211C6202">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3.只允许有一个报价，任何有选择性的报价或者有附加条件的报价采购人将不予接受。</w:t>
      </w:r>
    </w:p>
    <w:p w14:paraId="58E89C73">
      <w:pPr>
        <w:spacing w:line="288" w:lineRule="auto"/>
        <w:rPr>
          <w:rFonts w:hint="eastAsia" w:ascii="宋体" w:hAnsi="宋体" w:eastAsia="宋体" w:cs="宋体"/>
          <w:color w:val="auto"/>
          <w:sz w:val="24"/>
          <w:szCs w:val="24"/>
          <w:lang w:eastAsia="zh-CN"/>
        </w:rPr>
      </w:pPr>
    </w:p>
    <w:p w14:paraId="6EC6CAAE">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投标人名称（盖章）：</w:t>
      </w:r>
    </w:p>
    <w:p w14:paraId="5B5A6C6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法定代表人（单位负责人）或授权代表（签字）：</w:t>
      </w:r>
    </w:p>
    <w:p w14:paraId="36FE44C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   年    月   日</w:t>
      </w:r>
    </w:p>
    <w:p w14:paraId="53A13C17">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B8B283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4932C2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D11FAB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5CCCFF8">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D53367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C5E0146">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D63A62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2EB250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1F944C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2CF82A6">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DD3C850">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0B86CC6">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E3194E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F29A1B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B2D6882">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80F0F3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4C71EC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5F4667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C0B1F6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1C13D50">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格式五：</w:t>
      </w:r>
    </w:p>
    <w:p w14:paraId="4D5A000D">
      <w:pPr>
        <w:spacing w:before="181" w:line="219" w:lineRule="auto"/>
        <w:ind w:left="355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投标报价明细表（格式）</w:t>
      </w:r>
    </w:p>
    <w:p w14:paraId="10C0D256">
      <w:pPr>
        <w:pStyle w:val="7"/>
        <w:spacing w:line="282" w:lineRule="auto"/>
        <w:rPr>
          <w:rFonts w:hint="eastAsia" w:ascii="宋体" w:hAnsi="宋体" w:eastAsia="宋体" w:cs="宋体"/>
          <w:color w:val="auto"/>
          <w:lang w:eastAsia="zh-CN"/>
        </w:rPr>
      </w:pPr>
    </w:p>
    <w:p w14:paraId="5051D807">
      <w:pPr>
        <w:kinsoku/>
        <w:autoSpaceDE/>
        <w:autoSpaceDN/>
        <w:rPr>
          <w:rFonts w:ascii="宋体" w:hAnsi="宋体" w:cs="宋体"/>
          <w:color w:val="auto"/>
          <w:sz w:val="24"/>
          <w:u w:val="single"/>
          <w:lang w:eastAsia="zh-CN"/>
        </w:rPr>
      </w:pPr>
      <w:r>
        <w:rPr>
          <w:rFonts w:hint="eastAsia" w:ascii="宋体" w:hAnsi="宋体" w:cs="宋体"/>
          <w:color w:val="auto"/>
          <w:sz w:val="24"/>
          <w:lang w:eastAsia="zh-CN"/>
        </w:rPr>
        <w:t xml:space="preserve">项目名称： </w:t>
      </w:r>
      <w:r>
        <w:rPr>
          <w:rFonts w:hint="eastAsia" w:ascii="宋体" w:hAnsi="宋体" w:cs="宋体"/>
          <w:color w:val="auto"/>
          <w:sz w:val="24"/>
          <w:u w:val="single"/>
          <w:lang w:eastAsia="zh-CN"/>
        </w:rPr>
        <w:t xml:space="preserve">                       </w:t>
      </w:r>
    </w:p>
    <w:p w14:paraId="6ED95384">
      <w:pPr>
        <w:kinsoku/>
        <w:autoSpaceDE/>
        <w:autoSpaceDN/>
        <w:rPr>
          <w:rFonts w:ascii="宋体" w:hAnsi="宋体" w:cs="宋体"/>
          <w:color w:val="auto"/>
          <w:sz w:val="24"/>
          <w:lang w:eastAsia="zh-CN"/>
        </w:rPr>
      </w:pPr>
      <w:r>
        <w:rPr>
          <w:rFonts w:hint="eastAsia" w:ascii="宋体" w:hAnsi="宋体" w:cs="宋体"/>
          <w:color w:val="auto"/>
          <w:sz w:val="24"/>
          <w:lang w:eastAsia="zh-CN"/>
        </w:rPr>
        <w:t xml:space="preserve">项目编号： </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 xml:space="preserve"> </w:t>
      </w:r>
    </w:p>
    <w:p w14:paraId="2265DA07">
      <w:pPr>
        <w:kinsoku/>
        <w:autoSpaceDE/>
        <w:autoSpaceDN/>
        <w:jc w:val="right"/>
        <w:rPr>
          <w:rFonts w:hint="eastAsia" w:ascii="宋体" w:hAnsi="宋体" w:eastAsia="宋体"/>
          <w:color w:val="auto"/>
          <w:szCs w:val="30"/>
        </w:rPr>
      </w:pPr>
      <w:r>
        <w:rPr>
          <w:rFonts w:hint="eastAsia" w:ascii="宋体" w:hAnsi="宋体" w:cs="宋体"/>
          <w:color w:val="auto"/>
          <w:sz w:val="24"/>
        </w:rPr>
        <w:t>单位：元（人民币）</w:t>
      </w:r>
    </w:p>
    <w:tbl>
      <w:tblPr>
        <w:tblStyle w:val="18"/>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14:paraId="584DA0CC">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vAlign w:val="center"/>
          </w:tcPr>
          <w:p w14:paraId="386A07C0">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940" w:type="dxa"/>
            <w:tcBorders>
              <w:top w:val="single" w:color="auto" w:sz="4" w:space="0"/>
              <w:left w:val="nil"/>
              <w:bottom w:val="single" w:color="auto" w:sz="4" w:space="0"/>
              <w:right w:val="single" w:color="auto" w:sz="4" w:space="0"/>
            </w:tcBorders>
            <w:vAlign w:val="center"/>
          </w:tcPr>
          <w:p w14:paraId="56B815FC">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货物名称</w:t>
            </w:r>
          </w:p>
        </w:tc>
        <w:tc>
          <w:tcPr>
            <w:tcW w:w="1287" w:type="dxa"/>
            <w:tcBorders>
              <w:top w:val="single" w:color="auto" w:sz="4" w:space="0"/>
              <w:left w:val="nil"/>
              <w:bottom w:val="single" w:color="auto" w:sz="4" w:space="0"/>
              <w:right w:val="single" w:color="auto" w:sz="4" w:space="0"/>
            </w:tcBorders>
            <w:vAlign w:val="center"/>
          </w:tcPr>
          <w:p w14:paraId="6F303817">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规格型号</w:t>
            </w:r>
          </w:p>
        </w:tc>
        <w:tc>
          <w:tcPr>
            <w:tcW w:w="1328" w:type="dxa"/>
            <w:tcBorders>
              <w:top w:val="single" w:color="auto" w:sz="4" w:space="0"/>
              <w:left w:val="nil"/>
              <w:bottom w:val="single" w:color="auto" w:sz="4" w:space="0"/>
              <w:right w:val="single" w:color="auto" w:sz="4" w:space="0"/>
            </w:tcBorders>
            <w:vAlign w:val="center"/>
          </w:tcPr>
          <w:p w14:paraId="27E4B880">
            <w:pPr>
              <w:jc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品牌</w:t>
            </w:r>
          </w:p>
        </w:tc>
        <w:tc>
          <w:tcPr>
            <w:tcW w:w="715" w:type="dxa"/>
            <w:tcBorders>
              <w:top w:val="single" w:color="auto" w:sz="4" w:space="0"/>
              <w:left w:val="nil"/>
              <w:bottom w:val="single" w:color="auto" w:sz="4" w:space="0"/>
              <w:right w:val="single" w:color="auto" w:sz="4" w:space="0"/>
            </w:tcBorders>
            <w:vAlign w:val="center"/>
          </w:tcPr>
          <w:p w14:paraId="0C86E0F1">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单位</w:t>
            </w:r>
          </w:p>
        </w:tc>
        <w:tc>
          <w:tcPr>
            <w:tcW w:w="723" w:type="dxa"/>
            <w:tcBorders>
              <w:top w:val="single" w:color="auto" w:sz="4" w:space="0"/>
              <w:left w:val="nil"/>
              <w:bottom w:val="single" w:color="auto" w:sz="4" w:space="0"/>
              <w:right w:val="single" w:color="auto" w:sz="4" w:space="0"/>
            </w:tcBorders>
            <w:vAlign w:val="center"/>
          </w:tcPr>
          <w:p w14:paraId="2D703A3F">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数量</w:t>
            </w:r>
          </w:p>
        </w:tc>
        <w:tc>
          <w:tcPr>
            <w:tcW w:w="1423" w:type="dxa"/>
            <w:tcBorders>
              <w:top w:val="single" w:color="auto" w:sz="4" w:space="0"/>
              <w:left w:val="nil"/>
              <w:bottom w:val="single" w:color="auto" w:sz="4" w:space="0"/>
              <w:right w:val="single" w:color="auto" w:sz="4" w:space="0"/>
            </w:tcBorders>
            <w:vAlign w:val="center"/>
          </w:tcPr>
          <w:p w14:paraId="45773B4F">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单价（元）</w:t>
            </w:r>
          </w:p>
        </w:tc>
        <w:tc>
          <w:tcPr>
            <w:tcW w:w="1400" w:type="dxa"/>
            <w:tcBorders>
              <w:top w:val="single" w:color="auto" w:sz="4" w:space="0"/>
              <w:left w:val="nil"/>
              <w:bottom w:val="single" w:color="auto" w:sz="4" w:space="0"/>
              <w:right w:val="single" w:color="auto" w:sz="4" w:space="0"/>
            </w:tcBorders>
            <w:vAlign w:val="center"/>
          </w:tcPr>
          <w:p w14:paraId="0A2B16ED">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合计（元）</w:t>
            </w:r>
          </w:p>
        </w:tc>
        <w:tc>
          <w:tcPr>
            <w:tcW w:w="613" w:type="dxa"/>
            <w:tcBorders>
              <w:top w:val="single" w:color="auto" w:sz="4" w:space="0"/>
              <w:left w:val="nil"/>
              <w:bottom w:val="single" w:color="auto" w:sz="4" w:space="0"/>
              <w:right w:val="single" w:color="auto" w:sz="4" w:space="0"/>
            </w:tcBorders>
            <w:vAlign w:val="center"/>
          </w:tcPr>
          <w:p w14:paraId="321B31AE">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备注</w:t>
            </w:r>
          </w:p>
        </w:tc>
      </w:tr>
      <w:tr w14:paraId="7F53864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51EA1FA">
            <w:pPr>
              <w:jc w:val="center"/>
              <w:rPr>
                <w:rFonts w:hint="eastAsia" w:ascii="宋体" w:hAnsi="宋体" w:eastAsia="宋体" w:cs="宋体"/>
                <w:b/>
                <w:bCs/>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7338D4ED">
            <w:pPr>
              <w:jc w:val="center"/>
              <w:rPr>
                <w:rFonts w:hint="eastAsia" w:ascii="宋体" w:hAnsi="宋体" w:eastAsia="宋体" w:cs="宋体"/>
                <w:b/>
                <w:bCs/>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664D7185">
            <w:pPr>
              <w:jc w:val="center"/>
              <w:rPr>
                <w:rFonts w:hint="eastAsia" w:ascii="宋体" w:hAnsi="宋体" w:eastAsia="宋体" w:cs="宋体"/>
                <w:b/>
                <w:bCs/>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4408EB09">
            <w:pPr>
              <w:jc w:val="center"/>
              <w:rPr>
                <w:rFonts w:hint="eastAsia" w:ascii="宋体" w:hAnsi="宋体" w:eastAsia="宋体" w:cs="宋体"/>
                <w:b/>
                <w:bCs/>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252D8B71">
            <w:pPr>
              <w:jc w:val="center"/>
              <w:rPr>
                <w:rFonts w:hint="eastAsia" w:ascii="宋体" w:hAnsi="宋体" w:eastAsia="宋体" w:cs="宋体"/>
                <w:b/>
                <w:bCs/>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5F4B395A">
            <w:pPr>
              <w:jc w:val="center"/>
              <w:rPr>
                <w:rFonts w:hint="eastAsia" w:ascii="宋体" w:hAnsi="宋体" w:eastAsia="宋体" w:cs="宋体"/>
                <w:b/>
                <w:bCs/>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63E42096">
            <w:pPr>
              <w:jc w:val="center"/>
              <w:rPr>
                <w:rFonts w:hint="eastAsia" w:ascii="宋体" w:hAnsi="宋体" w:eastAsia="宋体" w:cs="宋体"/>
                <w:b/>
                <w:bCs/>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1C3141A">
            <w:pPr>
              <w:jc w:val="center"/>
              <w:rPr>
                <w:rFonts w:hint="eastAsia" w:ascii="宋体" w:hAnsi="宋体" w:eastAsia="宋体" w:cs="宋体"/>
                <w:b/>
                <w:bCs/>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73E6FBB7">
            <w:pPr>
              <w:jc w:val="center"/>
              <w:rPr>
                <w:rFonts w:hint="eastAsia" w:ascii="宋体" w:hAnsi="宋体" w:eastAsia="宋体" w:cs="宋体"/>
                <w:color w:val="auto"/>
                <w:sz w:val="20"/>
                <w:szCs w:val="20"/>
              </w:rPr>
            </w:pPr>
          </w:p>
        </w:tc>
      </w:tr>
      <w:tr w14:paraId="79BA33D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42523F4F">
            <w:pPr>
              <w:jc w:val="center"/>
              <w:rPr>
                <w:rFonts w:hint="eastAsia" w:ascii="宋体" w:hAnsi="宋体" w:eastAsia="宋体" w:cs="宋体"/>
                <w:b/>
                <w:bCs/>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68538F7D">
            <w:pPr>
              <w:jc w:val="center"/>
              <w:rPr>
                <w:rFonts w:hint="eastAsia" w:ascii="宋体" w:hAnsi="宋体" w:eastAsia="宋体" w:cs="宋体"/>
                <w:b/>
                <w:bCs/>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68B4ADC9">
            <w:pPr>
              <w:jc w:val="center"/>
              <w:rPr>
                <w:rFonts w:hint="eastAsia" w:ascii="宋体" w:hAnsi="宋体" w:eastAsia="宋体" w:cs="宋体"/>
                <w:b/>
                <w:bCs/>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767BF020">
            <w:pPr>
              <w:jc w:val="center"/>
              <w:rPr>
                <w:rFonts w:hint="eastAsia" w:ascii="宋体" w:hAnsi="宋体" w:eastAsia="宋体" w:cs="宋体"/>
                <w:b/>
                <w:bCs/>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0BB80259">
            <w:pPr>
              <w:jc w:val="center"/>
              <w:rPr>
                <w:rFonts w:hint="eastAsia" w:ascii="宋体" w:hAnsi="宋体" w:eastAsia="宋体" w:cs="宋体"/>
                <w:b/>
                <w:bCs/>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2D3EDA96">
            <w:pPr>
              <w:jc w:val="center"/>
              <w:rPr>
                <w:rFonts w:hint="eastAsia" w:ascii="宋体" w:hAnsi="宋体" w:eastAsia="宋体" w:cs="宋体"/>
                <w:b/>
                <w:bCs/>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5F54868E">
            <w:pPr>
              <w:jc w:val="center"/>
              <w:rPr>
                <w:rFonts w:hint="eastAsia" w:ascii="宋体" w:hAnsi="宋体" w:eastAsia="宋体" w:cs="宋体"/>
                <w:b/>
                <w:bCs/>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8BADC2A">
            <w:pPr>
              <w:jc w:val="center"/>
              <w:rPr>
                <w:rFonts w:hint="eastAsia" w:ascii="宋体" w:hAnsi="宋体" w:eastAsia="宋体" w:cs="宋体"/>
                <w:b/>
                <w:bCs/>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439D0449">
            <w:pPr>
              <w:jc w:val="center"/>
              <w:rPr>
                <w:rFonts w:hint="eastAsia" w:ascii="宋体" w:hAnsi="宋体" w:eastAsia="宋体" w:cs="宋体"/>
                <w:color w:val="auto"/>
                <w:sz w:val="20"/>
                <w:szCs w:val="20"/>
              </w:rPr>
            </w:pPr>
          </w:p>
        </w:tc>
      </w:tr>
      <w:tr w14:paraId="67EE0E96">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7764B332">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6D3B8690">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1FA636D4">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469227E0">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70109370">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46F53270">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479CCB2D">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652B6B0A">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4DB65BD6">
            <w:pPr>
              <w:jc w:val="center"/>
              <w:rPr>
                <w:rFonts w:hint="eastAsia" w:ascii="宋体" w:hAnsi="宋体" w:eastAsia="宋体" w:cs="宋体"/>
                <w:color w:val="auto"/>
                <w:sz w:val="20"/>
                <w:szCs w:val="20"/>
              </w:rPr>
            </w:pPr>
          </w:p>
        </w:tc>
      </w:tr>
      <w:tr w14:paraId="391E52AB">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2B27546">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0349BDAC">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3EFE2EA6">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385074DE">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01A03BF9">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7B297254">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00140D89">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1C57F9F1">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761C5CBA">
            <w:pPr>
              <w:jc w:val="center"/>
              <w:rPr>
                <w:rFonts w:hint="eastAsia" w:ascii="宋体" w:hAnsi="宋体" w:eastAsia="宋体" w:cs="宋体"/>
                <w:color w:val="auto"/>
                <w:sz w:val="20"/>
                <w:szCs w:val="20"/>
              </w:rPr>
            </w:pPr>
          </w:p>
        </w:tc>
      </w:tr>
      <w:tr w14:paraId="4DDD1A16">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5B5630C7">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149A2726">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78DCA302">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43668B7F">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50026612">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07129FB4">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708563BA">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84FBE45">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364345E4">
            <w:pPr>
              <w:jc w:val="center"/>
              <w:rPr>
                <w:rFonts w:hint="eastAsia" w:ascii="宋体" w:hAnsi="宋体" w:eastAsia="宋体" w:cs="宋体"/>
                <w:color w:val="auto"/>
                <w:sz w:val="20"/>
                <w:szCs w:val="20"/>
              </w:rPr>
            </w:pPr>
          </w:p>
        </w:tc>
      </w:tr>
      <w:tr w14:paraId="4B45C214">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63EAB2A">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1D3936B0">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36F3BBE7">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3F7C6F13">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23BE03CC">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4BA45F0F">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7BDF93E5">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B39A30A">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7D30915E">
            <w:pPr>
              <w:jc w:val="center"/>
              <w:rPr>
                <w:rFonts w:hint="eastAsia" w:ascii="宋体" w:hAnsi="宋体" w:eastAsia="宋体" w:cs="宋体"/>
                <w:color w:val="auto"/>
                <w:sz w:val="20"/>
                <w:szCs w:val="20"/>
              </w:rPr>
            </w:pPr>
          </w:p>
        </w:tc>
      </w:tr>
      <w:tr w14:paraId="756D8898">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4E3347B7">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20531824">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2ED1DCB2">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440C544F">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280B24A8">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4E89FF39">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1F10FE68">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69FCA74F">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1CAB5F23">
            <w:pPr>
              <w:jc w:val="center"/>
              <w:rPr>
                <w:rFonts w:hint="eastAsia" w:ascii="宋体" w:hAnsi="宋体" w:eastAsia="宋体" w:cs="宋体"/>
                <w:color w:val="auto"/>
                <w:sz w:val="20"/>
                <w:szCs w:val="20"/>
              </w:rPr>
            </w:pPr>
          </w:p>
        </w:tc>
      </w:tr>
      <w:tr w14:paraId="3EB7BF64">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061E28FB">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4E16DF1A">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5E79D1F1">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0278012B">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50D17057">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0DCF8969">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6DD7366B">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744F8654">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29E12E3E">
            <w:pPr>
              <w:jc w:val="center"/>
              <w:rPr>
                <w:rFonts w:hint="eastAsia" w:ascii="宋体" w:hAnsi="宋体" w:eastAsia="宋体" w:cs="宋体"/>
                <w:color w:val="auto"/>
                <w:sz w:val="20"/>
                <w:szCs w:val="20"/>
              </w:rPr>
            </w:pPr>
          </w:p>
        </w:tc>
      </w:tr>
      <w:tr w14:paraId="1C54F7C6">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2A362204">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79C3C040">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65B35E6B">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2D3A22C9">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2A5552C9">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2655B3BA">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40DC9DB8">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6A9B69B1">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6732A0F0">
            <w:pPr>
              <w:jc w:val="center"/>
              <w:rPr>
                <w:rFonts w:hint="eastAsia" w:ascii="宋体" w:hAnsi="宋体" w:eastAsia="宋体" w:cs="宋体"/>
                <w:color w:val="auto"/>
                <w:sz w:val="20"/>
                <w:szCs w:val="20"/>
              </w:rPr>
            </w:pPr>
          </w:p>
        </w:tc>
      </w:tr>
      <w:tr w14:paraId="50D29492">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02B21F94">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06723089">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65BC9AFC">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0F92B49F">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0A27DE5A">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3689EB14">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640C2393">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0BD98EA">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44A03308">
            <w:pPr>
              <w:jc w:val="center"/>
              <w:rPr>
                <w:rFonts w:hint="eastAsia" w:ascii="宋体" w:hAnsi="宋体" w:eastAsia="宋体" w:cs="宋体"/>
                <w:color w:val="auto"/>
                <w:sz w:val="20"/>
                <w:szCs w:val="20"/>
              </w:rPr>
            </w:pPr>
          </w:p>
        </w:tc>
      </w:tr>
      <w:tr w14:paraId="51F1C466">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99A76A3">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75C61DA2">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4C6BC890">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5DFA07C4">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5C08C0AB">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56D4517D">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2A46FB6F">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00288EB2">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2EF6ED13">
            <w:pPr>
              <w:jc w:val="center"/>
              <w:rPr>
                <w:rFonts w:hint="eastAsia" w:ascii="宋体" w:hAnsi="宋体" w:eastAsia="宋体" w:cs="宋体"/>
                <w:color w:val="auto"/>
                <w:sz w:val="20"/>
                <w:szCs w:val="20"/>
              </w:rPr>
            </w:pPr>
          </w:p>
        </w:tc>
      </w:tr>
      <w:tr w14:paraId="2B367E72">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430864C1">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340E28F0">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1E455D73">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661ECB95">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467505EB">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1270ECB4">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11357130">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A43EFF7">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2B59B30B">
            <w:pPr>
              <w:jc w:val="center"/>
              <w:rPr>
                <w:rFonts w:hint="eastAsia" w:ascii="宋体" w:hAnsi="宋体" w:eastAsia="宋体" w:cs="宋体"/>
                <w:color w:val="auto"/>
                <w:sz w:val="20"/>
                <w:szCs w:val="20"/>
              </w:rPr>
            </w:pPr>
          </w:p>
        </w:tc>
      </w:tr>
    </w:tbl>
    <w:p w14:paraId="649D9FE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注：1.以上报价含生产制作、包装、运输、保险、安装调试、利润、税金、专利技术、培训、技术支持等一切费用。</w:t>
      </w:r>
    </w:p>
    <w:p w14:paraId="0E0C1525">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2.供应商按采购需求逐项列示、总价不得超过采购预算，并与《开标一览表》保持一致。</w:t>
      </w:r>
    </w:p>
    <w:p w14:paraId="0093F713">
      <w:pPr>
        <w:ind w:firstLine="480" w:firstLineChars="200"/>
        <w:rPr>
          <w:rFonts w:ascii="宋体" w:hAnsi="宋体" w:cs="宋体"/>
          <w:color w:val="auto"/>
          <w:sz w:val="24"/>
          <w:lang w:eastAsia="zh-CN"/>
        </w:rPr>
      </w:pPr>
      <w:r>
        <w:rPr>
          <w:rFonts w:hint="eastAsia" w:ascii="宋体" w:hAnsi="宋体" w:eastAsia="宋体" w:cs="宋体"/>
          <w:color w:val="auto"/>
          <w:sz w:val="24"/>
          <w:szCs w:val="24"/>
          <w:lang w:eastAsia="zh-CN"/>
        </w:rPr>
        <w:t>3.此表可自行扩展。</w:t>
      </w:r>
    </w:p>
    <w:p w14:paraId="477A4415">
      <w:pPr>
        <w:kinsoku/>
        <w:autoSpaceDE/>
        <w:autoSpaceDN/>
        <w:spacing w:line="480" w:lineRule="auto"/>
        <w:jc w:val="both"/>
        <w:rPr>
          <w:rFonts w:ascii="宋体" w:hAnsi="宋体" w:cs="宋体"/>
          <w:color w:val="auto"/>
          <w:sz w:val="24"/>
          <w:lang w:eastAsia="zh-CN"/>
        </w:rPr>
      </w:pPr>
    </w:p>
    <w:p w14:paraId="3892AB9A">
      <w:pPr>
        <w:kinsoku/>
        <w:autoSpaceDE/>
        <w:autoSpaceDN/>
        <w:spacing w:line="480" w:lineRule="auto"/>
        <w:jc w:val="both"/>
        <w:rPr>
          <w:rFonts w:hint="eastAsia" w:ascii="宋体" w:hAnsi="宋体" w:eastAsia="宋体" w:cs="宋体"/>
          <w:color w:val="auto"/>
          <w:sz w:val="24"/>
          <w:lang w:eastAsia="zh-CN"/>
        </w:rPr>
      </w:pPr>
      <w:r>
        <w:rPr>
          <w:rFonts w:hint="eastAsia" w:ascii="宋体" w:hAnsi="宋体" w:cs="宋体"/>
          <w:color w:val="auto"/>
          <w:sz w:val="24"/>
          <w:lang w:val="en-US" w:eastAsia="zh-CN"/>
        </w:rPr>
        <w:t>投标人名称</w:t>
      </w:r>
      <w:r>
        <w:rPr>
          <w:rFonts w:hint="eastAsia" w:ascii="宋体" w:hAnsi="宋体" w:cs="宋体"/>
          <w:color w:val="auto"/>
          <w:sz w:val="24"/>
          <w:lang w:eastAsia="zh-CN"/>
        </w:rPr>
        <w:t>（盖单位公章）</w:t>
      </w:r>
    </w:p>
    <w:p w14:paraId="6DCE0D4E">
      <w:pPr>
        <w:kinsoku/>
        <w:autoSpaceDE/>
        <w:autoSpaceDN/>
        <w:spacing w:line="480" w:lineRule="auto"/>
        <w:jc w:val="both"/>
        <w:rPr>
          <w:rFonts w:ascii="宋体" w:hAnsi="宋体" w:cs="宋体"/>
          <w:color w:val="auto"/>
          <w:sz w:val="24"/>
          <w:lang w:eastAsia="zh-CN"/>
        </w:rPr>
      </w:pPr>
      <w:r>
        <w:rPr>
          <w:rFonts w:hint="eastAsia" w:ascii="宋体" w:hAnsi="宋体" w:cs="宋体"/>
          <w:color w:val="auto"/>
          <w:sz w:val="24"/>
          <w:lang w:eastAsia="zh-CN"/>
        </w:rPr>
        <w:t>法定代表人或其委托代理人（签字）</w:t>
      </w:r>
    </w:p>
    <w:p w14:paraId="14E16BCA">
      <w:pPr>
        <w:kinsoku/>
        <w:autoSpaceDE/>
        <w:autoSpaceDN/>
        <w:rPr>
          <w:rFonts w:ascii="宋体" w:hAnsi="宋体" w:cs="宋体"/>
          <w:color w:val="auto"/>
          <w:sz w:val="24"/>
          <w:lang w:eastAsia="zh-CN"/>
        </w:rPr>
      </w:pPr>
      <w:r>
        <w:rPr>
          <w:rFonts w:hint="eastAsia" w:ascii="宋体" w:hAnsi="宋体" w:cs="宋体"/>
          <w:color w:val="auto"/>
          <w:sz w:val="24"/>
          <w:lang w:eastAsia="zh-CN"/>
        </w:rPr>
        <w:t xml:space="preserve">     年     月     日</w:t>
      </w:r>
    </w:p>
    <w:p w14:paraId="26F0E100">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01F494D2">
      <w:pPr>
        <w:spacing w:before="48" w:line="220" w:lineRule="auto"/>
        <w:rPr>
          <w:rFonts w:hint="eastAsia" w:ascii="宋体" w:hAnsi="宋体" w:eastAsia="宋体" w:cs="宋体"/>
          <w:b/>
          <w:bCs/>
          <w:sz w:val="28"/>
          <w:szCs w:val="28"/>
          <w:lang w:eastAsia="zh-CN" w:bidi="ar"/>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格式六：</w:t>
      </w:r>
    </w:p>
    <w:p w14:paraId="1EFDEB45">
      <w:pPr>
        <w:spacing w:before="181" w:line="219" w:lineRule="auto"/>
        <w:ind w:left="3550"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资格审查资料</w:t>
      </w:r>
    </w:p>
    <w:p w14:paraId="0E378BA4">
      <w:pPr>
        <w:kinsoku/>
        <w:autoSpaceDE/>
        <w:adjustRightInd/>
        <w:snapToGrid/>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（一）投标单位基本情况表</w:t>
      </w:r>
    </w:p>
    <w:tbl>
      <w:tblPr>
        <w:tblStyle w:val="18"/>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045B6C03">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3F4C755">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sz w:val="24"/>
                <w:szCs w:val="24"/>
                <w:lang w:eastAsia="zh-CN" w:bidi="ar"/>
              </w:rPr>
              <w:t>供应商</w:t>
            </w:r>
            <w:r>
              <w:rPr>
                <w:rFonts w:hint="eastAsia" w:ascii="宋体" w:hAnsi="宋体" w:eastAsia="宋体" w:cs="宋体"/>
                <w:color w:val="auto"/>
                <w:sz w:val="24"/>
                <w:szCs w:val="24"/>
                <w:lang w:eastAsia="zh-CN" w:bidi="ar"/>
              </w:rPr>
              <w:t>名称</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608FB68F">
            <w:pPr>
              <w:kinsoku/>
              <w:autoSpaceDE/>
              <w:adjustRightInd/>
              <w:snapToGrid/>
              <w:spacing w:before="156" w:after="156"/>
              <w:rPr>
                <w:rFonts w:hint="eastAsia" w:ascii="宋体" w:hAnsi="宋体" w:eastAsia="宋体" w:cs="宋体"/>
                <w:color w:val="auto"/>
                <w:sz w:val="24"/>
                <w:szCs w:val="24"/>
                <w:lang w:eastAsia="zh-CN" w:bidi="ar"/>
              </w:rPr>
            </w:pPr>
          </w:p>
        </w:tc>
      </w:tr>
      <w:tr w14:paraId="772D3A3E">
        <w:tblPrEx>
          <w:tblCellMar>
            <w:top w:w="0" w:type="dxa"/>
            <w:left w:w="108" w:type="dxa"/>
            <w:bottom w:w="0" w:type="dxa"/>
            <w:right w:w="108" w:type="dxa"/>
          </w:tblCellMar>
        </w:tblPrEx>
        <w:trPr>
          <w:trHeight w:val="52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24B5D52">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注册地址</w:t>
            </w:r>
          </w:p>
        </w:tc>
        <w:tc>
          <w:tcPr>
            <w:tcW w:w="3780" w:type="dxa"/>
            <w:gridSpan w:val="3"/>
            <w:tcBorders>
              <w:top w:val="single" w:color="auto" w:sz="4" w:space="0"/>
              <w:left w:val="single" w:color="auto" w:sz="4" w:space="0"/>
              <w:bottom w:val="single" w:color="auto" w:sz="4" w:space="0"/>
              <w:right w:val="single" w:color="auto" w:sz="4" w:space="0"/>
            </w:tcBorders>
            <w:vAlign w:val="center"/>
          </w:tcPr>
          <w:p w14:paraId="6047EF66">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42B80960">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邮政编码</w:t>
            </w:r>
          </w:p>
        </w:tc>
        <w:tc>
          <w:tcPr>
            <w:tcW w:w="2880" w:type="dxa"/>
            <w:gridSpan w:val="3"/>
            <w:tcBorders>
              <w:top w:val="single" w:color="auto" w:sz="4" w:space="0"/>
              <w:left w:val="single" w:color="auto" w:sz="4" w:space="0"/>
              <w:bottom w:val="single" w:color="auto" w:sz="4" w:space="0"/>
              <w:right w:val="single" w:color="auto" w:sz="4" w:space="0"/>
            </w:tcBorders>
            <w:vAlign w:val="center"/>
          </w:tcPr>
          <w:p w14:paraId="294C823D">
            <w:pPr>
              <w:kinsoku/>
              <w:autoSpaceDE/>
              <w:adjustRightInd/>
              <w:snapToGrid/>
              <w:spacing w:before="156" w:after="156"/>
              <w:rPr>
                <w:rFonts w:hint="eastAsia" w:ascii="宋体" w:hAnsi="宋体" w:eastAsia="宋体" w:cs="宋体"/>
                <w:color w:val="auto"/>
                <w:sz w:val="24"/>
                <w:szCs w:val="24"/>
                <w:lang w:eastAsia="zh-CN" w:bidi="ar"/>
              </w:rPr>
            </w:pPr>
          </w:p>
        </w:tc>
      </w:tr>
      <w:tr w14:paraId="6DB8D8A8">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vAlign w:val="center"/>
          </w:tcPr>
          <w:p w14:paraId="1D2065CB">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14:paraId="7EEDED97">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联系人</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8C0B9B0">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64A043EA">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电  话</w:t>
            </w:r>
          </w:p>
        </w:tc>
        <w:tc>
          <w:tcPr>
            <w:tcW w:w="2880" w:type="dxa"/>
            <w:gridSpan w:val="3"/>
            <w:tcBorders>
              <w:top w:val="single" w:color="auto" w:sz="4" w:space="0"/>
              <w:left w:val="single" w:color="auto" w:sz="4" w:space="0"/>
              <w:bottom w:val="single" w:color="auto" w:sz="4" w:space="0"/>
              <w:right w:val="single" w:color="auto" w:sz="4" w:space="0"/>
            </w:tcBorders>
            <w:vAlign w:val="center"/>
          </w:tcPr>
          <w:p w14:paraId="735A63F0">
            <w:pPr>
              <w:kinsoku/>
              <w:autoSpaceDE/>
              <w:adjustRightInd/>
              <w:snapToGrid/>
              <w:spacing w:before="156" w:after="156"/>
              <w:rPr>
                <w:rFonts w:hint="eastAsia" w:ascii="宋体" w:hAnsi="宋体" w:eastAsia="宋体" w:cs="宋体"/>
                <w:color w:val="auto"/>
                <w:sz w:val="24"/>
                <w:szCs w:val="24"/>
                <w:lang w:eastAsia="zh-CN" w:bidi="ar"/>
              </w:rPr>
            </w:pPr>
          </w:p>
        </w:tc>
      </w:tr>
      <w:tr w14:paraId="100CFD7F">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vAlign w:val="center"/>
          </w:tcPr>
          <w:p w14:paraId="675CA994">
            <w:pPr>
              <w:kinsoku/>
              <w:autoSpaceDE/>
              <w:adjustRightInd/>
              <w:snapToGrid/>
              <w:spacing w:before="156" w:after="156"/>
              <w:rPr>
                <w:rFonts w:hint="eastAsia" w:ascii="宋体" w:hAnsi="宋体" w:eastAsia="宋体" w:cs="宋体"/>
                <w:color w:val="auto"/>
                <w:sz w:val="24"/>
                <w:szCs w:val="24"/>
                <w:lang w:eastAsia="zh-CN" w:bidi="ar"/>
              </w:rPr>
            </w:pPr>
          </w:p>
        </w:tc>
        <w:tc>
          <w:tcPr>
            <w:tcW w:w="1080" w:type="dxa"/>
            <w:tcBorders>
              <w:top w:val="single" w:color="auto" w:sz="4" w:space="0"/>
              <w:left w:val="single" w:color="auto" w:sz="4" w:space="0"/>
              <w:bottom w:val="single" w:color="auto" w:sz="4" w:space="0"/>
              <w:right w:val="single" w:color="auto" w:sz="4" w:space="0"/>
            </w:tcBorders>
            <w:vAlign w:val="center"/>
          </w:tcPr>
          <w:p w14:paraId="68E2790A">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传  真</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534A7283">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6A17EB6C">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网  址</w:t>
            </w:r>
          </w:p>
        </w:tc>
        <w:tc>
          <w:tcPr>
            <w:tcW w:w="2880" w:type="dxa"/>
            <w:gridSpan w:val="3"/>
            <w:tcBorders>
              <w:top w:val="single" w:color="auto" w:sz="4" w:space="0"/>
              <w:left w:val="single" w:color="auto" w:sz="4" w:space="0"/>
              <w:bottom w:val="single" w:color="auto" w:sz="4" w:space="0"/>
              <w:right w:val="single" w:color="auto" w:sz="4" w:space="0"/>
            </w:tcBorders>
            <w:vAlign w:val="center"/>
          </w:tcPr>
          <w:p w14:paraId="32AF744A">
            <w:pPr>
              <w:kinsoku/>
              <w:autoSpaceDE/>
              <w:adjustRightInd/>
              <w:snapToGrid/>
              <w:spacing w:before="156" w:after="156"/>
              <w:rPr>
                <w:rFonts w:hint="eastAsia" w:ascii="宋体" w:hAnsi="宋体" w:eastAsia="宋体" w:cs="宋体"/>
                <w:color w:val="auto"/>
                <w:sz w:val="24"/>
                <w:szCs w:val="24"/>
                <w:lang w:eastAsia="zh-CN" w:bidi="ar"/>
              </w:rPr>
            </w:pPr>
          </w:p>
        </w:tc>
      </w:tr>
      <w:tr w14:paraId="20B10C5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5D65B6F8">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组织结构</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22292D06">
            <w:pPr>
              <w:kinsoku/>
              <w:autoSpaceDE/>
              <w:adjustRightInd/>
              <w:snapToGrid/>
              <w:spacing w:before="156" w:after="156"/>
              <w:rPr>
                <w:rFonts w:hint="eastAsia" w:ascii="宋体" w:hAnsi="宋体" w:eastAsia="宋体" w:cs="宋体"/>
                <w:color w:val="auto"/>
                <w:sz w:val="24"/>
                <w:szCs w:val="24"/>
                <w:lang w:eastAsia="zh-CN" w:bidi="ar"/>
              </w:rPr>
            </w:pPr>
          </w:p>
        </w:tc>
      </w:tr>
      <w:tr w14:paraId="61620151">
        <w:tblPrEx>
          <w:tblCellMar>
            <w:top w:w="0" w:type="dxa"/>
            <w:left w:w="108" w:type="dxa"/>
            <w:bottom w:w="0" w:type="dxa"/>
            <w:right w:w="108" w:type="dxa"/>
          </w:tblCellMar>
        </w:tblPrEx>
        <w:trPr>
          <w:trHeight w:val="65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333DC58">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14:paraId="3798FB47">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姓  名</w:t>
            </w:r>
          </w:p>
        </w:tc>
        <w:tc>
          <w:tcPr>
            <w:tcW w:w="1440" w:type="dxa"/>
            <w:tcBorders>
              <w:top w:val="single" w:color="auto" w:sz="4" w:space="0"/>
              <w:left w:val="single" w:color="auto" w:sz="4" w:space="0"/>
              <w:bottom w:val="single" w:color="auto" w:sz="4" w:space="0"/>
              <w:right w:val="single" w:color="auto" w:sz="4" w:space="0"/>
            </w:tcBorders>
            <w:vAlign w:val="center"/>
          </w:tcPr>
          <w:p w14:paraId="02ECAE6F">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4CEC916B">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技术职称</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A939F73">
            <w:pPr>
              <w:kinsoku/>
              <w:autoSpaceDE/>
              <w:adjustRightInd/>
              <w:snapToGrid/>
              <w:spacing w:before="156" w:after="156"/>
              <w:rPr>
                <w:rFonts w:hint="eastAsia" w:ascii="宋体" w:hAnsi="宋体" w:eastAsia="宋体" w:cs="宋体"/>
                <w:color w:val="auto"/>
                <w:sz w:val="24"/>
                <w:szCs w:val="24"/>
                <w:lang w:eastAsia="zh-CN" w:bidi="ar"/>
              </w:rPr>
            </w:pPr>
          </w:p>
        </w:tc>
        <w:tc>
          <w:tcPr>
            <w:tcW w:w="1221" w:type="dxa"/>
            <w:tcBorders>
              <w:top w:val="single" w:color="auto" w:sz="4" w:space="0"/>
              <w:left w:val="single" w:color="auto" w:sz="4" w:space="0"/>
              <w:bottom w:val="single" w:color="auto" w:sz="4" w:space="0"/>
              <w:right w:val="single" w:color="auto" w:sz="4" w:space="0"/>
            </w:tcBorders>
            <w:vAlign w:val="center"/>
          </w:tcPr>
          <w:p w14:paraId="7C58C6A1">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电话</w:t>
            </w:r>
          </w:p>
        </w:tc>
        <w:tc>
          <w:tcPr>
            <w:tcW w:w="1299" w:type="dxa"/>
            <w:tcBorders>
              <w:top w:val="single" w:color="auto" w:sz="4" w:space="0"/>
              <w:left w:val="single" w:color="auto" w:sz="4" w:space="0"/>
              <w:bottom w:val="single" w:color="auto" w:sz="4" w:space="0"/>
              <w:right w:val="single" w:color="auto" w:sz="4" w:space="0"/>
            </w:tcBorders>
            <w:vAlign w:val="center"/>
          </w:tcPr>
          <w:p w14:paraId="74C9161B">
            <w:pPr>
              <w:kinsoku/>
              <w:autoSpaceDE/>
              <w:adjustRightInd/>
              <w:snapToGrid/>
              <w:spacing w:before="156" w:after="156"/>
              <w:rPr>
                <w:rFonts w:hint="eastAsia" w:ascii="宋体" w:hAnsi="宋体" w:eastAsia="宋体" w:cs="宋体"/>
                <w:color w:val="auto"/>
                <w:sz w:val="24"/>
                <w:szCs w:val="24"/>
                <w:lang w:eastAsia="zh-CN" w:bidi="ar"/>
              </w:rPr>
            </w:pPr>
          </w:p>
        </w:tc>
      </w:tr>
      <w:tr w14:paraId="2914D808">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7D975D8">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成立时间</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3C8A84C9">
            <w:pPr>
              <w:kinsoku/>
              <w:autoSpaceDE/>
              <w:adjustRightInd/>
              <w:snapToGrid/>
              <w:spacing w:before="156" w:after="156"/>
              <w:rPr>
                <w:rFonts w:hint="eastAsia" w:ascii="宋体" w:hAnsi="宋体" w:eastAsia="宋体" w:cs="宋体"/>
                <w:color w:val="auto"/>
                <w:sz w:val="24"/>
                <w:szCs w:val="24"/>
                <w:lang w:eastAsia="zh-CN" w:bidi="ar"/>
              </w:rPr>
            </w:pPr>
          </w:p>
        </w:tc>
      </w:tr>
      <w:tr w14:paraId="7116A386">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1FB0698C">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4DCDF401">
            <w:pPr>
              <w:kinsoku/>
              <w:autoSpaceDE/>
              <w:adjustRightInd/>
              <w:snapToGrid/>
              <w:spacing w:before="156" w:after="156"/>
              <w:rPr>
                <w:rFonts w:hint="eastAsia" w:ascii="宋体" w:hAnsi="宋体" w:eastAsia="宋体" w:cs="宋体"/>
                <w:color w:val="auto"/>
                <w:sz w:val="24"/>
                <w:szCs w:val="24"/>
                <w:lang w:eastAsia="zh-CN" w:bidi="ar"/>
              </w:rPr>
            </w:pPr>
          </w:p>
        </w:tc>
      </w:tr>
      <w:tr w14:paraId="65171EA9">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C8C51BB">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注册资金</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7E2824C2">
            <w:pPr>
              <w:kinsoku/>
              <w:autoSpaceDE/>
              <w:adjustRightInd/>
              <w:snapToGrid/>
              <w:spacing w:before="156" w:after="156"/>
              <w:rPr>
                <w:rFonts w:hint="eastAsia" w:ascii="宋体" w:hAnsi="宋体" w:eastAsia="宋体" w:cs="宋体"/>
                <w:color w:val="auto"/>
                <w:sz w:val="24"/>
                <w:szCs w:val="24"/>
                <w:lang w:eastAsia="zh-CN" w:bidi="ar"/>
              </w:rPr>
            </w:pPr>
          </w:p>
        </w:tc>
      </w:tr>
      <w:tr w14:paraId="0E5D674E">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30020B9">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开户银行</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76F41F30">
            <w:pPr>
              <w:kinsoku/>
              <w:autoSpaceDE/>
              <w:adjustRightInd/>
              <w:snapToGrid/>
              <w:spacing w:before="156" w:after="156"/>
              <w:rPr>
                <w:rFonts w:hint="eastAsia" w:ascii="宋体" w:hAnsi="宋体" w:eastAsia="宋体" w:cs="宋体"/>
                <w:color w:val="auto"/>
                <w:sz w:val="24"/>
                <w:szCs w:val="24"/>
                <w:lang w:eastAsia="zh-CN" w:bidi="ar"/>
              </w:rPr>
            </w:pPr>
          </w:p>
        </w:tc>
      </w:tr>
      <w:tr w14:paraId="1783489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3050E059">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账    号</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29BB74F9">
            <w:pPr>
              <w:kinsoku/>
              <w:autoSpaceDE/>
              <w:adjustRightInd/>
              <w:snapToGrid/>
              <w:spacing w:before="156" w:after="156"/>
              <w:rPr>
                <w:rFonts w:hint="eastAsia" w:ascii="宋体" w:hAnsi="宋体" w:eastAsia="宋体" w:cs="宋体"/>
                <w:color w:val="auto"/>
                <w:sz w:val="24"/>
                <w:szCs w:val="24"/>
                <w:lang w:eastAsia="zh-CN" w:bidi="ar"/>
              </w:rPr>
            </w:pPr>
          </w:p>
        </w:tc>
      </w:tr>
      <w:tr w14:paraId="7EE553A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2285151D">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经营范围</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6687B2DA">
            <w:pPr>
              <w:kinsoku/>
              <w:autoSpaceDE/>
              <w:adjustRightInd/>
              <w:snapToGrid/>
              <w:spacing w:before="156" w:after="156"/>
              <w:rPr>
                <w:rFonts w:hint="eastAsia" w:ascii="宋体" w:hAnsi="宋体" w:eastAsia="宋体" w:cs="宋体"/>
                <w:color w:val="auto"/>
                <w:sz w:val="24"/>
                <w:szCs w:val="24"/>
                <w:lang w:eastAsia="zh-CN" w:bidi="ar"/>
              </w:rPr>
            </w:pPr>
          </w:p>
        </w:tc>
      </w:tr>
      <w:tr w14:paraId="5A9941C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3EC7DEB4">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14B7648D">
            <w:pPr>
              <w:kinsoku/>
              <w:autoSpaceDE/>
              <w:adjustRightInd/>
              <w:snapToGrid/>
              <w:spacing w:before="156" w:after="156"/>
              <w:rPr>
                <w:rFonts w:hint="eastAsia" w:ascii="宋体" w:hAnsi="宋体" w:eastAsia="宋体" w:cs="宋体"/>
                <w:color w:val="auto"/>
                <w:sz w:val="24"/>
                <w:szCs w:val="24"/>
                <w:lang w:eastAsia="zh-CN" w:bidi="ar"/>
              </w:rPr>
            </w:pPr>
          </w:p>
        </w:tc>
      </w:tr>
      <w:tr w14:paraId="68A30F5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47E2160">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备    注</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35D339CA">
            <w:pPr>
              <w:kinsoku/>
              <w:autoSpaceDE/>
              <w:adjustRightInd/>
              <w:snapToGrid/>
              <w:spacing w:before="156" w:after="156"/>
              <w:rPr>
                <w:rFonts w:hint="eastAsia" w:ascii="宋体" w:hAnsi="宋体" w:eastAsia="宋体" w:cs="宋体"/>
                <w:color w:val="auto"/>
                <w:sz w:val="24"/>
                <w:szCs w:val="24"/>
                <w:lang w:eastAsia="zh-CN" w:bidi="ar"/>
              </w:rPr>
            </w:pPr>
          </w:p>
          <w:p w14:paraId="035CD307">
            <w:pPr>
              <w:kinsoku/>
              <w:autoSpaceDE/>
              <w:adjustRightInd/>
              <w:snapToGrid/>
              <w:spacing w:before="156" w:after="156"/>
              <w:rPr>
                <w:rFonts w:hint="eastAsia" w:ascii="宋体" w:hAnsi="宋体" w:eastAsia="宋体" w:cs="宋体"/>
                <w:color w:val="auto"/>
                <w:sz w:val="24"/>
                <w:szCs w:val="24"/>
                <w:lang w:eastAsia="zh-CN" w:bidi="ar"/>
              </w:rPr>
            </w:pPr>
          </w:p>
          <w:p w14:paraId="1B186273">
            <w:pPr>
              <w:kinsoku/>
              <w:autoSpaceDE/>
              <w:adjustRightInd/>
              <w:snapToGrid/>
              <w:spacing w:before="156" w:after="156"/>
              <w:rPr>
                <w:rFonts w:hint="eastAsia" w:ascii="宋体" w:hAnsi="宋体" w:eastAsia="宋体" w:cs="宋体"/>
                <w:color w:val="auto"/>
                <w:sz w:val="24"/>
                <w:szCs w:val="24"/>
                <w:lang w:eastAsia="zh-CN" w:bidi="ar"/>
              </w:rPr>
            </w:pPr>
          </w:p>
          <w:p w14:paraId="1185A461">
            <w:pPr>
              <w:kinsoku/>
              <w:autoSpaceDE/>
              <w:adjustRightInd/>
              <w:snapToGrid/>
              <w:spacing w:before="156" w:after="156"/>
              <w:rPr>
                <w:rFonts w:hint="eastAsia" w:ascii="宋体" w:hAnsi="宋体" w:eastAsia="宋体" w:cs="宋体"/>
                <w:color w:val="auto"/>
                <w:sz w:val="24"/>
                <w:szCs w:val="24"/>
                <w:lang w:eastAsia="zh-CN" w:bidi="ar"/>
              </w:rPr>
            </w:pPr>
          </w:p>
          <w:p w14:paraId="4EFFE578">
            <w:pPr>
              <w:kinsoku/>
              <w:autoSpaceDE/>
              <w:adjustRightInd/>
              <w:snapToGrid/>
              <w:spacing w:before="156" w:after="156"/>
              <w:rPr>
                <w:rFonts w:hint="eastAsia" w:ascii="宋体" w:hAnsi="宋体" w:eastAsia="宋体" w:cs="宋体"/>
                <w:color w:val="auto"/>
                <w:sz w:val="24"/>
                <w:szCs w:val="24"/>
                <w:lang w:eastAsia="zh-CN" w:bidi="ar"/>
              </w:rPr>
            </w:pPr>
          </w:p>
          <w:p w14:paraId="4A130A54">
            <w:pPr>
              <w:kinsoku/>
              <w:autoSpaceDE/>
              <w:adjustRightInd/>
              <w:snapToGrid/>
              <w:spacing w:before="156" w:after="156"/>
              <w:rPr>
                <w:rFonts w:hint="eastAsia" w:ascii="宋体" w:hAnsi="宋体" w:eastAsia="宋体" w:cs="宋体"/>
                <w:color w:val="auto"/>
                <w:sz w:val="24"/>
                <w:szCs w:val="24"/>
                <w:lang w:eastAsia="zh-CN" w:bidi="ar"/>
              </w:rPr>
            </w:pPr>
          </w:p>
          <w:p w14:paraId="57801B45">
            <w:pPr>
              <w:kinsoku/>
              <w:autoSpaceDE/>
              <w:adjustRightInd/>
              <w:snapToGrid/>
              <w:spacing w:before="156" w:after="156"/>
              <w:rPr>
                <w:rFonts w:hint="eastAsia" w:ascii="宋体" w:hAnsi="宋体" w:eastAsia="宋体" w:cs="宋体"/>
                <w:color w:val="auto"/>
                <w:sz w:val="24"/>
                <w:szCs w:val="24"/>
                <w:lang w:eastAsia="zh-CN" w:bidi="ar"/>
              </w:rPr>
            </w:pPr>
          </w:p>
        </w:tc>
      </w:tr>
    </w:tbl>
    <w:p w14:paraId="52905E50">
      <w:pPr>
        <w:spacing w:before="48" w:line="220" w:lineRule="auto"/>
        <w:rPr>
          <w:rFonts w:hint="eastAsia" w:ascii="宋体" w:hAnsi="宋体" w:eastAsia="宋体" w:cs="宋体"/>
          <w:color w:val="auto"/>
          <w:lang w:eastAsia="zh-CN" w:bidi="ar"/>
        </w:rPr>
      </w:pPr>
      <w:r>
        <w:rPr>
          <w:rFonts w:hint="eastAsia" w:ascii="宋体" w:hAnsi="宋体" w:eastAsia="宋体" w:cs="宋体"/>
          <w:color w:val="auto"/>
          <w:lang w:eastAsia="zh-CN" w:bidi="ar"/>
        </w:rPr>
        <w:t>后</w:t>
      </w:r>
      <w:r>
        <w:rPr>
          <w:rFonts w:hint="eastAsia" w:ascii="宋体" w:hAnsi="宋体" w:eastAsia="宋体" w:cs="宋体"/>
          <w:b/>
          <w:bCs/>
          <w:color w:val="auto"/>
          <w:lang w:eastAsia="zh-CN" w:bidi="ar"/>
        </w:rPr>
        <w:t>附营业执照、</w:t>
      </w:r>
      <w:r>
        <w:rPr>
          <w:rFonts w:hAnsi="宋体"/>
          <w:b/>
          <w:lang w:eastAsia="zh-CN"/>
        </w:rPr>
        <w:t>资质证书</w:t>
      </w:r>
      <w:r>
        <w:rPr>
          <w:rFonts w:hint="eastAsia" w:ascii="宋体" w:hAnsi="宋体" w:eastAsia="宋体" w:cs="宋体"/>
          <w:color w:val="auto"/>
          <w:lang w:eastAsia="zh-CN" w:bidi="ar"/>
        </w:rPr>
        <w:t>等材料复印件</w:t>
      </w:r>
    </w:p>
    <w:p w14:paraId="077EF783">
      <w:pPr>
        <w:spacing w:before="48" w:line="220" w:lineRule="auto"/>
        <w:rPr>
          <w:rFonts w:hint="eastAsia" w:ascii="宋体" w:hAnsi="宋体" w:eastAsia="宋体" w:cs="宋体"/>
          <w:color w:val="auto"/>
          <w:lang w:eastAsia="zh-CN" w:bidi="ar"/>
        </w:rPr>
      </w:pPr>
    </w:p>
    <w:p w14:paraId="2CEA04E7">
      <w:pPr>
        <w:spacing w:before="48" w:line="220" w:lineRule="auto"/>
        <w:rPr>
          <w:rFonts w:hint="eastAsia" w:ascii="宋体" w:hAnsi="宋体" w:eastAsia="宋体" w:cs="宋体"/>
          <w:color w:val="auto"/>
          <w:lang w:eastAsia="zh-CN" w:bidi="ar"/>
        </w:rPr>
      </w:pPr>
    </w:p>
    <w:p w14:paraId="28CAE11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格式七：</w:t>
      </w:r>
    </w:p>
    <w:p w14:paraId="0A2B1584">
      <w:pPr>
        <w:spacing w:before="48" w:line="220" w:lineRule="auto"/>
        <w:ind w:firstLine="3808" w:firstLineChars="1600"/>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pPr>
    </w:p>
    <w:p w14:paraId="31E525B9">
      <w:pPr>
        <w:spacing w:before="48" w:line="220" w:lineRule="auto"/>
        <w:ind w:firstLine="3808" w:firstLineChars="1600"/>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pPr>
    </w:p>
    <w:p w14:paraId="3EE4E999">
      <w:pPr>
        <w:spacing w:before="48" w:line="220" w:lineRule="auto"/>
        <w:ind w:firstLine="3808" w:firstLineChars="16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t>投标保证金</w:t>
      </w:r>
    </w:p>
    <w:p w14:paraId="6EE25FAE">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D7D92E3">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5791842">
      <w:pPr>
        <w:widowControl w:val="0"/>
        <w:tabs>
          <w:tab w:val="left" w:pos="0"/>
        </w:tabs>
        <w:kinsoku/>
        <w:autoSpaceDE/>
        <w:adjustRightInd/>
        <w:snapToGrid/>
        <w:spacing w:afterAutospacing="1" w:line="360" w:lineRule="auto"/>
        <w:jc w:val="both"/>
        <w:outlineLvl w:val="1"/>
        <w:rPr>
          <w:rFonts w:hint="eastAsia" w:ascii="宋体" w:hAnsi="宋体" w:eastAsia="宋体" w:cs="宋体"/>
          <w:b/>
          <w:bCs/>
          <w:sz w:val="28"/>
          <w:szCs w:val="28"/>
          <w:lang w:val="zh-CN" w:eastAsia="zh-CN" w:bidi="ar"/>
        </w:rPr>
      </w:pPr>
    </w:p>
    <w:p w14:paraId="21A47751">
      <w:pPr>
        <w:pStyle w:val="9"/>
        <w:jc w:val="center"/>
        <w:rPr>
          <w:rFonts w:hint="eastAsia" w:ascii="宋体" w:hAnsi="宋体" w:eastAsia="宋体" w:cs="宋体"/>
          <w:sz w:val="24"/>
          <w:szCs w:val="24"/>
          <w:lang w:eastAsia="zh-CN"/>
        </w:rPr>
      </w:pPr>
      <w:r>
        <w:rPr>
          <w:rFonts w:hint="eastAsia" w:ascii="宋体" w:hAnsi="宋体" w:eastAsia="宋体" w:cs="宋体"/>
          <w:sz w:val="24"/>
          <w:szCs w:val="24"/>
          <w:lang w:val="zh-CN" w:eastAsia="zh-CN"/>
        </w:rPr>
        <w:t>附：</w:t>
      </w:r>
      <w:r>
        <w:rPr>
          <w:rFonts w:hint="eastAsia" w:ascii="宋体" w:hAnsi="宋体" w:eastAsia="宋体" w:cs="宋体"/>
          <w:sz w:val="24"/>
          <w:szCs w:val="24"/>
          <w:lang w:eastAsia="zh-CN"/>
        </w:rPr>
        <w:t>转账需提供</w:t>
      </w:r>
      <w:r>
        <w:rPr>
          <w:rFonts w:hint="eastAsia" w:ascii="宋体" w:hAnsi="宋体" w:eastAsia="宋体" w:cs="宋体"/>
          <w:sz w:val="24"/>
          <w:szCs w:val="24"/>
          <w:lang w:val="zh-CN" w:eastAsia="zh-CN"/>
        </w:rPr>
        <w:t>企业基本账户开户许可证和缴纳保证金的凭证或提供保兑支票、银行汇票、提供银行机构出具的保函</w:t>
      </w:r>
      <w:r>
        <w:rPr>
          <w:rFonts w:hint="eastAsia" w:ascii="宋体" w:hAnsi="宋体" w:eastAsia="宋体" w:cs="宋体"/>
          <w:sz w:val="24"/>
          <w:szCs w:val="24"/>
          <w:lang w:eastAsia="zh-CN"/>
        </w:rPr>
        <w:t>复印件</w:t>
      </w:r>
    </w:p>
    <w:p w14:paraId="3D82220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45FA0C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3A814B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23068B6">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62DBDA0">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3D05CBF">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B82F00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93EA13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2BAC98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2D28CD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2713E6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D733D9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90EE410">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B4FE63F">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340CDB6">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8209C4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6173AF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43EB96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55C694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540C5F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0F6FBB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E230EF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2020D1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3BE2D9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1E8A14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480C278">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AB1319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AC91A77">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0093D8B">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D8AD02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15FDC5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59467E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9628CD0">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格式八：</w:t>
      </w:r>
    </w:p>
    <w:p w14:paraId="4E6D1B11">
      <w:pPr>
        <w:spacing w:before="48" w:line="220" w:lineRule="auto"/>
        <w:ind w:firstLine="3808" w:firstLineChars="16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 xml:space="preserve"> </w:t>
      </w:r>
    </w:p>
    <w:p w14:paraId="64C0F27C">
      <w:pPr>
        <w:spacing w:before="48" w:line="220" w:lineRule="auto"/>
        <w:ind w:firstLine="3808" w:firstLineChars="16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近年财务状况</w:t>
      </w:r>
    </w:p>
    <w:p w14:paraId="5923609A">
      <w:pPr>
        <w:kinsoku/>
        <w:autoSpaceDE/>
        <w:adjustRightInd/>
        <w:snapToGrid/>
        <w:spacing w:line="440" w:lineRule="exact"/>
        <w:rPr>
          <w:rFonts w:hint="eastAsia" w:ascii="宋体" w:hAnsi="宋体" w:eastAsia="宋体" w:cs="宋体"/>
          <w:color w:val="auto"/>
          <w:sz w:val="24"/>
          <w:szCs w:val="24"/>
          <w:shd w:val="clear" w:color="auto" w:fill="FFFFFF"/>
          <w:lang w:eastAsia="zh-CN" w:bidi="ar"/>
        </w:rPr>
      </w:pPr>
      <w:r>
        <w:rPr>
          <w:rFonts w:hint="eastAsia" w:ascii="宋体" w:hAnsi="宋体" w:eastAsia="宋体" w:cs="宋体"/>
          <w:sz w:val="24"/>
          <w:szCs w:val="24"/>
          <w:lang w:eastAsia="zh-CN"/>
        </w:rPr>
        <w:t>须提供近一年（2023年）经会计师事务所审计的财务审计报告（当投标单位成立日期在2023年12月31日以后新成立的公司无财务审计报告的，需提供当年验资报告或银行出具的公司资信证明），</w:t>
      </w:r>
      <w:r>
        <w:rPr>
          <w:rFonts w:hint="eastAsia" w:ascii="宋体" w:hAnsi="宋体" w:eastAsia="宋体" w:cs="宋体"/>
          <w:kern w:val="2"/>
          <w:sz w:val="24"/>
          <w:szCs w:val="24"/>
          <w:lang w:eastAsia="zh-CN"/>
        </w:rPr>
        <w:t>标书内附复印加盖公章。</w:t>
      </w:r>
    </w:p>
    <w:p w14:paraId="3D3DE0D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9E688D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C1C94EB">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F89DC0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6CADEA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FCD361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E9FEBE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82948C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2D9773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BBF8E6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EC64D2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88A74D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2B0FAE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A963C9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09E7FFC">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BA0C350">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171829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AABD35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CD78D72">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45A0F8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E1281F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710A4F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4966A0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96E92DF">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2051FF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9A763D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5AD787C">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AF3F6E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C54BFAF">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A4A716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4ECFAD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260116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A895E1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2EB438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689EA67">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3F26E40">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格式九：</w:t>
      </w:r>
    </w:p>
    <w:p w14:paraId="267C5868">
      <w:pPr>
        <w:spacing w:before="48" w:line="220" w:lineRule="auto"/>
        <w:ind w:firstLine="2380" w:firstLineChars="10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依法缴纳税收和社会保障资金的证明</w:t>
      </w:r>
    </w:p>
    <w:p w14:paraId="0B584861">
      <w:pPr>
        <w:tabs>
          <w:tab w:val="left" w:pos="993"/>
          <w:tab w:val="left" w:pos="1030"/>
          <w:tab w:val="left" w:pos="8364"/>
        </w:tabs>
        <w:kinsoku/>
        <w:autoSpaceDE/>
        <w:adjustRightInd/>
        <w:spacing w:after="156"/>
        <w:ind w:right="-57" w:rightChars="-27"/>
        <w:rPr>
          <w:rFonts w:hint="eastAsia" w:ascii="宋体" w:hAnsi="宋体" w:eastAsia="宋体" w:cs="Times New Roman"/>
          <w:color w:val="auto"/>
          <w:sz w:val="24"/>
          <w:szCs w:val="24"/>
          <w:lang w:eastAsia="zh-CN" w:bidi="ar"/>
        </w:rPr>
      </w:pPr>
    </w:p>
    <w:p w14:paraId="54DD665D">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提供投标截止日期前半年内任意一个月企业依法缴纳税收及社会保障资金的相关材料，标书内附复印加盖公章。</w:t>
      </w:r>
    </w:p>
    <w:p w14:paraId="4CACCF4F">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C99D52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4930FA2">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8CBAB3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874565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222118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006C5BA">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EDC431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305BC7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E1CF50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7F103C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42ADB4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B2A576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2670D5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6787CA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752102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242253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E9BB882">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70205C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3A57A9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E5DBD8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D3C3AA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AA41B3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4B536D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705CDD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4B694FC">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B7E6654">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B289C1B">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FF96762">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E0027EB">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7082C0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F8DD13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EA058E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87EECDB">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851791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89EE73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318A82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格式十：</w:t>
      </w:r>
    </w:p>
    <w:p w14:paraId="63F7E085">
      <w:pPr>
        <w:spacing w:before="48" w:line="220" w:lineRule="auto"/>
        <w:ind w:firstLine="3600" w:firstLineChars="1500"/>
        <w:rPr>
          <w:rFonts w:hint="eastAsia" w:ascii="宋体" w:hAnsi="宋体" w:eastAsia="宋体" w:cs="宋体"/>
          <w:color w:val="auto"/>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采购需求偏离表（格式）</w:t>
      </w:r>
    </w:p>
    <w:p w14:paraId="376D2DEE">
      <w:pPr>
        <w:spacing w:before="78" w:line="185" w:lineRule="auto"/>
        <w:rPr>
          <w:rFonts w:hint="eastAsia" w:ascii="宋体" w:hAnsi="宋体" w:eastAsia="宋体" w:cs="宋体"/>
          <w:color w:val="auto"/>
          <w:spacing w:val="-1"/>
          <w:sz w:val="24"/>
          <w:szCs w:val="24"/>
          <w:lang w:eastAsia="zh-CN"/>
        </w:rPr>
      </w:pPr>
    </w:p>
    <w:p w14:paraId="7287C53F">
      <w:pPr>
        <w:spacing w:before="78" w:line="185"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5DA6EE28">
      <w:pPr>
        <w:spacing w:before="180" w:line="185"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8"/>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2620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vAlign w:val="center"/>
          </w:tcPr>
          <w:p w14:paraId="680B60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8" w:type="dxa"/>
            <w:vAlign w:val="center"/>
          </w:tcPr>
          <w:p w14:paraId="178204E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4063" w:type="dxa"/>
            <w:vAlign w:val="center"/>
          </w:tcPr>
          <w:p w14:paraId="7202520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采购文件规定的货物需求、技术规格</w:t>
            </w:r>
          </w:p>
        </w:tc>
        <w:tc>
          <w:tcPr>
            <w:tcW w:w="2180" w:type="dxa"/>
            <w:vAlign w:val="center"/>
          </w:tcPr>
          <w:p w14:paraId="5E10CC86">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响应文件对应的货物情况、技术规格</w:t>
            </w:r>
          </w:p>
        </w:tc>
        <w:tc>
          <w:tcPr>
            <w:tcW w:w="897" w:type="dxa"/>
            <w:vAlign w:val="center"/>
          </w:tcPr>
          <w:p w14:paraId="45831AB4">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偏离情况</w:t>
            </w:r>
          </w:p>
        </w:tc>
        <w:tc>
          <w:tcPr>
            <w:tcW w:w="756" w:type="dxa"/>
            <w:vAlign w:val="center"/>
          </w:tcPr>
          <w:p w14:paraId="51A4460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18B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41F703FF">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c>
          <w:tcPr>
            <w:tcW w:w="1248" w:type="dxa"/>
            <w:vAlign w:val="center"/>
          </w:tcPr>
          <w:p w14:paraId="3C611FFC">
            <w:pPr>
              <w:jc w:val="center"/>
              <w:rPr>
                <w:rFonts w:hint="eastAsia" w:ascii="宋体" w:hAnsi="宋体" w:eastAsia="宋体" w:cs="宋体"/>
                <w:color w:val="auto"/>
                <w:sz w:val="24"/>
                <w:szCs w:val="24"/>
              </w:rPr>
            </w:pPr>
          </w:p>
        </w:tc>
        <w:tc>
          <w:tcPr>
            <w:tcW w:w="4063" w:type="dxa"/>
            <w:vAlign w:val="center"/>
          </w:tcPr>
          <w:p w14:paraId="7514D1EC">
            <w:pPr>
              <w:jc w:val="center"/>
              <w:rPr>
                <w:rFonts w:hint="eastAsia" w:ascii="宋体" w:hAnsi="宋体" w:eastAsia="宋体" w:cs="宋体"/>
                <w:color w:val="auto"/>
                <w:sz w:val="24"/>
                <w:szCs w:val="24"/>
              </w:rPr>
            </w:pPr>
          </w:p>
        </w:tc>
        <w:tc>
          <w:tcPr>
            <w:tcW w:w="2180" w:type="dxa"/>
            <w:vAlign w:val="center"/>
          </w:tcPr>
          <w:p w14:paraId="3AC64099">
            <w:pPr>
              <w:jc w:val="center"/>
              <w:rPr>
                <w:rFonts w:hint="eastAsia" w:ascii="宋体" w:hAnsi="宋体" w:eastAsia="宋体" w:cs="宋体"/>
                <w:color w:val="auto"/>
                <w:sz w:val="24"/>
                <w:szCs w:val="24"/>
              </w:rPr>
            </w:pPr>
          </w:p>
        </w:tc>
        <w:tc>
          <w:tcPr>
            <w:tcW w:w="897" w:type="dxa"/>
            <w:vAlign w:val="center"/>
          </w:tcPr>
          <w:p w14:paraId="62A8FCC8">
            <w:pPr>
              <w:jc w:val="center"/>
              <w:rPr>
                <w:rFonts w:hint="eastAsia" w:ascii="宋体" w:hAnsi="宋体" w:eastAsia="宋体" w:cs="宋体"/>
                <w:color w:val="auto"/>
                <w:sz w:val="24"/>
                <w:szCs w:val="24"/>
              </w:rPr>
            </w:pPr>
          </w:p>
        </w:tc>
        <w:tc>
          <w:tcPr>
            <w:tcW w:w="756" w:type="dxa"/>
            <w:vAlign w:val="center"/>
          </w:tcPr>
          <w:p w14:paraId="07F65E46">
            <w:pPr>
              <w:jc w:val="center"/>
              <w:rPr>
                <w:rFonts w:hint="eastAsia" w:ascii="宋体" w:hAnsi="宋体" w:eastAsia="宋体" w:cs="宋体"/>
                <w:color w:val="auto"/>
                <w:sz w:val="24"/>
                <w:szCs w:val="24"/>
              </w:rPr>
            </w:pPr>
          </w:p>
        </w:tc>
      </w:tr>
      <w:tr w14:paraId="41C7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2AF643E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p>
        </w:tc>
        <w:tc>
          <w:tcPr>
            <w:tcW w:w="1248" w:type="dxa"/>
            <w:vAlign w:val="center"/>
          </w:tcPr>
          <w:p w14:paraId="44985B79">
            <w:pPr>
              <w:jc w:val="center"/>
              <w:rPr>
                <w:rFonts w:hint="eastAsia" w:ascii="宋体" w:hAnsi="宋体" w:eastAsia="宋体" w:cs="宋体"/>
                <w:color w:val="auto"/>
                <w:sz w:val="24"/>
                <w:szCs w:val="24"/>
              </w:rPr>
            </w:pPr>
          </w:p>
        </w:tc>
        <w:tc>
          <w:tcPr>
            <w:tcW w:w="4063" w:type="dxa"/>
            <w:vAlign w:val="center"/>
          </w:tcPr>
          <w:p w14:paraId="23FA0747">
            <w:pPr>
              <w:jc w:val="center"/>
              <w:rPr>
                <w:rFonts w:hint="eastAsia" w:ascii="宋体" w:hAnsi="宋体" w:eastAsia="宋体" w:cs="宋体"/>
                <w:color w:val="auto"/>
                <w:sz w:val="24"/>
                <w:szCs w:val="24"/>
              </w:rPr>
            </w:pPr>
          </w:p>
        </w:tc>
        <w:tc>
          <w:tcPr>
            <w:tcW w:w="2180" w:type="dxa"/>
            <w:vAlign w:val="center"/>
          </w:tcPr>
          <w:p w14:paraId="49F5EBDC">
            <w:pPr>
              <w:jc w:val="center"/>
              <w:rPr>
                <w:rFonts w:hint="eastAsia" w:ascii="宋体" w:hAnsi="宋体" w:eastAsia="宋体" w:cs="宋体"/>
                <w:color w:val="auto"/>
                <w:sz w:val="24"/>
                <w:szCs w:val="24"/>
              </w:rPr>
            </w:pPr>
          </w:p>
        </w:tc>
        <w:tc>
          <w:tcPr>
            <w:tcW w:w="897" w:type="dxa"/>
            <w:vAlign w:val="center"/>
          </w:tcPr>
          <w:p w14:paraId="7A66322E">
            <w:pPr>
              <w:jc w:val="center"/>
              <w:rPr>
                <w:rFonts w:hint="eastAsia" w:ascii="宋体" w:hAnsi="宋体" w:eastAsia="宋体" w:cs="宋体"/>
                <w:color w:val="auto"/>
                <w:sz w:val="24"/>
                <w:szCs w:val="24"/>
              </w:rPr>
            </w:pPr>
          </w:p>
        </w:tc>
        <w:tc>
          <w:tcPr>
            <w:tcW w:w="756" w:type="dxa"/>
            <w:vAlign w:val="center"/>
          </w:tcPr>
          <w:p w14:paraId="3DA0180E">
            <w:pPr>
              <w:jc w:val="center"/>
              <w:rPr>
                <w:rFonts w:hint="eastAsia" w:ascii="宋体" w:hAnsi="宋体" w:eastAsia="宋体" w:cs="宋体"/>
                <w:color w:val="auto"/>
                <w:sz w:val="24"/>
                <w:szCs w:val="24"/>
              </w:rPr>
            </w:pPr>
          </w:p>
        </w:tc>
      </w:tr>
      <w:tr w14:paraId="28F8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23AA5B22">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c>
          <w:tcPr>
            <w:tcW w:w="1248" w:type="dxa"/>
            <w:vAlign w:val="center"/>
          </w:tcPr>
          <w:p w14:paraId="5976F8CC">
            <w:pPr>
              <w:jc w:val="center"/>
              <w:rPr>
                <w:rFonts w:hint="eastAsia" w:ascii="宋体" w:hAnsi="宋体" w:eastAsia="宋体" w:cs="宋体"/>
                <w:color w:val="auto"/>
                <w:sz w:val="24"/>
                <w:szCs w:val="24"/>
              </w:rPr>
            </w:pPr>
          </w:p>
        </w:tc>
        <w:tc>
          <w:tcPr>
            <w:tcW w:w="4063" w:type="dxa"/>
            <w:vAlign w:val="center"/>
          </w:tcPr>
          <w:p w14:paraId="443394F5">
            <w:pPr>
              <w:jc w:val="center"/>
              <w:rPr>
                <w:rFonts w:hint="eastAsia" w:ascii="宋体" w:hAnsi="宋体" w:eastAsia="宋体" w:cs="宋体"/>
                <w:color w:val="auto"/>
                <w:sz w:val="24"/>
                <w:szCs w:val="24"/>
              </w:rPr>
            </w:pPr>
          </w:p>
        </w:tc>
        <w:tc>
          <w:tcPr>
            <w:tcW w:w="2180" w:type="dxa"/>
            <w:vAlign w:val="center"/>
          </w:tcPr>
          <w:p w14:paraId="09E65599">
            <w:pPr>
              <w:jc w:val="center"/>
              <w:rPr>
                <w:rFonts w:hint="eastAsia" w:ascii="宋体" w:hAnsi="宋体" w:eastAsia="宋体" w:cs="宋体"/>
                <w:color w:val="auto"/>
                <w:sz w:val="24"/>
                <w:szCs w:val="24"/>
              </w:rPr>
            </w:pPr>
          </w:p>
        </w:tc>
        <w:tc>
          <w:tcPr>
            <w:tcW w:w="897" w:type="dxa"/>
            <w:vAlign w:val="center"/>
          </w:tcPr>
          <w:p w14:paraId="646E72D8">
            <w:pPr>
              <w:jc w:val="center"/>
              <w:rPr>
                <w:rFonts w:hint="eastAsia" w:ascii="宋体" w:hAnsi="宋体" w:eastAsia="宋体" w:cs="宋体"/>
                <w:color w:val="auto"/>
                <w:sz w:val="24"/>
                <w:szCs w:val="24"/>
              </w:rPr>
            </w:pPr>
          </w:p>
        </w:tc>
        <w:tc>
          <w:tcPr>
            <w:tcW w:w="756" w:type="dxa"/>
            <w:vAlign w:val="center"/>
          </w:tcPr>
          <w:p w14:paraId="7C38C55F">
            <w:pPr>
              <w:jc w:val="center"/>
              <w:rPr>
                <w:rFonts w:hint="eastAsia" w:ascii="宋体" w:hAnsi="宋体" w:eastAsia="宋体" w:cs="宋体"/>
                <w:color w:val="auto"/>
                <w:sz w:val="24"/>
                <w:szCs w:val="24"/>
              </w:rPr>
            </w:pPr>
          </w:p>
        </w:tc>
      </w:tr>
      <w:tr w14:paraId="6251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6ACAE4E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p>
        </w:tc>
        <w:tc>
          <w:tcPr>
            <w:tcW w:w="1248" w:type="dxa"/>
            <w:vAlign w:val="center"/>
          </w:tcPr>
          <w:p w14:paraId="04BB7DC8">
            <w:pPr>
              <w:jc w:val="center"/>
              <w:rPr>
                <w:rFonts w:hint="eastAsia" w:ascii="宋体" w:hAnsi="宋体" w:eastAsia="宋体" w:cs="宋体"/>
                <w:color w:val="auto"/>
                <w:sz w:val="24"/>
                <w:szCs w:val="24"/>
              </w:rPr>
            </w:pPr>
          </w:p>
        </w:tc>
        <w:tc>
          <w:tcPr>
            <w:tcW w:w="4063" w:type="dxa"/>
            <w:vAlign w:val="center"/>
          </w:tcPr>
          <w:p w14:paraId="27D526D1">
            <w:pPr>
              <w:jc w:val="center"/>
              <w:rPr>
                <w:rFonts w:hint="eastAsia" w:ascii="宋体" w:hAnsi="宋体" w:eastAsia="宋体" w:cs="宋体"/>
                <w:color w:val="auto"/>
                <w:sz w:val="24"/>
                <w:szCs w:val="24"/>
              </w:rPr>
            </w:pPr>
          </w:p>
        </w:tc>
        <w:tc>
          <w:tcPr>
            <w:tcW w:w="2180" w:type="dxa"/>
            <w:vAlign w:val="center"/>
          </w:tcPr>
          <w:p w14:paraId="373EEC81">
            <w:pPr>
              <w:jc w:val="center"/>
              <w:rPr>
                <w:rFonts w:hint="eastAsia" w:ascii="宋体" w:hAnsi="宋体" w:eastAsia="宋体" w:cs="宋体"/>
                <w:color w:val="auto"/>
                <w:sz w:val="24"/>
                <w:szCs w:val="24"/>
              </w:rPr>
            </w:pPr>
          </w:p>
        </w:tc>
        <w:tc>
          <w:tcPr>
            <w:tcW w:w="897" w:type="dxa"/>
            <w:vAlign w:val="center"/>
          </w:tcPr>
          <w:p w14:paraId="0403DCC5">
            <w:pPr>
              <w:jc w:val="center"/>
              <w:rPr>
                <w:rFonts w:hint="eastAsia" w:ascii="宋体" w:hAnsi="宋体" w:eastAsia="宋体" w:cs="宋体"/>
                <w:color w:val="auto"/>
                <w:sz w:val="24"/>
                <w:szCs w:val="24"/>
              </w:rPr>
            </w:pPr>
          </w:p>
        </w:tc>
        <w:tc>
          <w:tcPr>
            <w:tcW w:w="756" w:type="dxa"/>
            <w:vAlign w:val="center"/>
          </w:tcPr>
          <w:p w14:paraId="2339251F">
            <w:pPr>
              <w:jc w:val="center"/>
              <w:rPr>
                <w:rFonts w:hint="eastAsia" w:ascii="宋体" w:hAnsi="宋体" w:eastAsia="宋体" w:cs="宋体"/>
                <w:color w:val="auto"/>
                <w:sz w:val="24"/>
                <w:szCs w:val="24"/>
              </w:rPr>
            </w:pPr>
          </w:p>
        </w:tc>
      </w:tr>
      <w:tr w14:paraId="210D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76872B66">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p>
        </w:tc>
        <w:tc>
          <w:tcPr>
            <w:tcW w:w="1248" w:type="dxa"/>
            <w:vAlign w:val="center"/>
          </w:tcPr>
          <w:p w14:paraId="3A98DD05">
            <w:pPr>
              <w:jc w:val="center"/>
              <w:rPr>
                <w:rFonts w:hint="eastAsia" w:ascii="宋体" w:hAnsi="宋体" w:eastAsia="宋体" w:cs="宋体"/>
                <w:color w:val="auto"/>
                <w:sz w:val="24"/>
                <w:szCs w:val="24"/>
                <w:lang w:eastAsia="zh-CN"/>
              </w:rPr>
            </w:pPr>
          </w:p>
        </w:tc>
        <w:tc>
          <w:tcPr>
            <w:tcW w:w="4063" w:type="dxa"/>
            <w:vAlign w:val="center"/>
          </w:tcPr>
          <w:p w14:paraId="1563D120">
            <w:pPr>
              <w:jc w:val="center"/>
              <w:rPr>
                <w:rFonts w:hint="eastAsia" w:ascii="宋体" w:hAnsi="宋体" w:eastAsia="宋体" w:cs="宋体"/>
                <w:color w:val="auto"/>
                <w:sz w:val="24"/>
                <w:szCs w:val="24"/>
              </w:rPr>
            </w:pPr>
          </w:p>
        </w:tc>
        <w:tc>
          <w:tcPr>
            <w:tcW w:w="2180" w:type="dxa"/>
            <w:vAlign w:val="center"/>
          </w:tcPr>
          <w:p w14:paraId="315A76F7">
            <w:pPr>
              <w:jc w:val="center"/>
              <w:rPr>
                <w:rFonts w:hint="eastAsia" w:ascii="宋体" w:hAnsi="宋体" w:eastAsia="宋体" w:cs="宋体"/>
                <w:color w:val="auto"/>
                <w:sz w:val="24"/>
                <w:szCs w:val="24"/>
              </w:rPr>
            </w:pPr>
          </w:p>
        </w:tc>
        <w:tc>
          <w:tcPr>
            <w:tcW w:w="897" w:type="dxa"/>
            <w:vAlign w:val="center"/>
          </w:tcPr>
          <w:p w14:paraId="7692C05D">
            <w:pPr>
              <w:jc w:val="center"/>
              <w:rPr>
                <w:rFonts w:hint="eastAsia" w:ascii="宋体" w:hAnsi="宋体" w:eastAsia="宋体" w:cs="宋体"/>
                <w:color w:val="auto"/>
                <w:sz w:val="24"/>
                <w:szCs w:val="24"/>
              </w:rPr>
            </w:pPr>
          </w:p>
        </w:tc>
        <w:tc>
          <w:tcPr>
            <w:tcW w:w="756" w:type="dxa"/>
            <w:vAlign w:val="center"/>
          </w:tcPr>
          <w:p w14:paraId="76EA996E">
            <w:pPr>
              <w:jc w:val="center"/>
              <w:rPr>
                <w:rFonts w:hint="eastAsia" w:ascii="宋体" w:hAnsi="宋体" w:eastAsia="宋体" w:cs="宋体"/>
                <w:color w:val="auto"/>
                <w:sz w:val="24"/>
                <w:szCs w:val="24"/>
              </w:rPr>
            </w:pPr>
          </w:p>
        </w:tc>
      </w:tr>
      <w:tr w14:paraId="7D82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0E04C24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w:t>
            </w:r>
          </w:p>
        </w:tc>
        <w:tc>
          <w:tcPr>
            <w:tcW w:w="1248" w:type="dxa"/>
            <w:vAlign w:val="center"/>
          </w:tcPr>
          <w:p w14:paraId="679CBA29">
            <w:pPr>
              <w:jc w:val="center"/>
              <w:rPr>
                <w:rFonts w:hint="eastAsia" w:ascii="宋体" w:hAnsi="宋体" w:eastAsia="宋体" w:cs="宋体"/>
                <w:color w:val="auto"/>
                <w:sz w:val="24"/>
                <w:szCs w:val="24"/>
                <w:lang w:eastAsia="zh-CN"/>
              </w:rPr>
            </w:pPr>
          </w:p>
        </w:tc>
        <w:tc>
          <w:tcPr>
            <w:tcW w:w="4063" w:type="dxa"/>
            <w:vAlign w:val="center"/>
          </w:tcPr>
          <w:p w14:paraId="029E977B">
            <w:pPr>
              <w:jc w:val="center"/>
              <w:rPr>
                <w:rFonts w:hint="eastAsia" w:ascii="宋体" w:hAnsi="宋体" w:eastAsia="宋体" w:cs="宋体"/>
                <w:color w:val="auto"/>
                <w:sz w:val="24"/>
                <w:szCs w:val="24"/>
                <w:lang w:eastAsia="zh-CN"/>
              </w:rPr>
            </w:pPr>
          </w:p>
        </w:tc>
        <w:tc>
          <w:tcPr>
            <w:tcW w:w="2180" w:type="dxa"/>
            <w:vAlign w:val="center"/>
          </w:tcPr>
          <w:p w14:paraId="19260255">
            <w:pPr>
              <w:jc w:val="center"/>
              <w:rPr>
                <w:rFonts w:hint="eastAsia" w:ascii="宋体" w:hAnsi="宋体" w:eastAsia="宋体" w:cs="宋体"/>
                <w:color w:val="auto"/>
                <w:sz w:val="24"/>
                <w:szCs w:val="24"/>
              </w:rPr>
            </w:pPr>
          </w:p>
        </w:tc>
        <w:tc>
          <w:tcPr>
            <w:tcW w:w="897" w:type="dxa"/>
            <w:vAlign w:val="center"/>
          </w:tcPr>
          <w:p w14:paraId="623436A5">
            <w:pPr>
              <w:jc w:val="center"/>
              <w:rPr>
                <w:rFonts w:hint="eastAsia" w:ascii="宋体" w:hAnsi="宋体" w:eastAsia="宋体" w:cs="宋体"/>
                <w:color w:val="auto"/>
                <w:sz w:val="24"/>
                <w:szCs w:val="24"/>
              </w:rPr>
            </w:pPr>
          </w:p>
        </w:tc>
        <w:tc>
          <w:tcPr>
            <w:tcW w:w="756" w:type="dxa"/>
            <w:vAlign w:val="center"/>
          </w:tcPr>
          <w:p w14:paraId="08213887">
            <w:pPr>
              <w:jc w:val="center"/>
              <w:rPr>
                <w:rFonts w:hint="eastAsia" w:ascii="宋体" w:hAnsi="宋体" w:eastAsia="宋体" w:cs="宋体"/>
                <w:color w:val="auto"/>
                <w:sz w:val="24"/>
                <w:szCs w:val="24"/>
              </w:rPr>
            </w:pPr>
          </w:p>
        </w:tc>
      </w:tr>
      <w:tr w14:paraId="731B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0A9E851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w:t>
            </w:r>
          </w:p>
        </w:tc>
        <w:tc>
          <w:tcPr>
            <w:tcW w:w="1248" w:type="dxa"/>
            <w:vAlign w:val="center"/>
          </w:tcPr>
          <w:p w14:paraId="7E63A6D4">
            <w:pPr>
              <w:jc w:val="center"/>
              <w:rPr>
                <w:rFonts w:hint="eastAsia" w:ascii="宋体" w:hAnsi="宋体" w:eastAsia="宋体" w:cs="宋体"/>
                <w:color w:val="auto"/>
                <w:sz w:val="24"/>
                <w:szCs w:val="24"/>
                <w:lang w:eastAsia="zh-CN"/>
              </w:rPr>
            </w:pPr>
          </w:p>
        </w:tc>
        <w:tc>
          <w:tcPr>
            <w:tcW w:w="4063" w:type="dxa"/>
            <w:vAlign w:val="center"/>
          </w:tcPr>
          <w:p w14:paraId="5004020F">
            <w:pPr>
              <w:jc w:val="center"/>
              <w:rPr>
                <w:rFonts w:hint="eastAsia" w:ascii="宋体" w:hAnsi="宋体" w:eastAsia="宋体" w:cs="宋体"/>
                <w:color w:val="auto"/>
                <w:sz w:val="24"/>
                <w:szCs w:val="24"/>
                <w:lang w:eastAsia="zh-CN"/>
              </w:rPr>
            </w:pPr>
          </w:p>
        </w:tc>
        <w:tc>
          <w:tcPr>
            <w:tcW w:w="2180" w:type="dxa"/>
            <w:vAlign w:val="center"/>
          </w:tcPr>
          <w:p w14:paraId="44CFDAC8">
            <w:pPr>
              <w:jc w:val="center"/>
              <w:rPr>
                <w:rFonts w:hint="eastAsia" w:ascii="宋体" w:hAnsi="宋体" w:eastAsia="宋体" w:cs="宋体"/>
                <w:color w:val="auto"/>
                <w:sz w:val="24"/>
                <w:szCs w:val="24"/>
              </w:rPr>
            </w:pPr>
          </w:p>
        </w:tc>
        <w:tc>
          <w:tcPr>
            <w:tcW w:w="897" w:type="dxa"/>
            <w:vAlign w:val="center"/>
          </w:tcPr>
          <w:p w14:paraId="7509029F">
            <w:pPr>
              <w:jc w:val="center"/>
              <w:rPr>
                <w:rFonts w:hint="eastAsia" w:ascii="宋体" w:hAnsi="宋体" w:eastAsia="宋体" w:cs="宋体"/>
                <w:color w:val="auto"/>
                <w:sz w:val="24"/>
                <w:szCs w:val="24"/>
              </w:rPr>
            </w:pPr>
          </w:p>
        </w:tc>
        <w:tc>
          <w:tcPr>
            <w:tcW w:w="756" w:type="dxa"/>
            <w:vAlign w:val="center"/>
          </w:tcPr>
          <w:p w14:paraId="75B6710A">
            <w:pPr>
              <w:jc w:val="center"/>
              <w:rPr>
                <w:rFonts w:hint="eastAsia" w:ascii="宋体" w:hAnsi="宋体" w:eastAsia="宋体" w:cs="宋体"/>
                <w:color w:val="auto"/>
                <w:sz w:val="24"/>
                <w:szCs w:val="24"/>
              </w:rPr>
            </w:pPr>
          </w:p>
        </w:tc>
      </w:tr>
      <w:tr w14:paraId="1008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011994F6">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p>
        </w:tc>
        <w:tc>
          <w:tcPr>
            <w:tcW w:w="1248" w:type="dxa"/>
            <w:vAlign w:val="center"/>
          </w:tcPr>
          <w:p w14:paraId="4D7454FE">
            <w:pPr>
              <w:jc w:val="center"/>
              <w:rPr>
                <w:rFonts w:hint="eastAsia" w:ascii="宋体" w:hAnsi="宋体" w:eastAsia="宋体" w:cs="宋体"/>
                <w:color w:val="auto"/>
                <w:sz w:val="24"/>
                <w:szCs w:val="24"/>
                <w:lang w:eastAsia="zh-CN"/>
              </w:rPr>
            </w:pPr>
          </w:p>
        </w:tc>
        <w:tc>
          <w:tcPr>
            <w:tcW w:w="4063" w:type="dxa"/>
            <w:vAlign w:val="center"/>
          </w:tcPr>
          <w:p w14:paraId="02ED73E3">
            <w:pPr>
              <w:jc w:val="center"/>
              <w:rPr>
                <w:rFonts w:hint="eastAsia" w:ascii="宋体" w:hAnsi="宋体" w:eastAsia="宋体" w:cs="宋体"/>
                <w:color w:val="auto"/>
                <w:sz w:val="24"/>
                <w:szCs w:val="24"/>
                <w:lang w:eastAsia="zh-CN"/>
              </w:rPr>
            </w:pPr>
          </w:p>
        </w:tc>
        <w:tc>
          <w:tcPr>
            <w:tcW w:w="2180" w:type="dxa"/>
            <w:vAlign w:val="center"/>
          </w:tcPr>
          <w:p w14:paraId="6A8381B6">
            <w:pPr>
              <w:jc w:val="center"/>
              <w:rPr>
                <w:rFonts w:hint="eastAsia" w:ascii="宋体" w:hAnsi="宋体" w:eastAsia="宋体" w:cs="宋体"/>
                <w:color w:val="auto"/>
                <w:sz w:val="24"/>
                <w:szCs w:val="24"/>
              </w:rPr>
            </w:pPr>
          </w:p>
        </w:tc>
        <w:tc>
          <w:tcPr>
            <w:tcW w:w="897" w:type="dxa"/>
            <w:vAlign w:val="center"/>
          </w:tcPr>
          <w:p w14:paraId="52141070">
            <w:pPr>
              <w:jc w:val="center"/>
              <w:rPr>
                <w:rFonts w:hint="eastAsia" w:ascii="宋体" w:hAnsi="宋体" w:eastAsia="宋体" w:cs="宋体"/>
                <w:color w:val="auto"/>
                <w:sz w:val="24"/>
                <w:szCs w:val="24"/>
              </w:rPr>
            </w:pPr>
          </w:p>
        </w:tc>
        <w:tc>
          <w:tcPr>
            <w:tcW w:w="756" w:type="dxa"/>
            <w:vAlign w:val="center"/>
          </w:tcPr>
          <w:p w14:paraId="66C78A0D">
            <w:pPr>
              <w:jc w:val="center"/>
              <w:rPr>
                <w:rFonts w:hint="eastAsia" w:ascii="宋体" w:hAnsi="宋体" w:eastAsia="宋体" w:cs="宋体"/>
                <w:color w:val="auto"/>
                <w:sz w:val="24"/>
                <w:szCs w:val="24"/>
              </w:rPr>
            </w:pPr>
          </w:p>
        </w:tc>
      </w:tr>
      <w:tr w14:paraId="6948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2012058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w:t>
            </w:r>
          </w:p>
        </w:tc>
        <w:tc>
          <w:tcPr>
            <w:tcW w:w="1248" w:type="dxa"/>
            <w:vAlign w:val="center"/>
          </w:tcPr>
          <w:p w14:paraId="6E6B4FE7">
            <w:pPr>
              <w:jc w:val="center"/>
              <w:rPr>
                <w:rFonts w:hint="eastAsia" w:ascii="宋体" w:hAnsi="宋体" w:eastAsia="宋体" w:cs="宋体"/>
                <w:color w:val="auto"/>
                <w:sz w:val="24"/>
                <w:szCs w:val="24"/>
                <w:lang w:eastAsia="zh-CN"/>
              </w:rPr>
            </w:pPr>
          </w:p>
        </w:tc>
        <w:tc>
          <w:tcPr>
            <w:tcW w:w="4063" w:type="dxa"/>
            <w:vAlign w:val="center"/>
          </w:tcPr>
          <w:p w14:paraId="25E549C7">
            <w:pPr>
              <w:jc w:val="center"/>
              <w:rPr>
                <w:rFonts w:hint="eastAsia" w:ascii="宋体" w:hAnsi="宋体" w:eastAsia="宋体" w:cs="宋体"/>
                <w:color w:val="auto"/>
                <w:sz w:val="24"/>
                <w:szCs w:val="24"/>
                <w:lang w:eastAsia="zh-CN"/>
              </w:rPr>
            </w:pPr>
          </w:p>
        </w:tc>
        <w:tc>
          <w:tcPr>
            <w:tcW w:w="2180" w:type="dxa"/>
            <w:vAlign w:val="center"/>
          </w:tcPr>
          <w:p w14:paraId="684C30AE">
            <w:pPr>
              <w:jc w:val="center"/>
              <w:rPr>
                <w:rFonts w:hint="eastAsia" w:ascii="宋体" w:hAnsi="宋体" w:eastAsia="宋体" w:cs="宋体"/>
                <w:color w:val="auto"/>
                <w:sz w:val="24"/>
                <w:szCs w:val="24"/>
              </w:rPr>
            </w:pPr>
          </w:p>
        </w:tc>
        <w:tc>
          <w:tcPr>
            <w:tcW w:w="897" w:type="dxa"/>
            <w:vAlign w:val="center"/>
          </w:tcPr>
          <w:p w14:paraId="4DF477CD">
            <w:pPr>
              <w:jc w:val="center"/>
              <w:rPr>
                <w:rFonts w:hint="eastAsia" w:ascii="宋体" w:hAnsi="宋体" w:eastAsia="宋体" w:cs="宋体"/>
                <w:color w:val="auto"/>
                <w:sz w:val="24"/>
                <w:szCs w:val="24"/>
              </w:rPr>
            </w:pPr>
          </w:p>
        </w:tc>
        <w:tc>
          <w:tcPr>
            <w:tcW w:w="756" w:type="dxa"/>
            <w:vAlign w:val="center"/>
          </w:tcPr>
          <w:p w14:paraId="36A4BF3A">
            <w:pPr>
              <w:jc w:val="center"/>
              <w:rPr>
                <w:rFonts w:hint="eastAsia" w:ascii="宋体" w:hAnsi="宋体" w:eastAsia="宋体" w:cs="宋体"/>
                <w:color w:val="auto"/>
                <w:sz w:val="24"/>
                <w:szCs w:val="24"/>
              </w:rPr>
            </w:pPr>
          </w:p>
        </w:tc>
      </w:tr>
      <w:tr w14:paraId="620F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2BC80D3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c>
          <w:tcPr>
            <w:tcW w:w="1248" w:type="dxa"/>
            <w:vAlign w:val="center"/>
          </w:tcPr>
          <w:p w14:paraId="34B0D80B">
            <w:pPr>
              <w:jc w:val="center"/>
              <w:rPr>
                <w:rFonts w:hint="eastAsia" w:ascii="宋体" w:hAnsi="宋体" w:eastAsia="宋体" w:cs="宋体"/>
                <w:color w:val="auto"/>
                <w:sz w:val="24"/>
                <w:szCs w:val="24"/>
                <w:lang w:eastAsia="zh-CN"/>
              </w:rPr>
            </w:pPr>
          </w:p>
        </w:tc>
        <w:tc>
          <w:tcPr>
            <w:tcW w:w="4063" w:type="dxa"/>
            <w:vAlign w:val="center"/>
          </w:tcPr>
          <w:p w14:paraId="7F5CF3A3">
            <w:pPr>
              <w:jc w:val="center"/>
              <w:rPr>
                <w:rFonts w:hint="eastAsia" w:ascii="宋体" w:hAnsi="宋体" w:eastAsia="宋体" w:cs="宋体"/>
                <w:color w:val="auto"/>
                <w:sz w:val="24"/>
                <w:szCs w:val="24"/>
                <w:lang w:eastAsia="zh-CN"/>
              </w:rPr>
            </w:pPr>
          </w:p>
        </w:tc>
        <w:tc>
          <w:tcPr>
            <w:tcW w:w="2180" w:type="dxa"/>
            <w:vAlign w:val="center"/>
          </w:tcPr>
          <w:p w14:paraId="2BFBA5A8">
            <w:pPr>
              <w:jc w:val="center"/>
              <w:rPr>
                <w:rFonts w:hint="eastAsia" w:ascii="宋体" w:hAnsi="宋体" w:eastAsia="宋体" w:cs="宋体"/>
                <w:color w:val="auto"/>
                <w:sz w:val="24"/>
                <w:szCs w:val="24"/>
              </w:rPr>
            </w:pPr>
          </w:p>
        </w:tc>
        <w:tc>
          <w:tcPr>
            <w:tcW w:w="897" w:type="dxa"/>
            <w:vAlign w:val="center"/>
          </w:tcPr>
          <w:p w14:paraId="700EF82B">
            <w:pPr>
              <w:jc w:val="center"/>
              <w:rPr>
                <w:rFonts w:hint="eastAsia" w:ascii="宋体" w:hAnsi="宋体" w:eastAsia="宋体" w:cs="宋体"/>
                <w:color w:val="auto"/>
                <w:sz w:val="24"/>
                <w:szCs w:val="24"/>
              </w:rPr>
            </w:pPr>
          </w:p>
        </w:tc>
        <w:tc>
          <w:tcPr>
            <w:tcW w:w="756" w:type="dxa"/>
            <w:vAlign w:val="center"/>
          </w:tcPr>
          <w:p w14:paraId="0953772C">
            <w:pPr>
              <w:jc w:val="center"/>
              <w:rPr>
                <w:rFonts w:hint="eastAsia" w:ascii="宋体" w:hAnsi="宋体" w:eastAsia="宋体" w:cs="宋体"/>
                <w:color w:val="auto"/>
                <w:sz w:val="24"/>
                <w:szCs w:val="24"/>
              </w:rPr>
            </w:pPr>
          </w:p>
        </w:tc>
      </w:tr>
    </w:tbl>
    <w:p w14:paraId="06224B8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注：1.对招标文件中的所有商务、技术要求，除本表所列明的所有偏离外，均视作供应商已对之理解和响应。</w:t>
      </w:r>
    </w:p>
    <w:p w14:paraId="6CB7960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2.投标人应对招标文件“第五章 采购需求”中的所有条款进行点对点应答，此表中若无任何文字说明，内容为空白的，</w:t>
      </w:r>
      <w:r>
        <w:rPr>
          <w:rFonts w:hint="eastAsia" w:ascii="宋体" w:hAnsi="宋体" w:eastAsia="宋体" w:cs="宋体"/>
          <w:b/>
          <w:bCs/>
          <w:color w:val="auto"/>
          <w:sz w:val="24"/>
          <w:szCs w:val="24"/>
          <w:lang w:eastAsia="zh-CN"/>
        </w:rPr>
        <w:t>投标无效</w:t>
      </w:r>
      <w:r>
        <w:rPr>
          <w:rFonts w:hint="eastAsia" w:ascii="宋体" w:hAnsi="宋体" w:eastAsia="宋体" w:cs="宋体"/>
          <w:color w:val="auto"/>
          <w:sz w:val="24"/>
          <w:szCs w:val="24"/>
          <w:lang w:eastAsia="zh-CN"/>
        </w:rPr>
        <w:t>。</w:t>
      </w:r>
    </w:p>
    <w:p w14:paraId="5A02DE7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3.“偏离情况”列应据实填写“无偏离”、“正偏离”或“负偏离”。</w:t>
      </w:r>
    </w:p>
    <w:p w14:paraId="3B1E1C61">
      <w:pPr>
        <w:spacing w:line="360" w:lineRule="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eastAsia="宋体" w:cs="宋体"/>
          <w:b/>
          <w:bCs/>
          <w:color w:val="auto"/>
          <w:sz w:val="24"/>
          <w:szCs w:val="24"/>
          <w:lang w:eastAsia="zh-CN"/>
        </w:rPr>
        <w:t>招标文件“第五章采购需求中”需提供佐证材料的项，应在此表备注栏明确标注对应页码，否则将视为未提供佐证材料。</w:t>
      </w:r>
    </w:p>
    <w:p w14:paraId="0D338D35">
      <w:pPr>
        <w:spacing w:line="360" w:lineRule="auto"/>
        <w:rPr>
          <w:rFonts w:hint="eastAsia" w:ascii="宋体" w:hAnsi="宋体" w:eastAsia="宋体" w:cs="宋体"/>
          <w:color w:val="auto"/>
          <w:sz w:val="24"/>
          <w:szCs w:val="24"/>
          <w:lang w:eastAsia="zh-CN"/>
        </w:rPr>
      </w:pPr>
    </w:p>
    <w:p w14:paraId="0DBCE72D">
      <w:pPr>
        <w:spacing w:line="360" w:lineRule="auto"/>
        <w:rPr>
          <w:rFonts w:hint="eastAsia" w:ascii="宋体" w:hAnsi="宋体" w:eastAsia="宋体" w:cs="宋体"/>
          <w:color w:val="auto"/>
          <w:sz w:val="24"/>
          <w:szCs w:val="24"/>
          <w:lang w:eastAsia="zh-CN"/>
        </w:rPr>
      </w:pPr>
    </w:p>
    <w:p w14:paraId="22FD5050">
      <w:pPr>
        <w:spacing w:line="360" w:lineRule="auto"/>
        <w:rPr>
          <w:rFonts w:hint="eastAsia" w:ascii="宋体" w:hAnsi="宋体" w:eastAsia="宋体" w:cs="宋体"/>
          <w:color w:val="auto"/>
          <w:sz w:val="24"/>
          <w:szCs w:val="24"/>
          <w:lang w:eastAsia="zh-CN"/>
        </w:rPr>
      </w:pPr>
    </w:p>
    <w:p w14:paraId="6AFED1EB">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投标人名称（盖章）：</w:t>
      </w:r>
    </w:p>
    <w:p w14:paraId="4CC821CD">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法定代表人（单位负责人）或授权代表（签字）：</w:t>
      </w:r>
    </w:p>
    <w:p w14:paraId="34C5920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    年   月  日</w:t>
      </w:r>
    </w:p>
    <w:p w14:paraId="1A7F3D1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1E5706C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bookmarkStart w:id="64" w:name="_Toc6032"/>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格式十一：</w:t>
      </w:r>
    </w:p>
    <w:p w14:paraId="0BAACF77">
      <w:pPr>
        <w:spacing w:before="48" w:line="220" w:lineRule="auto"/>
        <w:ind w:firstLine="4012" w:firstLineChars="1700"/>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类似业绩一览表</w:t>
      </w:r>
    </w:p>
    <w:p w14:paraId="32E5C84C">
      <w:pPr>
        <w:spacing w:before="48" w:line="220" w:lineRule="auto"/>
        <w:rPr>
          <w:rFonts w:hint="eastAsia" w:ascii="宋体" w:hAnsi="宋体" w:eastAsia="宋体" w:cs="宋体"/>
          <w:color w:val="auto"/>
          <w:sz w:val="24"/>
          <w:szCs w:val="24"/>
        </w:rPr>
      </w:pPr>
    </w:p>
    <w:tbl>
      <w:tblPr>
        <w:tblStyle w:val="24"/>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70CA5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textDirection w:val="tbRlV"/>
            <w:vAlign w:val="center"/>
          </w:tcPr>
          <w:p w14:paraId="3441CAB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vAlign w:val="center"/>
          </w:tcPr>
          <w:p w14:paraId="5B0A0C9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vAlign w:val="center"/>
          </w:tcPr>
          <w:p w14:paraId="2B92F03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663" w:type="dxa"/>
            <w:vAlign w:val="center"/>
          </w:tcPr>
          <w:p w14:paraId="3F15B67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项目金额</w:t>
            </w:r>
          </w:p>
        </w:tc>
        <w:tc>
          <w:tcPr>
            <w:tcW w:w="1562" w:type="dxa"/>
            <w:vAlign w:val="center"/>
          </w:tcPr>
          <w:p w14:paraId="3F058FD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vAlign w:val="center"/>
          </w:tcPr>
          <w:p w14:paraId="536C86D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vAlign w:val="center"/>
          </w:tcPr>
          <w:p w14:paraId="057EE9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6496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1D83A3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vAlign w:val="center"/>
          </w:tcPr>
          <w:p w14:paraId="5E348041">
            <w:pPr>
              <w:jc w:val="center"/>
              <w:rPr>
                <w:rFonts w:hint="eastAsia" w:ascii="宋体" w:hAnsi="宋体" w:eastAsia="宋体" w:cs="宋体"/>
                <w:color w:val="auto"/>
                <w:sz w:val="24"/>
                <w:szCs w:val="24"/>
              </w:rPr>
            </w:pPr>
          </w:p>
        </w:tc>
        <w:tc>
          <w:tcPr>
            <w:tcW w:w="1412" w:type="dxa"/>
            <w:vAlign w:val="center"/>
          </w:tcPr>
          <w:p w14:paraId="1F29308E">
            <w:pPr>
              <w:jc w:val="center"/>
              <w:rPr>
                <w:rFonts w:hint="eastAsia" w:ascii="宋体" w:hAnsi="宋体" w:eastAsia="宋体" w:cs="宋体"/>
                <w:color w:val="auto"/>
                <w:sz w:val="24"/>
                <w:szCs w:val="24"/>
              </w:rPr>
            </w:pPr>
          </w:p>
        </w:tc>
        <w:tc>
          <w:tcPr>
            <w:tcW w:w="1663" w:type="dxa"/>
            <w:vAlign w:val="center"/>
          </w:tcPr>
          <w:p w14:paraId="0A38837E">
            <w:pPr>
              <w:jc w:val="center"/>
              <w:rPr>
                <w:rFonts w:hint="eastAsia" w:ascii="宋体" w:hAnsi="宋体" w:eastAsia="宋体" w:cs="宋体"/>
                <w:color w:val="auto"/>
                <w:sz w:val="24"/>
                <w:szCs w:val="24"/>
              </w:rPr>
            </w:pPr>
          </w:p>
        </w:tc>
        <w:tc>
          <w:tcPr>
            <w:tcW w:w="1562" w:type="dxa"/>
            <w:vAlign w:val="center"/>
          </w:tcPr>
          <w:p w14:paraId="35192C53">
            <w:pPr>
              <w:jc w:val="center"/>
              <w:rPr>
                <w:rFonts w:hint="eastAsia" w:ascii="宋体" w:hAnsi="宋体" w:eastAsia="宋体" w:cs="宋体"/>
                <w:color w:val="auto"/>
                <w:sz w:val="24"/>
                <w:szCs w:val="24"/>
              </w:rPr>
            </w:pPr>
          </w:p>
        </w:tc>
        <w:tc>
          <w:tcPr>
            <w:tcW w:w="1590" w:type="dxa"/>
            <w:vAlign w:val="center"/>
          </w:tcPr>
          <w:p w14:paraId="21C644CB">
            <w:pPr>
              <w:jc w:val="center"/>
              <w:rPr>
                <w:rFonts w:hint="eastAsia" w:ascii="宋体" w:hAnsi="宋体" w:eastAsia="宋体" w:cs="宋体"/>
                <w:color w:val="auto"/>
                <w:sz w:val="24"/>
                <w:szCs w:val="24"/>
              </w:rPr>
            </w:pPr>
          </w:p>
        </w:tc>
        <w:tc>
          <w:tcPr>
            <w:tcW w:w="669" w:type="dxa"/>
            <w:vAlign w:val="center"/>
          </w:tcPr>
          <w:p w14:paraId="4E49F504">
            <w:pPr>
              <w:jc w:val="center"/>
              <w:rPr>
                <w:rFonts w:hint="eastAsia" w:ascii="宋体" w:hAnsi="宋体" w:eastAsia="宋体" w:cs="宋体"/>
                <w:color w:val="auto"/>
                <w:sz w:val="24"/>
                <w:szCs w:val="24"/>
              </w:rPr>
            </w:pPr>
          </w:p>
        </w:tc>
      </w:tr>
      <w:tr w14:paraId="19008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950065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vAlign w:val="center"/>
          </w:tcPr>
          <w:p w14:paraId="1E0F2F2A">
            <w:pPr>
              <w:jc w:val="center"/>
              <w:rPr>
                <w:rFonts w:hint="eastAsia" w:ascii="宋体" w:hAnsi="宋体" w:eastAsia="宋体" w:cs="宋体"/>
                <w:color w:val="auto"/>
                <w:sz w:val="24"/>
                <w:szCs w:val="24"/>
              </w:rPr>
            </w:pPr>
          </w:p>
        </w:tc>
        <w:tc>
          <w:tcPr>
            <w:tcW w:w="1412" w:type="dxa"/>
            <w:vAlign w:val="center"/>
          </w:tcPr>
          <w:p w14:paraId="47911AA6">
            <w:pPr>
              <w:jc w:val="center"/>
              <w:rPr>
                <w:rFonts w:hint="eastAsia" w:ascii="宋体" w:hAnsi="宋体" w:eastAsia="宋体" w:cs="宋体"/>
                <w:color w:val="auto"/>
                <w:sz w:val="24"/>
                <w:szCs w:val="24"/>
              </w:rPr>
            </w:pPr>
          </w:p>
        </w:tc>
        <w:tc>
          <w:tcPr>
            <w:tcW w:w="1663" w:type="dxa"/>
            <w:vAlign w:val="center"/>
          </w:tcPr>
          <w:p w14:paraId="24B83B95">
            <w:pPr>
              <w:jc w:val="center"/>
              <w:rPr>
                <w:rFonts w:hint="eastAsia" w:ascii="宋体" w:hAnsi="宋体" w:eastAsia="宋体" w:cs="宋体"/>
                <w:color w:val="auto"/>
                <w:sz w:val="24"/>
                <w:szCs w:val="24"/>
              </w:rPr>
            </w:pPr>
          </w:p>
        </w:tc>
        <w:tc>
          <w:tcPr>
            <w:tcW w:w="1562" w:type="dxa"/>
            <w:vAlign w:val="center"/>
          </w:tcPr>
          <w:p w14:paraId="4AD27E79">
            <w:pPr>
              <w:jc w:val="center"/>
              <w:rPr>
                <w:rFonts w:hint="eastAsia" w:ascii="宋体" w:hAnsi="宋体" w:eastAsia="宋体" w:cs="宋体"/>
                <w:color w:val="auto"/>
                <w:sz w:val="24"/>
                <w:szCs w:val="24"/>
              </w:rPr>
            </w:pPr>
          </w:p>
        </w:tc>
        <w:tc>
          <w:tcPr>
            <w:tcW w:w="1590" w:type="dxa"/>
            <w:vAlign w:val="center"/>
          </w:tcPr>
          <w:p w14:paraId="084ABC68">
            <w:pPr>
              <w:jc w:val="center"/>
              <w:rPr>
                <w:rFonts w:hint="eastAsia" w:ascii="宋体" w:hAnsi="宋体" w:eastAsia="宋体" w:cs="宋体"/>
                <w:color w:val="auto"/>
                <w:sz w:val="24"/>
                <w:szCs w:val="24"/>
              </w:rPr>
            </w:pPr>
          </w:p>
        </w:tc>
        <w:tc>
          <w:tcPr>
            <w:tcW w:w="669" w:type="dxa"/>
            <w:vAlign w:val="center"/>
          </w:tcPr>
          <w:p w14:paraId="362A8A18">
            <w:pPr>
              <w:jc w:val="center"/>
              <w:rPr>
                <w:rFonts w:hint="eastAsia" w:ascii="宋体" w:hAnsi="宋体" w:eastAsia="宋体" w:cs="宋体"/>
                <w:color w:val="auto"/>
                <w:sz w:val="24"/>
                <w:szCs w:val="24"/>
              </w:rPr>
            </w:pPr>
          </w:p>
        </w:tc>
      </w:tr>
      <w:tr w14:paraId="17F06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4B7D5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vAlign w:val="center"/>
          </w:tcPr>
          <w:p w14:paraId="5B9907AD">
            <w:pPr>
              <w:jc w:val="center"/>
              <w:rPr>
                <w:rFonts w:hint="eastAsia" w:ascii="宋体" w:hAnsi="宋体" w:eastAsia="宋体" w:cs="宋体"/>
                <w:color w:val="auto"/>
                <w:sz w:val="24"/>
                <w:szCs w:val="24"/>
              </w:rPr>
            </w:pPr>
          </w:p>
        </w:tc>
        <w:tc>
          <w:tcPr>
            <w:tcW w:w="1412" w:type="dxa"/>
            <w:vAlign w:val="center"/>
          </w:tcPr>
          <w:p w14:paraId="18C85D9A">
            <w:pPr>
              <w:jc w:val="center"/>
              <w:rPr>
                <w:rFonts w:hint="eastAsia" w:ascii="宋体" w:hAnsi="宋体" w:eastAsia="宋体" w:cs="宋体"/>
                <w:color w:val="auto"/>
                <w:sz w:val="24"/>
                <w:szCs w:val="24"/>
              </w:rPr>
            </w:pPr>
          </w:p>
        </w:tc>
        <w:tc>
          <w:tcPr>
            <w:tcW w:w="1663" w:type="dxa"/>
            <w:vAlign w:val="center"/>
          </w:tcPr>
          <w:p w14:paraId="59BBAA0C">
            <w:pPr>
              <w:jc w:val="center"/>
              <w:rPr>
                <w:rFonts w:hint="eastAsia" w:ascii="宋体" w:hAnsi="宋体" w:eastAsia="宋体" w:cs="宋体"/>
                <w:color w:val="auto"/>
                <w:sz w:val="24"/>
                <w:szCs w:val="24"/>
              </w:rPr>
            </w:pPr>
          </w:p>
        </w:tc>
        <w:tc>
          <w:tcPr>
            <w:tcW w:w="1562" w:type="dxa"/>
            <w:vAlign w:val="center"/>
          </w:tcPr>
          <w:p w14:paraId="0F7764AE">
            <w:pPr>
              <w:jc w:val="center"/>
              <w:rPr>
                <w:rFonts w:hint="eastAsia" w:ascii="宋体" w:hAnsi="宋体" w:eastAsia="宋体" w:cs="宋体"/>
                <w:color w:val="auto"/>
                <w:sz w:val="24"/>
                <w:szCs w:val="24"/>
              </w:rPr>
            </w:pPr>
          </w:p>
        </w:tc>
        <w:tc>
          <w:tcPr>
            <w:tcW w:w="1590" w:type="dxa"/>
            <w:vAlign w:val="center"/>
          </w:tcPr>
          <w:p w14:paraId="725E2446">
            <w:pPr>
              <w:jc w:val="center"/>
              <w:rPr>
                <w:rFonts w:hint="eastAsia" w:ascii="宋体" w:hAnsi="宋体" w:eastAsia="宋体" w:cs="宋体"/>
                <w:color w:val="auto"/>
                <w:sz w:val="24"/>
                <w:szCs w:val="24"/>
              </w:rPr>
            </w:pPr>
          </w:p>
        </w:tc>
        <w:tc>
          <w:tcPr>
            <w:tcW w:w="669" w:type="dxa"/>
            <w:vAlign w:val="center"/>
          </w:tcPr>
          <w:p w14:paraId="20A2930F">
            <w:pPr>
              <w:jc w:val="center"/>
              <w:rPr>
                <w:rFonts w:hint="eastAsia" w:ascii="宋体" w:hAnsi="宋体" w:eastAsia="宋体" w:cs="宋体"/>
                <w:color w:val="auto"/>
                <w:sz w:val="24"/>
                <w:szCs w:val="24"/>
              </w:rPr>
            </w:pPr>
          </w:p>
        </w:tc>
      </w:tr>
      <w:tr w14:paraId="57505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7C1B1A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vAlign w:val="center"/>
          </w:tcPr>
          <w:p w14:paraId="36DD6B66">
            <w:pPr>
              <w:jc w:val="center"/>
              <w:rPr>
                <w:rFonts w:hint="eastAsia" w:ascii="宋体" w:hAnsi="宋体" w:eastAsia="宋体" w:cs="宋体"/>
                <w:color w:val="auto"/>
                <w:sz w:val="24"/>
                <w:szCs w:val="24"/>
              </w:rPr>
            </w:pPr>
          </w:p>
        </w:tc>
        <w:tc>
          <w:tcPr>
            <w:tcW w:w="1412" w:type="dxa"/>
            <w:vAlign w:val="center"/>
          </w:tcPr>
          <w:p w14:paraId="676DFE72">
            <w:pPr>
              <w:jc w:val="center"/>
              <w:rPr>
                <w:rFonts w:hint="eastAsia" w:ascii="宋体" w:hAnsi="宋体" w:eastAsia="宋体" w:cs="宋体"/>
                <w:color w:val="auto"/>
                <w:sz w:val="24"/>
                <w:szCs w:val="24"/>
              </w:rPr>
            </w:pPr>
          </w:p>
        </w:tc>
        <w:tc>
          <w:tcPr>
            <w:tcW w:w="1663" w:type="dxa"/>
            <w:vAlign w:val="center"/>
          </w:tcPr>
          <w:p w14:paraId="01C745D1">
            <w:pPr>
              <w:jc w:val="center"/>
              <w:rPr>
                <w:rFonts w:hint="eastAsia" w:ascii="宋体" w:hAnsi="宋体" w:eastAsia="宋体" w:cs="宋体"/>
                <w:color w:val="auto"/>
                <w:sz w:val="24"/>
                <w:szCs w:val="24"/>
              </w:rPr>
            </w:pPr>
          </w:p>
        </w:tc>
        <w:tc>
          <w:tcPr>
            <w:tcW w:w="1562" w:type="dxa"/>
            <w:vAlign w:val="center"/>
          </w:tcPr>
          <w:p w14:paraId="54CE13B4">
            <w:pPr>
              <w:jc w:val="center"/>
              <w:rPr>
                <w:rFonts w:hint="eastAsia" w:ascii="宋体" w:hAnsi="宋体" w:eastAsia="宋体" w:cs="宋体"/>
                <w:color w:val="auto"/>
                <w:sz w:val="24"/>
                <w:szCs w:val="24"/>
              </w:rPr>
            </w:pPr>
          </w:p>
        </w:tc>
        <w:tc>
          <w:tcPr>
            <w:tcW w:w="1590" w:type="dxa"/>
            <w:vAlign w:val="center"/>
          </w:tcPr>
          <w:p w14:paraId="00D6C3C1">
            <w:pPr>
              <w:jc w:val="center"/>
              <w:rPr>
                <w:rFonts w:hint="eastAsia" w:ascii="宋体" w:hAnsi="宋体" w:eastAsia="宋体" w:cs="宋体"/>
                <w:color w:val="auto"/>
                <w:sz w:val="24"/>
                <w:szCs w:val="24"/>
              </w:rPr>
            </w:pPr>
          </w:p>
        </w:tc>
        <w:tc>
          <w:tcPr>
            <w:tcW w:w="669" w:type="dxa"/>
            <w:vAlign w:val="center"/>
          </w:tcPr>
          <w:p w14:paraId="4A2061AF">
            <w:pPr>
              <w:jc w:val="center"/>
              <w:rPr>
                <w:rFonts w:hint="eastAsia" w:ascii="宋体" w:hAnsi="宋体" w:eastAsia="宋体" w:cs="宋体"/>
                <w:color w:val="auto"/>
                <w:sz w:val="24"/>
                <w:szCs w:val="24"/>
              </w:rPr>
            </w:pPr>
          </w:p>
        </w:tc>
      </w:tr>
      <w:tr w14:paraId="16F16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3FCAC8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vAlign w:val="center"/>
          </w:tcPr>
          <w:p w14:paraId="6176E830">
            <w:pPr>
              <w:jc w:val="center"/>
              <w:rPr>
                <w:rFonts w:hint="eastAsia" w:ascii="宋体" w:hAnsi="宋体" w:eastAsia="宋体" w:cs="宋体"/>
                <w:color w:val="auto"/>
                <w:sz w:val="24"/>
                <w:szCs w:val="24"/>
              </w:rPr>
            </w:pPr>
          </w:p>
        </w:tc>
        <w:tc>
          <w:tcPr>
            <w:tcW w:w="1412" w:type="dxa"/>
            <w:vAlign w:val="center"/>
          </w:tcPr>
          <w:p w14:paraId="29B6724C">
            <w:pPr>
              <w:jc w:val="center"/>
              <w:rPr>
                <w:rFonts w:hint="eastAsia" w:ascii="宋体" w:hAnsi="宋体" w:eastAsia="宋体" w:cs="宋体"/>
                <w:color w:val="auto"/>
                <w:sz w:val="24"/>
                <w:szCs w:val="24"/>
              </w:rPr>
            </w:pPr>
          </w:p>
        </w:tc>
        <w:tc>
          <w:tcPr>
            <w:tcW w:w="1663" w:type="dxa"/>
            <w:vAlign w:val="center"/>
          </w:tcPr>
          <w:p w14:paraId="574BA6EC">
            <w:pPr>
              <w:jc w:val="center"/>
              <w:rPr>
                <w:rFonts w:hint="eastAsia" w:ascii="宋体" w:hAnsi="宋体" w:eastAsia="宋体" w:cs="宋体"/>
                <w:color w:val="auto"/>
                <w:sz w:val="24"/>
                <w:szCs w:val="24"/>
              </w:rPr>
            </w:pPr>
          </w:p>
        </w:tc>
        <w:tc>
          <w:tcPr>
            <w:tcW w:w="1562" w:type="dxa"/>
            <w:vAlign w:val="center"/>
          </w:tcPr>
          <w:p w14:paraId="0C4F995C">
            <w:pPr>
              <w:jc w:val="center"/>
              <w:rPr>
                <w:rFonts w:hint="eastAsia" w:ascii="宋体" w:hAnsi="宋体" w:eastAsia="宋体" w:cs="宋体"/>
                <w:color w:val="auto"/>
                <w:sz w:val="24"/>
                <w:szCs w:val="24"/>
              </w:rPr>
            </w:pPr>
          </w:p>
        </w:tc>
        <w:tc>
          <w:tcPr>
            <w:tcW w:w="1590" w:type="dxa"/>
            <w:vAlign w:val="center"/>
          </w:tcPr>
          <w:p w14:paraId="64BB07EE">
            <w:pPr>
              <w:jc w:val="center"/>
              <w:rPr>
                <w:rFonts w:hint="eastAsia" w:ascii="宋体" w:hAnsi="宋体" w:eastAsia="宋体" w:cs="宋体"/>
                <w:color w:val="auto"/>
                <w:sz w:val="24"/>
                <w:szCs w:val="24"/>
              </w:rPr>
            </w:pPr>
          </w:p>
        </w:tc>
        <w:tc>
          <w:tcPr>
            <w:tcW w:w="669" w:type="dxa"/>
            <w:vAlign w:val="center"/>
          </w:tcPr>
          <w:p w14:paraId="762C276D">
            <w:pPr>
              <w:jc w:val="center"/>
              <w:rPr>
                <w:rFonts w:hint="eastAsia" w:ascii="宋体" w:hAnsi="宋体" w:eastAsia="宋体" w:cs="宋体"/>
                <w:color w:val="auto"/>
                <w:sz w:val="24"/>
                <w:szCs w:val="24"/>
              </w:rPr>
            </w:pPr>
          </w:p>
        </w:tc>
      </w:tr>
      <w:tr w14:paraId="762AD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5BC9A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vAlign w:val="center"/>
          </w:tcPr>
          <w:p w14:paraId="6F719164">
            <w:pPr>
              <w:jc w:val="center"/>
              <w:rPr>
                <w:rFonts w:hint="eastAsia" w:ascii="宋体" w:hAnsi="宋体" w:eastAsia="宋体" w:cs="宋体"/>
                <w:color w:val="auto"/>
                <w:sz w:val="24"/>
                <w:szCs w:val="24"/>
              </w:rPr>
            </w:pPr>
          </w:p>
        </w:tc>
        <w:tc>
          <w:tcPr>
            <w:tcW w:w="1412" w:type="dxa"/>
            <w:vAlign w:val="center"/>
          </w:tcPr>
          <w:p w14:paraId="72E3AC60">
            <w:pPr>
              <w:jc w:val="center"/>
              <w:rPr>
                <w:rFonts w:hint="eastAsia" w:ascii="宋体" w:hAnsi="宋体" w:eastAsia="宋体" w:cs="宋体"/>
                <w:color w:val="auto"/>
                <w:sz w:val="24"/>
                <w:szCs w:val="24"/>
              </w:rPr>
            </w:pPr>
          </w:p>
        </w:tc>
        <w:tc>
          <w:tcPr>
            <w:tcW w:w="1663" w:type="dxa"/>
            <w:vAlign w:val="center"/>
          </w:tcPr>
          <w:p w14:paraId="2358D33E">
            <w:pPr>
              <w:jc w:val="center"/>
              <w:rPr>
                <w:rFonts w:hint="eastAsia" w:ascii="宋体" w:hAnsi="宋体" w:eastAsia="宋体" w:cs="宋体"/>
                <w:color w:val="auto"/>
                <w:sz w:val="24"/>
                <w:szCs w:val="24"/>
              </w:rPr>
            </w:pPr>
          </w:p>
        </w:tc>
        <w:tc>
          <w:tcPr>
            <w:tcW w:w="1562" w:type="dxa"/>
            <w:vAlign w:val="center"/>
          </w:tcPr>
          <w:p w14:paraId="21ACA873">
            <w:pPr>
              <w:jc w:val="center"/>
              <w:rPr>
                <w:rFonts w:hint="eastAsia" w:ascii="宋体" w:hAnsi="宋体" w:eastAsia="宋体" w:cs="宋体"/>
                <w:color w:val="auto"/>
                <w:sz w:val="24"/>
                <w:szCs w:val="24"/>
              </w:rPr>
            </w:pPr>
          </w:p>
        </w:tc>
        <w:tc>
          <w:tcPr>
            <w:tcW w:w="1590" w:type="dxa"/>
            <w:vAlign w:val="center"/>
          </w:tcPr>
          <w:p w14:paraId="77C6FCB8">
            <w:pPr>
              <w:jc w:val="center"/>
              <w:rPr>
                <w:rFonts w:hint="eastAsia" w:ascii="宋体" w:hAnsi="宋体" w:eastAsia="宋体" w:cs="宋体"/>
                <w:color w:val="auto"/>
                <w:sz w:val="24"/>
                <w:szCs w:val="24"/>
              </w:rPr>
            </w:pPr>
          </w:p>
        </w:tc>
        <w:tc>
          <w:tcPr>
            <w:tcW w:w="669" w:type="dxa"/>
            <w:vAlign w:val="center"/>
          </w:tcPr>
          <w:p w14:paraId="27DA20D9">
            <w:pPr>
              <w:jc w:val="center"/>
              <w:rPr>
                <w:rFonts w:hint="eastAsia" w:ascii="宋体" w:hAnsi="宋体" w:eastAsia="宋体" w:cs="宋体"/>
                <w:color w:val="auto"/>
                <w:sz w:val="24"/>
                <w:szCs w:val="24"/>
              </w:rPr>
            </w:pPr>
          </w:p>
        </w:tc>
      </w:tr>
      <w:tr w14:paraId="5BB42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659396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vAlign w:val="center"/>
          </w:tcPr>
          <w:p w14:paraId="6A0325BD">
            <w:pPr>
              <w:jc w:val="center"/>
              <w:rPr>
                <w:rFonts w:hint="eastAsia" w:ascii="宋体" w:hAnsi="宋体" w:eastAsia="宋体" w:cs="宋体"/>
                <w:color w:val="auto"/>
                <w:sz w:val="24"/>
                <w:szCs w:val="24"/>
              </w:rPr>
            </w:pPr>
          </w:p>
        </w:tc>
        <w:tc>
          <w:tcPr>
            <w:tcW w:w="1412" w:type="dxa"/>
            <w:vAlign w:val="center"/>
          </w:tcPr>
          <w:p w14:paraId="15CBBC4C">
            <w:pPr>
              <w:jc w:val="center"/>
              <w:rPr>
                <w:rFonts w:hint="eastAsia" w:ascii="宋体" w:hAnsi="宋体" w:eastAsia="宋体" w:cs="宋体"/>
                <w:color w:val="auto"/>
                <w:sz w:val="24"/>
                <w:szCs w:val="24"/>
              </w:rPr>
            </w:pPr>
          </w:p>
        </w:tc>
        <w:tc>
          <w:tcPr>
            <w:tcW w:w="1663" w:type="dxa"/>
            <w:vAlign w:val="center"/>
          </w:tcPr>
          <w:p w14:paraId="44037405">
            <w:pPr>
              <w:jc w:val="center"/>
              <w:rPr>
                <w:rFonts w:hint="eastAsia" w:ascii="宋体" w:hAnsi="宋体" w:eastAsia="宋体" w:cs="宋体"/>
                <w:color w:val="auto"/>
                <w:sz w:val="24"/>
                <w:szCs w:val="24"/>
              </w:rPr>
            </w:pPr>
          </w:p>
        </w:tc>
        <w:tc>
          <w:tcPr>
            <w:tcW w:w="1562" w:type="dxa"/>
            <w:vAlign w:val="center"/>
          </w:tcPr>
          <w:p w14:paraId="5386B76F">
            <w:pPr>
              <w:jc w:val="center"/>
              <w:rPr>
                <w:rFonts w:hint="eastAsia" w:ascii="宋体" w:hAnsi="宋体" w:eastAsia="宋体" w:cs="宋体"/>
                <w:color w:val="auto"/>
                <w:sz w:val="24"/>
                <w:szCs w:val="24"/>
              </w:rPr>
            </w:pPr>
          </w:p>
        </w:tc>
        <w:tc>
          <w:tcPr>
            <w:tcW w:w="1590" w:type="dxa"/>
            <w:vAlign w:val="center"/>
          </w:tcPr>
          <w:p w14:paraId="7238126F">
            <w:pPr>
              <w:jc w:val="center"/>
              <w:rPr>
                <w:rFonts w:hint="eastAsia" w:ascii="宋体" w:hAnsi="宋体" w:eastAsia="宋体" w:cs="宋体"/>
                <w:color w:val="auto"/>
                <w:sz w:val="24"/>
                <w:szCs w:val="24"/>
              </w:rPr>
            </w:pPr>
          </w:p>
        </w:tc>
        <w:tc>
          <w:tcPr>
            <w:tcW w:w="669" w:type="dxa"/>
            <w:vAlign w:val="center"/>
          </w:tcPr>
          <w:p w14:paraId="6C2828DA">
            <w:pPr>
              <w:jc w:val="center"/>
              <w:rPr>
                <w:rFonts w:hint="eastAsia" w:ascii="宋体" w:hAnsi="宋体" w:eastAsia="宋体" w:cs="宋体"/>
                <w:color w:val="auto"/>
                <w:sz w:val="24"/>
                <w:szCs w:val="24"/>
              </w:rPr>
            </w:pPr>
          </w:p>
        </w:tc>
      </w:tr>
      <w:tr w14:paraId="54F08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2A83A90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vAlign w:val="center"/>
          </w:tcPr>
          <w:p w14:paraId="17F8EBF5">
            <w:pPr>
              <w:jc w:val="center"/>
              <w:rPr>
                <w:rFonts w:hint="eastAsia" w:ascii="宋体" w:hAnsi="宋体" w:eastAsia="宋体" w:cs="宋体"/>
                <w:color w:val="auto"/>
                <w:sz w:val="24"/>
                <w:szCs w:val="24"/>
              </w:rPr>
            </w:pPr>
          </w:p>
        </w:tc>
        <w:tc>
          <w:tcPr>
            <w:tcW w:w="1412" w:type="dxa"/>
            <w:vAlign w:val="center"/>
          </w:tcPr>
          <w:p w14:paraId="4380CB21">
            <w:pPr>
              <w:jc w:val="center"/>
              <w:rPr>
                <w:rFonts w:hint="eastAsia" w:ascii="宋体" w:hAnsi="宋体" w:eastAsia="宋体" w:cs="宋体"/>
                <w:color w:val="auto"/>
                <w:sz w:val="24"/>
                <w:szCs w:val="24"/>
              </w:rPr>
            </w:pPr>
          </w:p>
        </w:tc>
        <w:tc>
          <w:tcPr>
            <w:tcW w:w="1663" w:type="dxa"/>
            <w:vAlign w:val="center"/>
          </w:tcPr>
          <w:p w14:paraId="3EFD8283">
            <w:pPr>
              <w:jc w:val="center"/>
              <w:rPr>
                <w:rFonts w:hint="eastAsia" w:ascii="宋体" w:hAnsi="宋体" w:eastAsia="宋体" w:cs="宋体"/>
                <w:color w:val="auto"/>
                <w:sz w:val="24"/>
                <w:szCs w:val="24"/>
              </w:rPr>
            </w:pPr>
          </w:p>
        </w:tc>
        <w:tc>
          <w:tcPr>
            <w:tcW w:w="1562" w:type="dxa"/>
            <w:vAlign w:val="center"/>
          </w:tcPr>
          <w:p w14:paraId="1E84A70C">
            <w:pPr>
              <w:jc w:val="center"/>
              <w:rPr>
                <w:rFonts w:hint="eastAsia" w:ascii="宋体" w:hAnsi="宋体" w:eastAsia="宋体" w:cs="宋体"/>
                <w:color w:val="auto"/>
                <w:sz w:val="24"/>
                <w:szCs w:val="24"/>
              </w:rPr>
            </w:pPr>
          </w:p>
        </w:tc>
        <w:tc>
          <w:tcPr>
            <w:tcW w:w="1590" w:type="dxa"/>
            <w:vAlign w:val="center"/>
          </w:tcPr>
          <w:p w14:paraId="62092776">
            <w:pPr>
              <w:jc w:val="center"/>
              <w:rPr>
                <w:rFonts w:hint="eastAsia" w:ascii="宋体" w:hAnsi="宋体" w:eastAsia="宋体" w:cs="宋体"/>
                <w:color w:val="auto"/>
                <w:sz w:val="24"/>
                <w:szCs w:val="24"/>
              </w:rPr>
            </w:pPr>
          </w:p>
        </w:tc>
        <w:tc>
          <w:tcPr>
            <w:tcW w:w="669" w:type="dxa"/>
            <w:vAlign w:val="center"/>
          </w:tcPr>
          <w:p w14:paraId="143BCB3D">
            <w:pPr>
              <w:jc w:val="center"/>
              <w:rPr>
                <w:rFonts w:hint="eastAsia" w:ascii="宋体" w:hAnsi="宋体" w:eastAsia="宋体" w:cs="宋体"/>
                <w:color w:val="auto"/>
                <w:sz w:val="24"/>
                <w:szCs w:val="24"/>
              </w:rPr>
            </w:pPr>
          </w:p>
        </w:tc>
      </w:tr>
      <w:tr w14:paraId="4B185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2BCA28A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vAlign w:val="center"/>
          </w:tcPr>
          <w:p w14:paraId="058685CF">
            <w:pPr>
              <w:jc w:val="center"/>
              <w:rPr>
                <w:rFonts w:hint="eastAsia" w:ascii="宋体" w:hAnsi="宋体" w:eastAsia="宋体" w:cs="宋体"/>
                <w:color w:val="auto"/>
                <w:sz w:val="24"/>
                <w:szCs w:val="24"/>
              </w:rPr>
            </w:pPr>
          </w:p>
        </w:tc>
        <w:tc>
          <w:tcPr>
            <w:tcW w:w="1412" w:type="dxa"/>
            <w:vAlign w:val="center"/>
          </w:tcPr>
          <w:p w14:paraId="14C80256">
            <w:pPr>
              <w:jc w:val="center"/>
              <w:rPr>
                <w:rFonts w:hint="eastAsia" w:ascii="宋体" w:hAnsi="宋体" w:eastAsia="宋体" w:cs="宋体"/>
                <w:color w:val="auto"/>
                <w:sz w:val="24"/>
                <w:szCs w:val="24"/>
              </w:rPr>
            </w:pPr>
          </w:p>
        </w:tc>
        <w:tc>
          <w:tcPr>
            <w:tcW w:w="1663" w:type="dxa"/>
            <w:vAlign w:val="center"/>
          </w:tcPr>
          <w:p w14:paraId="580E5031">
            <w:pPr>
              <w:jc w:val="center"/>
              <w:rPr>
                <w:rFonts w:hint="eastAsia" w:ascii="宋体" w:hAnsi="宋体" w:eastAsia="宋体" w:cs="宋体"/>
                <w:color w:val="auto"/>
                <w:sz w:val="24"/>
                <w:szCs w:val="24"/>
              </w:rPr>
            </w:pPr>
          </w:p>
        </w:tc>
        <w:tc>
          <w:tcPr>
            <w:tcW w:w="1562" w:type="dxa"/>
            <w:vAlign w:val="center"/>
          </w:tcPr>
          <w:p w14:paraId="3827556C">
            <w:pPr>
              <w:jc w:val="center"/>
              <w:rPr>
                <w:rFonts w:hint="eastAsia" w:ascii="宋体" w:hAnsi="宋体" w:eastAsia="宋体" w:cs="宋体"/>
                <w:color w:val="auto"/>
                <w:sz w:val="24"/>
                <w:szCs w:val="24"/>
              </w:rPr>
            </w:pPr>
          </w:p>
        </w:tc>
        <w:tc>
          <w:tcPr>
            <w:tcW w:w="1590" w:type="dxa"/>
            <w:vAlign w:val="center"/>
          </w:tcPr>
          <w:p w14:paraId="5804E01B">
            <w:pPr>
              <w:jc w:val="center"/>
              <w:rPr>
                <w:rFonts w:hint="eastAsia" w:ascii="宋体" w:hAnsi="宋体" w:eastAsia="宋体" w:cs="宋体"/>
                <w:color w:val="auto"/>
                <w:sz w:val="24"/>
                <w:szCs w:val="24"/>
              </w:rPr>
            </w:pPr>
          </w:p>
        </w:tc>
        <w:tc>
          <w:tcPr>
            <w:tcW w:w="669" w:type="dxa"/>
            <w:vAlign w:val="center"/>
          </w:tcPr>
          <w:p w14:paraId="4E165DC6">
            <w:pPr>
              <w:jc w:val="center"/>
              <w:rPr>
                <w:rFonts w:hint="eastAsia" w:ascii="宋体" w:hAnsi="宋体" w:eastAsia="宋体" w:cs="宋体"/>
                <w:color w:val="auto"/>
                <w:sz w:val="24"/>
                <w:szCs w:val="24"/>
              </w:rPr>
            </w:pPr>
          </w:p>
        </w:tc>
      </w:tr>
      <w:tr w14:paraId="2B3E7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0027FB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vAlign w:val="center"/>
          </w:tcPr>
          <w:p w14:paraId="18D52923">
            <w:pPr>
              <w:jc w:val="center"/>
              <w:rPr>
                <w:rFonts w:hint="eastAsia" w:ascii="宋体" w:hAnsi="宋体" w:eastAsia="宋体" w:cs="宋体"/>
                <w:color w:val="auto"/>
                <w:sz w:val="24"/>
                <w:szCs w:val="24"/>
              </w:rPr>
            </w:pPr>
          </w:p>
        </w:tc>
        <w:tc>
          <w:tcPr>
            <w:tcW w:w="1412" w:type="dxa"/>
            <w:vAlign w:val="center"/>
          </w:tcPr>
          <w:p w14:paraId="4497DA0A">
            <w:pPr>
              <w:jc w:val="center"/>
              <w:rPr>
                <w:rFonts w:hint="eastAsia" w:ascii="宋体" w:hAnsi="宋体" w:eastAsia="宋体" w:cs="宋体"/>
                <w:color w:val="auto"/>
                <w:sz w:val="24"/>
                <w:szCs w:val="24"/>
              </w:rPr>
            </w:pPr>
          </w:p>
        </w:tc>
        <w:tc>
          <w:tcPr>
            <w:tcW w:w="1663" w:type="dxa"/>
            <w:vAlign w:val="center"/>
          </w:tcPr>
          <w:p w14:paraId="10948DEE">
            <w:pPr>
              <w:jc w:val="center"/>
              <w:rPr>
                <w:rFonts w:hint="eastAsia" w:ascii="宋体" w:hAnsi="宋体" w:eastAsia="宋体" w:cs="宋体"/>
                <w:color w:val="auto"/>
                <w:sz w:val="24"/>
                <w:szCs w:val="24"/>
              </w:rPr>
            </w:pPr>
          </w:p>
        </w:tc>
        <w:tc>
          <w:tcPr>
            <w:tcW w:w="1562" w:type="dxa"/>
            <w:vAlign w:val="center"/>
          </w:tcPr>
          <w:p w14:paraId="2E15966A">
            <w:pPr>
              <w:jc w:val="center"/>
              <w:rPr>
                <w:rFonts w:hint="eastAsia" w:ascii="宋体" w:hAnsi="宋体" w:eastAsia="宋体" w:cs="宋体"/>
                <w:color w:val="auto"/>
                <w:sz w:val="24"/>
                <w:szCs w:val="24"/>
              </w:rPr>
            </w:pPr>
          </w:p>
        </w:tc>
        <w:tc>
          <w:tcPr>
            <w:tcW w:w="1590" w:type="dxa"/>
            <w:vAlign w:val="center"/>
          </w:tcPr>
          <w:p w14:paraId="0D3827C5">
            <w:pPr>
              <w:jc w:val="center"/>
              <w:rPr>
                <w:rFonts w:hint="eastAsia" w:ascii="宋体" w:hAnsi="宋体" w:eastAsia="宋体" w:cs="宋体"/>
                <w:color w:val="auto"/>
                <w:sz w:val="24"/>
                <w:szCs w:val="24"/>
              </w:rPr>
            </w:pPr>
          </w:p>
        </w:tc>
        <w:tc>
          <w:tcPr>
            <w:tcW w:w="669" w:type="dxa"/>
            <w:vAlign w:val="center"/>
          </w:tcPr>
          <w:p w14:paraId="3E5A5A14">
            <w:pPr>
              <w:jc w:val="center"/>
              <w:rPr>
                <w:rFonts w:hint="eastAsia" w:ascii="宋体" w:hAnsi="宋体" w:eastAsia="宋体" w:cs="宋体"/>
                <w:color w:val="auto"/>
                <w:sz w:val="24"/>
                <w:szCs w:val="24"/>
              </w:rPr>
            </w:pPr>
          </w:p>
        </w:tc>
      </w:tr>
      <w:tr w14:paraId="219A8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vAlign w:val="center"/>
          </w:tcPr>
          <w:p w14:paraId="1749350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6E851C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vAlign w:val="center"/>
          </w:tcPr>
          <w:p w14:paraId="03B0849B">
            <w:pPr>
              <w:jc w:val="center"/>
              <w:rPr>
                <w:rFonts w:hint="eastAsia" w:ascii="宋体" w:hAnsi="宋体" w:eastAsia="宋体" w:cs="宋体"/>
                <w:color w:val="auto"/>
                <w:sz w:val="24"/>
                <w:szCs w:val="24"/>
              </w:rPr>
            </w:pPr>
          </w:p>
        </w:tc>
        <w:tc>
          <w:tcPr>
            <w:tcW w:w="1412" w:type="dxa"/>
            <w:vAlign w:val="center"/>
          </w:tcPr>
          <w:p w14:paraId="25DBE4C9">
            <w:pPr>
              <w:jc w:val="center"/>
              <w:rPr>
                <w:rFonts w:hint="eastAsia" w:ascii="宋体" w:hAnsi="宋体" w:eastAsia="宋体" w:cs="宋体"/>
                <w:color w:val="auto"/>
                <w:sz w:val="24"/>
                <w:szCs w:val="24"/>
              </w:rPr>
            </w:pPr>
          </w:p>
        </w:tc>
        <w:tc>
          <w:tcPr>
            <w:tcW w:w="1663" w:type="dxa"/>
            <w:vAlign w:val="center"/>
          </w:tcPr>
          <w:p w14:paraId="7FE4A884">
            <w:pPr>
              <w:jc w:val="center"/>
              <w:rPr>
                <w:rFonts w:hint="eastAsia" w:ascii="宋体" w:hAnsi="宋体" w:eastAsia="宋体" w:cs="宋体"/>
                <w:color w:val="auto"/>
                <w:sz w:val="24"/>
                <w:szCs w:val="24"/>
              </w:rPr>
            </w:pPr>
          </w:p>
        </w:tc>
        <w:tc>
          <w:tcPr>
            <w:tcW w:w="1562" w:type="dxa"/>
            <w:vAlign w:val="center"/>
          </w:tcPr>
          <w:p w14:paraId="0221C452">
            <w:pPr>
              <w:jc w:val="center"/>
              <w:rPr>
                <w:rFonts w:hint="eastAsia" w:ascii="宋体" w:hAnsi="宋体" w:eastAsia="宋体" w:cs="宋体"/>
                <w:color w:val="auto"/>
                <w:sz w:val="24"/>
                <w:szCs w:val="24"/>
              </w:rPr>
            </w:pPr>
          </w:p>
        </w:tc>
        <w:tc>
          <w:tcPr>
            <w:tcW w:w="1590" w:type="dxa"/>
            <w:vAlign w:val="center"/>
          </w:tcPr>
          <w:p w14:paraId="647534B6">
            <w:pPr>
              <w:jc w:val="center"/>
              <w:rPr>
                <w:rFonts w:hint="eastAsia" w:ascii="宋体" w:hAnsi="宋体" w:eastAsia="宋体" w:cs="宋体"/>
                <w:color w:val="auto"/>
                <w:sz w:val="24"/>
                <w:szCs w:val="24"/>
              </w:rPr>
            </w:pPr>
          </w:p>
        </w:tc>
        <w:tc>
          <w:tcPr>
            <w:tcW w:w="669" w:type="dxa"/>
            <w:vAlign w:val="center"/>
          </w:tcPr>
          <w:p w14:paraId="7F74096D">
            <w:pPr>
              <w:jc w:val="center"/>
              <w:rPr>
                <w:rFonts w:hint="eastAsia" w:ascii="宋体" w:hAnsi="宋体" w:eastAsia="宋体" w:cs="宋体"/>
                <w:color w:val="auto"/>
                <w:sz w:val="24"/>
                <w:szCs w:val="24"/>
              </w:rPr>
            </w:pPr>
          </w:p>
        </w:tc>
      </w:tr>
    </w:tbl>
    <w:p w14:paraId="412933B4">
      <w:pPr>
        <w:rPr>
          <w:rFonts w:hint="eastAsia" w:ascii="宋体" w:hAnsi="宋体" w:eastAsia="宋体" w:cs="宋体"/>
          <w:color w:val="auto"/>
          <w:spacing w:val="10"/>
          <w:sz w:val="24"/>
          <w:szCs w:val="24"/>
          <w:lang w:eastAsia="zh-CN"/>
        </w:rPr>
      </w:pPr>
      <w:r>
        <w:rPr>
          <w:rFonts w:hint="eastAsia" w:ascii="宋体" w:hAnsi="宋体" w:eastAsia="宋体" w:cs="宋体"/>
          <w:color w:val="auto"/>
          <w:spacing w:val="16"/>
          <w:sz w:val="24"/>
          <w:szCs w:val="24"/>
        </w:rPr>
        <w:t>后</w:t>
      </w:r>
      <w:r>
        <w:rPr>
          <w:rFonts w:hint="eastAsia" w:ascii="宋体" w:hAnsi="宋体" w:eastAsia="宋体" w:cs="宋体"/>
          <w:color w:val="auto"/>
          <w:spacing w:val="10"/>
          <w:sz w:val="24"/>
          <w:szCs w:val="24"/>
        </w:rPr>
        <w:t>附</w:t>
      </w:r>
      <w:r>
        <w:rPr>
          <w:rFonts w:hint="eastAsia" w:ascii="宋体" w:hAnsi="宋体" w:eastAsia="宋体" w:cs="宋体"/>
          <w:color w:val="auto"/>
          <w:spacing w:val="10"/>
          <w:sz w:val="24"/>
          <w:szCs w:val="24"/>
          <w:lang w:eastAsia="zh-CN"/>
        </w:rPr>
        <w:t>相关证明材料</w:t>
      </w:r>
    </w:p>
    <w:p w14:paraId="64B1525C">
      <w:pPr>
        <w:spacing w:before="48" w:line="220" w:lineRule="auto"/>
        <w:rPr>
          <w:rFonts w:hint="eastAsia" w:ascii="宋体" w:hAnsi="宋体" w:eastAsia="宋体" w:cs="宋体"/>
          <w:color w:val="auto"/>
          <w:spacing w:val="-2"/>
          <w:sz w:val="24"/>
          <w:szCs w:val="24"/>
          <w:highlight w:val="yellow"/>
          <w14:textOutline w14:w="4356" w14:cap="sq" w14:cmpd="sng" w14:algn="ctr">
            <w14:solidFill>
              <w14:srgbClr w14:val="000000"/>
            </w14:solidFill>
            <w14:prstDash w14:val="solid"/>
            <w14:bevel/>
          </w14:textOutline>
        </w:rPr>
      </w:pPr>
    </w:p>
    <w:p w14:paraId="01B188B0">
      <w:pPr>
        <w:spacing w:before="48" w:line="220" w:lineRule="auto"/>
        <w:rPr>
          <w:rFonts w:hint="eastAsia" w:ascii="宋体" w:hAnsi="宋体" w:eastAsia="宋体" w:cs="宋体"/>
          <w:color w:val="auto"/>
          <w:spacing w:val="-2"/>
          <w:sz w:val="24"/>
          <w:szCs w:val="24"/>
          <w:highlight w:val="yellow"/>
          <w14:textOutline w14:w="4356" w14:cap="sq" w14:cmpd="sng" w14:algn="ctr">
            <w14:solidFill>
              <w14:srgbClr w14:val="000000"/>
            </w14:solidFill>
            <w14:prstDash w14:val="solid"/>
            <w14:bevel/>
          </w14:textOutline>
        </w:rPr>
      </w:pPr>
    </w:p>
    <w:p w14:paraId="12D585AE">
      <w:pPr>
        <w:spacing w:before="48" w:line="220" w:lineRule="auto"/>
        <w:rPr>
          <w:rFonts w:hint="eastAsia" w:ascii="宋体" w:hAnsi="宋体" w:eastAsia="宋体" w:cs="宋体"/>
          <w:color w:val="auto"/>
          <w:spacing w:val="-2"/>
          <w:sz w:val="24"/>
          <w:szCs w:val="24"/>
          <w:highlight w:val="yellow"/>
          <w14:textOutline w14:w="4356" w14:cap="sq" w14:cmpd="sng" w14:algn="ctr">
            <w14:solidFill>
              <w14:srgbClr w14:val="000000"/>
            </w14:solidFill>
            <w14:prstDash w14:val="solid"/>
            <w14:bevel/>
          </w14:textOutline>
        </w:rPr>
      </w:pPr>
    </w:p>
    <w:p w14:paraId="24763177">
      <w:pPr>
        <w:spacing w:before="48" w:line="220"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十二</w:t>
      </w: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w:t>
      </w:r>
      <w:bookmarkEnd w:id="64"/>
    </w:p>
    <w:p w14:paraId="6554771F">
      <w:pPr>
        <w:spacing w:before="182" w:line="219" w:lineRule="auto"/>
        <w:ind w:left="3324"/>
        <w:rPr>
          <w:rFonts w:hint="eastAsia" w:ascii="宋体" w:hAnsi="宋体" w:eastAsia="宋体" w:cs="宋体"/>
          <w:color w:val="auto"/>
          <w:sz w:val="24"/>
          <w:szCs w:val="24"/>
          <w:lang w:eastAsia="zh-CN"/>
        </w:rPr>
      </w:pPr>
      <w:bookmarkStart w:id="65" w:name="_Toc6896"/>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售后服务承诺书（格式）</w:t>
      </w:r>
      <w:bookmarkEnd w:id="65"/>
    </w:p>
    <w:p w14:paraId="746AD8BE">
      <w:pPr>
        <w:pStyle w:val="7"/>
        <w:spacing w:line="283" w:lineRule="auto"/>
        <w:rPr>
          <w:rFonts w:hint="eastAsia" w:ascii="宋体" w:hAnsi="宋体" w:eastAsia="宋体" w:cs="宋体"/>
          <w:color w:val="auto"/>
          <w:lang w:eastAsia="zh-CN"/>
        </w:rPr>
      </w:pPr>
    </w:p>
    <w:p w14:paraId="4209F439">
      <w:pPr>
        <w:pStyle w:val="7"/>
        <w:spacing w:line="284" w:lineRule="auto"/>
        <w:rPr>
          <w:rFonts w:hint="eastAsia" w:ascii="宋体" w:hAnsi="宋体" w:eastAsia="宋体" w:cs="宋体"/>
          <w:color w:val="auto"/>
          <w:lang w:eastAsia="zh-CN"/>
        </w:rPr>
      </w:pPr>
    </w:p>
    <w:p w14:paraId="12EB0AA6">
      <w:pPr>
        <w:spacing w:before="78" w:line="220" w:lineRule="auto"/>
        <w:ind w:left="22"/>
        <w:rPr>
          <w:rFonts w:hint="eastAsia" w:ascii="宋体" w:hAnsi="宋体" w:eastAsia="宋体" w:cs="宋体"/>
          <w:color w:val="auto"/>
          <w:sz w:val="24"/>
          <w:szCs w:val="24"/>
          <w:lang w:eastAsia="zh-CN"/>
        </w:rPr>
      </w:pPr>
      <w:bookmarkStart w:id="66" w:name="_Toc25879"/>
      <w:r>
        <w:rPr>
          <w:rFonts w:hint="eastAsia" w:ascii="宋体" w:hAnsi="宋体" w:eastAsia="宋体" w:cs="宋体"/>
          <w:color w:val="auto"/>
          <w:spacing w:val="-3"/>
          <w:sz w:val="24"/>
          <w:szCs w:val="24"/>
          <w:lang w:eastAsia="zh-CN"/>
        </w:rPr>
        <w:t>中科高盛咨询集团有限公司：</w:t>
      </w:r>
      <w:bookmarkEnd w:id="66"/>
    </w:p>
    <w:p w14:paraId="5E0430E9">
      <w:pPr>
        <w:spacing w:before="179" w:line="360" w:lineRule="auto"/>
        <w:ind w:left="2" w:firstLine="479"/>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我公司自愿参加</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106"/>
          <w:sz w:val="24"/>
          <w:szCs w:val="24"/>
          <w:lang w:eastAsia="zh-CN"/>
        </w:rPr>
        <w:t xml:space="preserve"> </w:t>
      </w:r>
      <w:r>
        <w:rPr>
          <w:rFonts w:hint="eastAsia" w:ascii="宋体" w:hAnsi="宋体" w:eastAsia="宋体" w:cs="宋体"/>
          <w:color w:val="auto"/>
          <w:spacing w:val="-2"/>
          <w:sz w:val="24"/>
          <w:szCs w:val="24"/>
          <w:lang w:eastAsia="zh-CN"/>
        </w:rPr>
        <w:t>项目（项目编号）的投标。我公司郑重承诺</w:t>
      </w:r>
      <w:r>
        <w:rPr>
          <w:rFonts w:hint="eastAsia" w:ascii="宋体" w:hAnsi="宋体" w:eastAsia="宋体" w:cs="宋体"/>
          <w:color w:val="auto"/>
          <w:spacing w:val="-3"/>
          <w:sz w:val="24"/>
          <w:szCs w:val="24"/>
          <w:lang w:eastAsia="zh-CN"/>
        </w:rPr>
        <w:t>，如果我公司的</w:t>
      </w:r>
      <w:r>
        <w:rPr>
          <w:rFonts w:hint="eastAsia" w:ascii="宋体" w:hAnsi="宋体" w:eastAsia="宋体" w:cs="宋体"/>
          <w:color w:val="auto"/>
          <w:spacing w:val="-2"/>
          <w:sz w:val="24"/>
          <w:szCs w:val="24"/>
          <w:lang w:eastAsia="zh-CN"/>
        </w:rPr>
        <w:t>投标被评定为中标，我公司对于中标货物，除完全响应招标文件合同条款对伴随服务和售</w:t>
      </w:r>
      <w:r>
        <w:rPr>
          <w:rFonts w:hint="eastAsia" w:ascii="宋体" w:hAnsi="宋体" w:eastAsia="宋体" w:cs="宋体"/>
          <w:color w:val="auto"/>
          <w:spacing w:val="-1"/>
          <w:sz w:val="24"/>
          <w:szCs w:val="24"/>
          <w:lang w:eastAsia="zh-CN"/>
        </w:rPr>
        <w:t>后服务的所有要求外，还将按照以下条款提供优质和完善的售后服务：</w:t>
      </w:r>
    </w:p>
    <w:p w14:paraId="61D533BC">
      <w:pPr>
        <w:spacing w:before="217" w:line="469" w:lineRule="exact"/>
        <w:ind w:left="497"/>
        <w:rPr>
          <w:rFonts w:hint="eastAsia" w:ascii="宋体" w:hAnsi="宋体" w:eastAsia="宋体" w:cs="宋体"/>
          <w:color w:val="auto"/>
          <w:sz w:val="24"/>
          <w:szCs w:val="24"/>
          <w:lang w:eastAsia="zh-CN"/>
        </w:rPr>
      </w:pPr>
      <w:r>
        <w:rPr>
          <w:rFonts w:hint="eastAsia" w:ascii="宋体" w:hAnsi="宋体" w:eastAsia="宋体" w:cs="宋体"/>
          <w:color w:val="auto"/>
          <w:spacing w:val="-14"/>
          <w:position w:val="21"/>
          <w:sz w:val="24"/>
          <w:szCs w:val="24"/>
          <w:lang w:eastAsia="zh-CN"/>
        </w:rPr>
        <w:t>1.</w:t>
      </w:r>
    </w:p>
    <w:p w14:paraId="4B2E8C03">
      <w:pPr>
        <w:spacing w:line="183"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w:t>
      </w:r>
    </w:p>
    <w:p w14:paraId="53BE2B53">
      <w:pPr>
        <w:spacing w:before="210" w:line="99" w:lineRule="exact"/>
        <w:ind w:left="486"/>
        <w:rPr>
          <w:rFonts w:hint="eastAsia" w:ascii="宋体" w:hAnsi="宋体" w:eastAsia="宋体" w:cs="宋体"/>
          <w:color w:val="auto"/>
          <w:sz w:val="24"/>
          <w:szCs w:val="24"/>
          <w:lang w:eastAsia="zh-CN"/>
        </w:rPr>
      </w:pPr>
      <w:r>
        <w:rPr>
          <w:rFonts w:hint="eastAsia" w:ascii="宋体" w:hAnsi="宋体" w:eastAsia="宋体" w:cs="宋体"/>
          <w:color w:val="auto"/>
          <w:position w:val="1"/>
          <w:sz w:val="24"/>
          <w:szCs w:val="24"/>
          <w:lang w:eastAsia="zh-CN"/>
        </w:rPr>
        <w:t>...</w:t>
      </w:r>
    </w:p>
    <w:p w14:paraId="4190FFFF">
      <w:pPr>
        <w:pStyle w:val="7"/>
        <w:spacing w:line="295" w:lineRule="auto"/>
        <w:rPr>
          <w:rFonts w:hint="eastAsia" w:ascii="宋体" w:hAnsi="宋体" w:eastAsia="宋体" w:cs="宋体"/>
          <w:color w:val="auto"/>
          <w:lang w:eastAsia="zh-CN"/>
        </w:rPr>
      </w:pPr>
    </w:p>
    <w:p w14:paraId="72B9A23D">
      <w:pPr>
        <w:pStyle w:val="7"/>
        <w:spacing w:line="295" w:lineRule="auto"/>
        <w:rPr>
          <w:rFonts w:hint="eastAsia" w:ascii="宋体" w:hAnsi="宋体" w:eastAsia="宋体" w:cs="宋体"/>
          <w:color w:val="auto"/>
          <w:lang w:eastAsia="zh-CN"/>
        </w:rPr>
      </w:pPr>
    </w:p>
    <w:p w14:paraId="5691FEBC">
      <w:pPr>
        <w:pStyle w:val="7"/>
        <w:spacing w:line="296" w:lineRule="auto"/>
        <w:rPr>
          <w:rFonts w:hint="eastAsia" w:ascii="宋体" w:hAnsi="宋体" w:eastAsia="宋体" w:cs="宋体"/>
          <w:color w:val="auto"/>
          <w:lang w:eastAsia="zh-CN"/>
        </w:rPr>
      </w:pPr>
    </w:p>
    <w:p w14:paraId="39E666D0">
      <w:pPr>
        <w:spacing w:before="79" w:line="219"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14:paraId="5702FE58">
      <w:pPr>
        <w:spacing w:before="183" w:line="465" w:lineRule="exact"/>
        <w:ind w:left="480"/>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法定代表人（单位负责人）</w:t>
      </w:r>
    </w:p>
    <w:p w14:paraId="28E46C6F">
      <w:pPr>
        <w:spacing w:line="220"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或授权代表（签字</w:t>
      </w:r>
      <w:r>
        <w:rPr>
          <w:rFonts w:hint="eastAsia" w:ascii="宋体" w:hAnsi="宋体" w:eastAsia="宋体" w:cs="宋体"/>
          <w:color w:val="auto"/>
          <w:spacing w:val="1"/>
          <w:sz w:val="24"/>
          <w:szCs w:val="24"/>
          <w:lang w:eastAsia="zh-CN"/>
        </w:rPr>
        <w:t>）：</w:t>
      </w:r>
    </w:p>
    <w:p w14:paraId="5E209878">
      <w:pPr>
        <w:spacing w:before="180" w:line="220" w:lineRule="auto"/>
        <w:ind w:left="480"/>
        <w:rPr>
          <w:rFonts w:hint="eastAsia" w:ascii="宋体" w:hAnsi="宋体" w:eastAsia="宋体" w:cs="宋体"/>
          <w:color w:val="auto"/>
          <w:sz w:val="24"/>
          <w:szCs w:val="24"/>
          <w:lang w:eastAsia="zh-CN"/>
        </w:rPr>
      </w:pPr>
      <w:bookmarkStart w:id="67" w:name="_Toc1282"/>
      <w:r>
        <w:rPr>
          <w:rFonts w:hint="eastAsia" w:ascii="宋体" w:hAnsi="宋体" w:eastAsia="宋体" w:cs="宋体"/>
          <w:color w:val="auto"/>
          <w:spacing w:val="-9"/>
          <w:sz w:val="24"/>
          <w:szCs w:val="24"/>
          <w:lang w:eastAsia="zh-CN"/>
        </w:rPr>
        <w:t>年</w:t>
      </w:r>
      <w:r>
        <w:rPr>
          <w:rFonts w:hint="eastAsia" w:ascii="宋体" w:hAnsi="宋体" w:eastAsia="宋体" w:cs="宋体"/>
          <w:color w:val="auto"/>
          <w:spacing w:val="7"/>
          <w:sz w:val="24"/>
          <w:szCs w:val="24"/>
          <w:lang w:eastAsia="zh-CN"/>
        </w:rPr>
        <w:t xml:space="preserve">  </w:t>
      </w:r>
      <w:r>
        <w:rPr>
          <w:rFonts w:hint="eastAsia" w:ascii="宋体" w:hAnsi="宋体" w:eastAsia="宋体" w:cs="宋体"/>
          <w:color w:val="auto"/>
          <w:spacing w:val="-9"/>
          <w:sz w:val="24"/>
          <w:szCs w:val="24"/>
          <w:lang w:eastAsia="zh-CN"/>
        </w:rPr>
        <w:t>月</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9"/>
          <w:sz w:val="24"/>
          <w:szCs w:val="24"/>
          <w:lang w:eastAsia="zh-CN"/>
        </w:rPr>
        <w:t>日</w:t>
      </w:r>
      <w:bookmarkEnd w:id="67"/>
    </w:p>
    <w:p w14:paraId="23860BA3">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68793019">
      <w:pPr>
        <w:spacing w:after="120" w:afterLines="50"/>
        <w:jc w:val="both"/>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格式十三：</w:t>
      </w:r>
    </w:p>
    <w:p w14:paraId="0C371EA7">
      <w:pPr>
        <w:spacing w:after="120" w:afterLines="50"/>
        <w:ind w:firstLine="4284" w:firstLineChars="1800"/>
        <w:jc w:val="both"/>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信誉承诺书</w:t>
      </w:r>
    </w:p>
    <w:p w14:paraId="399FB1E7">
      <w:pPr>
        <w:kinsoku/>
        <w:autoSpaceDE/>
        <w:adjustRightInd/>
        <w:snapToGrid/>
        <w:jc w:val="center"/>
        <w:rPr>
          <w:rFonts w:hint="eastAsia" w:ascii="宋体" w:hAnsi="宋体" w:eastAsia="宋体" w:cs="宋体"/>
          <w:bCs/>
          <w:color w:val="auto"/>
          <w:sz w:val="28"/>
          <w:szCs w:val="28"/>
          <w:lang w:eastAsia="zh-CN" w:bidi="ar"/>
        </w:rPr>
      </w:pPr>
      <w:r>
        <w:rPr>
          <w:rFonts w:hint="eastAsia" w:ascii="宋体" w:hAnsi="宋体" w:eastAsia="宋体" w:cs="宋体"/>
          <w:b/>
          <w:bCs/>
          <w:color w:val="auto"/>
          <w:sz w:val="24"/>
          <w:szCs w:val="24"/>
          <w:lang w:eastAsia="zh-CN" w:bidi="ar"/>
        </w:rPr>
        <w:t xml:space="preserve">   （格式自拟）</w:t>
      </w:r>
    </w:p>
    <w:p w14:paraId="3E78BE77">
      <w:pPr>
        <w:spacing w:after="120" w:afterLines="50"/>
        <w:ind w:firstLine="4284" w:firstLineChars="1800"/>
        <w:jc w:val="both"/>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p>
    <w:p w14:paraId="392FA303">
      <w:pPr>
        <w:rPr>
          <w:rFonts w:hint="eastAsia" w:ascii="宋体" w:hAnsi="宋体" w:eastAsia="宋体" w:cs="宋体"/>
          <w:sz w:val="24"/>
          <w:szCs w:val="24"/>
          <w:lang w:eastAsia="zh-CN"/>
        </w:rPr>
      </w:pPr>
      <w:r>
        <w:rPr>
          <w:rFonts w:hint="eastAsia" w:ascii="宋体" w:hAnsi="宋体" w:eastAsia="宋体" w:cs="宋体"/>
          <w:sz w:val="24"/>
          <w:szCs w:val="24"/>
          <w:lang w:eastAsia="zh-CN"/>
        </w:rPr>
        <w:t>（1）拒绝列入政府取消投标资格记录期间的企业或个人投标；</w:t>
      </w:r>
    </w:p>
    <w:p w14:paraId="738D8460">
      <w:pPr>
        <w:rPr>
          <w:rFonts w:hint="eastAsia" w:ascii="宋体" w:hAnsi="宋体" w:eastAsia="宋体" w:cs="宋体"/>
          <w:sz w:val="24"/>
          <w:szCs w:val="24"/>
          <w:lang w:eastAsia="zh-CN"/>
        </w:rPr>
      </w:pPr>
      <w:r>
        <w:rPr>
          <w:rFonts w:hint="eastAsia" w:ascii="宋体" w:hAnsi="宋体" w:eastAsia="宋体" w:cs="宋体"/>
          <w:sz w:val="24"/>
          <w:szCs w:val="24"/>
          <w:lang w:eastAsia="zh-CN"/>
        </w:rPr>
        <w:t>（2）参加政府采购活动前三年内在经营活动中没有重大违法记录；</w:t>
      </w:r>
    </w:p>
    <w:p w14:paraId="171C525C">
      <w:pPr>
        <w:rPr>
          <w:rFonts w:hint="eastAsia" w:ascii="宋体" w:hAnsi="宋体" w:eastAsia="宋体" w:cs="宋体"/>
          <w:sz w:val="24"/>
          <w:szCs w:val="24"/>
          <w:lang w:eastAsia="zh-CN"/>
        </w:rPr>
      </w:pPr>
      <w:r>
        <w:rPr>
          <w:rFonts w:hint="eastAsia" w:ascii="宋体" w:hAnsi="宋体" w:eastAsia="宋体" w:cs="宋体"/>
          <w:sz w:val="24"/>
          <w:szCs w:val="24"/>
          <w:lang w:eastAsia="zh-CN"/>
        </w:rPr>
        <w:t>（3）单位负责人为同一人或存在直接控股、管理关系的不同供应商，不得参加同一合同项下的政府采购活动；</w:t>
      </w:r>
    </w:p>
    <w:p w14:paraId="34905416">
      <w:pPr>
        <w:kinsoku/>
        <w:autoSpaceDE/>
        <w:adjustRightInd/>
        <w:snapToGrid/>
        <w:rPr>
          <w:rFonts w:hint="eastAsia" w:ascii="宋体" w:hAnsi="宋体" w:eastAsia="宋体" w:cs="宋体"/>
          <w:color w:val="auto"/>
          <w:spacing w:val="-6"/>
          <w:sz w:val="24"/>
          <w:szCs w:val="24"/>
          <w:lang w:eastAsia="zh-CN" w:bidi="ar"/>
        </w:rPr>
      </w:pPr>
      <w:r>
        <w:rPr>
          <w:rFonts w:hint="eastAsia" w:ascii="宋体" w:hAnsi="宋体" w:eastAsia="宋体" w:cs="宋体"/>
          <w:sz w:val="24"/>
          <w:szCs w:val="24"/>
        </w:rPr>
        <w:t>（4）</w:t>
      </w:r>
      <w:r>
        <w:rPr>
          <w:rFonts w:hint="eastAsia" w:ascii="宋体" w:hAnsi="宋体" w:eastAsia="宋体" w:cs="宋体"/>
          <w:color w:val="auto"/>
          <w:spacing w:val="-6"/>
          <w:sz w:val="24"/>
          <w:szCs w:val="24"/>
          <w:lang w:eastAsia="zh-CN" w:bidi="ar"/>
        </w:rPr>
        <w:t>供应商近三年（2022年1月1日至今）内供应商、法定代表人（单位负责人）未在“中国裁判文书网”（www.wenshu.court.gov.cn）有行贿犯罪记录；</w:t>
      </w:r>
    </w:p>
    <w:p w14:paraId="1FF6A078">
      <w:pPr>
        <w:kinsoku/>
        <w:autoSpaceDE/>
        <w:adjustRightInd/>
        <w:snapToGrid/>
        <w:rPr>
          <w:rFonts w:hint="eastAsia" w:ascii="宋体" w:hAnsi="宋体" w:eastAsia="宋体" w:cs="宋体"/>
          <w:color w:val="auto"/>
          <w:spacing w:val="-6"/>
          <w:sz w:val="24"/>
          <w:szCs w:val="24"/>
          <w:lang w:eastAsia="zh-CN" w:bidi="ar"/>
        </w:rPr>
      </w:pPr>
      <w:r>
        <w:rPr>
          <w:rFonts w:hint="eastAsia" w:ascii="宋体" w:hAnsi="宋体" w:eastAsia="宋体" w:cs="宋体"/>
          <w:sz w:val="24"/>
          <w:szCs w:val="24"/>
          <w:lang w:eastAsia="zh-CN"/>
        </w:rPr>
        <w:t>（5）</w:t>
      </w:r>
      <w:r>
        <w:rPr>
          <w:rFonts w:hint="eastAsia" w:ascii="宋体" w:hAnsi="宋体" w:eastAsia="宋体" w:cs="宋体"/>
          <w:color w:val="auto"/>
          <w:spacing w:val="-6"/>
          <w:sz w:val="24"/>
          <w:szCs w:val="24"/>
          <w:lang w:eastAsia="zh-CN" w:bidi="ar"/>
        </w:rPr>
        <w:t>在“信用中国”网站(www.creditchina.gov.cn)、中国政府采购网(www.ccgp.gov.cn)等渠道列入失信被执行人、重大税收违法失信主体名单、政府采购严重违法失信行为记录名单的供应商，不得参与政府采购活动；</w:t>
      </w:r>
    </w:p>
    <w:p w14:paraId="5376D237">
      <w:pPr>
        <w:spacing w:line="360" w:lineRule="auto"/>
        <w:ind w:firstLine="482" w:firstLineChars="200"/>
        <w:rPr>
          <w:rFonts w:hint="eastAsia" w:ascii="宋体" w:hAnsi="宋体" w:eastAsia="宋体" w:cs="宋体"/>
          <w:color w:val="auto"/>
          <w:spacing w:val="-17"/>
          <w:sz w:val="24"/>
          <w:szCs w:val="24"/>
          <w:lang w:eastAsia="zh-CN"/>
        </w:rPr>
      </w:pPr>
      <w:r>
        <w:rPr>
          <w:rFonts w:hint="eastAsia" w:ascii="宋体" w:hAnsi="宋体" w:eastAsia="宋体" w:cs="宋体"/>
          <w:b/>
          <w:bCs/>
          <w:sz w:val="24"/>
          <w:szCs w:val="24"/>
          <w:lang w:eastAsia="zh-CN"/>
        </w:rPr>
        <w:t>投标文件内附由法定代表人或其委托代理人签字并加盖投标单位公章的承诺书。</w:t>
      </w:r>
    </w:p>
    <w:p w14:paraId="106B71C8">
      <w:pPr>
        <w:spacing w:line="360" w:lineRule="auto"/>
        <w:ind w:firstLine="412" w:firstLineChars="200"/>
        <w:rPr>
          <w:rFonts w:hint="eastAsia" w:ascii="宋体" w:hAnsi="宋体" w:eastAsia="宋体" w:cs="宋体"/>
          <w:color w:val="auto"/>
          <w:spacing w:val="-17"/>
          <w:sz w:val="24"/>
          <w:szCs w:val="24"/>
          <w:lang w:eastAsia="zh-CN"/>
        </w:rPr>
      </w:pPr>
    </w:p>
    <w:p w14:paraId="04F8CB6B">
      <w:pPr>
        <w:spacing w:line="360" w:lineRule="auto"/>
        <w:ind w:firstLine="412" w:firstLineChars="200"/>
        <w:rPr>
          <w:rFonts w:hint="eastAsia" w:ascii="宋体" w:hAnsi="宋体" w:eastAsia="宋体" w:cs="宋体"/>
          <w:color w:val="auto"/>
          <w:spacing w:val="-17"/>
          <w:sz w:val="24"/>
          <w:szCs w:val="24"/>
          <w:lang w:eastAsia="zh-CN"/>
        </w:rPr>
      </w:pPr>
    </w:p>
    <w:p w14:paraId="57A07F77">
      <w:pPr>
        <w:spacing w:line="360" w:lineRule="auto"/>
        <w:ind w:firstLine="412" w:firstLineChars="200"/>
        <w:rPr>
          <w:rFonts w:hint="eastAsia" w:ascii="宋体" w:hAnsi="宋体" w:eastAsia="宋体" w:cs="宋体"/>
          <w:color w:val="auto"/>
          <w:spacing w:val="-17"/>
          <w:sz w:val="24"/>
          <w:szCs w:val="24"/>
          <w:lang w:eastAsia="zh-CN"/>
        </w:rPr>
      </w:pPr>
    </w:p>
    <w:p w14:paraId="4346EFE4">
      <w:pPr>
        <w:spacing w:line="360" w:lineRule="auto"/>
        <w:ind w:firstLine="412" w:firstLineChars="200"/>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投标人名称：</w:t>
      </w:r>
      <w:r>
        <w:rPr>
          <w:rFonts w:hint="eastAsia" w:ascii="宋体" w:hAnsi="宋体" w:eastAsia="宋体" w:cs="宋体"/>
          <w:color w:val="auto"/>
          <w:spacing w:val="-17"/>
          <w:sz w:val="24"/>
          <w:szCs w:val="24"/>
          <w:u w:val="single"/>
          <w:lang w:eastAsia="zh-CN"/>
        </w:rPr>
        <w:t xml:space="preserve">                                </w:t>
      </w:r>
      <w:r>
        <w:rPr>
          <w:rFonts w:hint="eastAsia" w:ascii="宋体" w:hAnsi="宋体" w:eastAsia="宋体" w:cs="宋体"/>
          <w:color w:val="auto"/>
          <w:spacing w:val="-17"/>
          <w:sz w:val="24"/>
          <w:szCs w:val="24"/>
          <w:lang w:eastAsia="zh-CN"/>
        </w:rPr>
        <w:t>（盖章）</w:t>
      </w:r>
    </w:p>
    <w:p w14:paraId="136DDABE">
      <w:pPr>
        <w:spacing w:line="360" w:lineRule="auto"/>
        <w:ind w:firstLine="412" w:firstLineChars="200"/>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法定代表人或委托代理人：</w:t>
      </w:r>
      <w:r>
        <w:rPr>
          <w:rFonts w:hint="eastAsia" w:ascii="宋体" w:hAnsi="宋体" w:eastAsia="宋体" w:cs="宋体"/>
          <w:color w:val="auto"/>
          <w:spacing w:val="-17"/>
          <w:sz w:val="24"/>
          <w:szCs w:val="24"/>
          <w:u w:val="single"/>
          <w:lang w:eastAsia="zh-CN"/>
        </w:rPr>
        <w:t xml:space="preserve">                                </w:t>
      </w:r>
      <w:r>
        <w:rPr>
          <w:rFonts w:hint="eastAsia" w:ascii="宋体" w:hAnsi="宋体" w:eastAsia="宋体" w:cs="宋体"/>
          <w:color w:val="auto"/>
          <w:spacing w:val="-17"/>
          <w:sz w:val="24"/>
          <w:szCs w:val="24"/>
          <w:lang w:eastAsia="zh-CN"/>
        </w:rPr>
        <w:t>（签字或盖章）</w:t>
      </w:r>
    </w:p>
    <w:p w14:paraId="786D677D">
      <w:pPr>
        <w:spacing w:line="360" w:lineRule="auto"/>
        <w:ind w:firstLine="412" w:firstLine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182816A8">
      <w:pPr>
        <w:rPr>
          <w:rFonts w:hint="eastAsia" w:ascii="宋体" w:hAnsi="宋体" w:eastAsia="宋体" w:cs="宋体"/>
          <w:color w:val="auto"/>
          <w:spacing w:val="-17"/>
          <w:sz w:val="24"/>
          <w:szCs w:val="24"/>
        </w:rPr>
      </w:pPr>
    </w:p>
    <w:p w14:paraId="54F9E267">
      <w:pPr>
        <w:rPr>
          <w:rFonts w:hint="eastAsia" w:ascii="宋体" w:hAnsi="宋体" w:eastAsia="宋体" w:cs="宋体"/>
          <w:color w:val="auto"/>
          <w:spacing w:val="-17"/>
          <w:sz w:val="24"/>
          <w:szCs w:val="24"/>
        </w:rPr>
      </w:pPr>
    </w:p>
    <w:p w14:paraId="116F6C2D">
      <w:pPr>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后附截图：</w:t>
      </w:r>
    </w:p>
    <w:p w14:paraId="7A95BD41">
      <w:pPr>
        <w:rPr>
          <w:rFonts w:hint="eastAsia" w:ascii="宋体" w:hAnsi="宋体" w:eastAsia="宋体" w:cs="宋体"/>
          <w:color w:val="auto"/>
          <w:spacing w:val="-17"/>
          <w:sz w:val="24"/>
          <w:szCs w:val="24"/>
          <w:lang w:eastAsia="zh-CN"/>
        </w:rPr>
      </w:pPr>
    </w:p>
    <w:p w14:paraId="5D8A6EAE">
      <w:pPr>
        <w:ind w:left="446"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（1）</w:t>
      </w:r>
      <w:r>
        <w:rPr>
          <w:rFonts w:hint="eastAsia" w:ascii="宋体" w:hAnsi="宋体" w:eastAsia="宋体" w:cs="宋体"/>
          <w:color w:val="auto"/>
          <w:spacing w:val="-17"/>
          <w:sz w:val="24"/>
          <w:szCs w:val="24"/>
        </w:rPr>
        <w:t>“信用中国”网站（www.creditchina.gov.cn）中列入失信被执行人</w:t>
      </w:r>
    </w:p>
    <w:p w14:paraId="22C50405">
      <w:pPr>
        <w:ind w:left="446" w:hanging="412" w:hangingChars="200"/>
        <w:rPr>
          <w:rFonts w:hint="eastAsia" w:ascii="宋体" w:hAnsi="宋体" w:eastAsia="宋体" w:cs="宋体"/>
          <w:color w:val="auto"/>
          <w:spacing w:val="-17"/>
          <w:sz w:val="24"/>
          <w:szCs w:val="24"/>
        </w:rPr>
      </w:pPr>
    </w:p>
    <w:p w14:paraId="7B38027D">
      <w:pPr>
        <w:ind w:left="446" w:hanging="412" w:hangingChars="200"/>
        <w:rPr>
          <w:rFonts w:hint="eastAsia" w:ascii="宋体" w:hAnsi="宋体" w:eastAsia="宋体" w:cs="宋体"/>
          <w:color w:val="auto"/>
          <w:spacing w:val="-17"/>
          <w:sz w:val="24"/>
          <w:szCs w:val="24"/>
          <w:lang w:eastAsia="zh-CN"/>
        </w:rPr>
      </w:pPr>
    </w:p>
    <w:p w14:paraId="2EC46AF9">
      <w:pPr>
        <w:ind w:left="446" w:hanging="412" w:hangingChars="200"/>
        <w:rPr>
          <w:rFonts w:hint="eastAsia" w:ascii="宋体" w:hAnsi="宋体" w:eastAsia="宋体" w:cs="宋体"/>
          <w:color w:val="auto"/>
          <w:spacing w:val="-17"/>
          <w:sz w:val="24"/>
          <w:szCs w:val="24"/>
          <w:lang w:eastAsia="zh-CN"/>
        </w:rPr>
      </w:pPr>
    </w:p>
    <w:p w14:paraId="4048AC26">
      <w:pPr>
        <w:ind w:left="446" w:hanging="412" w:hangingChars="200"/>
        <w:rPr>
          <w:rFonts w:hint="eastAsia" w:ascii="宋体" w:hAnsi="宋体" w:eastAsia="宋体" w:cs="宋体"/>
          <w:color w:val="auto"/>
          <w:spacing w:val="-17"/>
          <w:sz w:val="24"/>
          <w:szCs w:val="24"/>
          <w:lang w:eastAsia="zh-CN"/>
        </w:rPr>
      </w:pPr>
    </w:p>
    <w:p w14:paraId="3F00F18A">
      <w:pPr>
        <w:ind w:left="446" w:hanging="412" w:hangingChars="200"/>
        <w:rPr>
          <w:rFonts w:hint="eastAsia" w:ascii="宋体" w:hAnsi="宋体" w:eastAsia="宋体" w:cs="宋体"/>
          <w:color w:val="auto"/>
          <w:spacing w:val="-17"/>
          <w:sz w:val="24"/>
          <w:szCs w:val="24"/>
          <w:lang w:eastAsia="zh-CN"/>
        </w:rPr>
      </w:pPr>
    </w:p>
    <w:p w14:paraId="223F1CC4">
      <w:pPr>
        <w:ind w:left="446" w:hanging="412" w:hangingChars="200"/>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（2）重大税收违法失信主体</w:t>
      </w:r>
    </w:p>
    <w:p w14:paraId="6A3F58AD">
      <w:pPr>
        <w:ind w:left="446" w:hanging="412" w:hangingChars="200"/>
        <w:rPr>
          <w:rFonts w:hint="eastAsia" w:ascii="宋体" w:hAnsi="宋体" w:eastAsia="宋体" w:cs="宋体"/>
          <w:color w:val="auto"/>
          <w:spacing w:val="-17"/>
          <w:sz w:val="24"/>
          <w:szCs w:val="24"/>
          <w:lang w:eastAsia="zh-CN"/>
        </w:rPr>
      </w:pPr>
    </w:p>
    <w:p w14:paraId="1B39DE02">
      <w:pPr>
        <w:ind w:left="446" w:hanging="412" w:hangingChars="200"/>
        <w:rPr>
          <w:rFonts w:hint="eastAsia" w:ascii="宋体" w:hAnsi="宋体" w:eastAsia="宋体" w:cs="宋体"/>
          <w:color w:val="auto"/>
          <w:spacing w:val="-17"/>
          <w:sz w:val="24"/>
          <w:szCs w:val="24"/>
          <w:lang w:eastAsia="zh-CN"/>
        </w:rPr>
      </w:pPr>
    </w:p>
    <w:p w14:paraId="1606C18E">
      <w:pPr>
        <w:ind w:left="446" w:hanging="412" w:hangingChars="200"/>
        <w:rPr>
          <w:rFonts w:hint="eastAsia" w:ascii="宋体" w:hAnsi="宋体" w:eastAsia="宋体" w:cs="宋体"/>
          <w:color w:val="auto"/>
          <w:spacing w:val="-17"/>
          <w:sz w:val="24"/>
          <w:szCs w:val="24"/>
          <w:lang w:eastAsia="zh-CN"/>
        </w:rPr>
      </w:pPr>
    </w:p>
    <w:p w14:paraId="1C3C1B5C">
      <w:pPr>
        <w:ind w:left="446" w:hanging="412" w:hangingChars="200"/>
        <w:rPr>
          <w:rFonts w:hint="eastAsia" w:ascii="宋体" w:hAnsi="宋体" w:eastAsia="宋体" w:cs="宋体"/>
          <w:color w:val="auto"/>
          <w:spacing w:val="-17"/>
          <w:sz w:val="24"/>
          <w:szCs w:val="24"/>
          <w:lang w:eastAsia="zh-CN"/>
        </w:rPr>
      </w:pPr>
    </w:p>
    <w:p w14:paraId="48F269CB">
      <w:pPr>
        <w:ind w:left="446" w:hanging="412" w:hangingChars="200"/>
        <w:rPr>
          <w:rFonts w:hint="eastAsia" w:ascii="宋体" w:hAnsi="宋体" w:eastAsia="宋体" w:cs="宋体"/>
          <w:color w:val="auto"/>
          <w:spacing w:val="-17"/>
          <w:sz w:val="24"/>
          <w:szCs w:val="24"/>
          <w:lang w:eastAsia="zh-CN"/>
        </w:rPr>
      </w:pPr>
    </w:p>
    <w:p w14:paraId="16D174A1">
      <w:pPr>
        <w:ind w:left="446"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（3）</w:t>
      </w:r>
      <w:r>
        <w:rPr>
          <w:rFonts w:hint="eastAsia" w:ascii="宋体" w:hAnsi="宋体" w:eastAsia="宋体" w:cs="宋体"/>
          <w:color w:val="auto"/>
          <w:spacing w:val="-17"/>
          <w:sz w:val="24"/>
          <w:szCs w:val="24"/>
        </w:rPr>
        <w:t>中国政府采购网（www.ccgp.gov.cn）政府采购严重违法失信行为记录名单</w:t>
      </w:r>
    </w:p>
    <w:p w14:paraId="7C73FCD5">
      <w:pP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br w:type="page"/>
      </w:r>
    </w:p>
    <w:p w14:paraId="08B76800">
      <w:pPr>
        <w:spacing w:before="182" w:line="221" w:lineRule="auto"/>
        <w:rPr>
          <w:rFonts w:hint="eastAsia" w:ascii="宋体" w:hAnsi="宋体" w:eastAsia="宋体" w:cs="宋体"/>
          <w:b/>
          <w:bCs/>
          <w:color w:val="auto"/>
          <w:spacing w:val="-17"/>
          <w:sz w:val="24"/>
          <w:szCs w:val="24"/>
          <w:lang w:eastAsia="zh-CN"/>
        </w:rPr>
      </w:pPr>
      <w: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t>格式十四：招标文件要求提供或供应商认为需要提供的其它材料</w:t>
      </w:r>
    </w:p>
    <w:p w14:paraId="7F1D7BC6">
      <w:pPr>
        <w:jc w:val="center"/>
        <w:rPr>
          <w:rFonts w:hint="eastAsia" w:asciiTheme="majorEastAsia" w:hAnsiTheme="majorEastAsia" w:eastAsiaTheme="majorEastAsia" w:cstheme="majorEastAsia"/>
          <w:b/>
          <w:bCs/>
          <w:color w:val="auto"/>
          <w:sz w:val="32"/>
          <w:szCs w:val="32"/>
          <w:lang w:eastAsia="zh-CN"/>
        </w:rPr>
      </w:pPr>
    </w:p>
    <w:p w14:paraId="2922487A">
      <w:pPr>
        <w:jc w:val="center"/>
        <w:rPr>
          <w:rFonts w:hint="eastAsia" w:asciiTheme="majorEastAsia" w:hAnsiTheme="majorEastAsia" w:eastAsiaTheme="majorEastAsia" w:cstheme="majorEastAsia"/>
          <w:b/>
          <w:bCs/>
          <w:color w:val="auto"/>
          <w:sz w:val="32"/>
          <w:szCs w:val="32"/>
          <w:lang w:eastAsia="zh-CN"/>
        </w:rPr>
      </w:pPr>
    </w:p>
    <w:p w14:paraId="23433961">
      <w:pPr>
        <w:jc w:val="center"/>
        <w:rPr>
          <w:rFonts w:hint="eastAsia" w:asciiTheme="majorEastAsia" w:hAnsiTheme="majorEastAsia" w:eastAsiaTheme="majorEastAsia" w:cstheme="majorEastAsia"/>
          <w:b/>
          <w:bCs/>
          <w:color w:val="auto"/>
          <w:sz w:val="32"/>
          <w:szCs w:val="32"/>
          <w:lang w:eastAsia="zh-CN"/>
        </w:rPr>
      </w:pPr>
    </w:p>
    <w:p w14:paraId="64FCF589">
      <w:pPr>
        <w:jc w:val="center"/>
        <w:rPr>
          <w:rFonts w:hint="eastAsia" w:asciiTheme="majorEastAsia" w:hAnsiTheme="majorEastAsia" w:eastAsiaTheme="majorEastAsia" w:cstheme="majorEastAsia"/>
          <w:b/>
          <w:bCs/>
          <w:color w:val="auto"/>
          <w:sz w:val="32"/>
          <w:szCs w:val="32"/>
          <w:lang w:eastAsia="zh-CN"/>
        </w:rPr>
      </w:pPr>
    </w:p>
    <w:p w14:paraId="5764648E">
      <w:pPr>
        <w:jc w:val="center"/>
        <w:rPr>
          <w:rFonts w:hint="eastAsia" w:asciiTheme="majorEastAsia" w:hAnsiTheme="majorEastAsia" w:eastAsiaTheme="majorEastAsia" w:cstheme="majorEastAsia"/>
          <w:b/>
          <w:bCs/>
          <w:color w:val="auto"/>
          <w:sz w:val="32"/>
          <w:szCs w:val="32"/>
          <w:lang w:eastAsia="zh-CN"/>
        </w:rPr>
      </w:pPr>
    </w:p>
    <w:p w14:paraId="417288FB">
      <w:pPr>
        <w:jc w:val="center"/>
        <w:rPr>
          <w:rFonts w:hint="eastAsia" w:asciiTheme="majorEastAsia" w:hAnsiTheme="majorEastAsia" w:eastAsiaTheme="majorEastAsia" w:cstheme="majorEastAsia"/>
          <w:b/>
          <w:bCs/>
          <w:color w:val="auto"/>
          <w:sz w:val="32"/>
          <w:szCs w:val="32"/>
          <w:lang w:eastAsia="zh-CN"/>
        </w:rPr>
      </w:pPr>
    </w:p>
    <w:p w14:paraId="61FDE684">
      <w:pPr>
        <w:jc w:val="center"/>
        <w:rPr>
          <w:rFonts w:hint="eastAsia" w:asciiTheme="majorEastAsia" w:hAnsiTheme="majorEastAsia" w:eastAsiaTheme="majorEastAsia" w:cstheme="majorEastAsia"/>
          <w:b/>
          <w:bCs/>
          <w:color w:val="auto"/>
          <w:sz w:val="32"/>
          <w:szCs w:val="32"/>
          <w:lang w:eastAsia="zh-CN"/>
        </w:rPr>
      </w:pPr>
    </w:p>
    <w:p w14:paraId="64812DEB">
      <w:pPr>
        <w:jc w:val="center"/>
        <w:rPr>
          <w:rFonts w:hint="eastAsia" w:asciiTheme="majorEastAsia" w:hAnsiTheme="majorEastAsia" w:eastAsiaTheme="majorEastAsia" w:cstheme="majorEastAsia"/>
          <w:b/>
          <w:bCs/>
          <w:color w:val="auto"/>
          <w:sz w:val="32"/>
          <w:szCs w:val="32"/>
          <w:lang w:eastAsia="zh-CN"/>
        </w:rPr>
      </w:pPr>
    </w:p>
    <w:p w14:paraId="4ACB73A7">
      <w:pPr>
        <w:jc w:val="center"/>
        <w:rPr>
          <w:rFonts w:hint="eastAsia" w:asciiTheme="majorEastAsia" w:hAnsiTheme="majorEastAsia" w:eastAsiaTheme="majorEastAsia" w:cstheme="majorEastAsia"/>
          <w:b/>
          <w:bCs/>
          <w:color w:val="auto"/>
          <w:sz w:val="32"/>
          <w:szCs w:val="32"/>
          <w:lang w:eastAsia="zh-CN"/>
        </w:rPr>
      </w:pPr>
    </w:p>
    <w:p w14:paraId="7A209AFE">
      <w:pPr>
        <w:jc w:val="center"/>
        <w:rPr>
          <w:rFonts w:hint="eastAsia" w:asciiTheme="majorEastAsia" w:hAnsiTheme="majorEastAsia" w:eastAsiaTheme="majorEastAsia" w:cstheme="majorEastAsia"/>
          <w:b/>
          <w:bCs/>
          <w:color w:val="auto"/>
          <w:sz w:val="32"/>
          <w:szCs w:val="32"/>
          <w:lang w:eastAsia="zh-CN"/>
        </w:rPr>
      </w:pPr>
    </w:p>
    <w:p w14:paraId="4FE6ED7F">
      <w:pPr>
        <w:jc w:val="center"/>
        <w:rPr>
          <w:rFonts w:hint="eastAsia" w:asciiTheme="majorEastAsia" w:hAnsiTheme="majorEastAsia" w:eastAsiaTheme="majorEastAsia" w:cstheme="majorEastAsia"/>
          <w:b/>
          <w:bCs/>
          <w:color w:val="auto"/>
          <w:sz w:val="32"/>
          <w:szCs w:val="32"/>
          <w:lang w:eastAsia="zh-CN"/>
        </w:rPr>
      </w:pPr>
    </w:p>
    <w:p w14:paraId="6931F847">
      <w:pPr>
        <w:jc w:val="center"/>
        <w:rPr>
          <w:rFonts w:hint="eastAsia" w:asciiTheme="majorEastAsia" w:hAnsiTheme="majorEastAsia" w:eastAsiaTheme="majorEastAsia" w:cstheme="majorEastAsia"/>
          <w:b/>
          <w:bCs/>
          <w:color w:val="auto"/>
          <w:sz w:val="32"/>
          <w:szCs w:val="32"/>
          <w:lang w:eastAsia="zh-CN"/>
        </w:rPr>
      </w:pPr>
    </w:p>
    <w:p w14:paraId="3D0E9F26">
      <w:pPr>
        <w:jc w:val="center"/>
        <w:rPr>
          <w:rFonts w:hint="eastAsia" w:asciiTheme="majorEastAsia" w:hAnsiTheme="majorEastAsia" w:eastAsiaTheme="majorEastAsia" w:cstheme="majorEastAsia"/>
          <w:b/>
          <w:bCs/>
          <w:color w:val="auto"/>
          <w:sz w:val="32"/>
          <w:szCs w:val="32"/>
          <w:lang w:eastAsia="zh-CN"/>
        </w:rPr>
      </w:pPr>
    </w:p>
    <w:p w14:paraId="74FC4919">
      <w:pPr>
        <w:jc w:val="center"/>
        <w:rPr>
          <w:rFonts w:hint="eastAsia" w:asciiTheme="majorEastAsia" w:hAnsiTheme="majorEastAsia" w:eastAsiaTheme="majorEastAsia" w:cstheme="majorEastAsia"/>
          <w:b/>
          <w:bCs/>
          <w:color w:val="auto"/>
          <w:sz w:val="32"/>
          <w:szCs w:val="32"/>
          <w:lang w:eastAsia="zh-CN"/>
        </w:rPr>
      </w:pPr>
    </w:p>
    <w:p w14:paraId="0D8D2B30">
      <w:pPr>
        <w:jc w:val="center"/>
        <w:rPr>
          <w:rFonts w:hint="eastAsia" w:asciiTheme="majorEastAsia" w:hAnsiTheme="majorEastAsia" w:eastAsiaTheme="majorEastAsia" w:cstheme="majorEastAsia"/>
          <w:b/>
          <w:bCs/>
          <w:color w:val="auto"/>
          <w:sz w:val="32"/>
          <w:szCs w:val="32"/>
          <w:lang w:eastAsia="zh-CN"/>
        </w:rPr>
      </w:pPr>
    </w:p>
    <w:p w14:paraId="7BBE8183">
      <w:pPr>
        <w:jc w:val="center"/>
        <w:rPr>
          <w:rFonts w:hint="eastAsia" w:asciiTheme="majorEastAsia" w:hAnsiTheme="majorEastAsia" w:eastAsiaTheme="majorEastAsia" w:cstheme="majorEastAsia"/>
          <w:b/>
          <w:bCs/>
          <w:color w:val="auto"/>
          <w:sz w:val="32"/>
          <w:szCs w:val="32"/>
          <w:lang w:eastAsia="zh-CN"/>
        </w:rPr>
      </w:pPr>
    </w:p>
    <w:p w14:paraId="567B7DD1">
      <w:pPr>
        <w:jc w:val="center"/>
        <w:rPr>
          <w:rFonts w:hint="eastAsia" w:asciiTheme="majorEastAsia" w:hAnsiTheme="majorEastAsia" w:eastAsiaTheme="majorEastAsia" w:cstheme="majorEastAsia"/>
          <w:b/>
          <w:bCs/>
          <w:color w:val="auto"/>
          <w:sz w:val="32"/>
          <w:szCs w:val="32"/>
          <w:lang w:eastAsia="zh-CN"/>
        </w:rPr>
      </w:pPr>
    </w:p>
    <w:p w14:paraId="5A96A53F">
      <w:pPr>
        <w:jc w:val="center"/>
        <w:rPr>
          <w:rFonts w:hint="eastAsia" w:asciiTheme="majorEastAsia" w:hAnsiTheme="majorEastAsia" w:eastAsiaTheme="majorEastAsia" w:cstheme="majorEastAsia"/>
          <w:b/>
          <w:bCs/>
          <w:color w:val="auto"/>
          <w:sz w:val="32"/>
          <w:szCs w:val="32"/>
          <w:lang w:eastAsia="zh-CN"/>
        </w:rPr>
      </w:pPr>
    </w:p>
    <w:p w14:paraId="604E586C">
      <w:pPr>
        <w:jc w:val="center"/>
        <w:rPr>
          <w:rFonts w:hint="eastAsia" w:asciiTheme="majorEastAsia" w:hAnsiTheme="majorEastAsia" w:eastAsiaTheme="majorEastAsia" w:cstheme="majorEastAsia"/>
          <w:b/>
          <w:bCs/>
          <w:color w:val="auto"/>
          <w:sz w:val="32"/>
          <w:szCs w:val="32"/>
          <w:lang w:eastAsia="zh-CN"/>
        </w:rPr>
      </w:pPr>
    </w:p>
    <w:p w14:paraId="38A30EB6">
      <w:pPr>
        <w:jc w:val="center"/>
        <w:rPr>
          <w:rFonts w:hint="eastAsia" w:asciiTheme="majorEastAsia" w:hAnsiTheme="majorEastAsia" w:eastAsiaTheme="majorEastAsia" w:cstheme="majorEastAsia"/>
          <w:b/>
          <w:bCs/>
          <w:color w:val="auto"/>
          <w:sz w:val="32"/>
          <w:szCs w:val="32"/>
          <w:lang w:eastAsia="zh-CN"/>
        </w:rPr>
      </w:pPr>
    </w:p>
    <w:p w14:paraId="62783009">
      <w:pPr>
        <w:jc w:val="center"/>
        <w:rPr>
          <w:rFonts w:hint="eastAsia" w:asciiTheme="majorEastAsia" w:hAnsiTheme="majorEastAsia" w:eastAsiaTheme="majorEastAsia" w:cstheme="majorEastAsia"/>
          <w:b/>
          <w:bCs/>
          <w:color w:val="auto"/>
          <w:sz w:val="32"/>
          <w:szCs w:val="32"/>
          <w:lang w:eastAsia="zh-CN"/>
        </w:rPr>
      </w:pPr>
    </w:p>
    <w:p w14:paraId="37D7B3E5">
      <w:pPr>
        <w:jc w:val="center"/>
        <w:rPr>
          <w:rFonts w:hint="eastAsia" w:asciiTheme="majorEastAsia" w:hAnsiTheme="majorEastAsia" w:eastAsiaTheme="majorEastAsia" w:cstheme="majorEastAsia"/>
          <w:b/>
          <w:bCs/>
          <w:color w:val="auto"/>
          <w:sz w:val="32"/>
          <w:szCs w:val="32"/>
          <w:lang w:eastAsia="zh-CN"/>
        </w:rPr>
      </w:pPr>
    </w:p>
    <w:p w14:paraId="691D1DDF">
      <w:pPr>
        <w:jc w:val="center"/>
        <w:rPr>
          <w:rFonts w:hint="eastAsia" w:asciiTheme="majorEastAsia" w:hAnsiTheme="majorEastAsia" w:eastAsiaTheme="majorEastAsia" w:cstheme="majorEastAsia"/>
          <w:b/>
          <w:bCs/>
          <w:color w:val="auto"/>
          <w:sz w:val="32"/>
          <w:szCs w:val="32"/>
          <w:lang w:eastAsia="zh-CN"/>
        </w:rPr>
      </w:pPr>
    </w:p>
    <w:p w14:paraId="1D0FF15F">
      <w:pPr>
        <w:jc w:val="center"/>
        <w:rPr>
          <w:rFonts w:hint="eastAsia" w:asciiTheme="majorEastAsia" w:hAnsiTheme="majorEastAsia" w:eastAsiaTheme="majorEastAsia" w:cstheme="majorEastAsia"/>
          <w:b/>
          <w:bCs/>
          <w:color w:val="auto"/>
          <w:sz w:val="32"/>
          <w:szCs w:val="32"/>
          <w:lang w:eastAsia="zh-CN"/>
        </w:rPr>
      </w:pPr>
    </w:p>
    <w:p w14:paraId="07AB7892">
      <w:pPr>
        <w:jc w:val="center"/>
        <w:rPr>
          <w:rFonts w:hint="eastAsia" w:asciiTheme="majorEastAsia" w:hAnsiTheme="majorEastAsia" w:eastAsiaTheme="majorEastAsia" w:cstheme="majorEastAsia"/>
          <w:b/>
          <w:bCs/>
          <w:color w:val="auto"/>
          <w:sz w:val="32"/>
          <w:szCs w:val="32"/>
          <w:lang w:eastAsia="zh-CN"/>
        </w:rPr>
      </w:pPr>
    </w:p>
    <w:p w14:paraId="583D2F36">
      <w:pPr>
        <w:jc w:val="center"/>
        <w:rPr>
          <w:rFonts w:hint="eastAsia" w:asciiTheme="majorEastAsia" w:hAnsiTheme="majorEastAsia" w:eastAsiaTheme="majorEastAsia" w:cstheme="majorEastAsia"/>
          <w:b/>
          <w:bCs/>
          <w:color w:val="auto"/>
          <w:sz w:val="32"/>
          <w:szCs w:val="32"/>
          <w:lang w:eastAsia="zh-CN"/>
        </w:rPr>
      </w:pPr>
    </w:p>
    <w:p w14:paraId="3E4910F8">
      <w:pPr>
        <w:jc w:val="center"/>
        <w:rPr>
          <w:rFonts w:hint="eastAsia" w:asciiTheme="majorEastAsia" w:hAnsiTheme="majorEastAsia" w:eastAsiaTheme="majorEastAsia" w:cstheme="majorEastAsia"/>
          <w:b/>
          <w:bCs/>
          <w:color w:val="auto"/>
          <w:sz w:val="32"/>
          <w:szCs w:val="32"/>
          <w:lang w:eastAsia="zh-CN"/>
        </w:rPr>
      </w:pPr>
    </w:p>
    <w:p w14:paraId="141CD895">
      <w:pPr>
        <w:jc w:val="center"/>
        <w:rPr>
          <w:rFonts w:hint="eastAsia" w:asciiTheme="majorEastAsia" w:hAnsiTheme="majorEastAsia" w:eastAsiaTheme="majorEastAsia" w:cstheme="majorEastAsia"/>
          <w:b/>
          <w:bCs/>
          <w:color w:val="auto"/>
          <w:sz w:val="32"/>
          <w:szCs w:val="32"/>
          <w:lang w:eastAsia="zh-CN"/>
        </w:rPr>
      </w:pPr>
    </w:p>
    <w:p w14:paraId="31AD817B">
      <w:pPr>
        <w:jc w:val="center"/>
        <w:rPr>
          <w:rFonts w:hint="eastAsia" w:asciiTheme="majorEastAsia" w:hAnsiTheme="majorEastAsia" w:eastAsiaTheme="majorEastAsia" w:cstheme="majorEastAsia"/>
          <w:b/>
          <w:bCs/>
          <w:color w:val="auto"/>
          <w:sz w:val="32"/>
          <w:szCs w:val="32"/>
          <w:lang w:eastAsia="zh-CN"/>
        </w:rPr>
      </w:pPr>
    </w:p>
    <w:p w14:paraId="684D0BBF">
      <w:pPr>
        <w:jc w:val="center"/>
        <w:rPr>
          <w:rFonts w:hint="eastAsia" w:asciiTheme="majorEastAsia" w:hAnsiTheme="majorEastAsia" w:eastAsiaTheme="majorEastAsia" w:cstheme="majorEastAsia"/>
          <w:b/>
          <w:bCs/>
          <w:color w:val="auto"/>
          <w:sz w:val="32"/>
          <w:szCs w:val="32"/>
          <w:lang w:eastAsia="zh-CN"/>
        </w:rPr>
      </w:pPr>
    </w:p>
    <w:p w14:paraId="6EC883D6">
      <w:pPr>
        <w:jc w:val="center"/>
        <w:rPr>
          <w:rFonts w:hint="eastAsia" w:asciiTheme="majorEastAsia" w:hAnsiTheme="majorEastAsia" w:eastAsiaTheme="majorEastAsia" w:cstheme="majorEastAsia"/>
          <w:b/>
          <w:bCs/>
          <w:color w:val="auto"/>
          <w:sz w:val="32"/>
          <w:szCs w:val="32"/>
          <w:lang w:eastAsia="zh-CN"/>
        </w:rPr>
      </w:pPr>
    </w:p>
    <w:p w14:paraId="1D76A6B3">
      <w:pPr>
        <w:jc w:val="center"/>
        <w:rPr>
          <w:rFonts w:hint="eastAsia" w:asciiTheme="majorEastAsia" w:hAnsiTheme="majorEastAsia" w:eastAsiaTheme="majorEastAsia" w:cstheme="majorEastAsia"/>
          <w:b/>
          <w:bCs/>
          <w:color w:val="auto"/>
          <w:sz w:val="32"/>
          <w:szCs w:val="32"/>
          <w:lang w:eastAsia="zh-CN"/>
        </w:rPr>
      </w:pPr>
    </w:p>
    <w:p w14:paraId="6BE5E18A">
      <w:pPr>
        <w:jc w:val="center"/>
        <w:rPr>
          <w:rFonts w:hint="eastAsia" w:asciiTheme="majorEastAsia" w:hAnsiTheme="majorEastAsia" w:eastAsiaTheme="majorEastAsia" w:cstheme="majorEastAsia"/>
          <w:b/>
          <w:bCs/>
          <w:color w:val="auto"/>
          <w:sz w:val="32"/>
          <w:szCs w:val="32"/>
          <w:lang w:eastAsia="zh-CN"/>
        </w:rPr>
      </w:pPr>
    </w:p>
    <w:p w14:paraId="6D0A5408">
      <w:pPr>
        <w:jc w:val="center"/>
        <w:rPr>
          <w:rFonts w:hint="eastAsia" w:asciiTheme="majorEastAsia" w:hAnsiTheme="majorEastAsia" w:eastAsiaTheme="majorEastAsia" w:cstheme="majorEastAsia"/>
          <w:color w:val="auto"/>
          <w:sz w:val="32"/>
          <w:szCs w:val="32"/>
          <w:lang w:eastAsia="zh-CN"/>
        </w:rPr>
      </w:pPr>
      <w:r>
        <w:rPr>
          <w:rFonts w:hint="eastAsia" w:asciiTheme="majorEastAsia" w:hAnsiTheme="majorEastAsia" w:eastAsiaTheme="majorEastAsia" w:cstheme="majorEastAsia"/>
          <w:b/>
          <w:bCs/>
          <w:color w:val="auto"/>
          <w:sz w:val="32"/>
          <w:szCs w:val="32"/>
          <w:lang w:eastAsia="zh-CN"/>
        </w:rPr>
        <w:t>※以下内容如果投标企业未涉及无需填写</w:t>
      </w:r>
    </w:p>
    <w:p w14:paraId="40469C22">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FE0AD7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96BF518">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DA65031">
      <w:pPr>
        <w:spacing w:before="182" w:line="219" w:lineRule="auto"/>
        <w:ind w:left="335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中小企业声明函（货物）</w:t>
      </w:r>
    </w:p>
    <w:p w14:paraId="505F43AA">
      <w:pPr>
        <w:pStyle w:val="7"/>
        <w:spacing w:line="384" w:lineRule="auto"/>
        <w:rPr>
          <w:rFonts w:hint="eastAsia" w:ascii="宋体" w:hAnsi="宋体" w:eastAsia="宋体" w:cs="宋体"/>
          <w:color w:val="auto"/>
          <w:lang w:eastAsia="zh-CN"/>
        </w:rPr>
      </w:pPr>
    </w:p>
    <w:p w14:paraId="71B39EC1">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2DE55B1">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lang w:eastAsia="zh-CN"/>
        </w:rPr>
        <w:t>，属于</w:t>
      </w:r>
      <w:r>
        <w:rPr>
          <w:rFonts w:hint="eastAsia" w:ascii="宋体" w:hAnsi="宋体"/>
          <w:b/>
          <w:bCs/>
          <w:i/>
          <w:iCs/>
          <w:color w:val="auto"/>
          <w:sz w:val="24"/>
          <w:u w:val="single"/>
          <w:lang w:val="zh-CN" w:eastAsia="zh-CN"/>
        </w:rPr>
        <w:t>工业</w:t>
      </w:r>
      <w:r>
        <w:rPr>
          <w:rFonts w:hint="eastAsia" w:ascii="宋体" w:hAnsi="宋体" w:eastAsia="宋体" w:cs="宋体"/>
          <w:color w:val="auto"/>
          <w:sz w:val="24"/>
          <w:szCs w:val="24"/>
          <w:lang w:eastAsia="zh-CN"/>
        </w:rPr>
        <w:t>；制造商为</w:t>
      </w:r>
      <w:r>
        <w:rPr>
          <w:rFonts w:hint="eastAsia" w:ascii="宋体" w:hAnsi="宋体" w:eastAsia="宋体" w:cs="宋体"/>
          <w:color w:val="auto"/>
          <w:sz w:val="24"/>
          <w:szCs w:val="24"/>
          <w:u w:val="single"/>
          <w:lang w:eastAsia="zh-CN"/>
        </w:rPr>
        <w:t>（企业名称）</w:t>
      </w:r>
      <w:r>
        <w:rPr>
          <w:rFonts w:hint="eastAsia" w:ascii="宋体" w:hAnsi="宋体" w:eastAsia="宋体" w:cs="宋体"/>
          <w:color w:val="auto"/>
          <w:sz w:val="24"/>
          <w:szCs w:val="24"/>
          <w:lang w:eastAsia="zh-CN"/>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万元，属于</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w:t>
      </w:r>
    </w:p>
    <w:p w14:paraId="768A194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lang w:eastAsia="zh-CN"/>
        </w:rPr>
        <w:t>，属于</w:t>
      </w:r>
      <w:r>
        <w:rPr>
          <w:rFonts w:hint="eastAsia" w:ascii="宋体" w:hAnsi="宋体"/>
          <w:b/>
          <w:bCs/>
          <w:i/>
          <w:iCs/>
          <w:color w:val="auto"/>
          <w:sz w:val="24"/>
          <w:u w:val="single"/>
          <w:lang w:val="zh-CN" w:eastAsia="zh-CN"/>
        </w:rPr>
        <w:t>工业</w:t>
      </w:r>
      <w:r>
        <w:rPr>
          <w:rFonts w:hint="eastAsia" w:ascii="宋体" w:hAnsi="宋体" w:eastAsia="宋体" w:cs="宋体"/>
          <w:color w:val="auto"/>
          <w:sz w:val="24"/>
          <w:szCs w:val="24"/>
          <w:lang w:eastAsia="zh-CN"/>
        </w:rPr>
        <w:t>；制造商为</w:t>
      </w:r>
      <w:r>
        <w:rPr>
          <w:rFonts w:hint="eastAsia" w:ascii="宋体" w:hAnsi="宋体" w:eastAsia="宋体" w:cs="宋体"/>
          <w:color w:val="auto"/>
          <w:sz w:val="24"/>
          <w:szCs w:val="24"/>
          <w:u w:val="single"/>
          <w:lang w:eastAsia="zh-CN"/>
        </w:rPr>
        <w:t>（企业名称）</w:t>
      </w:r>
      <w:r>
        <w:rPr>
          <w:rFonts w:hint="eastAsia" w:ascii="宋体" w:hAnsi="宋体" w:eastAsia="宋体" w:cs="宋体"/>
          <w:color w:val="auto"/>
          <w:sz w:val="24"/>
          <w:szCs w:val="24"/>
          <w:lang w:eastAsia="zh-CN"/>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万元，属于</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w:t>
      </w:r>
    </w:p>
    <w:p w14:paraId="2AF8988E">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p>
    <w:p w14:paraId="1E013875">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以上企业，不属于大企业的分支机构，不存在控股股东为大企业的情形，也不存在与大企业的负责人为同一人的情形。</w:t>
      </w:r>
    </w:p>
    <w:p w14:paraId="2FDFB52D">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本企业对上述声明内容的真实性负责。如有虚假，将依法承担相应责任。</w:t>
      </w:r>
    </w:p>
    <w:p w14:paraId="34363C91">
      <w:pPr>
        <w:rPr>
          <w:rFonts w:hint="eastAsia" w:ascii="宋体" w:hAnsi="宋体" w:eastAsia="宋体" w:cs="宋体"/>
          <w:color w:val="auto"/>
          <w:sz w:val="24"/>
          <w:szCs w:val="24"/>
          <w:lang w:eastAsia="zh-CN"/>
        </w:rPr>
      </w:pPr>
    </w:p>
    <w:p w14:paraId="1FBE4984">
      <w:pPr>
        <w:rPr>
          <w:rFonts w:hint="eastAsia" w:ascii="宋体" w:hAnsi="宋体" w:eastAsia="宋体" w:cs="宋体"/>
          <w:color w:val="auto"/>
          <w:sz w:val="24"/>
          <w:szCs w:val="24"/>
          <w:lang w:eastAsia="zh-CN"/>
        </w:rPr>
      </w:pPr>
    </w:p>
    <w:p w14:paraId="6217015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p>
    <w:p w14:paraId="279ACC1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p>
    <w:p w14:paraId="78940FED">
      <w:pPr>
        <w:rPr>
          <w:rFonts w:hint="eastAsia" w:ascii="宋体" w:hAnsi="宋体" w:eastAsia="宋体" w:cs="宋体"/>
          <w:color w:val="auto"/>
          <w:sz w:val="24"/>
          <w:szCs w:val="24"/>
          <w:lang w:eastAsia="zh-CN"/>
        </w:rPr>
      </w:pPr>
    </w:p>
    <w:p w14:paraId="6333F02E">
      <w:pPr>
        <w:rPr>
          <w:rFonts w:hint="eastAsia" w:ascii="宋体" w:hAnsi="宋体" w:eastAsia="宋体" w:cs="宋体"/>
          <w:color w:val="auto"/>
          <w:sz w:val="24"/>
          <w:szCs w:val="24"/>
          <w:lang w:eastAsia="zh-CN"/>
        </w:rPr>
      </w:pPr>
    </w:p>
    <w:p w14:paraId="5A9202EE">
      <w:pPr>
        <w:rPr>
          <w:rFonts w:hint="eastAsia" w:ascii="宋体" w:hAnsi="宋体" w:eastAsia="宋体" w:cs="宋体"/>
          <w:color w:val="auto"/>
          <w:sz w:val="24"/>
          <w:szCs w:val="24"/>
          <w:lang w:eastAsia="zh-CN"/>
        </w:rPr>
      </w:pPr>
    </w:p>
    <w:p w14:paraId="2E8745B8">
      <w:pPr>
        <w:rPr>
          <w:rFonts w:hint="eastAsia" w:ascii="宋体" w:hAnsi="宋体" w:eastAsia="宋体" w:cs="宋体"/>
          <w:color w:val="auto"/>
          <w:sz w:val="24"/>
          <w:szCs w:val="24"/>
          <w:lang w:eastAsia="zh-CN"/>
        </w:rPr>
      </w:pPr>
    </w:p>
    <w:p w14:paraId="168A74D8">
      <w:pPr>
        <w:rPr>
          <w:rFonts w:hint="eastAsia" w:ascii="宋体" w:hAnsi="宋体" w:eastAsia="宋体" w:cs="宋体"/>
          <w:color w:val="auto"/>
          <w:sz w:val="24"/>
          <w:szCs w:val="24"/>
          <w:lang w:eastAsia="zh-CN"/>
        </w:rPr>
      </w:pPr>
    </w:p>
    <w:p w14:paraId="58B14381">
      <w:pPr>
        <w:rPr>
          <w:rFonts w:hint="eastAsia" w:ascii="宋体" w:hAnsi="宋体" w:eastAsia="宋体" w:cs="宋体"/>
          <w:color w:val="auto"/>
          <w:sz w:val="24"/>
          <w:szCs w:val="24"/>
          <w:lang w:eastAsia="zh-CN"/>
        </w:rPr>
      </w:pPr>
    </w:p>
    <w:p w14:paraId="23779F2E">
      <w:pPr>
        <w:rPr>
          <w:rFonts w:hint="eastAsia" w:ascii="宋体" w:hAnsi="宋体" w:eastAsia="宋体" w:cs="宋体"/>
          <w:color w:val="auto"/>
          <w:sz w:val="24"/>
          <w:szCs w:val="24"/>
          <w:lang w:eastAsia="zh-CN"/>
        </w:rPr>
      </w:pPr>
    </w:p>
    <w:p w14:paraId="3F227018">
      <w:pPr>
        <w:rPr>
          <w:rFonts w:hint="eastAsia" w:ascii="宋体" w:hAnsi="宋体" w:eastAsia="宋体" w:cs="宋体"/>
          <w:color w:val="auto"/>
          <w:sz w:val="24"/>
          <w:szCs w:val="24"/>
          <w:lang w:eastAsia="zh-CN"/>
        </w:rPr>
      </w:pPr>
    </w:p>
    <w:p w14:paraId="27330E07">
      <w:pPr>
        <w:rPr>
          <w:rFonts w:hint="eastAsia" w:ascii="宋体" w:hAnsi="宋体" w:eastAsia="宋体" w:cs="宋体"/>
          <w:color w:val="auto"/>
          <w:sz w:val="24"/>
          <w:szCs w:val="24"/>
          <w:lang w:eastAsia="zh-CN"/>
        </w:rPr>
      </w:pPr>
    </w:p>
    <w:p w14:paraId="6CADFD0E">
      <w:pPr>
        <w:rPr>
          <w:rFonts w:hint="eastAsia" w:ascii="宋体" w:hAnsi="宋体" w:eastAsia="宋体" w:cs="宋体"/>
          <w:color w:val="auto"/>
          <w:sz w:val="24"/>
          <w:szCs w:val="24"/>
          <w:lang w:eastAsia="zh-CN"/>
        </w:rPr>
      </w:pPr>
    </w:p>
    <w:p w14:paraId="69D1EC1B">
      <w:pPr>
        <w:rPr>
          <w:rFonts w:hint="eastAsia" w:ascii="宋体" w:hAnsi="宋体" w:eastAsia="宋体" w:cs="宋体"/>
          <w:color w:val="auto"/>
          <w:sz w:val="24"/>
          <w:szCs w:val="24"/>
          <w:lang w:eastAsia="zh-CN"/>
        </w:rPr>
      </w:pPr>
    </w:p>
    <w:p w14:paraId="355BC8E9">
      <w:pPr>
        <w:rPr>
          <w:rFonts w:hint="eastAsia" w:ascii="宋体" w:hAnsi="宋体" w:eastAsia="宋体" w:cs="宋体"/>
          <w:color w:val="auto"/>
          <w:sz w:val="24"/>
          <w:szCs w:val="24"/>
          <w:lang w:eastAsia="zh-CN"/>
        </w:rPr>
      </w:pPr>
    </w:p>
    <w:p w14:paraId="1D376B36">
      <w:pPr>
        <w:rPr>
          <w:rFonts w:hint="eastAsia" w:ascii="宋体" w:hAnsi="宋体" w:eastAsia="宋体" w:cs="宋体"/>
          <w:color w:val="auto"/>
          <w:sz w:val="24"/>
          <w:szCs w:val="24"/>
          <w:lang w:eastAsia="zh-CN"/>
        </w:rPr>
      </w:pPr>
    </w:p>
    <w:p w14:paraId="7218C4EA">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p>
    <w:p w14:paraId="3B473E1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1.从业人员、营业收入、资产总额填报上一年度数据，无上一年度数据的新成立企业可不填报。</w:t>
      </w:r>
    </w:p>
    <w:p w14:paraId="3725E693">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2.中标人享受中小企业扶持政策的，将随中标结果一并公示，如声明函内容不实的，将视为提供虚假材料谋取中标，将追究其法律责任。</w:t>
      </w:r>
    </w:p>
    <w:p w14:paraId="440B76A9">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3.本项目所属行业：工业。</w:t>
      </w:r>
    </w:p>
    <w:p w14:paraId="06D40265">
      <w:pPr>
        <w:spacing w:line="480" w:lineRule="auto"/>
        <w:rPr>
          <w:rFonts w:ascii="宋体" w:hAnsi="宋体" w:cs="宋体"/>
          <w:color w:val="auto"/>
          <w:sz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0E6C9DBC">
      <w:pPr>
        <w:spacing w:before="182" w:line="220" w:lineRule="auto"/>
        <w:ind w:left="3332"/>
        <w:outlineLvl w:val="0"/>
        <w:rPr>
          <w:rFonts w:hint="eastAsia" w:ascii="宋体" w:hAnsi="宋体" w:eastAsia="宋体" w:cs="宋体"/>
          <w:color w:val="auto"/>
          <w:sz w:val="24"/>
          <w:szCs w:val="24"/>
          <w:lang w:eastAsia="zh-CN"/>
        </w:rPr>
      </w:pPr>
      <w:bookmarkStart w:id="68" w:name="_Toc511239410"/>
      <w:bookmarkStart w:id="69" w:name="_Toc511239255"/>
      <w:bookmarkStart w:id="70" w:name="_Toc7338700"/>
      <w:bookmarkStart w:id="71" w:name="_Toc14104092"/>
      <w:bookmarkStart w:id="72" w:name="_Toc14104574"/>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残疾人福利性单位声明函</w:t>
      </w:r>
    </w:p>
    <w:p w14:paraId="77EBDBE2">
      <w:pPr>
        <w:pStyle w:val="7"/>
        <w:spacing w:line="283" w:lineRule="auto"/>
        <w:rPr>
          <w:rFonts w:hint="eastAsia" w:ascii="宋体" w:hAnsi="宋体" w:eastAsia="宋体" w:cs="宋体"/>
          <w:color w:val="auto"/>
          <w:lang w:eastAsia="zh-CN"/>
        </w:rPr>
      </w:pPr>
    </w:p>
    <w:p w14:paraId="2E5F5BD9">
      <w:pPr>
        <w:pStyle w:val="7"/>
        <w:spacing w:line="283" w:lineRule="auto"/>
        <w:rPr>
          <w:rFonts w:hint="eastAsia" w:ascii="宋体" w:hAnsi="宋体" w:eastAsia="宋体" w:cs="宋体"/>
          <w:color w:val="auto"/>
          <w:lang w:eastAsia="zh-CN"/>
        </w:rPr>
      </w:pPr>
    </w:p>
    <w:p w14:paraId="1B53594B">
      <w:pPr>
        <w:spacing w:before="78" w:line="465" w:lineRule="exact"/>
        <w:ind w:right="2"/>
        <w:jc w:val="right"/>
        <w:rPr>
          <w:rFonts w:hint="eastAsia" w:ascii="宋体" w:hAnsi="宋体" w:eastAsia="宋体" w:cs="宋体"/>
          <w:color w:val="auto"/>
          <w:sz w:val="24"/>
          <w:szCs w:val="24"/>
          <w:lang w:eastAsia="zh-CN"/>
        </w:rPr>
      </w:pPr>
      <w:r>
        <w:rPr>
          <w:rFonts w:hint="eastAsia" w:ascii="宋体" w:hAnsi="宋体" w:eastAsia="宋体" w:cs="宋体"/>
          <w:color w:val="auto"/>
          <w:spacing w:val="-4"/>
          <w:position w:val="17"/>
          <w:sz w:val="24"/>
          <w:szCs w:val="24"/>
          <w:lang w:eastAsia="zh-CN"/>
        </w:rPr>
        <w:t>本单位郑重声明，根据《财政部</w:t>
      </w:r>
      <w:r>
        <w:rPr>
          <w:rFonts w:hint="eastAsia" w:ascii="宋体" w:hAnsi="宋体" w:eastAsia="宋体" w:cs="宋体"/>
          <w:color w:val="auto"/>
          <w:spacing w:val="38"/>
          <w:position w:val="17"/>
          <w:sz w:val="24"/>
          <w:szCs w:val="24"/>
          <w:lang w:eastAsia="zh-CN"/>
        </w:rPr>
        <w:t xml:space="preserve"> </w:t>
      </w:r>
      <w:r>
        <w:rPr>
          <w:rFonts w:hint="eastAsia" w:ascii="宋体" w:hAnsi="宋体" w:eastAsia="宋体" w:cs="宋体"/>
          <w:color w:val="auto"/>
          <w:spacing w:val="-4"/>
          <w:position w:val="17"/>
          <w:sz w:val="24"/>
          <w:szCs w:val="24"/>
          <w:lang w:eastAsia="zh-CN"/>
        </w:rPr>
        <w:t>民政部</w:t>
      </w:r>
      <w:r>
        <w:rPr>
          <w:rFonts w:hint="eastAsia" w:ascii="宋体" w:hAnsi="宋体" w:eastAsia="宋体" w:cs="宋体"/>
          <w:color w:val="auto"/>
          <w:spacing w:val="32"/>
          <w:position w:val="17"/>
          <w:sz w:val="24"/>
          <w:szCs w:val="24"/>
          <w:lang w:eastAsia="zh-CN"/>
        </w:rPr>
        <w:t xml:space="preserve"> </w:t>
      </w:r>
      <w:r>
        <w:rPr>
          <w:rFonts w:hint="eastAsia" w:ascii="宋体" w:hAnsi="宋体" w:eastAsia="宋体" w:cs="宋体"/>
          <w:color w:val="auto"/>
          <w:spacing w:val="-4"/>
          <w:position w:val="17"/>
          <w:sz w:val="24"/>
          <w:szCs w:val="24"/>
          <w:lang w:eastAsia="zh-CN"/>
        </w:rPr>
        <w:t>中国残疾人联合会关于促进残疾人就业政府</w:t>
      </w:r>
    </w:p>
    <w:p w14:paraId="67955455">
      <w:pPr>
        <w:spacing w:line="219"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采购政策的通知》（财库〔2017〕141号）的规定</w:t>
      </w:r>
      <w:r>
        <w:rPr>
          <w:rFonts w:hint="eastAsia" w:ascii="宋体" w:hAnsi="宋体" w:eastAsia="宋体" w:cs="宋体"/>
          <w:color w:val="auto"/>
          <w:spacing w:val="-1"/>
          <w:sz w:val="24"/>
          <w:szCs w:val="24"/>
          <w:lang w:eastAsia="zh-CN"/>
        </w:rPr>
        <w:t>，本单位（请进行选择</w:t>
      </w:r>
      <w:r>
        <w:rPr>
          <w:rFonts w:hint="eastAsia" w:ascii="宋体" w:hAnsi="宋体" w:eastAsia="宋体" w:cs="宋体"/>
          <w:color w:val="auto"/>
          <w:sz w:val="24"/>
          <w:szCs w:val="24"/>
          <w:lang w:eastAsia="zh-CN"/>
        </w:rPr>
        <w:t>）：</w:t>
      </w:r>
    </w:p>
    <w:p w14:paraId="66D122A9">
      <w:pPr>
        <w:spacing w:before="182" w:line="220" w:lineRule="auto"/>
        <w:ind w:left="50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不属于符合条件的残疾人福利性单位。</w:t>
      </w:r>
    </w:p>
    <w:p w14:paraId="002B88D0">
      <w:pPr>
        <w:spacing w:before="182" w:line="359" w:lineRule="auto"/>
        <w:ind w:left="1" w:firstLine="50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lang w:eastAsia="zh-CN"/>
        </w:rPr>
        <w:t>且本单位参加</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2"/>
          <w:sz w:val="24"/>
          <w:szCs w:val="24"/>
          <w:lang w:eastAsia="zh-CN"/>
        </w:rPr>
        <w:t xml:space="preserve"> </w:t>
      </w:r>
      <w:r>
        <w:rPr>
          <w:rFonts w:hint="eastAsia" w:ascii="宋体" w:hAnsi="宋体" w:eastAsia="宋体" w:cs="宋体"/>
          <w:color w:val="auto"/>
          <w:spacing w:val="-3"/>
          <w:sz w:val="24"/>
          <w:szCs w:val="24"/>
          <w:lang w:eastAsia="zh-CN"/>
        </w:rPr>
        <w:t>单位的</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7"/>
          <w:sz w:val="24"/>
          <w:szCs w:val="24"/>
          <w:lang w:eastAsia="zh-CN"/>
        </w:rPr>
        <w:t xml:space="preserve"> </w:t>
      </w:r>
      <w:r>
        <w:rPr>
          <w:rFonts w:hint="eastAsia" w:ascii="宋体" w:hAnsi="宋体" w:eastAsia="宋体" w:cs="宋体"/>
          <w:color w:val="auto"/>
          <w:spacing w:val="-3"/>
          <w:sz w:val="24"/>
          <w:szCs w:val="24"/>
          <w:lang w:eastAsia="zh-CN"/>
        </w:rPr>
        <w:t>项目采购活</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动提供本单位制造的货物（由本单位承担工程/提供货物</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1"/>
          <w:sz w:val="24"/>
          <w:szCs w:val="24"/>
          <w:lang w:eastAsia="zh-CN"/>
        </w:rPr>
        <w:t>或者提供其他</w:t>
      </w:r>
      <w:r>
        <w:rPr>
          <w:rFonts w:hint="eastAsia" w:ascii="宋体" w:hAnsi="宋体" w:eastAsia="宋体" w:cs="宋体"/>
          <w:color w:val="auto"/>
          <w:sz w:val="24"/>
          <w:szCs w:val="24"/>
          <w:lang w:eastAsia="zh-CN"/>
        </w:rPr>
        <w:t>残疾人福利性</w:t>
      </w:r>
    </w:p>
    <w:p w14:paraId="212C37C1">
      <w:pPr>
        <w:spacing w:line="219" w:lineRule="auto"/>
        <w:ind w:left="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单位制造的货物（不包括使用非残疾人福利性单位注册商标的货物）。</w:t>
      </w:r>
    </w:p>
    <w:p w14:paraId="3863B6B0">
      <w:pPr>
        <w:spacing w:before="181"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本单位对上述声明的真实性负责。如有虚假，将依法承担相应责任。</w:t>
      </w:r>
    </w:p>
    <w:p w14:paraId="6464626A">
      <w:pPr>
        <w:pStyle w:val="7"/>
        <w:spacing w:line="249" w:lineRule="auto"/>
        <w:rPr>
          <w:rFonts w:hint="eastAsia" w:ascii="宋体" w:hAnsi="宋体" w:eastAsia="宋体" w:cs="宋体"/>
          <w:color w:val="auto"/>
          <w:lang w:eastAsia="zh-CN"/>
        </w:rPr>
      </w:pPr>
    </w:p>
    <w:p w14:paraId="7A206C99">
      <w:pPr>
        <w:pStyle w:val="7"/>
        <w:spacing w:line="249" w:lineRule="auto"/>
        <w:rPr>
          <w:rFonts w:hint="eastAsia" w:ascii="宋体" w:hAnsi="宋体" w:eastAsia="宋体" w:cs="宋体"/>
          <w:color w:val="auto"/>
          <w:lang w:eastAsia="zh-CN"/>
        </w:rPr>
      </w:pPr>
    </w:p>
    <w:p w14:paraId="48F31F98">
      <w:pPr>
        <w:pStyle w:val="7"/>
        <w:spacing w:line="249" w:lineRule="auto"/>
        <w:rPr>
          <w:rFonts w:hint="eastAsia" w:ascii="宋体" w:hAnsi="宋体" w:eastAsia="宋体" w:cs="宋体"/>
          <w:color w:val="auto"/>
          <w:lang w:eastAsia="zh-CN"/>
        </w:rPr>
      </w:pPr>
    </w:p>
    <w:p w14:paraId="320FE75B">
      <w:pPr>
        <w:pStyle w:val="7"/>
        <w:spacing w:line="249" w:lineRule="auto"/>
        <w:rPr>
          <w:rFonts w:hint="eastAsia" w:ascii="宋体" w:hAnsi="宋体" w:eastAsia="宋体" w:cs="宋体"/>
          <w:color w:val="auto"/>
          <w:lang w:eastAsia="zh-CN"/>
        </w:rPr>
      </w:pPr>
    </w:p>
    <w:p w14:paraId="272B5F6F">
      <w:pPr>
        <w:pStyle w:val="7"/>
        <w:spacing w:line="249" w:lineRule="auto"/>
        <w:rPr>
          <w:rFonts w:hint="eastAsia" w:ascii="宋体" w:hAnsi="宋体" w:eastAsia="宋体" w:cs="宋体"/>
          <w:color w:val="auto"/>
          <w:lang w:eastAsia="zh-CN"/>
        </w:rPr>
      </w:pPr>
    </w:p>
    <w:p w14:paraId="45F8E2D7">
      <w:pPr>
        <w:pStyle w:val="7"/>
        <w:spacing w:line="250" w:lineRule="auto"/>
        <w:rPr>
          <w:rFonts w:hint="eastAsia" w:ascii="宋体" w:hAnsi="宋体" w:eastAsia="宋体" w:cs="宋体"/>
          <w:color w:val="auto"/>
          <w:lang w:eastAsia="zh-CN"/>
        </w:rPr>
      </w:pPr>
    </w:p>
    <w:p w14:paraId="782330D0">
      <w:pPr>
        <w:spacing w:before="78"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14:paraId="79148C2D">
      <w:pPr>
        <w:spacing w:before="183" w:line="466" w:lineRule="exact"/>
        <w:ind w:left="481"/>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法定代表人（单位负责人）</w:t>
      </w:r>
    </w:p>
    <w:p w14:paraId="24529ADA">
      <w:pPr>
        <w:spacing w:line="220"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或授权代表（签字</w:t>
      </w:r>
      <w:r>
        <w:rPr>
          <w:rFonts w:hint="eastAsia" w:ascii="宋体" w:hAnsi="宋体" w:eastAsia="宋体" w:cs="宋体"/>
          <w:color w:val="auto"/>
          <w:spacing w:val="1"/>
          <w:sz w:val="24"/>
          <w:szCs w:val="24"/>
          <w:lang w:eastAsia="zh-CN"/>
        </w:rPr>
        <w:t>）：</w:t>
      </w:r>
    </w:p>
    <w:p w14:paraId="100B6475">
      <w:pPr>
        <w:pStyle w:val="7"/>
        <w:spacing w:line="257" w:lineRule="auto"/>
        <w:rPr>
          <w:rFonts w:hint="eastAsia" w:ascii="宋体" w:hAnsi="宋体" w:eastAsia="宋体" w:cs="宋体"/>
          <w:color w:val="auto"/>
          <w:lang w:eastAsia="zh-CN"/>
        </w:rPr>
      </w:pPr>
    </w:p>
    <w:p w14:paraId="20198604">
      <w:pPr>
        <w:pStyle w:val="7"/>
        <w:spacing w:line="258" w:lineRule="auto"/>
        <w:rPr>
          <w:rFonts w:hint="eastAsia" w:ascii="宋体" w:hAnsi="宋体" w:eastAsia="宋体" w:cs="宋体"/>
          <w:color w:val="auto"/>
          <w:lang w:eastAsia="zh-CN"/>
        </w:rPr>
      </w:pPr>
    </w:p>
    <w:p w14:paraId="0E37130F">
      <w:pPr>
        <w:pStyle w:val="7"/>
        <w:spacing w:line="258" w:lineRule="auto"/>
        <w:rPr>
          <w:rFonts w:hint="eastAsia" w:ascii="宋体" w:hAnsi="宋体" w:eastAsia="宋体" w:cs="宋体"/>
          <w:color w:val="auto"/>
          <w:lang w:eastAsia="zh-CN"/>
        </w:rPr>
      </w:pPr>
    </w:p>
    <w:p w14:paraId="71E2E47D">
      <w:pPr>
        <w:pStyle w:val="7"/>
        <w:spacing w:line="258" w:lineRule="auto"/>
        <w:rPr>
          <w:rFonts w:hint="eastAsia" w:ascii="宋体" w:hAnsi="宋体" w:eastAsia="宋体" w:cs="宋体"/>
          <w:color w:val="auto"/>
          <w:lang w:eastAsia="zh-CN"/>
        </w:rPr>
      </w:pPr>
    </w:p>
    <w:p w14:paraId="28647889">
      <w:pPr>
        <w:spacing w:before="78" w:line="220" w:lineRule="auto"/>
        <w:ind w:left="522"/>
        <w:rPr>
          <w:rFonts w:hint="eastAsia" w:ascii="宋体" w:hAnsi="宋体" w:eastAsia="宋体" w:cs="宋体"/>
          <w:color w:val="auto"/>
          <w:spacing w:val="-9"/>
          <w:sz w:val="24"/>
          <w:szCs w:val="24"/>
          <w:lang w:eastAsia="zh-CN"/>
        </w:rPr>
      </w:pPr>
      <w:r>
        <w:rPr>
          <w:rFonts w:hint="eastAsia" w:ascii="宋体" w:hAnsi="宋体" w:eastAsia="宋体" w:cs="宋体"/>
          <w:color w:val="auto"/>
          <w:spacing w:val="-9"/>
          <w:sz w:val="24"/>
          <w:szCs w:val="24"/>
          <w:lang w:eastAsia="zh-CN"/>
        </w:rPr>
        <w:t>日期:年月日</w:t>
      </w:r>
    </w:p>
    <w:p w14:paraId="3170F39E">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553EB1B0">
      <w:pPr>
        <w:spacing w:before="181" w:line="466" w:lineRule="exact"/>
        <w:ind w:left="1165"/>
        <w:rPr>
          <w:rFonts w:hint="eastAsia" w:ascii="宋体" w:hAnsi="宋体" w:eastAsia="宋体" w:cs="宋体"/>
          <w:color w:val="auto"/>
          <w:position w:val="17"/>
          <w:sz w:val="24"/>
          <w:szCs w:val="24"/>
          <w:lang w:eastAsia="zh-CN"/>
          <w14:textOutline w14:w="4356" w14:cap="sq" w14:cmpd="sng" w14:algn="ctr">
            <w14:solidFill>
              <w14:srgbClr w14:val="000000"/>
            </w14:solidFill>
            <w14:prstDash w14:val="solid"/>
            <w14:bevel/>
          </w14:textOutline>
        </w:rPr>
      </w:pPr>
    </w:p>
    <w:p w14:paraId="61339D1A">
      <w:pPr>
        <w:spacing w:before="181" w:line="466" w:lineRule="exact"/>
        <w:ind w:left="1165"/>
        <w:rPr>
          <w:rFonts w:hint="eastAsia" w:ascii="宋体" w:hAnsi="宋体" w:eastAsia="宋体" w:cs="宋体"/>
          <w:color w:val="auto"/>
          <w:position w:val="17"/>
          <w:sz w:val="24"/>
          <w:szCs w:val="24"/>
          <w:lang w:eastAsia="zh-CN"/>
          <w14:textOutline w14:w="4356" w14:cap="sq" w14:cmpd="sng" w14:algn="ctr">
            <w14:solidFill>
              <w14:srgbClr w14:val="000000"/>
            </w14:solidFill>
            <w14:prstDash w14:val="solid"/>
            <w14:bevel/>
          </w14:textOutline>
        </w:rPr>
      </w:pPr>
    </w:p>
    <w:p w14:paraId="141EEB6E">
      <w:pPr>
        <w:spacing w:before="181" w:line="466" w:lineRule="exact"/>
        <w:ind w:left="1165"/>
        <w:rPr>
          <w:rFonts w:hint="eastAsia" w:ascii="宋体" w:hAnsi="宋体" w:eastAsia="宋体" w:cs="宋体"/>
          <w:color w:val="auto"/>
          <w:position w:val="17"/>
          <w:sz w:val="24"/>
          <w:szCs w:val="24"/>
          <w:lang w:eastAsia="zh-CN"/>
          <w14:textOutline w14:w="4356" w14:cap="sq" w14:cmpd="sng" w14:algn="ctr">
            <w14:solidFill>
              <w14:srgbClr w14:val="000000"/>
            </w14:solidFill>
            <w14:prstDash w14:val="solid"/>
            <w14:bevel/>
          </w14:textOutline>
        </w:rPr>
      </w:pPr>
    </w:p>
    <w:p w14:paraId="013A8D8B">
      <w:pPr>
        <w:spacing w:before="181" w:line="466" w:lineRule="exact"/>
        <w:ind w:left="1165"/>
        <w:rPr>
          <w:rFonts w:hint="eastAsia" w:ascii="宋体" w:hAnsi="宋体" w:eastAsia="宋体" w:cs="宋体"/>
          <w:color w:val="auto"/>
          <w:sz w:val="24"/>
          <w:szCs w:val="24"/>
          <w:lang w:eastAsia="zh-CN"/>
        </w:rPr>
      </w:pPr>
      <w:r>
        <w:rPr>
          <w:rFonts w:hint="eastAsia" w:ascii="宋体" w:hAnsi="宋体" w:eastAsia="宋体" w:cs="宋体"/>
          <w:color w:val="auto"/>
          <w:position w:val="17"/>
          <w:sz w:val="24"/>
          <w:szCs w:val="24"/>
          <w:lang w:eastAsia="zh-CN"/>
          <w14:textOutline w14:w="4356" w14:cap="sq" w14:cmpd="sng" w14:algn="ctr">
            <w14:solidFill>
              <w14:srgbClr w14:val="000000"/>
            </w14:solidFill>
            <w14:prstDash w14:val="solid"/>
            <w14:bevel/>
          </w14:textOutline>
        </w:rPr>
        <w:t>省级以上监狱管理局、戒毒管理局（含新疆生产建设兵团）出具的</w:t>
      </w:r>
    </w:p>
    <w:p w14:paraId="3E54B1E9">
      <w:pPr>
        <w:spacing w:line="220" w:lineRule="auto"/>
        <w:ind w:left="3333"/>
        <w:outlineLvl w:val="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属于监狱企业的证明文件</w:t>
      </w:r>
    </w:p>
    <w:p w14:paraId="523A1C20">
      <w:pPr>
        <w:spacing w:before="182" w:line="219" w:lineRule="auto"/>
        <w:ind w:left="3700"/>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（如果是，提供）</w:t>
      </w:r>
    </w:p>
    <w:p w14:paraId="1A55CCD2">
      <w:pPr>
        <w:widowControl w:val="0"/>
        <w:kinsoku/>
        <w:autoSpaceDE/>
        <w:autoSpaceDN/>
        <w:spacing w:line="300" w:lineRule="auto"/>
        <w:jc w:val="center"/>
        <w:rPr>
          <w:rFonts w:ascii="宋体" w:hAnsi="宋体"/>
          <w:b/>
          <w:color w:val="auto"/>
          <w:sz w:val="24"/>
          <w:lang w:eastAsia="zh-CN"/>
        </w:rPr>
      </w:pPr>
    </w:p>
    <w:p w14:paraId="689F5BEB">
      <w:pPr>
        <w:widowControl w:val="0"/>
        <w:kinsoku/>
        <w:autoSpaceDE/>
        <w:autoSpaceDN/>
        <w:spacing w:line="300" w:lineRule="auto"/>
        <w:jc w:val="center"/>
        <w:rPr>
          <w:rFonts w:ascii="宋体" w:hAnsi="宋体"/>
          <w:b/>
          <w:color w:val="auto"/>
          <w:sz w:val="24"/>
          <w:lang w:eastAsia="zh-CN"/>
        </w:rPr>
      </w:pPr>
    </w:p>
    <w:p w14:paraId="44963916">
      <w:pPr>
        <w:widowControl w:val="0"/>
        <w:kinsoku/>
        <w:autoSpaceDE/>
        <w:autoSpaceDN/>
        <w:spacing w:line="300" w:lineRule="auto"/>
        <w:jc w:val="center"/>
        <w:rPr>
          <w:rFonts w:ascii="宋体" w:hAnsi="宋体"/>
          <w:b/>
          <w:color w:val="auto"/>
          <w:sz w:val="24"/>
          <w:lang w:eastAsia="zh-CN"/>
        </w:rPr>
      </w:pPr>
    </w:p>
    <w:p w14:paraId="5218DE5A">
      <w:pPr>
        <w:widowControl w:val="0"/>
        <w:kinsoku/>
        <w:autoSpaceDE/>
        <w:autoSpaceDN/>
        <w:spacing w:line="300" w:lineRule="auto"/>
        <w:jc w:val="center"/>
        <w:rPr>
          <w:rFonts w:ascii="宋体" w:hAnsi="宋体"/>
          <w:b/>
          <w:color w:val="auto"/>
          <w:sz w:val="24"/>
          <w:lang w:eastAsia="zh-CN"/>
        </w:rPr>
      </w:pPr>
    </w:p>
    <w:p w14:paraId="1F1708FA">
      <w:pPr>
        <w:widowControl w:val="0"/>
        <w:kinsoku/>
        <w:autoSpaceDE/>
        <w:autoSpaceDN/>
        <w:spacing w:line="300" w:lineRule="auto"/>
        <w:jc w:val="center"/>
        <w:rPr>
          <w:rFonts w:ascii="宋体" w:hAnsi="宋体"/>
          <w:b/>
          <w:color w:val="auto"/>
          <w:sz w:val="24"/>
          <w:lang w:eastAsia="zh-CN"/>
        </w:rPr>
      </w:pPr>
    </w:p>
    <w:p w14:paraId="51C00FF9">
      <w:pPr>
        <w:widowControl w:val="0"/>
        <w:kinsoku/>
        <w:autoSpaceDE/>
        <w:autoSpaceDN/>
        <w:spacing w:line="300" w:lineRule="auto"/>
        <w:jc w:val="center"/>
        <w:rPr>
          <w:rFonts w:ascii="宋体" w:hAnsi="宋体"/>
          <w:b/>
          <w:color w:val="auto"/>
          <w:sz w:val="24"/>
          <w:lang w:eastAsia="zh-CN"/>
        </w:rPr>
      </w:pPr>
    </w:p>
    <w:p w14:paraId="5031A34A">
      <w:pPr>
        <w:widowControl w:val="0"/>
        <w:kinsoku/>
        <w:autoSpaceDE/>
        <w:autoSpaceDN/>
        <w:spacing w:line="300" w:lineRule="auto"/>
        <w:jc w:val="center"/>
        <w:rPr>
          <w:rFonts w:ascii="宋体" w:hAnsi="宋体"/>
          <w:b/>
          <w:color w:val="auto"/>
          <w:sz w:val="24"/>
          <w:lang w:eastAsia="zh-CN"/>
        </w:rPr>
      </w:pPr>
    </w:p>
    <w:p w14:paraId="1B5233F0">
      <w:pPr>
        <w:widowControl w:val="0"/>
        <w:kinsoku/>
        <w:autoSpaceDE/>
        <w:autoSpaceDN/>
        <w:spacing w:line="300" w:lineRule="auto"/>
        <w:jc w:val="center"/>
        <w:rPr>
          <w:rFonts w:ascii="宋体" w:hAnsi="宋体"/>
          <w:b/>
          <w:color w:val="auto"/>
          <w:sz w:val="24"/>
          <w:lang w:eastAsia="zh-CN"/>
        </w:rPr>
      </w:pPr>
    </w:p>
    <w:p w14:paraId="3B9F40CD">
      <w:pPr>
        <w:widowControl w:val="0"/>
        <w:kinsoku/>
        <w:autoSpaceDE/>
        <w:autoSpaceDN/>
        <w:spacing w:line="300" w:lineRule="auto"/>
        <w:jc w:val="center"/>
        <w:rPr>
          <w:rFonts w:ascii="宋体" w:hAnsi="宋体"/>
          <w:b/>
          <w:color w:val="auto"/>
          <w:sz w:val="24"/>
          <w:lang w:eastAsia="zh-CN"/>
        </w:rPr>
      </w:pPr>
    </w:p>
    <w:p w14:paraId="6785BE4E">
      <w:pPr>
        <w:widowControl w:val="0"/>
        <w:kinsoku/>
        <w:autoSpaceDE/>
        <w:autoSpaceDN/>
        <w:spacing w:line="300" w:lineRule="auto"/>
        <w:jc w:val="center"/>
        <w:rPr>
          <w:rFonts w:ascii="宋体" w:hAnsi="宋体"/>
          <w:b/>
          <w:color w:val="auto"/>
          <w:sz w:val="24"/>
          <w:lang w:eastAsia="zh-CN"/>
        </w:rPr>
      </w:pPr>
    </w:p>
    <w:p w14:paraId="10E29B44">
      <w:pPr>
        <w:widowControl w:val="0"/>
        <w:kinsoku/>
        <w:autoSpaceDE/>
        <w:autoSpaceDN/>
        <w:spacing w:line="300" w:lineRule="auto"/>
        <w:jc w:val="center"/>
        <w:rPr>
          <w:rFonts w:ascii="宋体" w:hAnsi="宋体"/>
          <w:b/>
          <w:color w:val="auto"/>
          <w:sz w:val="24"/>
          <w:lang w:eastAsia="zh-CN"/>
        </w:rPr>
      </w:pPr>
    </w:p>
    <w:p w14:paraId="606B4CE1">
      <w:pPr>
        <w:widowControl w:val="0"/>
        <w:kinsoku/>
        <w:autoSpaceDE/>
        <w:autoSpaceDN/>
        <w:spacing w:line="300" w:lineRule="auto"/>
        <w:jc w:val="center"/>
        <w:rPr>
          <w:rFonts w:ascii="宋体" w:hAnsi="宋体"/>
          <w:b/>
          <w:color w:val="auto"/>
          <w:sz w:val="24"/>
          <w:lang w:eastAsia="zh-CN"/>
        </w:rPr>
      </w:pPr>
    </w:p>
    <w:p w14:paraId="0F713107">
      <w:pPr>
        <w:widowControl w:val="0"/>
        <w:kinsoku/>
        <w:autoSpaceDE/>
        <w:autoSpaceDN/>
        <w:spacing w:line="300" w:lineRule="auto"/>
        <w:jc w:val="center"/>
        <w:rPr>
          <w:rFonts w:ascii="宋体" w:hAnsi="宋体"/>
          <w:b/>
          <w:color w:val="auto"/>
          <w:sz w:val="24"/>
          <w:lang w:eastAsia="zh-CN"/>
        </w:rPr>
      </w:pPr>
    </w:p>
    <w:p w14:paraId="0472927E">
      <w:pPr>
        <w:widowControl w:val="0"/>
        <w:kinsoku/>
        <w:autoSpaceDE/>
        <w:autoSpaceDN/>
        <w:spacing w:line="300" w:lineRule="auto"/>
        <w:jc w:val="center"/>
        <w:rPr>
          <w:rFonts w:ascii="宋体" w:hAnsi="宋体"/>
          <w:b/>
          <w:color w:val="auto"/>
          <w:sz w:val="24"/>
          <w:lang w:eastAsia="zh-CN"/>
        </w:rPr>
      </w:pPr>
    </w:p>
    <w:p w14:paraId="3A6AA10C">
      <w:pPr>
        <w:widowControl w:val="0"/>
        <w:kinsoku/>
        <w:autoSpaceDE/>
        <w:autoSpaceDN/>
        <w:spacing w:line="300" w:lineRule="auto"/>
        <w:jc w:val="center"/>
        <w:rPr>
          <w:rFonts w:ascii="宋体" w:hAnsi="宋体"/>
          <w:b/>
          <w:color w:val="auto"/>
          <w:sz w:val="24"/>
          <w:lang w:eastAsia="zh-CN"/>
        </w:rPr>
      </w:pPr>
    </w:p>
    <w:p w14:paraId="27B128D2">
      <w:pPr>
        <w:widowControl w:val="0"/>
        <w:kinsoku/>
        <w:autoSpaceDE/>
        <w:autoSpaceDN/>
        <w:spacing w:line="300" w:lineRule="auto"/>
        <w:jc w:val="center"/>
        <w:rPr>
          <w:rFonts w:ascii="宋体" w:hAnsi="宋体"/>
          <w:b/>
          <w:color w:val="auto"/>
          <w:sz w:val="24"/>
          <w:lang w:eastAsia="zh-CN"/>
        </w:rPr>
      </w:pPr>
    </w:p>
    <w:p w14:paraId="5277C380">
      <w:pPr>
        <w:widowControl w:val="0"/>
        <w:kinsoku/>
        <w:autoSpaceDE/>
        <w:autoSpaceDN/>
        <w:spacing w:line="300" w:lineRule="auto"/>
        <w:jc w:val="center"/>
        <w:rPr>
          <w:rFonts w:ascii="宋体" w:hAnsi="宋体"/>
          <w:b/>
          <w:color w:val="auto"/>
          <w:sz w:val="24"/>
          <w:lang w:eastAsia="zh-CN"/>
        </w:rPr>
      </w:pPr>
    </w:p>
    <w:p w14:paraId="5793DCB7">
      <w:pPr>
        <w:widowControl w:val="0"/>
        <w:kinsoku/>
        <w:autoSpaceDE/>
        <w:autoSpaceDN/>
        <w:spacing w:line="300" w:lineRule="auto"/>
        <w:jc w:val="center"/>
        <w:rPr>
          <w:rFonts w:ascii="宋体" w:hAnsi="宋体"/>
          <w:b/>
          <w:color w:val="auto"/>
          <w:sz w:val="24"/>
          <w:lang w:eastAsia="zh-CN"/>
        </w:rPr>
      </w:pPr>
    </w:p>
    <w:p w14:paraId="5E8742CD">
      <w:pPr>
        <w:widowControl w:val="0"/>
        <w:kinsoku/>
        <w:autoSpaceDE/>
        <w:autoSpaceDN/>
        <w:spacing w:line="300" w:lineRule="auto"/>
        <w:jc w:val="center"/>
        <w:rPr>
          <w:rFonts w:ascii="宋体" w:hAnsi="宋体"/>
          <w:b/>
          <w:color w:val="auto"/>
          <w:sz w:val="24"/>
          <w:lang w:eastAsia="zh-CN"/>
        </w:rPr>
      </w:pPr>
    </w:p>
    <w:p w14:paraId="061AA903">
      <w:pPr>
        <w:widowControl w:val="0"/>
        <w:kinsoku/>
        <w:autoSpaceDE/>
        <w:autoSpaceDN/>
        <w:spacing w:line="300" w:lineRule="auto"/>
        <w:jc w:val="center"/>
        <w:rPr>
          <w:rFonts w:ascii="宋体" w:hAnsi="宋体"/>
          <w:b/>
          <w:color w:val="auto"/>
          <w:sz w:val="24"/>
          <w:lang w:eastAsia="zh-CN"/>
        </w:rPr>
      </w:pPr>
    </w:p>
    <w:p w14:paraId="47D29934">
      <w:pPr>
        <w:widowControl w:val="0"/>
        <w:kinsoku/>
        <w:autoSpaceDE/>
        <w:autoSpaceDN/>
        <w:spacing w:line="300" w:lineRule="auto"/>
        <w:jc w:val="center"/>
        <w:rPr>
          <w:rFonts w:ascii="宋体" w:hAnsi="宋体"/>
          <w:b/>
          <w:color w:val="auto"/>
          <w:sz w:val="24"/>
          <w:lang w:eastAsia="zh-CN"/>
        </w:rPr>
      </w:pPr>
    </w:p>
    <w:p w14:paraId="754C33CF">
      <w:pPr>
        <w:widowControl w:val="0"/>
        <w:kinsoku/>
        <w:autoSpaceDE/>
        <w:autoSpaceDN/>
        <w:spacing w:line="300" w:lineRule="auto"/>
        <w:jc w:val="center"/>
        <w:rPr>
          <w:rFonts w:ascii="宋体" w:hAnsi="宋体"/>
          <w:b/>
          <w:color w:val="auto"/>
          <w:sz w:val="24"/>
          <w:lang w:eastAsia="zh-CN"/>
        </w:rPr>
      </w:pPr>
    </w:p>
    <w:p w14:paraId="076C76D3">
      <w:pPr>
        <w:widowControl w:val="0"/>
        <w:kinsoku/>
        <w:autoSpaceDE/>
        <w:autoSpaceDN/>
        <w:spacing w:line="300" w:lineRule="auto"/>
        <w:jc w:val="center"/>
        <w:rPr>
          <w:rFonts w:ascii="宋体" w:hAnsi="宋体"/>
          <w:b/>
          <w:color w:val="auto"/>
          <w:sz w:val="24"/>
          <w:lang w:eastAsia="zh-CN"/>
        </w:rPr>
      </w:pPr>
    </w:p>
    <w:p w14:paraId="67174269">
      <w:pPr>
        <w:widowControl w:val="0"/>
        <w:kinsoku/>
        <w:autoSpaceDE/>
        <w:autoSpaceDN/>
        <w:spacing w:line="300" w:lineRule="auto"/>
        <w:jc w:val="center"/>
        <w:rPr>
          <w:rFonts w:ascii="宋体" w:hAnsi="宋体"/>
          <w:b/>
          <w:color w:val="auto"/>
          <w:sz w:val="24"/>
          <w:lang w:eastAsia="zh-CN"/>
        </w:rPr>
      </w:pPr>
    </w:p>
    <w:p w14:paraId="025B941C">
      <w:pPr>
        <w:widowControl w:val="0"/>
        <w:kinsoku/>
        <w:autoSpaceDE/>
        <w:autoSpaceDN/>
        <w:spacing w:line="300" w:lineRule="auto"/>
        <w:jc w:val="center"/>
        <w:rPr>
          <w:rFonts w:ascii="宋体" w:hAnsi="宋体"/>
          <w:b/>
          <w:color w:val="auto"/>
          <w:sz w:val="24"/>
          <w:lang w:eastAsia="zh-CN"/>
        </w:rPr>
      </w:pPr>
    </w:p>
    <w:p w14:paraId="0E4DA11C">
      <w:pPr>
        <w:widowControl w:val="0"/>
        <w:kinsoku/>
        <w:autoSpaceDE/>
        <w:autoSpaceDN/>
        <w:spacing w:line="300" w:lineRule="auto"/>
        <w:jc w:val="center"/>
        <w:rPr>
          <w:rFonts w:ascii="宋体" w:hAnsi="宋体"/>
          <w:b/>
          <w:color w:val="auto"/>
          <w:sz w:val="24"/>
          <w:lang w:eastAsia="zh-CN"/>
        </w:rPr>
      </w:pPr>
    </w:p>
    <w:bookmarkEnd w:id="68"/>
    <w:bookmarkEnd w:id="69"/>
    <w:bookmarkEnd w:id="70"/>
    <w:bookmarkEnd w:id="71"/>
    <w:bookmarkEnd w:id="72"/>
    <w:p w14:paraId="532A65B9">
      <w:pPr>
        <w:spacing w:before="48" w:line="219" w:lineRule="auto"/>
        <w:ind w:left="19"/>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C8D3DAE">
      <w:pPr>
        <w:spacing w:before="48" w:line="219" w:lineRule="auto"/>
        <w:ind w:left="19"/>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183FD05">
      <w:pPr>
        <w:spacing w:before="48" w:line="219" w:lineRule="auto"/>
        <w:ind w:left="19"/>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附：中小企业划型标准规定</w:t>
      </w:r>
    </w:p>
    <w:p w14:paraId="6F8EAD96">
      <w:pPr>
        <w:spacing w:before="48" w:line="219" w:lineRule="auto"/>
        <w:ind w:left="19"/>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FA64E99">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一、根据《中华人民共和国中小企业促进法》和《国务院关于进一步促进中小企业发展的若干意见》 (国发〔2009〕36 号)，制定本规定。</w:t>
      </w:r>
    </w:p>
    <w:p w14:paraId="3A222E3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二、中小企业划分为中型、小型、微型三种类型，具体标准根据企业从业人员、营业收入、资产总额等指标，结合行业特点制定。</w:t>
      </w:r>
    </w:p>
    <w:p w14:paraId="4C536CF0">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37870A2E">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四、各行业划型标准为：</w:t>
      </w:r>
    </w:p>
    <w:p w14:paraId="529E5C21">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（一）农、林、牧、渔业。营业收入 20000 万元以下的为中小微型企业。其中，营业收入 500 万元及以上的为中型企业，营业收入 50 万元及以上的为小型企业，营业收入 50 万元以下的为微型企业。</w:t>
      </w:r>
    </w:p>
    <w:p w14:paraId="20413A87">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016F0D09">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C53CA6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55883A0A">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6627838F">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14EEF917">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2ED6AFAA">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7D1DCB1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7B055CB7">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17C2C23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25A12A1F">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32D9A9F3">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房地产开发经营。营业收入 200000 万元以下或资产总额 10000 万元以下的为中</w:t>
      </w:r>
    </w:p>
    <w:p w14:paraId="63599C1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7FC58C1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589B827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60E875FA">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（十六）其他未列明行业。从业人员 300 人以下的为中小微型企业。其中，从业人员 100 人及以上的为中型企业；从业人员 10 人及以上的为小型企业；从业人员 10 人以下的为微型企业。</w:t>
      </w:r>
    </w:p>
    <w:p w14:paraId="5102EFD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五、企业类型的划分以统计部门的统计数据为依据。</w:t>
      </w:r>
    </w:p>
    <w:p w14:paraId="78B87DF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六、本规定适用于在中华人民共和国境内依法设立的各类所有制和各种组织形式的企业。个体工商户和本规定以外的行业，参照本规定进行划型。</w:t>
      </w:r>
    </w:p>
    <w:p w14:paraId="58C4A180">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七、本规定的中型企业标准上限即为大型企业标准的下限，国家统计部门据此制定大中小 微型企业的统计分类。国务院有关部门据此进行相关数据分析，不得制定与本规定不一致的企业划型标准。</w:t>
      </w:r>
    </w:p>
    <w:p w14:paraId="0A749D9F">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八、本规定由工业和信息化部、国家统计局会同有关部门根据《国民经济行业分类》修订情况和企业发展变化情况适时修订。</w:t>
      </w:r>
    </w:p>
    <w:p w14:paraId="36CF8260">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九、本规定由工业和信息化部、国家统计局会同有关部门负责解释。</w:t>
      </w:r>
    </w:p>
    <w:p w14:paraId="51C97DC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十、本规定自发布之日起执行，原国家经贸委、原国家计委、财政部和国家统计局 2003</w:t>
      </w:r>
    </w:p>
    <w:p w14:paraId="39EA4FFF">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年颁布的《中小企业标准暂行规定》同时废止。</w:t>
      </w:r>
    </w:p>
    <w:p w14:paraId="6D0BBF47">
      <w:pPr>
        <w:pStyle w:val="36"/>
        <w:spacing w:line="340" w:lineRule="exact"/>
        <w:jc w:val="center"/>
        <w:rPr>
          <w:rStyle w:val="37"/>
          <w:rFonts w:hint="eastAsia" w:asciiTheme="majorEastAsia" w:hAnsiTheme="majorEastAsia" w:eastAsiaTheme="majorEastAsia" w:cstheme="majorEastAsia"/>
          <w:b/>
          <w:color w:val="auto"/>
          <w:kern w:val="0"/>
          <w:szCs w:val="21"/>
        </w:rPr>
      </w:pPr>
      <w:r>
        <w:rPr>
          <w:rFonts w:hint="eastAsia" w:eastAsia="宋体" w:cs="宋体"/>
          <w:color w:val="auto"/>
          <w:spacing w:val="-2"/>
          <w14:textOutline w14:w="4356" w14:cap="sq" w14:cmpd="sng" w14:algn="ctr">
            <w14:solidFill>
              <w14:srgbClr w14:val="000000"/>
            </w14:solidFill>
            <w14:prstDash w14:val="solid"/>
            <w14:bevel/>
          </w14:textOutline>
        </w:rPr>
        <w:br w:type="page"/>
      </w:r>
      <w:r>
        <w:rPr>
          <w:rStyle w:val="37"/>
          <w:rFonts w:hint="eastAsia" w:asciiTheme="majorEastAsia" w:hAnsiTheme="majorEastAsia" w:eastAsiaTheme="majorEastAsia" w:cstheme="majorEastAsia"/>
          <w:b/>
          <w:color w:val="auto"/>
          <w:kern w:val="0"/>
          <w:sz w:val="28"/>
          <w:szCs w:val="28"/>
        </w:rPr>
        <w:t>《统计上大中小微型企业划分办法（2017）》修订说明</w:t>
      </w:r>
    </w:p>
    <w:p w14:paraId="76B5F83B">
      <w:pPr>
        <w:spacing w:line="400" w:lineRule="exact"/>
        <w:ind w:firstLine="420" w:firstLineChars="200"/>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rPr>
        <w:t>一</w:t>
      </w:r>
      <w:r>
        <w:rPr>
          <w:rStyle w:val="37"/>
          <w:rFonts w:hint="eastAsia" w:asciiTheme="majorEastAsia" w:hAnsiTheme="majorEastAsia" w:eastAsiaTheme="majorEastAsia" w:cstheme="majorEastAsia"/>
          <w:color w:val="auto"/>
          <w:sz w:val="24"/>
          <w:szCs w:val="24"/>
        </w:rPr>
        <w:t>、修订背景</w:t>
      </w:r>
    </w:p>
    <w:p w14:paraId="3E00EFF0">
      <w:pPr>
        <w:spacing w:line="400" w:lineRule="exact"/>
        <w:ind w:firstLine="480" w:firstLineChars="200"/>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5019172">
      <w:pPr>
        <w:spacing w:line="400" w:lineRule="exact"/>
        <w:ind w:firstLine="480" w:firstLineChars="200"/>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8359249">
      <w:pPr>
        <w:spacing w:line="400" w:lineRule="exact"/>
        <w:ind w:firstLine="480" w:firstLineChars="200"/>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二、修订主要内容</w:t>
      </w:r>
    </w:p>
    <w:p w14:paraId="6A39EC7C">
      <w:pPr>
        <w:spacing w:line="400" w:lineRule="exact"/>
        <w:ind w:firstLine="480" w:firstLineChars="200"/>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B323573">
      <w:pPr>
        <w:spacing w:line="400" w:lineRule="exact"/>
        <w:ind w:firstLine="480" w:firstLineChars="200"/>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将交通运输业中包括的“装卸搬运和运输代理业”修改为“多式联运和运输代理业、装卸搬运”。</w:t>
      </w:r>
    </w:p>
    <w:p w14:paraId="603965E6">
      <w:pPr>
        <w:spacing w:line="400" w:lineRule="exact"/>
        <w:ind w:firstLine="512" w:firstLineChars="200"/>
        <w:rPr>
          <w:rStyle w:val="37"/>
          <w:rFonts w:hint="eastAsia" w:asciiTheme="majorEastAsia" w:hAnsiTheme="majorEastAsia" w:eastAsiaTheme="majorEastAsia" w:cstheme="majorEastAsia"/>
          <w:color w:val="auto"/>
          <w:spacing w:val="8"/>
          <w:sz w:val="24"/>
          <w:szCs w:val="24"/>
        </w:rPr>
      </w:pPr>
      <w:r>
        <w:rPr>
          <w:rStyle w:val="37"/>
          <w:rFonts w:hint="eastAsia" w:asciiTheme="majorEastAsia" w:hAnsiTheme="majorEastAsia" w:eastAsiaTheme="majorEastAsia" w:cstheme="majorEastAsia"/>
          <w:color w:val="auto"/>
          <w:spacing w:val="8"/>
          <w:sz w:val="24"/>
          <w:szCs w:val="24"/>
        </w:rPr>
        <w:t>仓储业所包括的行业中类，根据《国民经济行业分类》</w:t>
      </w:r>
      <w:r>
        <w:rPr>
          <w:rStyle w:val="37"/>
          <w:rFonts w:hint="eastAsia" w:asciiTheme="majorEastAsia" w:hAnsiTheme="majorEastAsia" w:eastAsiaTheme="majorEastAsia" w:cstheme="majorEastAsia"/>
          <w:color w:val="auto"/>
          <w:sz w:val="24"/>
          <w:szCs w:val="24"/>
        </w:rPr>
        <w:t>（GB/T 4754—2017）</w:t>
      </w:r>
      <w:r>
        <w:rPr>
          <w:rStyle w:val="37"/>
          <w:rFonts w:hint="eastAsia" w:asciiTheme="majorEastAsia" w:hAnsiTheme="majorEastAsia" w:eastAsiaTheme="majorEastAsia" w:cstheme="majorEastAsia"/>
          <w:color w:val="auto"/>
          <w:spacing w:val="8"/>
          <w:sz w:val="24"/>
          <w:szCs w:val="24"/>
        </w:rPr>
        <w:t>调整为“通用仓储，低温仓储，危险品仓储，谷物、棉花等农产品仓储，中药材仓储和其他仓储业”。</w:t>
      </w:r>
    </w:p>
    <w:p w14:paraId="150722B1">
      <w:pPr>
        <w:spacing w:line="40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附表</w:t>
      </w:r>
    </w:p>
    <w:p w14:paraId="4DCA96A0">
      <w:pPr>
        <w:spacing w:line="40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统计上大中小微型企业划分标准</w:t>
      </w:r>
    </w:p>
    <w:tbl>
      <w:tblPr>
        <w:tblStyle w:val="18"/>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6"/>
        <w:gridCol w:w="1521"/>
        <w:gridCol w:w="729"/>
        <w:gridCol w:w="1189"/>
        <w:gridCol w:w="1832"/>
        <w:gridCol w:w="1426"/>
        <w:gridCol w:w="992"/>
      </w:tblGrid>
      <w:tr w14:paraId="2D21D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1746" w:type="dxa"/>
            <w:tcBorders>
              <w:top w:val="single" w:color="000000" w:sz="4" w:space="0"/>
              <w:left w:val="single" w:color="000000" w:sz="4" w:space="0"/>
              <w:bottom w:val="single" w:color="000000" w:sz="4" w:space="0"/>
              <w:right w:val="single" w:color="000000" w:sz="4" w:space="0"/>
            </w:tcBorders>
            <w:vAlign w:val="center"/>
          </w:tcPr>
          <w:p w14:paraId="7001460C">
            <w:pPr>
              <w:spacing w:line="240" w:lineRule="exact"/>
              <w:rPr>
                <w:rStyle w:val="37"/>
                <w:rFonts w:hint="eastAsia" w:asciiTheme="majorEastAsia" w:hAnsiTheme="majorEastAsia" w:eastAsiaTheme="majorEastAsia" w:cstheme="majorEastAsia"/>
                <w:bCs/>
                <w:color w:val="auto"/>
                <w:sz w:val="24"/>
                <w:szCs w:val="24"/>
              </w:rPr>
            </w:pPr>
            <w:r>
              <w:rPr>
                <w:rStyle w:val="37"/>
                <w:rFonts w:hint="eastAsia" w:asciiTheme="majorEastAsia" w:hAnsiTheme="majorEastAsia" w:eastAsiaTheme="majorEastAsia" w:cstheme="majorEastAsia"/>
                <w:bCs/>
                <w:color w:val="auto"/>
                <w:sz w:val="24"/>
                <w:szCs w:val="24"/>
              </w:rPr>
              <w:t>行业名称</w:t>
            </w:r>
          </w:p>
        </w:tc>
        <w:tc>
          <w:tcPr>
            <w:tcW w:w="1521" w:type="dxa"/>
            <w:tcBorders>
              <w:top w:val="single" w:color="000000" w:sz="4" w:space="0"/>
              <w:left w:val="single" w:color="000000" w:sz="4" w:space="0"/>
              <w:bottom w:val="single" w:color="000000" w:sz="4" w:space="0"/>
              <w:right w:val="single" w:color="000000" w:sz="4" w:space="0"/>
            </w:tcBorders>
            <w:vAlign w:val="center"/>
          </w:tcPr>
          <w:p w14:paraId="7BE936F6">
            <w:pPr>
              <w:rPr>
                <w:rStyle w:val="37"/>
                <w:rFonts w:hint="eastAsia" w:asciiTheme="majorEastAsia" w:hAnsiTheme="majorEastAsia" w:eastAsiaTheme="majorEastAsia" w:cstheme="majorEastAsia"/>
                <w:bCs/>
                <w:color w:val="auto"/>
                <w:sz w:val="24"/>
                <w:szCs w:val="24"/>
              </w:rPr>
            </w:pPr>
            <w:r>
              <w:rPr>
                <w:rStyle w:val="37"/>
                <w:rFonts w:hint="eastAsia" w:asciiTheme="majorEastAsia" w:hAnsiTheme="majorEastAsia" w:eastAsiaTheme="majorEastAsia" w:cstheme="majorEastAsia"/>
                <w:bCs/>
                <w:color w:val="auto"/>
                <w:sz w:val="24"/>
                <w:szCs w:val="24"/>
              </w:rPr>
              <w:t>指标名称</w:t>
            </w:r>
          </w:p>
        </w:tc>
        <w:tc>
          <w:tcPr>
            <w:tcW w:w="729" w:type="dxa"/>
            <w:tcBorders>
              <w:top w:val="single" w:color="000000" w:sz="4" w:space="0"/>
              <w:left w:val="single" w:color="000000" w:sz="4" w:space="0"/>
              <w:bottom w:val="single" w:color="000000" w:sz="4" w:space="0"/>
              <w:right w:val="single" w:color="000000" w:sz="4" w:space="0"/>
            </w:tcBorders>
            <w:vAlign w:val="center"/>
          </w:tcPr>
          <w:p w14:paraId="3CEE7E44">
            <w:pPr>
              <w:rPr>
                <w:rStyle w:val="37"/>
                <w:rFonts w:hint="eastAsia" w:asciiTheme="majorEastAsia" w:hAnsiTheme="majorEastAsia" w:eastAsiaTheme="majorEastAsia" w:cstheme="majorEastAsia"/>
                <w:bCs/>
                <w:color w:val="auto"/>
                <w:sz w:val="24"/>
                <w:szCs w:val="24"/>
              </w:rPr>
            </w:pPr>
            <w:r>
              <w:rPr>
                <w:rStyle w:val="37"/>
                <w:rFonts w:hint="eastAsia" w:asciiTheme="majorEastAsia" w:hAnsiTheme="majorEastAsia" w:eastAsiaTheme="majorEastAsia" w:cstheme="majorEastAsia"/>
                <w:bCs/>
                <w:color w:val="auto"/>
                <w:sz w:val="24"/>
                <w:szCs w:val="24"/>
              </w:rPr>
              <w:t>计量</w:t>
            </w:r>
            <w:r>
              <w:rPr>
                <w:rStyle w:val="37"/>
                <w:rFonts w:hint="eastAsia" w:asciiTheme="majorEastAsia" w:hAnsiTheme="majorEastAsia" w:eastAsiaTheme="majorEastAsia" w:cstheme="majorEastAsia"/>
                <w:bCs/>
                <w:color w:val="auto"/>
                <w:sz w:val="24"/>
                <w:szCs w:val="24"/>
              </w:rPr>
              <w:br w:type="textWrapping"/>
            </w:r>
            <w:r>
              <w:rPr>
                <w:rStyle w:val="37"/>
                <w:rFonts w:hint="eastAsia" w:asciiTheme="majorEastAsia" w:hAnsiTheme="majorEastAsia" w:eastAsiaTheme="majorEastAsia" w:cstheme="majorEastAsia"/>
                <w:bCs/>
                <w:color w:val="auto"/>
                <w:sz w:val="24"/>
                <w:szCs w:val="24"/>
              </w:rPr>
              <w:t>单位</w:t>
            </w:r>
          </w:p>
        </w:tc>
        <w:tc>
          <w:tcPr>
            <w:tcW w:w="1189" w:type="dxa"/>
            <w:tcBorders>
              <w:top w:val="single" w:color="000000" w:sz="4" w:space="0"/>
              <w:left w:val="single" w:color="000000" w:sz="4" w:space="0"/>
              <w:bottom w:val="single" w:color="000000" w:sz="4" w:space="0"/>
              <w:right w:val="single" w:color="000000" w:sz="4" w:space="0"/>
            </w:tcBorders>
            <w:vAlign w:val="center"/>
          </w:tcPr>
          <w:p w14:paraId="246EDD22">
            <w:pPr>
              <w:rPr>
                <w:rStyle w:val="37"/>
                <w:rFonts w:hint="eastAsia" w:asciiTheme="majorEastAsia" w:hAnsiTheme="majorEastAsia" w:eastAsiaTheme="majorEastAsia" w:cstheme="majorEastAsia"/>
                <w:bCs/>
                <w:color w:val="auto"/>
                <w:sz w:val="24"/>
                <w:szCs w:val="24"/>
              </w:rPr>
            </w:pPr>
            <w:r>
              <w:rPr>
                <w:rStyle w:val="37"/>
                <w:rFonts w:hint="eastAsia" w:asciiTheme="majorEastAsia" w:hAnsiTheme="majorEastAsia" w:eastAsiaTheme="majorEastAsia" w:cstheme="majorEastAsia"/>
                <w:bCs/>
                <w:color w:val="auto"/>
                <w:sz w:val="24"/>
                <w:szCs w:val="24"/>
              </w:rPr>
              <w:t>大型</w:t>
            </w:r>
          </w:p>
        </w:tc>
        <w:tc>
          <w:tcPr>
            <w:tcW w:w="1832" w:type="dxa"/>
            <w:tcBorders>
              <w:top w:val="single" w:color="000000" w:sz="4" w:space="0"/>
              <w:left w:val="single" w:color="000000" w:sz="4" w:space="0"/>
              <w:bottom w:val="single" w:color="000000" w:sz="4" w:space="0"/>
              <w:right w:val="single" w:color="000000" w:sz="4" w:space="0"/>
            </w:tcBorders>
            <w:vAlign w:val="center"/>
          </w:tcPr>
          <w:p w14:paraId="4C262071">
            <w:pPr>
              <w:rPr>
                <w:rStyle w:val="37"/>
                <w:rFonts w:hint="eastAsia" w:asciiTheme="majorEastAsia" w:hAnsiTheme="majorEastAsia" w:eastAsiaTheme="majorEastAsia" w:cstheme="majorEastAsia"/>
                <w:bCs/>
                <w:color w:val="auto"/>
                <w:sz w:val="24"/>
                <w:szCs w:val="24"/>
              </w:rPr>
            </w:pPr>
            <w:r>
              <w:rPr>
                <w:rStyle w:val="37"/>
                <w:rFonts w:hint="eastAsia" w:asciiTheme="majorEastAsia" w:hAnsiTheme="majorEastAsia" w:eastAsiaTheme="majorEastAsia" w:cstheme="majorEastAsia"/>
                <w:bCs/>
                <w:color w:val="auto"/>
                <w:sz w:val="24"/>
                <w:szCs w:val="24"/>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14:paraId="6DB766A4">
            <w:pPr>
              <w:rPr>
                <w:rStyle w:val="37"/>
                <w:rFonts w:hint="eastAsia" w:asciiTheme="majorEastAsia" w:hAnsiTheme="majorEastAsia" w:eastAsiaTheme="majorEastAsia" w:cstheme="majorEastAsia"/>
                <w:bCs/>
                <w:color w:val="auto"/>
                <w:sz w:val="24"/>
                <w:szCs w:val="24"/>
              </w:rPr>
            </w:pPr>
            <w:r>
              <w:rPr>
                <w:rStyle w:val="37"/>
                <w:rFonts w:hint="eastAsia" w:asciiTheme="majorEastAsia" w:hAnsiTheme="majorEastAsia" w:eastAsiaTheme="majorEastAsia" w:cstheme="majorEastAsia"/>
                <w:bCs/>
                <w:color w:val="auto"/>
                <w:sz w:val="24"/>
                <w:szCs w:val="24"/>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14:paraId="2FE98862">
            <w:pPr>
              <w:rPr>
                <w:rStyle w:val="37"/>
                <w:rFonts w:hint="eastAsia" w:asciiTheme="majorEastAsia" w:hAnsiTheme="majorEastAsia" w:eastAsiaTheme="majorEastAsia" w:cstheme="majorEastAsia"/>
                <w:bCs/>
                <w:color w:val="auto"/>
                <w:sz w:val="24"/>
                <w:szCs w:val="24"/>
              </w:rPr>
            </w:pPr>
            <w:r>
              <w:rPr>
                <w:rStyle w:val="37"/>
                <w:rFonts w:hint="eastAsia" w:asciiTheme="majorEastAsia" w:hAnsiTheme="majorEastAsia" w:eastAsiaTheme="majorEastAsia" w:cstheme="majorEastAsia"/>
                <w:bCs/>
                <w:color w:val="auto"/>
                <w:sz w:val="24"/>
                <w:szCs w:val="24"/>
              </w:rPr>
              <w:t>微型</w:t>
            </w:r>
          </w:p>
        </w:tc>
      </w:tr>
      <w:tr w14:paraId="20C94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tcBorders>
              <w:top w:val="single" w:color="000000" w:sz="4" w:space="0"/>
              <w:left w:val="single" w:color="000000" w:sz="4" w:space="0"/>
              <w:bottom w:val="single" w:color="000000" w:sz="4" w:space="0"/>
              <w:right w:val="single" w:color="000000" w:sz="4" w:space="0"/>
            </w:tcBorders>
            <w:vAlign w:val="center"/>
          </w:tcPr>
          <w:p w14:paraId="05AF01F9">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农、林、牧、渔业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25EB6FC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542BA8E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29FB01E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Y≥20000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1D83E06B">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7452DE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63FDF5B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Y＜50</w:t>
            </w:r>
          </w:p>
        </w:tc>
      </w:tr>
      <w:tr w14:paraId="1AABC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65C8A0C9">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工业 *</w:t>
            </w:r>
          </w:p>
        </w:tc>
        <w:tc>
          <w:tcPr>
            <w:tcW w:w="1521" w:type="dxa"/>
            <w:tcBorders>
              <w:top w:val="single" w:color="000000" w:sz="4" w:space="0"/>
              <w:left w:val="single" w:color="000000" w:sz="4" w:space="0"/>
              <w:bottom w:val="single" w:color="000000" w:sz="4" w:space="0"/>
              <w:right w:val="single" w:color="000000" w:sz="4" w:space="0"/>
            </w:tcBorders>
            <w:vAlign w:val="center"/>
          </w:tcPr>
          <w:p w14:paraId="5CCD1EB4">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441FB782">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0FCFC11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302F07B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747BD1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362DEB6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X＜20</w:t>
            </w:r>
          </w:p>
        </w:tc>
      </w:tr>
      <w:tr w14:paraId="23511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4A35CB74">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0CCB0B05">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6472652E">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13A06F8E">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Y≥40000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CE445E6">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C5A3B9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CAC915B">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Y＜300</w:t>
            </w:r>
          </w:p>
        </w:tc>
      </w:tr>
      <w:tr w14:paraId="5CDA1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79A4C689">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建筑业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41617D04">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5405D70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7F17C3F8">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Y≥80000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4DC5EE6A">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D5832F2">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BA750F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Y＜300</w:t>
            </w:r>
          </w:p>
        </w:tc>
      </w:tr>
      <w:tr w14:paraId="4CB5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35F94109">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3640D32E">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资产总额(Z)</w:t>
            </w:r>
          </w:p>
        </w:tc>
        <w:tc>
          <w:tcPr>
            <w:tcW w:w="729" w:type="dxa"/>
            <w:tcBorders>
              <w:top w:val="single" w:color="000000" w:sz="4" w:space="0"/>
              <w:left w:val="single" w:color="000000" w:sz="4" w:space="0"/>
              <w:bottom w:val="single" w:color="000000" w:sz="4" w:space="0"/>
              <w:right w:val="single" w:color="000000" w:sz="4" w:space="0"/>
            </w:tcBorders>
            <w:vAlign w:val="center"/>
          </w:tcPr>
          <w:p w14:paraId="6FF26E8A">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42879460">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Z≥80000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6654049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041B76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426B9DF">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Z＜300</w:t>
            </w:r>
          </w:p>
        </w:tc>
      </w:tr>
      <w:tr w14:paraId="12816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6A3E4449">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批发业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71CE998E">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1DE5D22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14BBD57F">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X≥200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4FA2CE0">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C9848A6">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4927AF6B">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X＜5</w:t>
            </w:r>
          </w:p>
        </w:tc>
      </w:tr>
      <w:tr w14:paraId="50F0F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0A7F64F3">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5450750D">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2DA74519">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05128D9A">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Y≥40000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33CF054B">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80AD880">
            <w:pPr>
              <w:ind w:left="-1" w:leftChars="-1" w:hanging="1"/>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3208090">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Y＜1000</w:t>
            </w:r>
          </w:p>
        </w:tc>
      </w:tr>
      <w:tr w14:paraId="614F0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47D5C9DB">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零售业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6FADA5E8">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73C29CD4">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0C07726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14BD4106">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B7447F7">
            <w:pPr>
              <w:ind w:left="-1" w:leftChars="-1" w:hanging="1"/>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76F99ED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w:t>
            </w:r>
          </w:p>
        </w:tc>
      </w:tr>
      <w:tr w14:paraId="7A447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3079EBB9">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5054DC17">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628C4DE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3B96425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Y≥20000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E7B8A6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47A3F61">
            <w:pPr>
              <w:ind w:left="-1" w:leftChars="-1" w:hanging="1"/>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100≤Y＜500 </w:t>
            </w:r>
          </w:p>
        </w:tc>
        <w:tc>
          <w:tcPr>
            <w:tcW w:w="992" w:type="dxa"/>
            <w:tcBorders>
              <w:top w:val="single" w:color="000000" w:sz="4" w:space="0"/>
              <w:left w:val="single" w:color="000000" w:sz="4" w:space="0"/>
              <w:bottom w:val="single" w:color="000000" w:sz="4" w:space="0"/>
              <w:right w:val="single" w:color="000000" w:sz="4" w:space="0"/>
            </w:tcBorders>
            <w:vAlign w:val="center"/>
          </w:tcPr>
          <w:p w14:paraId="50DE468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w:t>
            </w:r>
          </w:p>
        </w:tc>
      </w:tr>
      <w:tr w14:paraId="7C59F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30A8D1EC">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交通运输业 *</w:t>
            </w:r>
          </w:p>
        </w:tc>
        <w:tc>
          <w:tcPr>
            <w:tcW w:w="1521" w:type="dxa"/>
            <w:tcBorders>
              <w:top w:val="single" w:color="000000" w:sz="4" w:space="0"/>
              <w:left w:val="single" w:color="000000" w:sz="4" w:space="0"/>
              <w:bottom w:val="single" w:color="000000" w:sz="4" w:space="0"/>
              <w:right w:val="single" w:color="000000" w:sz="4" w:space="0"/>
            </w:tcBorders>
            <w:vAlign w:val="center"/>
          </w:tcPr>
          <w:p w14:paraId="578A1B48">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68457D1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4CDD80D9">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68A4F15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ACAFDF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787D5CB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X＜20</w:t>
            </w:r>
          </w:p>
        </w:tc>
      </w:tr>
      <w:tr w14:paraId="0329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2276C814">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41E65DE3">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3DACB744">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25FF717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Y≥30000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53B099D4">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90A2B50">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62C78F9">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Y＜200</w:t>
            </w:r>
          </w:p>
        </w:tc>
      </w:tr>
      <w:tr w14:paraId="25D80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75689FC2">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仓储业*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49C5D96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4633166B">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30EFEF5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X≥200</w:t>
            </w:r>
          </w:p>
        </w:tc>
        <w:tc>
          <w:tcPr>
            <w:tcW w:w="1832" w:type="dxa"/>
            <w:tcBorders>
              <w:top w:val="single" w:color="000000" w:sz="4" w:space="0"/>
              <w:left w:val="single" w:color="000000" w:sz="4" w:space="0"/>
              <w:bottom w:val="single" w:color="000000" w:sz="4" w:space="0"/>
              <w:right w:val="single" w:color="000000" w:sz="4" w:space="0"/>
            </w:tcBorders>
            <w:vAlign w:val="center"/>
          </w:tcPr>
          <w:p w14:paraId="7FBCFE91">
            <w:pPr>
              <w:ind w:left="1" w:leftChars="-51" w:hanging="108"/>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07F0274">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38DE6B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X＜20</w:t>
            </w:r>
          </w:p>
        </w:tc>
      </w:tr>
      <w:tr w14:paraId="6FE8C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6C0D9C66">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6135F7E1">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6E73524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5928119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Y≥30000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713860EA">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AEAE9A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1122380">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w:t>
            </w:r>
          </w:p>
        </w:tc>
      </w:tr>
      <w:tr w14:paraId="79237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502950F5">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邮政业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5C139DFF">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77A1150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79B1969F">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2CEC383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D346EF6">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F91D84A">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X＜20</w:t>
            </w:r>
          </w:p>
        </w:tc>
      </w:tr>
      <w:tr w14:paraId="2EB1F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5FCE435C">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06FAFE29">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65F52749">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08F104C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Y≥30000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2151C174">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877539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4CE702A">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w:t>
            </w:r>
          </w:p>
        </w:tc>
      </w:tr>
      <w:tr w14:paraId="63FA1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7B7081FA">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住宿业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26373DE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304F420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6BA3EDD6">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AE823E8">
            <w:pPr>
              <w:ind w:left="1" w:leftChars="-51" w:hanging="108"/>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6B623D2">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488ED08">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w:t>
            </w:r>
          </w:p>
        </w:tc>
      </w:tr>
      <w:tr w14:paraId="21A5D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0CA3F7CA">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0965B536">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1DE58E4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0A8FA2A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435F428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888CDF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351BBF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w:t>
            </w:r>
          </w:p>
        </w:tc>
      </w:tr>
      <w:tr w14:paraId="6C16B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72E2FB24">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餐饮业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08C98A0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36C091B2">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14A2362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2E034903">
            <w:pPr>
              <w:ind w:left="1" w:leftChars="-51" w:hanging="108"/>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4F14B45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856FC3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w:t>
            </w:r>
          </w:p>
        </w:tc>
      </w:tr>
      <w:tr w14:paraId="559CB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3E018528">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5B5E2553">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45CABA2B">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0D54D55F">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A8A578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84BE054">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1E9E902">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w:t>
            </w:r>
          </w:p>
        </w:tc>
      </w:tr>
      <w:tr w14:paraId="084E8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789F6959">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信息传输业*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1699781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18A0CE78">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6C1D895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X≥2000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442AADD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45BE5DA">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448DA06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w:t>
            </w:r>
          </w:p>
        </w:tc>
      </w:tr>
      <w:tr w14:paraId="2A66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48B6948A">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1F6D472E">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3E506968">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2DE88F60">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4DD1327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D8AAC5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C036C82">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w:t>
            </w:r>
          </w:p>
        </w:tc>
      </w:tr>
      <w:tr w14:paraId="31535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41F3C492">
            <w:pPr>
              <w:spacing w:line="240" w:lineRule="exact"/>
              <w:rPr>
                <w:rStyle w:val="37"/>
                <w:rFonts w:hint="eastAsia" w:asciiTheme="majorEastAsia" w:hAnsiTheme="majorEastAsia" w:eastAsiaTheme="majorEastAsia" w:cstheme="majorEastAsia"/>
                <w:color w:val="auto"/>
                <w:spacing w:val="-12"/>
                <w:sz w:val="24"/>
                <w:szCs w:val="24"/>
              </w:rPr>
            </w:pPr>
            <w:r>
              <w:rPr>
                <w:rStyle w:val="37"/>
                <w:rFonts w:hint="eastAsia" w:asciiTheme="majorEastAsia" w:hAnsiTheme="majorEastAsia" w:eastAsiaTheme="majorEastAsia" w:cstheme="majorEastAsia"/>
                <w:color w:val="auto"/>
                <w:spacing w:val="-12"/>
                <w:sz w:val="24"/>
                <w:szCs w:val="24"/>
              </w:rPr>
              <w:t>软件和信息技术服</w:t>
            </w:r>
            <w:r>
              <w:rPr>
                <w:rStyle w:val="37"/>
                <w:rFonts w:hint="eastAsia" w:asciiTheme="majorEastAsia" w:hAnsiTheme="majorEastAsia" w:eastAsiaTheme="majorEastAsia" w:cstheme="majorEastAsia"/>
                <w:color w:val="auto"/>
                <w:sz w:val="24"/>
                <w:szCs w:val="24"/>
              </w:rPr>
              <w:t>务业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3FC8E49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18F7312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5E248D8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3B55C237">
            <w:pPr>
              <w:ind w:left="1" w:leftChars="-51" w:hanging="108"/>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640899D6">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9028920">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w:t>
            </w:r>
          </w:p>
        </w:tc>
      </w:tr>
      <w:tr w14:paraId="09FE0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653FAA65">
            <w:pPr>
              <w:rPr>
                <w:rStyle w:val="37"/>
                <w:rFonts w:hint="eastAsia" w:asciiTheme="majorEastAsia" w:hAnsiTheme="majorEastAsia" w:eastAsiaTheme="majorEastAsia" w:cstheme="majorEastAsia"/>
                <w:color w:val="auto"/>
                <w:spacing w:val="-12"/>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5678DDA0">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75DB2368">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72EA364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1E313868">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14DB5EF">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D498EF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Y＜50</w:t>
            </w:r>
          </w:p>
        </w:tc>
      </w:tr>
      <w:tr w14:paraId="77CB6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725969ED">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房地产开发经营</w:t>
            </w:r>
          </w:p>
        </w:tc>
        <w:tc>
          <w:tcPr>
            <w:tcW w:w="1521" w:type="dxa"/>
            <w:tcBorders>
              <w:top w:val="single" w:color="000000" w:sz="4" w:space="0"/>
              <w:left w:val="single" w:color="000000" w:sz="4" w:space="0"/>
              <w:bottom w:val="single" w:color="000000" w:sz="4" w:space="0"/>
              <w:right w:val="single" w:color="000000" w:sz="4" w:space="0"/>
            </w:tcBorders>
            <w:vAlign w:val="center"/>
          </w:tcPr>
          <w:p w14:paraId="6B41954B">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4E09432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5462E299">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Y≥200000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709BEBD5">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8B34BEF">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174C58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Y＜100</w:t>
            </w:r>
          </w:p>
        </w:tc>
      </w:tr>
      <w:tr w14:paraId="77EB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5265260D">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0D71A5CE">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资产总额(Z)</w:t>
            </w:r>
          </w:p>
        </w:tc>
        <w:tc>
          <w:tcPr>
            <w:tcW w:w="729" w:type="dxa"/>
            <w:tcBorders>
              <w:top w:val="single" w:color="000000" w:sz="4" w:space="0"/>
              <w:left w:val="single" w:color="000000" w:sz="4" w:space="0"/>
              <w:bottom w:val="single" w:color="000000" w:sz="4" w:space="0"/>
              <w:right w:val="single" w:color="000000" w:sz="4" w:space="0"/>
            </w:tcBorders>
            <w:vAlign w:val="center"/>
          </w:tcPr>
          <w:p w14:paraId="5BF28496">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01D5438A">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Z≥10000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6D8CBED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B819F9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2000≤Z＜5000   </w:t>
            </w:r>
          </w:p>
        </w:tc>
        <w:tc>
          <w:tcPr>
            <w:tcW w:w="992" w:type="dxa"/>
            <w:tcBorders>
              <w:top w:val="single" w:color="000000" w:sz="4" w:space="0"/>
              <w:left w:val="single" w:color="000000" w:sz="4" w:space="0"/>
              <w:bottom w:val="single" w:color="000000" w:sz="4" w:space="0"/>
              <w:right w:val="single" w:color="000000" w:sz="4" w:space="0"/>
            </w:tcBorders>
            <w:vAlign w:val="center"/>
          </w:tcPr>
          <w:p w14:paraId="46D51749">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Z＜2000</w:t>
            </w:r>
          </w:p>
        </w:tc>
      </w:tr>
      <w:tr w14:paraId="16F46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14949A1F">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物业管理</w:t>
            </w:r>
          </w:p>
        </w:tc>
        <w:tc>
          <w:tcPr>
            <w:tcW w:w="1521" w:type="dxa"/>
            <w:tcBorders>
              <w:top w:val="single" w:color="000000" w:sz="4" w:space="0"/>
              <w:left w:val="single" w:color="000000" w:sz="4" w:space="0"/>
              <w:bottom w:val="single" w:color="000000" w:sz="4" w:space="0"/>
              <w:right w:val="single" w:color="000000" w:sz="4" w:space="0"/>
            </w:tcBorders>
            <w:vAlign w:val="center"/>
          </w:tcPr>
          <w:p w14:paraId="23E94CFD">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483B4274">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24712CFE">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24D7BF60">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3D59B13">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100≤X＜300 </w:t>
            </w:r>
          </w:p>
        </w:tc>
        <w:tc>
          <w:tcPr>
            <w:tcW w:w="992" w:type="dxa"/>
            <w:tcBorders>
              <w:top w:val="single" w:color="000000" w:sz="4" w:space="0"/>
              <w:left w:val="single" w:color="000000" w:sz="4" w:space="0"/>
              <w:bottom w:val="single" w:color="000000" w:sz="4" w:space="0"/>
              <w:right w:val="single" w:color="000000" w:sz="4" w:space="0"/>
            </w:tcBorders>
            <w:vAlign w:val="center"/>
          </w:tcPr>
          <w:p w14:paraId="34AAC92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X＜100</w:t>
            </w:r>
          </w:p>
        </w:tc>
      </w:tr>
      <w:tr w14:paraId="5D14F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3979E59B">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146A2B3A">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48090139">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1C80C78B">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Y≥5000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1373DF30">
            <w:pPr>
              <w:ind w:left="1" w:leftChars="-51" w:hanging="108"/>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1000≤Y＜5000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5F45F70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A23738F">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Y＜500</w:t>
            </w:r>
          </w:p>
        </w:tc>
      </w:tr>
      <w:tr w14:paraId="32E6C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07CEDC22">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租赁和商务服务业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25DFBB47">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13204BBE">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59066D4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669BDC11">
            <w:pPr>
              <w:ind w:left="1" w:leftChars="-51" w:hanging="108"/>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45661C1">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0F0D9F9">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w:t>
            </w:r>
          </w:p>
        </w:tc>
      </w:tr>
      <w:tr w14:paraId="3ED47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59D5C042">
            <w:pPr>
              <w:rPr>
                <w:rStyle w:val="37"/>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783D96F3">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资产总额(Z)</w:t>
            </w:r>
          </w:p>
        </w:tc>
        <w:tc>
          <w:tcPr>
            <w:tcW w:w="729" w:type="dxa"/>
            <w:tcBorders>
              <w:top w:val="single" w:color="000000" w:sz="4" w:space="0"/>
              <w:left w:val="single" w:color="000000" w:sz="4" w:space="0"/>
              <w:bottom w:val="single" w:color="000000" w:sz="4" w:space="0"/>
              <w:right w:val="single" w:color="000000" w:sz="4" w:space="0"/>
            </w:tcBorders>
            <w:vAlign w:val="center"/>
          </w:tcPr>
          <w:p w14:paraId="6DD4F13E">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1D37D93A">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Z≥120000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29549BC">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43A6599">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58702F">
            <w:pPr>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Z＜100</w:t>
            </w:r>
          </w:p>
        </w:tc>
      </w:tr>
      <w:tr w14:paraId="44D1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746" w:type="dxa"/>
            <w:tcBorders>
              <w:top w:val="single" w:color="000000" w:sz="4" w:space="0"/>
              <w:left w:val="single" w:color="000000" w:sz="4" w:space="0"/>
              <w:bottom w:val="single" w:color="000000" w:sz="4" w:space="0"/>
              <w:right w:val="single" w:color="000000" w:sz="4" w:space="0"/>
            </w:tcBorders>
            <w:vAlign w:val="center"/>
          </w:tcPr>
          <w:p w14:paraId="78F7CDFE">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软件和信息技术服务业*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55A67BD6">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6EE9B69A">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170F2770">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3B689FF9">
            <w:pPr>
              <w:spacing w:line="240" w:lineRule="exact"/>
              <w:ind w:left="1" w:leftChars="-51" w:hanging="108"/>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37CDD459">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E581958">
            <w:pPr>
              <w:spacing w:line="240" w:lineRule="exact"/>
              <w:rPr>
                <w:rStyle w:val="37"/>
                <w:rFonts w:hint="eastAsia" w:asciiTheme="majorEastAsia" w:hAnsiTheme="majorEastAsia" w:eastAsiaTheme="majorEastAsia" w:cstheme="majorEastAsia"/>
                <w:color w:val="auto"/>
                <w:sz w:val="24"/>
                <w:szCs w:val="24"/>
              </w:rPr>
            </w:pPr>
            <w:r>
              <w:rPr>
                <w:rStyle w:val="37"/>
                <w:rFonts w:hint="eastAsia" w:asciiTheme="majorEastAsia" w:hAnsiTheme="majorEastAsia" w:eastAsiaTheme="majorEastAsia" w:cstheme="majorEastAsia"/>
                <w:color w:val="auto"/>
                <w:sz w:val="24"/>
                <w:szCs w:val="24"/>
              </w:rPr>
              <w:t>X＜10</w:t>
            </w:r>
          </w:p>
        </w:tc>
      </w:tr>
    </w:tbl>
    <w:p w14:paraId="29F5EA91">
      <w:pPr>
        <w:spacing w:line="400" w:lineRule="exact"/>
        <w:rPr>
          <w:rStyle w:val="37"/>
          <w:rFonts w:hint="eastAsia" w:asciiTheme="majorEastAsia" w:hAnsiTheme="majorEastAsia" w:eastAsiaTheme="majorEastAsia" w:cstheme="majorEastAsia"/>
          <w:color w:val="auto"/>
          <w:spacing w:val="8"/>
          <w:sz w:val="24"/>
          <w:szCs w:val="24"/>
        </w:rPr>
      </w:pPr>
      <w:r>
        <w:rPr>
          <w:rStyle w:val="37"/>
          <w:rFonts w:hint="eastAsia" w:asciiTheme="majorEastAsia" w:hAnsiTheme="majorEastAsia" w:eastAsiaTheme="majorEastAsia" w:cstheme="majorEastAsia"/>
          <w:color w:val="auto"/>
          <w:spacing w:val="8"/>
          <w:sz w:val="24"/>
          <w:szCs w:val="24"/>
        </w:rPr>
        <w:t>说明：</w:t>
      </w:r>
    </w:p>
    <w:p w14:paraId="5A3477DE">
      <w:pPr>
        <w:spacing w:line="400" w:lineRule="exact"/>
        <w:rPr>
          <w:rStyle w:val="37"/>
          <w:rFonts w:hint="eastAsia" w:asciiTheme="majorEastAsia" w:hAnsiTheme="majorEastAsia" w:eastAsiaTheme="majorEastAsia" w:cstheme="majorEastAsia"/>
          <w:color w:val="auto"/>
          <w:spacing w:val="8"/>
          <w:sz w:val="24"/>
          <w:szCs w:val="24"/>
        </w:rPr>
      </w:pPr>
      <w:r>
        <w:rPr>
          <w:rStyle w:val="37"/>
          <w:rFonts w:hint="eastAsia" w:asciiTheme="majorEastAsia" w:hAnsiTheme="majorEastAsia" w:eastAsiaTheme="majorEastAsia" w:cstheme="majorEastAsia"/>
          <w:color w:val="auto"/>
          <w:spacing w:val="8"/>
          <w:sz w:val="24"/>
          <w:szCs w:val="24"/>
        </w:rPr>
        <w:t>　　1.大型、中型和小型企业须同时满足所列指标的下限，否则下划一档；微型企业只须满足所列指标中的一项即可。</w:t>
      </w:r>
    </w:p>
    <w:p w14:paraId="29E76C85">
      <w:pPr>
        <w:spacing w:line="360" w:lineRule="auto"/>
        <w:rPr>
          <w:rStyle w:val="37"/>
          <w:rFonts w:hint="eastAsia" w:asciiTheme="majorEastAsia" w:hAnsiTheme="majorEastAsia" w:eastAsiaTheme="majorEastAsia" w:cstheme="majorEastAsia"/>
          <w:color w:val="auto"/>
          <w:spacing w:val="8"/>
          <w:sz w:val="24"/>
          <w:szCs w:val="24"/>
        </w:rPr>
      </w:pPr>
      <w:r>
        <w:rPr>
          <w:rStyle w:val="37"/>
          <w:rFonts w:hint="eastAsia" w:asciiTheme="majorEastAsia" w:hAnsiTheme="majorEastAsia" w:eastAsiaTheme="majorEastAsia" w:cstheme="majorEastAsia"/>
          <w:color w:val="auto"/>
          <w:spacing w:val="8"/>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14:paraId="2E3B013C">
      <w:pPr>
        <w:ind w:right="-65" w:rightChars="-31"/>
        <w:jc w:val="center"/>
        <w:rPr>
          <w:rFonts w:hint="eastAsia" w:ascii="宋体" w:hAnsi="宋体" w:eastAsia="宋体" w:cs="宋体"/>
          <w:b/>
          <w:color w:val="auto"/>
          <w:sz w:val="24"/>
          <w:szCs w:val="24"/>
        </w:rPr>
      </w:pPr>
      <w:r>
        <w:rPr>
          <w:rStyle w:val="37"/>
          <w:rFonts w:hint="eastAsia" w:asciiTheme="majorEastAsia" w:hAnsiTheme="majorEastAsia" w:eastAsiaTheme="majorEastAsia" w:cstheme="majorEastAsia"/>
          <w:color w:val="auto"/>
          <w:spacing w:val="8"/>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8AB2940">
      <w:pP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pPr>
    </w:p>
    <w:p w14:paraId="495A368B">
      <w:pP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p>
    <w:sectPr>
      <w:footerReference r:id="rId4" w:type="default"/>
      <w:pgSz w:w="11906" w:h="16839"/>
      <w:pgMar w:top="1440" w:right="1310" w:bottom="1440" w:left="1310" w:header="227" w:footer="907"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C9FD">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764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0274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10274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76479"/>
    <w:multiLevelType w:val="singleLevel"/>
    <w:tmpl w:val="9C876479"/>
    <w:lvl w:ilvl="0" w:tentative="0">
      <w:start w:val="2"/>
      <w:numFmt w:val="chineseCounting"/>
      <w:suff w:val="space"/>
      <w:lvlText w:val="第%1章"/>
      <w:lvlJc w:val="left"/>
      <w:rPr>
        <w:rFonts w:hint="eastAsia"/>
      </w:rPr>
    </w:lvl>
  </w:abstractNum>
  <w:abstractNum w:abstractNumId="1">
    <w:nsid w:val="A7B7CD86"/>
    <w:multiLevelType w:val="singleLevel"/>
    <w:tmpl w:val="A7B7CD86"/>
    <w:lvl w:ilvl="0" w:tentative="0">
      <w:start w:val="17"/>
      <w:numFmt w:val="chineseCounting"/>
      <w:suff w:val="nothing"/>
      <w:lvlText w:val="%1、"/>
      <w:lvlJc w:val="left"/>
      <w:rPr>
        <w:rFonts w:hint="eastAsia"/>
      </w:rPr>
    </w:lvl>
  </w:abstractNum>
  <w:abstractNum w:abstractNumId="2">
    <w:nsid w:val="AD620305"/>
    <w:multiLevelType w:val="singleLevel"/>
    <w:tmpl w:val="AD620305"/>
    <w:lvl w:ilvl="0" w:tentative="0">
      <w:start w:val="2"/>
      <w:numFmt w:val="chineseCounting"/>
      <w:suff w:val="nothing"/>
      <w:lvlText w:val="%1、"/>
      <w:lvlJc w:val="left"/>
      <w:rPr>
        <w:rFonts w:hint="eastAsia"/>
      </w:rPr>
    </w:lvl>
  </w:abstractNum>
  <w:abstractNum w:abstractNumId="3">
    <w:nsid w:val="B82CA74E"/>
    <w:multiLevelType w:val="singleLevel"/>
    <w:tmpl w:val="B82CA74E"/>
    <w:lvl w:ilvl="0" w:tentative="0">
      <w:start w:val="2"/>
      <w:numFmt w:val="chineseCounting"/>
      <w:suff w:val="nothing"/>
      <w:lvlText w:val="%1、"/>
      <w:lvlJc w:val="left"/>
      <w:rPr>
        <w:rFonts w:hint="eastAsia"/>
      </w:rPr>
    </w:lvl>
  </w:abstractNum>
  <w:abstractNum w:abstractNumId="4">
    <w:nsid w:val="F05D4DB6"/>
    <w:multiLevelType w:val="singleLevel"/>
    <w:tmpl w:val="F05D4DB6"/>
    <w:lvl w:ilvl="0" w:tentative="0">
      <w:start w:val="5"/>
      <w:numFmt w:val="chineseCounting"/>
      <w:suff w:val="space"/>
      <w:lvlText w:val="第%1章"/>
      <w:lvlJc w:val="left"/>
      <w:rPr>
        <w:rFonts w:hint="eastAsia"/>
      </w:rPr>
    </w:lvl>
  </w:abstractNum>
  <w:abstractNum w:abstractNumId="5">
    <w:nsid w:val="0000000D"/>
    <w:multiLevelType w:val="multilevel"/>
    <w:tmpl w:val="000000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0E"/>
    <w:multiLevelType w:val="multilevel"/>
    <w:tmpl w:val="0000000E"/>
    <w:lvl w:ilvl="0" w:tentative="0">
      <w:start w:val="1"/>
      <w:numFmt w:val="bullet"/>
      <w:pStyle w:val="2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EA57A74"/>
    <w:multiLevelType w:val="multilevel"/>
    <w:tmpl w:val="0EA57A7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2138"/>
        </w:tabs>
        <w:ind w:left="2138" w:hanging="720"/>
      </w:pPr>
      <w:rPr>
        <w:rFonts w:hint="default"/>
        <w:b/>
        <w:bCs/>
      </w:rPr>
    </w:lvl>
    <w:lvl w:ilvl="3" w:tentative="0">
      <w:start w:val="1"/>
      <w:numFmt w:val="decimal"/>
      <w:lvlText w:val="%1.%2.%3.%4"/>
      <w:lvlJc w:val="left"/>
      <w:pPr>
        <w:tabs>
          <w:tab w:val="left" w:pos="1044"/>
        </w:tabs>
        <w:ind w:left="104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4A50D9D2"/>
    <w:multiLevelType w:val="singleLevel"/>
    <w:tmpl w:val="4A50D9D2"/>
    <w:lvl w:ilvl="0" w:tentative="0">
      <w:start w:val="31"/>
      <w:numFmt w:val="decimal"/>
      <w:lvlText w:val="%1."/>
      <w:lvlJc w:val="left"/>
      <w:pPr>
        <w:tabs>
          <w:tab w:val="left" w:pos="312"/>
        </w:tabs>
      </w:pPr>
    </w:lvl>
  </w:abstractNum>
  <w:abstractNum w:abstractNumId="9">
    <w:nsid w:val="58311ABA"/>
    <w:multiLevelType w:val="multilevel"/>
    <w:tmpl w:val="58311ABA"/>
    <w:lvl w:ilvl="0" w:tentative="0">
      <w:start w:val="1"/>
      <w:numFmt w:val="decimal"/>
      <w:lvlText w:val="%1."/>
      <w:lvlJc w:val="left"/>
      <w:pPr>
        <w:ind w:left="420" w:hanging="420"/>
      </w:pPr>
    </w:lvl>
    <w:lvl w:ilvl="1" w:tentative="0">
      <w:start w:val="1"/>
      <w:numFmt w:val="decimal"/>
      <w:lvlText w:val="6.%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B44EB19"/>
    <w:multiLevelType w:val="singleLevel"/>
    <w:tmpl w:val="6B44EB19"/>
    <w:lvl w:ilvl="0" w:tentative="0">
      <w:start w:val="1"/>
      <w:numFmt w:val="decimal"/>
      <w:lvlText w:val="%1."/>
      <w:lvlJc w:val="left"/>
      <w:pPr>
        <w:tabs>
          <w:tab w:val="left" w:pos="312"/>
        </w:tabs>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3"/>
  </w:num>
  <w:num w:numId="8">
    <w:abstractNumId w:val="5"/>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iZTc2ZGI4ODRjMTRjMzAzYzljNTM1ZjY3YTRmZmIifQ=="/>
  </w:docVars>
  <w:rsids>
    <w:rsidRoot w:val="00424C8E"/>
    <w:rsid w:val="001F6C71"/>
    <w:rsid w:val="002211F5"/>
    <w:rsid w:val="0023368B"/>
    <w:rsid w:val="00396472"/>
    <w:rsid w:val="00396564"/>
    <w:rsid w:val="00424C8E"/>
    <w:rsid w:val="004C79A8"/>
    <w:rsid w:val="00501997"/>
    <w:rsid w:val="00540B94"/>
    <w:rsid w:val="00546081"/>
    <w:rsid w:val="00584D58"/>
    <w:rsid w:val="0059196E"/>
    <w:rsid w:val="006A1D80"/>
    <w:rsid w:val="00702588"/>
    <w:rsid w:val="00703B6D"/>
    <w:rsid w:val="007F0A1D"/>
    <w:rsid w:val="008F08A9"/>
    <w:rsid w:val="00904AAC"/>
    <w:rsid w:val="00991ADF"/>
    <w:rsid w:val="009F7873"/>
    <w:rsid w:val="00A81983"/>
    <w:rsid w:val="00B11C0D"/>
    <w:rsid w:val="00B14F84"/>
    <w:rsid w:val="00BA6C79"/>
    <w:rsid w:val="00C24CF7"/>
    <w:rsid w:val="00CF59B1"/>
    <w:rsid w:val="00D72607"/>
    <w:rsid w:val="00EE4D37"/>
    <w:rsid w:val="00F4534B"/>
    <w:rsid w:val="00F56EF9"/>
    <w:rsid w:val="00F91DD3"/>
    <w:rsid w:val="01205D5C"/>
    <w:rsid w:val="01AF7DBD"/>
    <w:rsid w:val="01BF5575"/>
    <w:rsid w:val="01C0753F"/>
    <w:rsid w:val="01DD59FB"/>
    <w:rsid w:val="01F87C91"/>
    <w:rsid w:val="026B3007"/>
    <w:rsid w:val="028C44B2"/>
    <w:rsid w:val="02BE582C"/>
    <w:rsid w:val="0305345B"/>
    <w:rsid w:val="035B12CD"/>
    <w:rsid w:val="0397679F"/>
    <w:rsid w:val="039B3DC0"/>
    <w:rsid w:val="03FB660C"/>
    <w:rsid w:val="043833BC"/>
    <w:rsid w:val="045F4DED"/>
    <w:rsid w:val="04A506F4"/>
    <w:rsid w:val="04DE2623"/>
    <w:rsid w:val="04DF5F2E"/>
    <w:rsid w:val="04F50FAA"/>
    <w:rsid w:val="058E7052"/>
    <w:rsid w:val="05D14557"/>
    <w:rsid w:val="05EB5B14"/>
    <w:rsid w:val="060C4B01"/>
    <w:rsid w:val="061E65E2"/>
    <w:rsid w:val="067A1543"/>
    <w:rsid w:val="067A5F0E"/>
    <w:rsid w:val="06813F88"/>
    <w:rsid w:val="06BB2083"/>
    <w:rsid w:val="06CE625A"/>
    <w:rsid w:val="06E96BF0"/>
    <w:rsid w:val="070752C8"/>
    <w:rsid w:val="070C1155"/>
    <w:rsid w:val="0739148C"/>
    <w:rsid w:val="073C7F89"/>
    <w:rsid w:val="07BA233A"/>
    <w:rsid w:val="08060567"/>
    <w:rsid w:val="080762A1"/>
    <w:rsid w:val="081E0B1B"/>
    <w:rsid w:val="082E5202"/>
    <w:rsid w:val="08702488"/>
    <w:rsid w:val="08983D41"/>
    <w:rsid w:val="089900B5"/>
    <w:rsid w:val="08B5322E"/>
    <w:rsid w:val="08C6173B"/>
    <w:rsid w:val="08E65E91"/>
    <w:rsid w:val="08EE00FB"/>
    <w:rsid w:val="09246605"/>
    <w:rsid w:val="0969226A"/>
    <w:rsid w:val="0992356F"/>
    <w:rsid w:val="09A17C56"/>
    <w:rsid w:val="09B07E99"/>
    <w:rsid w:val="09D65B51"/>
    <w:rsid w:val="09FE6E56"/>
    <w:rsid w:val="0A1246B0"/>
    <w:rsid w:val="0A570314"/>
    <w:rsid w:val="0A621193"/>
    <w:rsid w:val="0AB47515"/>
    <w:rsid w:val="0ACE4378"/>
    <w:rsid w:val="0ADB0F46"/>
    <w:rsid w:val="0B1A7CC0"/>
    <w:rsid w:val="0B285819"/>
    <w:rsid w:val="0B626F71"/>
    <w:rsid w:val="0B655D05"/>
    <w:rsid w:val="0B7C7071"/>
    <w:rsid w:val="0BB023D2"/>
    <w:rsid w:val="0C091325"/>
    <w:rsid w:val="0C300E1D"/>
    <w:rsid w:val="0C686809"/>
    <w:rsid w:val="0C9E2909"/>
    <w:rsid w:val="0CB67574"/>
    <w:rsid w:val="0D162709"/>
    <w:rsid w:val="0D366907"/>
    <w:rsid w:val="0D444B80"/>
    <w:rsid w:val="0D6945E7"/>
    <w:rsid w:val="0D865017"/>
    <w:rsid w:val="0D921D8F"/>
    <w:rsid w:val="0D9D2160"/>
    <w:rsid w:val="0DB549ED"/>
    <w:rsid w:val="0DBC0BBA"/>
    <w:rsid w:val="0DF465A6"/>
    <w:rsid w:val="0DF77E44"/>
    <w:rsid w:val="0E6C1257"/>
    <w:rsid w:val="0E8F4521"/>
    <w:rsid w:val="0EA16002"/>
    <w:rsid w:val="0F407486"/>
    <w:rsid w:val="0F473CDD"/>
    <w:rsid w:val="0F4D5FD7"/>
    <w:rsid w:val="0F713C26"/>
    <w:rsid w:val="0FBE7DA0"/>
    <w:rsid w:val="0FD77F2D"/>
    <w:rsid w:val="0FF90A42"/>
    <w:rsid w:val="102351BA"/>
    <w:rsid w:val="102D5D9F"/>
    <w:rsid w:val="105E1836"/>
    <w:rsid w:val="106B4B1A"/>
    <w:rsid w:val="10863702"/>
    <w:rsid w:val="109B4C39"/>
    <w:rsid w:val="10B4201D"/>
    <w:rsid w:val="10E072B6"/>
    <w:rsid w:val="10F92232"/>
    <w:rsid w:val="10FE773C"/>
    <w:rsid w:val="112C24FB"/>
    <w:rsid w:val="112C74C4"/>
    <w:rsid w:val="113849FC"/>
    <w:rsid w:val="11421D1E"/>
    <w:rsid w:val="116A6A33"/>
    <w:rsid w:val="116B5665"/>
    <w:rsid w:val="11825E91"/>
    <w:rsid w:val="11E931F7"/>
    <w:rsid w:val="120B3EBE"/>
    <w:rsid w:val="12107727"/>
    <w:rsid w:val="1237659B"/>
    <w:rsid w:val="124B075F"/>
    <w:rsid w:val="126250EB"/>
    <w:rsid w:val="12A64153"/>
    <w:rsid w:val="12AA36D7"/>
    <w:rsid w:val="12EF02DC"/>
    <w:rsid w:val="12F928B1"/>
    <w:rsid w:val="13124658"/>
    <w:rsid w:val="13206EE8"/>
    <w:rsid w:val="1323348A"/>
    <w:rsid w:val="132D60B6"/>
    <w:rsid w:val="13512E38"/>
    <w:rsid w:val="13893C35"/>
    <w:rsid w:val="13C0517C"/>
    <w:rsid w:val="13FF5CA5"/>
    <w:rsid w:val="146A2CD4"/>
    <w:rsid w:val="14773EFA"/>
    <w:rsid w:val="147B535F"/>
    <w:rsid w:val="148562AE"/>
    <w:rsid w:val="14AA20B4"/>
    <w:rsid w:val="14AF2A28"/>
    <w:rsid w:val="14B940A6"/>
    <w:rsid w:val="14EC032E"/>
    <w:rsid w:val="14ED0B7F"/>
    <w:rsid w:val="15383038"/>
    <w:rsid w:val="155B7A5E"/>
    <w:rsid w:val="158F12AA"/>
    <w:rsid w:val="15A20FDE"/>
    <w:rsid w:val="15BD5E17"/>
    <w:rsid w:val="15D370D2"/>
    <w:rsid w:val="16053650"/>
    <w:rsid w:val="16716B52"/>
    <w:rsid w:val="16832BBD"/>
    <w:rsid w:val="16842491"/>
    <w:rsid w:val="1696546A"/>
    <w:rsid w:val="169E17A5"/>
    <w:rsid w:val="16A56DF3"/>
    <w:rsid w:val="16AE139D"/>
    <w:rsid w:val="16C57C0B"/>
    <w:rsid w:val="16C60CFC"/>
    <w:rsid w:val="16C64858"/>
    <w:rsid w:val="16CD5BE6"/>
    <w:rsid w:val="16FA66B9"/>
    <w:rsid w:val="17242CEB"/>
    <w:rsid w:val="17680005"/>
    <w:rsid w:val="17782C22"/>
    <w:rsid w:val="17A032FB"/>
    <w:rsid w:val="17D46DFC"/>
    <w:rsid w:val="17F11DA8"/>
    <w:rsid w:val="17FB0D9E"/>
    <w:rsid w:val="18062C47"/>
    <w:rsid w:val="18092081"/>
    <w:rsid w:val="18382622"/>
    <w:rsid w:val="187C12F9"/>
    <w:rsid w:val="1890511D"/>
    <w:rsid w:val="189F35B2"/>
    <w:rsid w:val="18B87B08"/>
    <w:rsid w:val="18D47700"/>
    <w:rsid w:val="18E54327"/>
    <w:rsid w:val="190134B3"/>
    <w:rsid w:val="190660FA"/>
    <w:rsid w:val="19516FA3"/>
    <w:rsid w:val="196565AA"/>
    <w:rsid w:val="19771D42"/>
    <w:rsid w:val="197F6605"/>
    <w:rsid w:val="19866520"/>
    <w:rsid w:val="19AF3CC9"/>
    <w:rsid w:val="19C1642A"/>
    <w:rsid w:val="19C71013"/>
    <w:rsid w:val="19C82314"/>
    <w:rsid w:val="1A07140F"/>
    <w:rsid w:val="1A1E5813"/>
    <w:rsid w:val="1A5D1977"/>
    <w:rsid w:val="1A700CC5"/>
    <w:rsid w:val="1A9A68F5"/>
    <w:rsid w:val="1AB86BAD"/>
    <w:rsid w:val="1AE01E2B"/>
    <w:rsid w:val="1B0D0CA7"/>
    <w:rsid w:val="1B1431CA"/>
    <w:rsid w:val="1B26620D"/>
    <w:rsid w:val="1B5B2A1B"/>
    <w:rsid w:val="1BCF2401"/>
    <w:rsid w:val="1BE0460E"/>
    <w:rsid w:val="1BE334DF"/>
    <w:rsid w:val="1C2838BF"/>
    <w:rsid w:val="1C2A4944"/>
    <w:rsid w:val="1C4A5F2B"/>
    <w:rsid w:val="1C512E16"/>
    <w:rsid w:val="1C534D67"/>
    <w:rsid w:val="1C99656B"/>
    <w:rsid w:val="1C9A095A"/>
    <w:rsid w:val="1C9F0025"/>
    <w:rsid w:val="1CA765C5"/>
    <w:rsid w:val="1CAD6710"/>
    <w:rsid w:val="1CBA5EFE"/>
    <w:rsid w:val="1CEE6A7A"/>
    <w:rsid w:val="1CF00880"/>
    <w:rsid w:val="1CF245F9"/>
    <w:rsid w:val="1D025CA0"/>
    <w:rsid w:val="1D26096A"/>
    <w:rsid w:val="1D3A1AFC"/>
    <w:rsid w:val="1D40617B"/>
    <w:rsid w:val="1D7019C1"/>
    <w:rsid w:val="1DBE7A88"/>
    <w:rsid w:val="1DCD2970"/>
    <w:rsid w:val="1E761256"/>
    <w:rsid w:val="1E827A99"/>
    <w:rsid w:val="1E8614C8"/>
    <w:rsid w:val="1F52137F"/>
    <w:rsid w:val="1F686DF4"/>
    <w:rsid w:val="1F7A08D5"/>
    <w:rsid w:val="1F86727A"/>
    <w:rsid w:val="1F882F99"/>
    <w:rsid w:val="1F9957E4"/>
    <w:rsid w:val="1FF16DE9"/>
    <w:rsid w:val="1FF45494"/>
    <w:rsid w:val="20607ACB"/>
    <w:rsid w:val="208714FC"/>
    <w:rsid w:val="20A976C4"/>
    <w:rsid w:val="20C0120F"/>
    <w:rsid w:val="20E06E5E"/>
    <w:rsid w:val="20F3093F"/>
    <w:rsid w:val="21052421"/>
    <w:rsid w:val="215F5FD5"/>
    <w:rsid w:val="2197751D"/>
    <w:rsid w:val="21B7196D"/>
    <w:rsid w:val="21BE0F4D"/>
    <w:rsid w:val="21CE6CB6"/>
    <w:rsid w:val="21E8421C"/>
    <w:rsid w:val="22016145"/>
    <w:rsid w:val="221A4255"/>
    <w:rsid w:val="22502157"/>
    <w:rsid w:val="22573150"/>
    <w:rsid w:val="22715FC0"/>
    <w:rsid w:val="231A0405"/>
    <w:rsid w:val="232F260D"/>
    <w:rsid w:val="233A2855"/>
    <w:rsid w:val="233D0598"/>
    <w:rsid w:val="23522309"/>
    <w:rsid w:val="23E0270B"/>
    <w:rsid w:val="23E67AE2"/>
    <w:rsid w:val="23EF6DDD"/>
    <w:rsid w:val="23FA1FE5"/>
    <w:rsid w:val="24303C58"/>
    <w:rsid w:val="243472A5"/>
    <w:rsid w:val="2464432F"/>
    <w:rsid w:val="246833F2"/>
    <w:rsid w:val="24804DBA"/>
    <w:rsid w:val="24F353B2"/>
    <w:rsid w:val="250424A4"/>
    <w:rsid w:val="250639AE"/>
    <w:rsid w:val="252E5396"/>
    <w:rsid w:val="254554E2"/>
    <w:rsid w:val="25506360"/>
    <w:rsid w:val="256F255E"/>
    <w:rsid w:val="258A76D2"/>
    <w:rsid w:val="25916979"/>
    <w:rsid w:val="25965338"/>
    <w:rsid w:val="25A71CF8"/>
    <w:rsid w:val="25C94338"/>
    <w:rsid w:val="25D845A8"/>
    <w:rsid w:val="25F2111F"/>
    <w:rsid w:val="25FE400E"/>
    <w:rsid w:val="26067DCF"/>
    <w:rsid w:val="261F21D6"/>
    <w:rsid w:val="26452B65"/>
    <w:rsid w:val="26600825"/>
    <w:rsid w:val="26B571AF"/>
    <w:rsid w:val="26B77C52"/>
    <w:rsid w:val="26DE5BEE"/>
    <w:rsid w:val="27037402"/>
    <w:rsid w:val="27122580"/>
    <w:rsid w:val="272C0707"/>
    <w:rsid w:val="275A1718"/>
    <w:rsid w:val="276A122F"/>
    <w:rsid w:val="278C389C"/>
    <w:rsid w:val="27CC5901"/>
    <w:rsid w:val="27F154AD"/>
    <w:rsid w:val="27F751B9"/>
    <w:rsid w:val="27FF406E"/>
    <w:rsid w:val="28094EEC"/>
    <w:rsid w:val="2810627B"/>
    <w:rsid w:val="28137B19"/>
    <w:rsid w:val="281D040D"/>
    <w:rsid w:val="285A74F6"/>
    <w:rsid w:val="29253660"/>
    <w:rsid w:val="29345F99"/>
    <w:rsid w:val="29693E94"/>
    <w:rsid w:val="297840D8"/>
    <w:rsid w:val="29C235A5"/>
    <w:rsid w:val="29F80D74"/>
    <w:rsid w:val="2A1C0F07"/>
    <w:rsid w:val="2A297180"/>
    <w:rsid w:val="2A3738D4"/>
    <w:rsid w:val="2A5F2BA2"/>
    <w:rsid w:val="2A650ECF"/>
    <w:rsid w:val="2A910621"/>
    <w:rsid w:val="2AAA6513"/>
    <w:rsid w:val="2AC55FB0"/>
    <w:rsid w:val="2AD25A69"/>
    <w:rsid w:val="2AE03A40"/>
    <w:rsid w:val="2B02634F"/>
    <w:rsid w:val="2BBF7A93"/>
    <w:rsid w:val="2BC01D66"/>
    <w:rsid w:val="2BEC66B7"/>
    <w:rsid w:val="2BED4942"/>
    <w:rsid w:val="2C043A01"/>
    <w:rsid w:val="2C98633C"/>
    <w:rsid w:val="2CA4338D"/>
    <w:rsid w:val="2CBA67B5"/>
    <w:rsid w:val="2CE8084D"/>
    <w:rsid w:val="2D257E8D"/>
    <w:rsid w:val="2D261EE1"/>
    <w:rsid w:val="2D26209C"/>
    <w:rsid w:val="2D362FFF"/>
    <w:rsid w:val="2D4B56B9"/>
    <w:rsid w:val="2D590C84"/>
    <w:rsid w:val="2D613BA3"/>
    <w:rsid w:val="2D6720DE"/>
    <w:rsid w:val="2D687FBF"/>
    <w:rsid w:val="2D766B80"/>
    <w:rsid w:val="2DD6761F"/>
    <w:rsid w:val="2DD94DA6"/>
    <w:rsid w:val="2DF83A39"/>
    <w:rsid w:val="2E185FB5"/>
    <w:rsid w:val="2E666BF4"/>
    <w:rsid w:val="2E903C71"/>
    <w:rsid w:val="2ED56201"/>
    <w:rsid w:val="2ED718A0"/>
    <w:rsid w:val="2EF22236"/>
    <w:rsid w:val="2F05640D"/>
    <w:rsid w:val="2F1C72B3"/>
    <w:rsid w:val="2F1E127D"/>
    <w:rsid w:val="2F634EE2"/>
    <w:rsid w:val="2F8143A7"/>
    <w:rsid w:val="2FFD0E93"/>
    <w:rsid w:val="305B205D"/>
    <w:rsid w:val="306B4E7D"/>
    <w:rsid w:val="3082583C"/>
    <w:rsid w:val="310817CD"/>
    <w:rsid w:val="31172428"/>
    <w:rsid w:val="312F7772"/>
    <w:rsid w:val="31336B36"/>
    <w:rsid w:val="313A63D7"/>
    <w:rsid w:val="316B62D0"/>
    <w:rsid w:val="317F1B79"/>
    <w:rsid w:val="318006F6"/>
    <w:rsid w:val="31A17C21"/>
    <w:rsid w:val="31A43590"/>
    <w:rsid w:val="31B9528D"/>
    <w:rsid w:val="32230728"/>
    <w:rsid w:val="323D7C6C"/>
    <w:rsid w:val="32D6284F"/>
    <w:rsid w:val="32DD4FAB"/>
    <w:rsid w:val="33154F2C"/>
    <w:rsid w:val="332C66F3"/>
    <w:rsid w:val="33873125"/>
    <w:rsid w:val="33B273BE"/>
    <w:rsid w:val="33DF6B01"/>
    <w:rsid w:val="33F829BD"/>
    <w:rsid w:val="34052A0C"/>
    <w:rsid w:val="34565015"/>
    <w:rsid w:val="345D45F6"/>
    <w:rsid w:val="34632FD8"/>
    <w:rsid w:val="34E80607"/>
    <w:rsid w:val="34F71AF5"/>
    <w:rsid w:val="350902DA"/>
    <w:rsid w:val="35386E11"/>
    <w:rsid w:val="355A28E3"/>
    <w:rsid w:val="35727C2D"/>
    <w:rsid w:val="36160F00"/>
    <w:rsid w:val="36207B2B"/>
    <w:rsid w:val="363A3E94"/>
    <w:rsid w:val="363E3FB3"/>
    <w:rsid w:val="364C66D0"/>
    <w:rsid w:val="36504750"/>
    <w:rsid w:val="365E4655"/>
    <w:rsid w:val="36853990"/>
    <w:rsid w:val="36963DEF"/>
    <w:rsid w:val="36C97D20"/>
    <w:rsid w:val="36D13079"/>
    <w:rsid w:val="36F80606"/>
    <w:rsid w:val="37216138"/>
    <w:rsid w:val="37270EEB"/>
    <w:rsid w:val="378E2D18"/>
    <w:rsid w:val="37A02563"/>
    <w:rsid w:val="37A97B52"/>
    <w:rsid w:val="37C417AA"/>
    <w:rsid w:val="37CE75B8"/>
    <w:rsid w:val="37D44BCF"/>
    <w:rsid w:val="38042FDA"/>
    <w:rsid w:val="3805122C"/>
    <w:rsid w:val="380F20AB"/>
    <w:rsid w:val="38174703"/>
    <w:rsid w:val="384D4981"/>
    <w:rsid w:val="384E39DC"/>
    <w:rsid w:val="38654816"/>
    <w:rsid w:val="38795776"/>
    <w:rsid w:val="38A50319"/>
    <w:rsid w:val="38D91C00"/>
    <w:rsid w:val="38E057F5"/>
    <w:rsid w:val="391A6BCE"/>
    <w:rsid w:val="391E2E32"/>
    <w:rsid w:val="391E32EE"/>
    <w:rsid w:val="395104A1"/>
    <w:rsid w:val="39570DCA"/>
    <w:rsid w:val="39671A73"/>
    <w:rsid w:val="39814527"/>
    <w:rsid w:val="39882115"/>
    <w:rsid w:val="39C96289"/>
    <w:rsid w:val="39EC3D26"/>
    <w:rsid w:val="39FD5F33"/>
    <w:rsid w:val="3A145757"/>
    <w:rsid w:val="3A43603C"/>
    <w:rsid w:val="3A524907"/>
    <w:rsid w:val="3A8F1049"/>
    <w:rsid w:val="3A922B1F"/>
    <w:rsid w:val="3AA30888"/>
    <w:rsid w:val="3AD9074E"/>
    <w:rsid w:val="3B255741"/>
    <w:rsid w:val="3B2C6AD0"/>
    <w:rsid w:val="3B4C0F20"/>
    <w:rsid w:val="3B5D39DD"/>
    <w:rsid w:val="3B6B584A"/>
    <w:rsid w:val="3B7A783B"/>
    <w:rsid w:val="3B7F12F6"/>
    <w:rsid w:val="3BC30E06"/>
    <w:rsid w:val="3BCE7B87"/>
    <w:rsid w:val="3BE4693D"/>
    <w:rsid w:val="3C203B9C"/>
    <w:rsid w:val="3CAC6DC6"/>
    <w:rsid w:val="3CEA4D9C"/>
    <w:rsid w:val="3CFB6AD2"/>
    <w:rsid w:val="3D0C0967"/>
    <w:rsid w:val="3D1C4922"/>
    <w:rsid w:val="3D430101"/>
    <w:rsid w:val="3D65451B"/>
    <w:rsid w:val="3D6E1622"/>
    <w:rsid w:val="3D934BE4"/>
    <w:rsid w:val="3DA202D5"/>
    <w:rsid w:val="3DD1570D"/>
    <w:rsid w:val="3E077380"/>
    <w:rsid w:val="3E0D5290"/>
    <w:rsid w:val="3E1357E1"/>
    <w:rsid w:val="3E1D6BA4"/>
    <w:rsid w:val="3E38578C"/>
    <w:rsid w:val="3E401741"/>
    <w:rsid w:val="3E630A5B"/>
    <w:rsid w:val="3E704F26"/>
    <w:rsid w:val="3E802756"/>
    <w:rsid w:val="3EA3300B"/>
    <w:rsid w:val="3EF5171E"/>
    <w:rsid w:val="3F376F2D"/>
    <w:rsid w:val="3FB2368A"/>
    <w:rsid w:val="3FD341E0"/>
    <w:rsid w:val="3FE43E1D"/>
    <w:rsid w:val="3FEC0F24"/>
    <w:rsid w:val="3FEF6007"/>
    <w:rsid w:val="40A66BCB"/>
    <w:rsid w:val="41197AF6"/>
    <w:rsid w:val="414A1386"/>
    <w:rsid w:val="4184563D"/>
    <w:rsid w:val="41874618"/>
    <w:rsid w:val="418D1221"/>
    <w:rsid w:val="418D4436"/>
    <w:rsid w:val="41E81277"/>
    <w:rsid w:val="41FA7928"/>
    <w:rsid w:val="42075BA1"/>
    <w:rsid w:val="420E33D3"/>
    <w:rsid w:val="42310E70"/>
    <w:rsid w:val="423A41C8"/>
    <w:rsid w:val="424E2AAD"/>
    <w:rsid w:val="42725710"/>
    <w:rsid w:val="42786A9F"/>
    <w:rsid w:val="42E3660E"/>
    <w:rsid w:val="42F206F4"/>
    <w:rsid w:val="42F73E67"/>
    <w:rsid w:val="430C00D7"/>
    <w:rsid w:val="43853221"/>
    <w:rsid w:val="43F32881"/>
    <w:rsid w:val="43FD54AD"/>
    <w:rsid w:val="43FF1225"/>
    <w:rsid w:val="441F2BD9"/>
    <w:rsid w:val="444667B2"/>
    <w:rsid w:val="446F6A4F"/>
    <w:rsid w:val="44722751"/>
    <w:rsid w:val="447B63D2"/>
    <w:rsid w:val="448E7C71"/>
    <w:rsid w:val="4493014A"/>
    <w:rsid w:val="44AA33B7"/>
    <w:rsid w:val="44B55D88"/>
    <w:rsid w:val="44C818B0"/>
    <w:rsid w:val="44CD1324"/>
    <w:rsid w:val="44ED72D0"/>
    <w:rsid w:val="45441531"/>
    <w:rsid w:val="45796DB6"/>
    <w:rsid w:val="466471A3"/>
    <w:rsid w:val="466730B2"/>
    <w:rsid w:val="46805F22"/>
    <w:rsid w:val="468477C0"/>
    <w:rsid w:val="468606A0"/>
    <w:rsid w:val="46BF2EEE"/>
    <w:rsid w:val="46F420A2"/>
    <w:rsid w:val="471826CF"/>
    <w:rsid w:val="471A6376"/>
    <w:rsid w:val="472F1E22"/>
    <w:rsid w:val="473311E6"/>
    <w:rsid w:val="47392CA0"/>
    <w:rsid w:val="47624A31"/>
    <w:rsid w:val="47875211"/>
    <w:rsid w:val="47D26C51"/>
    <w:rsid w:val="480706A9"/>
    <w:rsid w:val="48142AB6"/>
    <w:rsid w:val="48287ADF"/>
    <w:rsid w:val="482C45B3"/>
    <w:rsid w:val="483A1816"/>
    <w:rsid w:val="48741AB6"/>
    <w:rsid w:val="487B2E45"/>
    <w:rsid w:val="4882187E"/>
    <w:rsid w:val="48C52312"/>
    <w:rsid w:val="48D5496B"/>
    <w:rsid w:val="48E50A71"/>
    <w:rsid w:val="49042E3A"/>
    <w:rsid w:val="49C01457"/>
    <w:rsid w:val="49ED38CE"/>
    <w:rsid w:val="4A01737A"/>
    <w:rsid w:val="4A163063"/>
    <w:rsid w:val="4A2F2139"/>
    <w:rsid w:val="4A6209BE"/>
    <w:rsid w:val="4A702F0E"/>
    <w:rsid w:val="4AE90539"/>
    <w:rsid w:val="4AF313B8"/>
    <w:rsid w:val="4AF465CB"/>
    <w:rsid w:val="4B133808"/>
    <w:rsid w:val="4B4734B2"/>
    <w:rsid w:val="4B58121B"/>
    <w:rsid w:val="4B5C0DC7"/>
    <w:rsid w:val="4B6127C6"/>
    <w:rsid w:val="4B92472D"/>
    <w:rsid w:val="4BC575D2"/>
    <w:rsid w:val="4BCA58A8"/>
    <w:rsid w:val="4BE17747"/>
    <w:rsid w:val="4C1B0BC7"/>
    <w:rsid w:val="4C325F10"/>
    <w:rsid w:val="4C40066C"/>
    <w:rsid w:val="4C416153"/>
    <w:rsid w:val="4C5515D3"/>
    <w:rsid w:val="4C7C6027"/>
    <w:rsid w:val="4CD945DE"/>
    <w:rsid w:val="4CEA2347"/>
    <w:rsid w:val="4CF919F3"/>
    <w:rsid w:val="4D185106"/>
    <w:rsid w:val="4D1B69A4"/>
    <w:rsid w:val="4D381304"/>
    <w:rsid w:val="4D965582"/>
    <w:rsid w:val="4DB0533F"/>
    <w:rsid w:val="4DB841F3"/>
    <w:rsid w:val="4DDC6134"/>
    <w:rsid w:val="4DE964F6"/>
    <w:rsid w:val="4E8A7B66"/>
    <w:rsid w:val="4E992277"/>
    <w:rsid w:val="4EEF5311"/>
    <w:rsid w:val="4EFE20DA"/>
    <w:rsid w:val="4F18120D"/>
    <w:rsid w:val="4F1A33B7"/>
    <w:rsid w:val="4F22401A"/>
    <w:rsid w:val="4FA93BA7"/>
    <w:rsid w:val="4FD47751"/>
    <w:rsid w:val="4FF621C9"/>
    <w:rsid w:val="502E62AD"/>
    <w:rsid w:val="503A35E5"/>
    <w:rsid w:val="50472057"/>
    <w:rsid w:val="50502E09"/>
    <w:rsid w:val="506B7C43"/>
    <w:rsid w:val="50B96C00"/>
    <w:rsid w:val="50CC6933"/>
    <w:rsid w:val="50D92DFE"/>
    <w:rsid w:val="50DB5F91"/>
    <w:rsid w:val="50E701E5"/>
    <w:rsid w:val="51424955"/>
    <w:rsid w:val="51C222B6"/>
    <w:rsid w:val="51D03A25"/>
    <w:rsid w:val="52642B9B"/>
    <w:rsid w:val="529671F9"/>
    <w:rsid w:val="52A03BD4"/>
    <w:rsid w:val="52B23907"/>
    <w:rsid w:val="52E2243E"/>
    <w:rsid w:val="531225F7"/>
    <w:rsid w:val="53347B6E"/>
    <w:rsid w:val="537E1A3B"/>
    <w:rsid w:val="538A03E0"/>
    <w:rsid w:val="53A574BD"/>
    <w:rsid w:val="53A92F5C"/>
    <w:rsid w:val="53F209EC"/>
    <w:rsid w:val="5415414D"/>
    <w:rsid w:val="54260108"/>
    <w:rsid w:val="54336CC9"/>
    <w:rsid w:val="543C16DA"/>
    <w:rsid w:val="54411979"/>
    <w:rsid w:val="546E0AFB"/>
    <w:rsid w:val="549D4B07"/>
    <w:rsid w:val="54D062C6"/>
    <w:rsid w:val="54D73AF9"/>
    <w:rsid w:val="55304730"/>
    <w:rsid w:val="55410F72"/>
    <w:rsid w:val="554C3B9F"/>
    <w:rsid w:val="5586381E"/>
    <w:rsid w:val="55B81195"/>
    <w:rsid w:val="55F12998"/>
    <w:rsid w:val="55F668FC"/>
    <w:rsid w:val="56224F72"/>
    <w:rsid w:val="56270168"/>
    <w:rsid w:val="56300645"/>
    <w:rsid w:val="56CF0F2B"/>
    <w:rsid w:val="571D1301"/>
    <w:rsid w:val="572E2943"/>
    <w:rsid w:val="57527466"/>
    <w:rsid w:val="57AE6D93"/>
    <w:rsid w:val="57D367F9"/>
    <w:rsid w:val="582C7CB7"/>
    <w:rsid w:val="583059FA"/>
    <w:rsid w:val="58A36161"/>
    <w:rsid w:val="58B56D36"/>
    <w:rsid w:val="58B8511B"/>
    <w:rsid w:val="58C95DE5"/>
    <w:rsid w:val="58F307D5"/>
    <w:rsid w:val="58F333FF"/>
    <w:rsid w:val="59387281"/>
    <w:rsid w:val="59653481"/>
    <w:rsid w:val="59701E26"/>
    <w:rsid w:val="59741916"/>
    <w:rsid w:val="59A246D5"/>
    <w:rsid w:val="59D32AE1"/>
    <w:rsid w:val="59D614CD"/>
    <w:rsid w:val="59EE3A76"/>
    <w:rsid w:val="5A201A9E"/>
    <w:rsid w:val="5A6B26EF"/>
    <w:rsid w:val="5A6F4815"/>
    <w:rsid w:val="5AA7634B"/>
    <w:rsid w:val="5AB1171C"/>
    <w:rsid w:val="5B1E5FDD"/>
    <w:rsid w:val="5B2027D8"/>
    <w:rsid w:val="5B242EC8"/>
    <w:rsid w:val="5C0F3D52"/>
    <w:rsid w:val="5C7659A5"/>
    <w:rsid w:val="5C930305"/>
    <w:rsid w:val="5CC613FD"/>
    <w:rsid w:val="5D081F0B"/>
    <w:rsid w:val="5D1458EA"/>
    <w:rsid w:val="5D301FF8"/>
    <w:rsid w:val="5D5850AB"/>
    <w:rsid w:val="5D6677C8"/>
    <w:rsid w:val="5D7F6ADB"/>
    <w:rsid w:val="5D902A97"/>
    <w:rsid w:val="5D9F60E0"/>
    <w:rsid w:val="5DAE61D8"/>
    <w:rsid w:val="5DE7793E"/>
    <w:rsid w:val="5E39691C"/>
    <w:rsid w:val="5E47584B"/>
    <w:rsid w:val="5E7A598C"/>
    <w:rsid w:val="5E7F4FE5"/>
    <w:rsid w:val="5EA71675"/>
    <w:rsid w:val="5EAB7FF3"/>
    <w:rsid w:val="5EB90C6A"/>
    <w:rsid w:val="5EE63B52"/>
    <w:rsid w:val="5F30008D"/>
    <w:rsid w:val="5F4E6098"/>
    <w:rsid w:val="5F8403D9"/>
    <w:rsid w:val="5F8D458F"/>
    <w:rsid w:val="5FAD7930"/>
    <w:rsid w:val="5FC4513D"/>
    <w:rsid w:val="5FF11F12"/>
    <w:rsid w:val="5FF13CC0"/>
    <w:rsid w:val="601243E7"/>
    <w:rsid w:val="60141370"/>
    <w:rsid w:val="603B318E"/>
    <w:rsid w:val="60661887"/>
    <w:rsid w:val="60AD7223"/>
    <w:rsid w:val="60B036F6"/>
    <w:rsid w:val="60B41BD6"/>
    <w:rsid w:val="60E8098F"/>
    <w:rsid w:val="60F872D1"/>
    <w:rsid w:val="61447E20"/>
    <w:rsid w:val="61477910"/>
    <w:rsid w:val="61516038"/>
    <w:rsid w:val="61620FE5"/>
    <w:rsid w:val="61625A1B"/>
    <w:rsid w:val="61826B9A"/>
    <w:rsid w:val="61C34F67"/>
    <w:rsid w:val="61C40F61"/>
    <w:rsid w:val="61E41603"/>
    <w:rsid w:val="61EE278A"/>
    <w:rsid w:val="623256AA"/>
    <w:rsid w:val="623D7388"/>
    <w:rsid w:val="6267026A"/>
    <w:rsid w:val="62C556E6"/>
    <w:rsid w:val="62F15D85"/>
    <w:rsid w:val="62F31AFE"/>
    <w:rsid w:val="631B2E02"/>
    <w:rsid w:val="633013C5"/>
    <w:rsid w:val="63422A85"/>
    <w:rsid w:val="635F7193"/>
    <w:rsid w:val="63964B41"/>
    <w:rsid w:val="63CE5BCA"/>
    <w:rsid w:val="63EF260C"/>
    <w:rsid w:val="63FF1893"/>
    <w:rsid w:val="640C3E97"/>
    <w:rsid w:val="641E0DFC"/>
    <w:rsid w:val="647C714C"/>
    <w:rsid w:val="64803865"/>
    <w:rsid w:val="64E078AA"/>
    <w:rsid w:val="653F727C"/>
    <w:rsid w:val="656345B9"/>
    <w:rsid w:val="6589499B"/>
    <w:rsid w:val="65FD3A5C"/>
    <w:rsid w:val="662446C4"/>
    <w:rsid w:val="66532583"/>
    <w:rsid w:val="665F56FC"/>
    <w:rsid w:val="669C425A"/>
    <w:rsid w:val="66A23F66"/>
    <w:rsid w:val="66F9345B"/>
    <w:rsid w:val="670D457F"/>
    <w:rsid w:val="67106F11"/>
    <w:rsid w:val="671604B0"/>
    <w:rsid w:val="672145A9"/>
    <w:rsid w:val="67226E55"/>
    <w:rsid w:val="67584625"/>
    <w:rsid w:val="677879E5"/>
    <w:rsid w:val="67896ED4"/>
    <w:rsid w:val="678D61E4"/>
    <w:rsid w:val="679342C6"/>
    <w:rsid w:val="67EC2FBF"/>
    <w:rsid w:val="67F02AB0"/>
    <w:rsid w:val="682664D1"/>
    <w:rsid w:val="68850E7E"/>
    <w:rsid w:val="68AB6EB0"/>
    <w:rsid w:val="68BA5BE4"/>
    <w:rsid w:val="68BD1938"/>
    <w:rsid w:val="68CE31AC"/>
    <w:rsid w:val="69020CEC"/>
    <w:rsid w:val="6910009B"/>
    <w:rsid w:val="69414646"/>
    <w:rsid w:val="695C6FC6"/>
    <w:rsid w:val="69601EB7"/>
    <w:rsid w:val="698C6808"/>
    <w:rsid w:val="699022E4"/>
    <w:rsid w:val="69B62717"/>
    <w:rsid w:val="69D00DEB"/>
    <w:rsid w:val="69E93C5A"/>
    <w:rsid w:val="6A1A02B8"/>
    <w:rsid w:val="6A2A031E"/>
    <w:rsid w:val="6A4964A7"/>
    <w:rsid w:val="6A717B7E"/>
    <w:rsid w:val="6A8000FB"/>
    <w:rsid w:val="6A975464"/>
    <w:rsid w:val="6AC67AF8"/>
    <w:rsid w:val="6B466EA6"/>
    <w:rsid w:val="6B6F6C1F"/>
    <w:rsid w:val="6BA134BB"/>
    <w:rsid w:val="6BC95638"/>
    <w:rsid w:val="6C3C2767"/>
    <w:rsid w:val="6C502023"/>
    <w:rsid w:val="6C9205D9"/>
    <w:rsid w:val="6C951E77"/>
    <w:rsid w:val="6CAE6A95"/>
    <w:rsid w:val="6CBA465E"/>
    <w:rsid w:val="6CD01D77"/>
    <w:rsid w:val="6CDE381E"/>
    <w:rsid w:val="6CF070AE"/>
    <w:rsid w:val="6CF43042"/>
    <w:rsid w:val="6CF7668E"/>
    <w:rsid w:val="6D513FF0"/>
    <w:rsid w:val="6D67771A"/>
    <w:rsid w:val="6D8F68C7"/>
    <w:rsid w:val="6D9E6217"/>
    <w:rsid w:val="6E2214E9"/>
    <w:rsid w:val="6E3914DB"/>
    <w:rsid w:val="6E57325F"/>
    <w:rsid w:val="6EA165BF"/>
    <w:rsid w:val="6F280D81"/>
    <w:rsid w:val="6F282B2F"/>
    <w:rsid w:val="6F443D25"/>
    <w:rsid w:val="6F4B4A6F"/>
    <w:rsid w:val="6F67671B"/>
    <w:rsid w:val="6F773AB6"/>
    <w:rsid w:val="6F91409C"/>
    <w:rsid w:val="6FA26D85"/>
    <w:rsid w:val="6FA7614A"/>
    <w:rsid w:val="6FCF744E"/>
    <w:rsid w:val="700E61C9"/>
    <w:rsid w:val="701C35B4"/>
    <w:rsid w:val="704C0A9F"/>
    <w:rsid w:val="705C4D2F"/>
    <w:rsid w:val="70651B61"/>
    <w:rsid w:val="706B5330"/>
    <w:rsid w:val="70767C84"/>
    <w:rsid w:val="70EB0C6D"/>
    <w:rsid w:val="711041C2"/>
    <w:rsid w:val="716342F2"/>
    <w:rsid w:val="717A163C"/>
    <w:rsid w:val="717A57AC"/>
    <w:rsid w:val="71A76679"/>
    <w:rsid w:val="720B74BE"/>
    <w:rsid w:val="72277415"/>
    <w:rsid w:val="728E539F"/>
    <w:rsid w:val="72B34E05"/>
    <w:rsid w:val="72B666A4"/>
    <w:rsid w:val="72DB610A"/>
    <w:rsid w:val="72E94CCB"/>
    <w:rsid w:val="72F571CC"/>
    <w:rsid w:val="72F93721"/>
    <w:rsid w:val="733028FA"/>
    <w:rsid w:val="73504D4A"/>
    <w:rsid w:val="736B748E"/>
    <w:rsid w:val="73AB01D2"/>
    <w:rsid w:val="73EE1EB8"/>
    <w:rsid w:val="74281145"/>
    <w:rsid w:val="74534AF2"/>
    <w:rsid w:val="75114065"/>
    <w:rsid w:val="751F3575"/>
    <w:rsid w:val="7521074C"/>
    <w:rsid w:val="75581306"/>
    <w:rsid w:val="756B03B2"/>
    <w:rsid w:val="75840CDB"/>
    <w:rsid w:val="75864A53"/>
    <w:rsid w:val="758E56B6"/>
    <w:rsid w:val="75A31161"/>
    <w:rsid w:val="75C80BC8"/>
    <w:rsid w:val="75D51537"/>
    <w:rsid w:val="75DA08FB"/>
    <w:rsid w:val="76263B40"/>
    <w:rsid w:val="76277FE4"/>
    <w:rsid w:val="765960DA"/>
    <w:rsid w:val="76A5715B"/>
    <w:rsid w:val="76C84BF7"/>
    <w:rsid w:val="77037C1B"/>
    <w:rsid w:val="773F310C"/>
    <w:rsid w:val="7746169E"/>
    <w:rsid w:val="77526AA5"/>
    <w:rsid w:val="7769462C"/>
    <w:rsid w:val="777F175A"/>
    <w:rsid w:val="77845339"/>
    <w:rsid w:val="778A1F2E"/>
    <w:rsid w:val="77A47413"/>
    <w:rsid w:val="77CE623E"/>
    <w:rsid w:val="77DE2925"/>
    <w:rsid w:val="77F51A1C"/>
    <w:rsid w:val="77FC0FFD"/>
    <w:rsid w:val="78250553"/>
    <w:rsid w:val="7868715B"/>
    <w:rsid w:val="78845E5A"/>
    <w:rsid w:val="78A51694"/>
    <w:rsid w:val="78A771BA"/>
    <w:rsid w:val="790A41C1"/>
    <w:rsid w:val="79383607"/>
    <w:rsid w:val="79440EAD"/>
    <w:rsid w:val="79891CB6"/>
    <w:rsid w:val="79921C19"/>
    <w:rsid w:val="79A272C8"/>
    <w:rsid w:val="79AD6A52"/>
    <w:rsid w:val="79B53B59"/>
    <w:rsid w:val="79C142AC"/>
    <w:rsid w:val="79EB68F1"/>
    <w:rsid w:val="7A2F7467"/>
    <w:rsid w:val="7A390826"/>
    <w:rsid w:val="7A516F09"/>
    <w:rsid w:val="7A7E219D"/>
    <w:rsid w:val="7A893B99"/>
    <w:rsid w:val="7AAC5531"/>
    <w:rsid w:val="7B821819"/>
    <w:rsid w:val="7BA63CB2"/>
    <w:rsid w:val="7BB045D8"/>
    <w:rsid w:val="7BB51BEE"/>
    <w:rsid w:val="7BC779A3"/>
    <w:rsid w:val="7C3522B8"/>
    <w:rsid w:val="7C54669C"/>
    <w:rsid w:val="7C7A7ECB"/>
    <w:rsid w:val="7CBE2D25"/>
    <w:rsid w:val="7CDB5685"/>
    <w:rsid w:val="7CDC31AB"/>
    <w:rsid w:val="7D036989"/>
    <w:rsid w:val="7D5611AF"/>
    <w:rsid w:val="7DE1316F"/>
    <w:rsid w:val="7E0B5B3E"/>
    <w:rsid w:val="7E6A73EB"/>
    <w:rsid w:val="7E7318ED"/>
    <w:rsid w:val="7E9F26E2"/>
    <w:rsid w:val="7EBB39C0"/>
    <w:rsid w:val="7EBC3294"/>
    <w:rsid w:val="7ED4682F"/>
    <w:rsid w:val="7EF0118F"/>
    <w:rsid w:val="7F5923A2"/>
    <w:rsid w:val="7F833DB1"/>
    <w:rsid w:val="7FAC43B7"/>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before="340" w:after="33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numPr>
        <w:ilvl w:val="2"/>
        <w:numId w:val="1"/>
      </w:numPr>
      <w:tabs>
        <w:tab w:val="clear" w:pos="2138"/>
      </w:tabs>
      <w:spacing w:before="100" w:after="100"/>
      <w:ind w:left="720"/>
      <w:outlineLvl w:val="2"/>
    </w:pPr>
    <w:rPr>
      <w:bCs/>
      <w:sz w:val="24"/>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before="60"/>
      <w:ind w:firstLine="420" w:firstLineChars="200"/>
    </w:pPr>
  </w:style>
  <w:style w:type="paragraph" w:styleId="6">
    <w:name w:val="annotation text"/>
    <w:basedOn w:val="1"/>
    <w:qFormat/>
    <w:uiPriority w:val="0"/>
  </w:style>
  <w:style w:type="paragraph" w:styleId="7">
    <w:name w:val="Body Text"/>
    <w:basedOn w:val="1"/>
    <w:autoRedefine/>
    <w:semiHidden/>
    <w:qFormat/>
    <w:uiPriority w:val="0"/>
  </w:style>
  <w:style w:type="paragraph" w:styleId="8">
    <w:name w:val="Body Text Indent"/>
    <w:basedOn w:val="1"/>
    <w:next w:val="1"/>
    <w:autoRedefine/>
    <w:qFormat/>
    <w:uiPriority w:val="0"/>
    <w:pPr>
      <w:spacing w:after="120"/>
      <w:ind w:left="420" w:leftChars="200"/>
    </w:pPr>
    <w:rPr>
      <w:szCs w:val="24"/>
    </w:rPr>
  </w:style>
  <w:style w:type="paragraph" w:styleId="9">
    <w:name w:val="toc 5"/>
    <w:basedOn w:val="1"/>
    <w:next w:val="1"/>
    <w:qFormat/>
    <w:uiPriority w:val="0"/>
    <w:pPr>
      <w:tabs>
        <w:tab w:val="right" w:leader="dot" w:pos="8296"/>
      </w:tabs>
      <w:ind w:left="1050" w:leftChars="500"/>
    </w:pPr>
    <w:rPr>
      <w:rFonts w:ascii="Calibri" w:hAnsi="Calibri"/>
      <w:szCs w:val="22"/>
    </w:rPr>
  </w:style>
  <w:style w:type="paragraph" w:styleId="10">
    <w:name w:val="Plain Text"/>
    <w:basedOn w:val="1"/>
    <w:next w:val="1"/>
    <w:semiHidden/>
    <w:unhideWhenUsed/>
    <w:qFormat/>
    <w:uiPriority w:val="99"/>
    <w:rPr>
      <w:rFonts w:hint="eastAsia" w:ascii="宋体" w:hAnsi="宋体" w:eastAsia="宋体" w:cs="Times New Roman"/>
      <w:lang w:eastAsia="zh-CN"/>
    </w:rPr>
  </w:style>
  <w:style w:type="paragraph" w:styleId="11">
    <w:name w:val="Date"/>
    <w:basedOn w:val="1"/>
    <w:next w:val="1"/>
    <w:autoRedefine/>
    <w:qFormat/>
    <w:uiPriority w:val="0"/>
    <w:pPr>
      <w:ind w:left="100" w:leftChars="2500"/>
    </w:p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autoRedefine/>
    <w:qFormat/>
    <w:uiPriority w:val="0"/>
  </w:style>
  <w:style w:type="paragraph" w:styleId="15">
    <w:name w:val="Normal (Web)"/>
    <w:basedOn w:val="1"/>
    <w:unhideWhenUsed/>
    <w:qFormat/>
    <w:uiPriority w:val="0"/>
    <w:rPr>
      <w:rFonts w:ascii="Times New Roman" w:hAnsi="Times New Roman" w:eastAsia="宋体" w:cs="Times New Roman"/>
      <w:sz w:val="24"/>
      <w:szCs w:val="24"/>
      <w:lang w:eastAsia="zh-CN"/>
    </w:rPr>
  </w:style>
  <w:style w:type="paragraph" w:styleId="16">
    <w:name w:val="Title"/>
    <w:basedOn w:val="1"/>
    <w:autoRedefine/>
    <w:qFormat/>
    <w:uiPriority w:val="0"/>
    <w:pPr>
      <w:spacing w:before="240" w:after="60" w:line="420" w:lineRule="atLeast"/>
      <w:jc w:val="center"/>
      <w:outlineLvl w:val="0"/>
    </w:pPr>
    <w:rPr>
      <w:b/>
      <w:sz w:val="32"/>
    </w:rPr>
  </w:style>
  <w:style w:type="paragraph" w:styleId="17">
    <w:name w:val="Body Text First Indent"/>
    <w:basedOn w:val="7"/>
    <w:semiHidden/>
    <w:unhideWhenUsed/>
    <w:qFormat/>
    <w:uiPriority w:val="99"/>
    <w:pPr>
      <w:widowControl w:val="0"/>
      <w:spacing w:line="312" w:lineRule="auto"/>
      <w:ind w:firstLine="567"/>
      <w:jc w:val="both"/>
    </w:pPr>
    <w:rPr>
      <w:rFonts w:ascii="Times New Roman" w:hAnsi="Times New Roman" w:eastAsia="宋体" w:cs="Times New Roman"/>
      <w:sz w:val="28"/>
      <w:szCs w:val="20"/>
      <w:lang w:eastAsia="zh-CN"/>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customStyle="1" w:styleId="22">
    <w:name w:val="首行缩进"/>
    <w:basedOn w:val="1"/>
    <w:qFormat/>
    <w:uiPriority w:val="0"/>
    <w:pPr>
      <w:numPr>
        <w:ilvl w:val="0"/>
        <w:numId w:val="2"/>
      </w:numPr>
      <w:spacing w:line="360" w:lineRule="auto"/>
    </w:pPr>
    <w:rPr>
      <w:rFonts w:eastAsia="仿宋_GB2312"/>
    </w:rPr>
  </w:style>
  <w:style w:type="paragraph" w:customStyle="1" w:styleId="2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宋体" w:hAnsi="宋体" w:eastAsia="宋体" w:cs="宋体"/>
      <w:sz w:val="24"/>
      <w:szCs w:val="24"/>
    </w:rPr>
  </w:style>
  <w:style w:type="paragraph" w:customStyle="1" w:styleId="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Table Paragraph"/>
    <w:basedOn w:val="1"/>
    <w:autoRedefine/>
    <w:qFormat/>
    <w:uiPriority w:val="1"/>
    <w:rPr>
      <w:rFonts w:ascii="宋体" w:hAnsi="宋体" w:eastAsia="宋体" w:cs="宋体"/>
      <w:lang w:val="zh-CN" w:eastAsia="zh-CN" w:bidi="zh-CN"/>
    </w:rPr>
  </w:style>
  <w:style w:type="paragraph" w:styleId="29">
    <w:name w:val="List Paragraph"/>
    <w:basedOn w:val="1"/>
    <w:qFormat/>
    <w:uiPriority w:val="34"/>
    <w:pPr>
      <w:ind w:firstLine="420" w:firstLineChars="200"/>
    </w:pPr>
  </w:style>
  <w:style w:type="paragraph" w:customStyle="1" w:styleId="3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样式2"/>
    <w:basedOn w:val="1"/>
    <w:qFormat/>
    <w:uiPriority w:val="0"/>
    <w:pPr>
      <w:widowControl w:val="0"/>
      <w:jc w:val="both"/>
    </w:pPr>
    <w:rPr>
      <w:rFonts w:ascii="仿宋_GB2312" w:hAnsi="宋体" w:eastAsia="仿宋_GB2312" w:cs="Times New Roman"/>
      <w:kern w:val="2"/>
      <w:sz w:val="32"/>
      <w:szCs w:val="20"/>
      <w:lang w:eastAsia="zh-CN"/>
    </w:rPr>
  </w:style>
  <w:style w:type="character" w:customStyle="1" w:styleId="32">
    <w:name w:val="标题 1 Char1"/>
    <w:qFormat/>
    <w:uiPriority w:val="0"/>
    <w:rPr>
      <w:rFonts w:ascii="Times New Roman" w:hAnsi="Times New Roman" w:eastAsia="宋体" w:cs="Times New Roman"/>
      <w:b/>
      <w:bCs/>
      <w:kern w:val="44"/>
      <w:sz w:val="32"/>
      <w:szCs w:val="44"/>
    </w:rPr>
  </w:style>
  <w:style w:type="paragraph" w:customStyle="1" w:styleId="33">
    <w:name w:val="列出段落1"/>
    <w:basedOn w:val="1"/>
    <w:qFormat/>
    <w:uiPriority w:val="0"/>
    <w:pPr>
      <w:ind w:firstLine="420" w:firstLineChars="200"/>
    </w:pPr>
    <w:rPr>
      <w:rFonts w:ascii="Times New Roman" w:hAnsi="Times New Roman" w:eastAsia="宋体" w:cs="Times New Roman"/>
    </w:rPr>
  </w:style>
  <w:style w:type="character" w:customStyle="1" w:styleId="34">
    <w:name w:val="font31"/>
    <w:basedOn w:val="20"/>
    <w:qFormat/>
    <w:uiPriority w:val="0"/>
    <w:rPr>
      <w:rFonts w:hint="eastAsia" w:ascii="宋体" w:hAnsi="宋体" w:eastAsia="宋体" w:cs="宋体"/>
      <w:color w:val="000000"/>
      <w:sz w:val="22"/>
      <w:szCs w:val="22"/>
      <w:u w:val="none"/>
    </w:rPr>
  </w:style>
  <w:style w:type="paragraph" w:customStyle="1" w:styleId="35">
    <w:name w:val="01 正文-首行缩进2字符"/>
    <w:basedOn w:val="1"/>
    <w:autoRedefine/>
    <w:qFormat/>
    <w:uiPriority w:val="0"/>
    <w:pPr>
      <w:spacing w:beforeLines="50" w:afterLines="50" w:line="360" w:lineRule="auto"/>
      <w:ind w:firstLine="200" w:firstLineChars="200"/>
    </w:pPr>
  </w:style>
  <w:style w:type="paragraph" w:customStyle="1" w:styleId="36">
    <w:name w:val="HtmlNormal"/>
    <w:basedOn w:val="1"/>
    <w:qFormat/>
    <w:uiPriority w:val="0"/>
    <w:pPr>
      <w:spacing w:before="100" w:beforeAutospacing="1" w:after="100" w:afterAutospacing="1"/>
    </w:pPr>
    <w:rPr>
      <w:rFonts w:ascii="宋体" w:hAnsi="宋体"/>
      <w:sz w:val="24"/>
      <w:szCs w:val="24"/>
      <w:lang w:eastAsia="zh-CN"/>
    </w:rPr>
  </w:style>
  <w:style w:type="character" w:customStyle="1" w:styleId="37">
    <w:name w:val="NormalCharacter"/>
    <w:qFormat/>
    <w:uiPriority w:val="0"/>
    <w:rPr>
      <w:rFonts w:ascii="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2833</Words>
  <Characters>3508</Characters>
  <Lines>536</Lines>
  <Paragraphs>151</Paragraphs>
  <TotalTime>2</TotalTime>
  <ScaleCrop>false</ScaleCrop>
  <LinksUpToDate>false</LinksUpToDate>
  <CharactersWithSpaces>3556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逝水流年</cp:lastModifiedBy>
  <cp:lastPrinted>2025-01-24T01:08:00Z</cp:lastPrinted>
  <dcterms:modified xsi:type="dcterms:W3CDTF">2025-02-05T01:05:44Z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2052-12.1.0.19770</vt:lpwstr>
  </property>
  <property fmtid="{D5CDD505-2E9C-101B-9397-08002B2CF9AE}" pid="5" name="ICV">
    <vt:lpwstr>A7029E576E6444159E3C665313D46E5F_13</vt:lpwstr>
  </property>
  <property fmtid="{D5CDD505-2E9C-101B-9397-08002B2CF9AE}" pid="6" name="KSOTemplateDocerSaveRecord">
    <vt:lpwstr>eyJoZGlkIjoiOGQzMmY2ZTY2NjJhZWQzYTE4MzdlNWU1YzA2N2JkOGUiLCJ1c2VySWQiOiI5MDc1ODY1MjIifQ==</vt:lpwstr>
  </property>
</Properties>
</file>