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color w:val="auto"/>
          <w:highlight w:val="none"/>
        </w:rPr>
      </w:pPr>
    </w:p>
    <w:p>
      <w:pPr>
        <w:widowControl/>
        <w:spacing w:line="360" w:lineRule="auto"/>
        <w:jc w:val="center"/>
        <w:rPr>
          <w:rFonts w:hint="eastAsia" w:ascii="宋体" w:hAnsi="宋体"/>
          <w:b/>
          <w:bCs/>
          <w:color w:val="auto"/>
          <w:kern w:val="0"/>
          <w:sz w:val="44"/>
          <w:szCs w:val="44"/>
          <w:highlight w:val="none"/>
        </w:rPr>
      </w:pPr>
    </w:p>
    <w:p>
      <w:pPr>
        <w:widowControl/>
        <w:spacing w:line="360" w:lineRule="auto"/>
        <w:jc w:val="center"/>
        <w:outlineLvl w:val="0"/>
        <w:rPr>
          <w:rFonts w:hint="default" w:ascii="宋体" w:hAnsi="宋体"/>
          <w:b/>
          <w:bCs/>
          <w:color w:val="auto"/>
          <w:kern w:val="0"/>
          <w:sz w:val="40"/>
          <w:szCs w:val="40"/>
          <w:highlight w:val="none"/>
          <w:lang w:val="en-US"/>
        </w:rPr>
      </w:pPr>
      <w:r>
        <w:rPr>
          <w:rFonts w:hint="eastAsia" w:ascii="宋体" w:hAnsi="宋体" w:cs="Times New Roman"/>
          <w:b/>
          <w:bCs/>
          <w:sz w:val="40"/>
          <w:szCs w:val="40"/>
          <w:highlight w:val="none"/>
          <w:lang w:val="en-US" w:eastAsia="zh-CN"/>
        </w:rPr>
        <w:t>长春市工人文化宫艺术剧场装修改造项目二次</w:t>
      </w:r>
    </w:p>
    <w:p>
      <w:pPr>
        <w:jc w:val="center"/>
        <w:rPr>
          <w:rFonts w:hint="eastAsia" w:ascii="宋体" w:hAnsi="宋体"/>
          <w:b/>
          <w:bCs/>
          <w:color w:val="auto"/>
          <w:kern w:val="0"/>
          <w:sz w:val="32"/>
          <w:szCs w:val="32"/>
          <w:highlight w:val="none"/>
        </w:rPr>
      </w:pPr>
    </w:p>
    <w:p>
      <w:pPr>
        <w:jc w:val="center"/>
        <w:outlineLvl w:val="0"/>
        <w:rPr>
          <w:color w:val="auto"/>
          <w:highlight w:val="none"/>
        </w:rPr>
      </w:pPr>
      <w:bookmarkStart w:id="0" w:name="_Toc13644"/>
      <w:bookmarkStart w:id="1" w:name="_Toc9328"/>
      <w:r>
        <w:rPr>
          <w:rFonts w:hint="eastAsia" w:ascii="宋体" w:hAnsi="宋体"/>
          <w:b/>
          <w:bCs/>
          <w:color w:val="auto"/>
          <w:kern w:val="0"/>
          <w:sz w:val="36"/>
          <w:szCs w:val="36"/>
          <w:highlight w:val="none"/>
        </w:rPr>
        <w:t>（竞争性磋商）</w:t>
      </w:r>
      <w:bookmarkEnd w:id="0"/>
      <w:bookmarkEnd w:id="1"/>
      <w:bookmarkStart w:id="1263" w:name="_GoBack"/>
      <w:bookmarkEnd w:id="1263"/>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spacing w:line="360" w:lineRule="auto"/>
        <w:jc w:val="center"/>
        <w:rPr>
          <w:rFonts w:ascii="宋体" w:hAnsi="宋体"/>
          <w:color w:val="auto"/>
          <w:kern w:val="0"/>
          <w:sz w:val="44"/>
          <w:szCs w:val="44"/>
          <w:highlight w:val="none"/>
        </w:rPr>
      </w:pPr>
      <w:r>
        <w:rPr>
          <w:rFonts w:hint="eastAsia" w:ascii="黑体" w:hAnsi="黑体" w:eastAsia="黑体" w:cs="黑体"/>
          <w:b/>
          <w:bCs/>
          <w:color w:val="auto"/>
          <w:sz w:val="72"/>
          <w:szCs w:val="72"/>
          <w:highlight w:val="none"/>
        </w:rPr>
        <w:t>磋 商 文 件</w:t>
      </w:r>
    </w:p>
    <w:p>
      <w:pPr>
        <w:widowControl/>
        <w:spacing w:line="360" w:lineRule="auto"/>
        <w:jc w:val="center"/>
        <w:outlineLvl w:val="0"/>
        <w:rPr>
          <w:rFonts w:hint="eastAsia" w:ascii="宋体" w:hAnsi="宋体" w:eastAsia="宋体" w:cs="Arial"/>
          <w:b/>
          <w:bCs/>
          <w:color w:val="auto"/>
          <w:kern w:val="0"/>
          <w:sz w:val="32"/>
          <w:szCs w:val="32"/>
          <w:highlight w:val="none"/>
          <w:lang w:val="en-US" w:eastAsia="zh-CN"/>
        </w:rPr>
      </w:pPr>
      <w:bookmarkStart w:id="2" w:name="_Toc504654671"/>
      <w:bookmarkStart w:id="3" w:name="_Toc504479633"/>
      <w:bookmarkStart w:id="4" w:name="_Toc12765"/>
      <w:bookmarkStart w:id="5" w:name="_Toc28014"/>
      <w:r>
        <w:rPr>
          <w:rFonts w:hint="eastAsia" w:ascii="宋体" w:hAnsi="宋体" w:cs="Arial"/>
          <w:b/>
          <w:bCs/>
          <w:color w:val="auto"/>
          <w:kern w:val="0"/>
          <w:sz w:val="32"/>
          <w:szCs w:val="32"/>
          <w:highlight w:val="none"/>
        </w:rPr>
        <w:t>项目编号</w:t>
      </w:r>
      <w:r>
        <w:rPr>
          <w:rFonts w:hint="eastAsia" w:ascii="宋体" w:hAnsi="宋体" w:eastAsia="宋体" w:cs="Arial"/>
          <w:b/>
          <w:bCs/>
          <w:color w:val="auto"/>
          <w:kern w:val="0"/>
          <w:sz w:val="32"/>
          <w:szCs w:val="32"/>
          <w:highlight w:val="none"/>
        </w:rPr>
        <w:t>：</w:t>
      </w:r>
      <w:bookmarkEnd w:id="2"/>
      <w:bookmarkEnd w:id="3"/>
      <w:r>
        <w:rPr>
          <w:rFonts w:hint="eastAsia" w:ascii="宋体" w:hAnsi="宋体" w:eastAsia="宋体" w:cs="Arial"/>
          <w:b/>
          <w:bCs/>
          <w:color w:val="auto"/>
          <w:kern w:val="0"/>
          <w:sz w:val="32"/>
          <w:szCs w:val="32"/>
          <w:highlight w:val="none"/>
          <w:lang w:val="en-US" w:eastAsia="zh-CN"/>
        </w:rPr>
        <w:t>JM-2024-05-00492</w:t>
      </w:r>
      <w:bookmarkEnd w:id="4"/>
      <w:bookmarkEnd w:id="5"/>
    </w:p>
    <w:p>
      <w:pPr>
        <w:widowControl/>
        <w:spacing w:line="360" w:lineRule="auto"/>
        <w:jc w:val="center"/>
        <w:rPr>
          <w:rFonts w:hint="eastAsia" w:ascii="宋体" w:hAnsi="宋体" w:cs="Arial"/>
          <w:b/>
          <w:bCs/>
          <w:color w:val="auto"/>
          <w:kern w:val="0"/>
          <w:sz w:val="32"/>
          <w:szCs w:val="32"/>
          <w:highlight w:val="none"/>
        </w:rPr>
      </w:pPr>
    </w:p>
    <w:p>
      <w:pPr>
        <w:widowControl/>
        <w:spacing w:line="360" w:lineRule="auto"/>
        <w:rPr>
          <w:rFonts w:ascii="宋体" w:hAnsi="宋体"/>
          <w:color w:val="auto"/>
          <w:kern w:val="0"/>
          <w:sz w:val="52"/>
          <w:szCs w:val="52"/>
          <w:highlight w:val="none"/>
        </w:rPr>
      </w:pPr>
    </w:p>
    <w:p>
      <w:pPr>
        <w:widowControl/>
        <w:spacing w:line="360" w:lineRule="auto"/>
        <w:rPr>
          <w:rFonts w:ascii="宋体" w:hAnsi="宋体"/>
          <w:color w:val="auto"/>
          <w:kern w:val="0"/>
          <w:sz w:val="52"/>
          <w:szCs w:val="52"/>
          <w:highlight w:val="none"/>
        </w:rPr>
      </w:pPr>
    </w:p>
    <w:p>
      <w:pPr>
        <w:widowControl/>
        <w:spacing w:line="480" w:lineRule="auto"/>
        <w:ind w:firstLine="964" w:firstLineChars="300"/>
        <w:outlineLvl w:val="0"/>
        <w:rPr>
          <w:rFonts w:hint="eastAsia" w:ascii="宋体" w:hAnsi="宋体"/>
          <w:b/>
          <w:bCs/>
          <w:color w:val="auto"/>
          <w:kern w:val="0"/>
          <w:sz w:val="32"/>
          <w:szCs w:val="32"/>
          <w:highlight w:val="none"/>
        </w:rPr>
      </w:pPr>
      <w:bookmarkStart w:id="6" w:name="_Toc2070"/>
      <w:bookmarkStart w:id="7" w:name="_Toc26297"/>
      <w:r>
        <w:rPr>
          <w:rFonts w:hint="eastAsia" w:ascii="宋体" w:hAnsi="宋体"/>
          <w:b/>
          <w:bCs/>
          <w:color w:val="auto"/>
          <w:kern w:val="0"/>
          <w:sz w:val="32"/>
          <w:szCs w:val="32"/>
          <w:highlight w:val="none"/>
        </w:rPr>
        <w:t>采   购   人</w:t>
      </w:r>
      <w:r>
        <w:rPr>
          <w:rFonts w:ascii="宋体" w:hAnsi="宋体"/>
          <w:b/>
          <w:bCs/>
          <w:color w:val="auto"/>
          <w:kern w:val="0"/>
          <w:sz w:val="32"/>
          <w:szCs w:val="32"/>
          <w:highlight w:val="none"/>
        </w:rPr>
        <w:t>:</w:t>
      </w:r>
      <w:r>
        <w:rPr>
          <w:rFonts w:hint="eastAsia" w:ascii="宋体" w:hAnsi="宋体"/>
          <w:b/>
          <w:bCs/>
          <w:color w:val="auto"/>
          <w:kern w:val="0"/>
          <w:sz w:val="32"/>
          <w:szCs w:val="32"/>
          <w:highlight w:val="none"/>
        </w:rPr>
        <w:t>长春市工人文化宫</w:t>
      </w:r>
      <w:bookmarkEnd w:id="6"/>
      <w:bookmarkEnd w:id="7"/>
    </w:p>
    <w:p>
      <w:pPr>
        <w:pStyle w:val="21"/>
        <w:rPr>
          <w:rFonts w:hint="eastAsia"/>
          <w:color w:val="auto"/>
          <w:highlight w:val="none"/>
        </w:rPr>
      </w:pPr>
    </w:p>
    <w:p>
      <w:pPr>
        <w:widowControl/>
        <w:spacing w:line="480" w:lineRule="auto"/>
        <w:ind w:firstLine="964" w:firstLineChars="300"/>
        <w:rPr>
          <w:rFonts w:hint="eastAsia" w:ascii="宋体" w:hAnsi="宋体"/>
          <w:b/>
          <w:bCs/>
          <w:color w:val="auto"/>
          <w:kern w:val="0"/>
          <w:sz w:val="32"/>
          <w:szCs w:val="32"/>
          <w:highlight w:val="none"/>
        </w:rPr>
      </w:pPr>
      <w:r>
        <w:rPr>
          <w:rFonts w:hint="eastAsia" w:ascii="宋体" w:hAnsi="宋体"/>
          <w:b/>
          <w:bCs/>
          <w:color w:val="auto"/>
          <w:kern w:val="0"/>
          <w:sz w:val="32"/>
          <w:szCs w:val="32"/>
          <w:highlight w:val="none"/>
        </w:rPr>
        <w:t>采购代理机构</w:t>
      </w:r>
      <w:r>
        <w:rPr>
          <w:rFonts w:ascii="宋体" w:hAnsi="宋体"/>
          <w:b/>
          <w:bCs/>
          <w:color w:val="auto"/>
          <w:kern w:val="0"/>
          <w:sz w:val="32"/>
          <w:szCs w:val="32"/>
          <w:highlight w:val="none"/>
        </w:rPr>
        <w:t>:中盛精诚工程项目管理有限公司</w:t>
      </w:r>
    </w:p>
    <w:p>
      <w:pPr>
        <w:jc w:val="center"/>
        <w:rPr>
          <w:rFonts w:hint="eastAsia" w:ascii="宋体" w:hAnsi="宋体"/>
          <w:b/>
          <w:bCs/>
          <w:color w:val="auto"/>
          <w:kern w:val="0"/>
          <w:sz w:val="32"/>
          <w:szCs w:val="32"/>
          <w:highlight w:val="none"/>
        </w:rPr>
      </w:pPr>
    </w:p>
    <w:p>
      <w:pPr>
        <w:jc w:val="center"/>
        <w:rPr>
          <w:rFonts w:hint="eastAsia" w:ascii="宋体" w:hAnsi="宋体"/>
          <w:b/>
          <w:bCs/>
          <w:color w:val="auto"/>
          <w:kern w:val="0"/>
          <w:sz w:val="32"/>
          <w:szCs w:val="32"/>
          <w:highlight w:val="none"/>
        </w:rPr>
      </w:pPr>
      <w:r>
        <w:rPr>
          <w:rFonts w:hint="eastAsia" w:ascii="宋体" w:hAnsi="宋体"/>
          <w:b/>
          <w:bCs/>
          <w:color w:val="auto"/>
          <w:kern w:val="0"/>
          <w:sz w:val="32"/>
          <w:szCs w:val="32"/>
          <w:highlight w:val="none"/>
        </w:rPr>
        <w:t>二零二</w:t>
      </w:r>
      <w:r>
        <w:rPr>
          <w:rFonts w:hint="eastAsia" w:ascii="宋体" w:hAnsi="宋体"/>
          <w:b/>
          <w:bCs/>
          <w:color w:val="auto"/>
          <w:kern w:val="0"/>
          <w:sz w:val="32"/>
          <w:szCs w:val="32"/>
          <w:highlight w:val="none"/>
          <w:lang w:val="en-US" w:eastAsia="zh-CN"/>
        </w:rPr>
        <w:t>四</w:t>
      </w:r>
      <w:r>
        <w:rPr>
          <w:rFonts w:hint="eastAsia" w:ascii="宋体" w:hAnsi="宋体"/>
          <w:b/>
          <w:bCs/>
          <w:color w:val="auto"/>
          <w:kern w:val="0"/>
          <w:sz w:val="32"/>
          <w:szCs w:val="32"/>
          <w:highlight w:val="none"/>
        </w:rPr>
        <w:t>年</w:t>
      </w:r>
      <w:r>
        <w:rPr>
          <w:rFonts w:hint="eastAsia" w:ascii="宋体" w:hAnsi="宋体"/>
          <w:b/>
          <w:bCs/>
          <w:color w:val="auto"/>
          <w:kern w:val="0"/>
          <w:sz w:val="32"/>
          <w:szCs w:val="32"/>
          <w:highlight w:val="none"/>
          <w:lang w:val="en-US" w:eastAsia="zh-CN"/>
        </w:rPr>
        <w:t>六</w:t>
      </w:r>
      <w:r>
        <w:rPr>
          <w:rFonts w:hint="eastAsia" w:ascii="宋体" w:hAnsi="宋体"/>
          <w:b/>
          <w:bCs/>
          <w:color w:val="auto"/>
          <w:kern w:val="0"/>
          <w:sz w:val="32"/>
          <w:szCs w:val="32"/>
          <w:highlight w:val="none"/>
        </w:rPr>
        <w:t>月</w:t>
      </w:r>
    </w:p>
    <w:p>
      <w:pPr>
        <w:rPr>
          <w:rFonts w:hint="eastAsia" w:ascii="宋体" w:hAnsi="宋体"/>
          <w:b/>
          <w:bCs/>
          <w:color w:val="auto"/>
          <w:kern w:val="0"/>
          <w:sz w:val="32"/>
          <w:szCs w:val="32"/>
          <w:highlight w:val="none"/>
        </w:rPr>
      </w:pPr>
      <w:r>
        <w:rPr>
          <w:rFonts w:hint="eastAsia" w:ascii="宋体" w:hAnsi="宋体"/>
          <w:b/>
          <w:bCs/>
          <w:color w:val="auto"/>
          <w:kern w:val="0"/>
          <w:sz w:val="32"/>
          <w:szCs w:val="32"/>
          <w:highlight w:val="none"/>
        </w:rPr>
        <w:br w:type="page"/>
      </w:r>
    </w:p>
    <w:sdt>
      <w:sdtPr>
        <w:rPr>
          <w:rFonts w:ascii="宋体" w:hAnsi="宋体" w:eastAsia="宋体" w:cs="Times New Roman"/>
          <w:b/>
          <w:bCs/>
          <w:kern w:val="2"/>
          <w:sz w:val="21"/>
          <w:szCs w:val="24"/>
          <w:highlight w:val="none"/>
          <w:lang w:val="en-US" w:eastAsia="zh-CN" w:bidi="ar-SA"/>
        </w:rPr>
        <w:id w:val="147463492"/>
        <w15:color w:val="DBDBDB"/>
        <w:docPartObj>
          <w:docPartGallery w:val="Table of Contents"/>
          <w:docPartUnique/>
        </w:docPartObj>
      </w:sdtPr>
      <w:sdtEndPr>
        <w:rPr>
          <w:rFonts w:hint="eastAsia" w:ascii="Times New Roman" w:hAnsi="Times New Roman" w:eastAsia="宋体" w:cs="Times New Roman"/>
          <w:b/>
          <w:bCs/>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b/>
              <w:bCs/>
              <w:sz w:val="28"/>
              <w:szCs w:val="28"/>
              <w:highlight w:val="none"/>
            </w:rPr>
          </w:pPr>
          <w:r>
            <w:rPr>
              <w:rFonts w:ascii="宋体" w:hAnsi="宋体" w:eastAsia="宋体"/>
              <w:b/>
              <w:bCs/>
              <w:sz w:val="28"/>
              <w:szCs w:val="28"/>
              <w:highlight w:val="none"/>
            </w:rPr>
            <w:t>目</w:t>
          </w:r>
          <w:r>
            <w:rPr>
              <w:rFonts w:hint="eastAsia" w:ascii="宋体" w:hAnsi="宋体" w:eastAsia="宋体"/>
              <w:b/>
              <w:bCs/>
              <w:sz w:val="28"/>
              <w:szCs w:val="28"/>
              <w:highlight w:val="none"/>
              <w:lang w:val="en-US" w:eastAsia="zh-CN"/>
            </w:rPr>
            <w:t xml:space="preserve">      </w:t>
          </w:r>
          <w:r>
            <w:rPr>
              <w:rFonts w:ascii="宋体" w:hAnsi="宋体" w:eastAsia="宋体"/>
              <w:b/>
              <w:bCs/>
              <w:sz w:val="28"/>
              <w:szCs w:val="28"/>
              <w:highlight w:val="none"/>
            </w:rPr>
            <w:t>录</w:t>
          </w:r>
        </w:p>
        <w:p>
          <w:pPr>
            <w:pStyle w:val="17"/>
            <w:tabs>
              <w:tab w:val="right" w:leader="dot" w:pos="8820"/>
            </w:tabs>
            <w:rPr>
              <w:sz w:val="28"/>
              <w:szCs w:val="28"/>
              <w:highlight w:val="none"/>
            </w:rPr>
          </w:pPr>
          <w:r>
            <w:rPr>
              <w:rFonts w:hint="eastAsia"/>
              <w:sz w:val="28"/>
              <w:szCs w:val="28"/>
              <w:highlight w:val="none"/>
              <w:lang w:val="en-US" w:eastAsia="zh-CN"/>
            </w:rPr>
            <w:fldChar w:fldCharType="begin"/>
          </w:r>
          <w:r>
            <w:rPr>
              <w:rFonts w:hint="eastAsia"/>
              <w:sz w:val="28"/>
              <w:szCs w:val="28"/>
              <w:highlight w:val="none"/>
              <w:lang w:val="en-US" w:eastAsia="zh-CN"/>
            </w:rPr>
            <w:instrText xml:space="preserve">TOC \o "1-1" \h \u </w:instrText>
          </w:r>
          <w:r>
            <w:rPr>
              <w:rFonts w:hint="eastAsia"/>
              <w:sz w:val="28"/>
              <w:szCs w:val="28"/>
              <w:highlight w:val="none"/>
              <w:lang w:val="en-US" w:eastAsia="zh-CN"/>
            </w:rPr>
            <w:fldChar w:fldCharType="separate"/>
          </w:r>
          <w:r>
            <w:rPr>
              <w:rFonts w:hint="eastAsia"/>
              <w:sz w:val="28"/>
              <w:szCs w:val="28"/>
              <w:highlight w:val="none"/>
              <w:lang w:val="en-US" w:eastAsia="zh-CN"/>
            </w:rPr>
            <w:t xml:space="preserve">第一章 </w:t>
          </w:r>
          <w:r>
            <w:rPr>
              <w:rFonts w:hint="eastAsia"/>
              <w:sz w:val="28"/>
              <w:szCs w:val="28"/>
              <w:highlight w:val="none"/>
              <w:lang w:val="en-US" w:eastAsia="zh-CN"/>
            </w:rPr>
            <w:fldChar w:fldCharType="begin"/>
          </w:r>
          <w:r>
            <w:rPr>
              <w:rFonts w:hint="eastAsia"/>
              <w:sz w:val="28"/>
              <w:szCs w:val="28"/>
              <w:highlight w:val="none"/>
              <w:lang w:val="en-US" w:eastAsia="zh-CN"/>
            </w:rPr>
            <w:instrText xml:space="preserve"> HYPERLINK \l _Toc9290 </w:instrText>
          </w:r>
          <w:r>
            <w:rPr>
              <w:rFonts w:hint="eastAsia"/>
              <w:sz w:val="28"/>
              <w:szCs w:val="28"/>
              <w:highlight w:val="none"/>
              <w:lang w:val="en-US" w:eastAsia="zh-CN"/>
            </w:rPr>
            <w:fldChar w:fldCharType="separate"/>
          </w:r>
          <w:r>
            <w:rPr>
              <w:rFonts w:hint="eastAsia" w:ascii="宋体" w:hAnsi="宋体"/>
              <w:sz w:val="28"/>
              <w:szCs w:val="28"/>
              <w:highlight w:val="none"/>
            </w:rPr>
            <w:t>竞争性磋商公告</w:t>
          </w:r>
          <w:r>
            <w:rPr>
              <w:sz w:val="28"/>
              <w:szCs w:val="28"/>
              <w:highlight w:val="none"/>
            </w:rPr>
            <w:tab/>
          </w:r>
          <w:r>
            <w:rPr>
              <w:sz w:val="28"/>
              <w:szCs w:val="28"/>
              <w:highlight w:val="none"/>
            </w:rPr>
            <w:fldChar w:fldCharType="begin"/>
          </w:r>
          <w:r>
            <w:rPr>
              <w:sz w:val="28"/>
              <w:szCs w:val="28"/>
              <w:highlight w:val="none"/>
            </w:rPr>
            <w:instrText xml:space="preserve"> PAGEREF _Toc9290 \h </w:instrText>
          </w:r>
          <w:r>
            <w:rPr>
              <w:sz w:val="28"/>
              <w:szCs w:val="28"/>
              <w:highlight w:val="none"/>
            </w:rPr>
            <w:fldChar w:fldCharType="separate"/>
          </w:r>
          <w:r>
            <w:rPr>
              <w:sz w:val="28"/>
              <w:szCs w:val="28"/>
              <w:highlight w:val="none"/>
            </w:rPr>
            <w:t>1</w:t>
          </w:r>
          <w:r>
            <w:rPr>
              <w:sz w:val="28"/>
              <w:szCs w:val="28"/>
              <w:highlight w:val="none"/>
            </w:rPr>
            <w:fldChar w:fldCharType="end"/>
          </w:r>
          <w:r>
            <w:rPr>
              <w:rFonts w:hint="eastAsia"/>
              <w:sz w:val="28"/>
              <w:szCs w:val="28"/>
              <w:highlight w:val="none"/>
              <w:lang w:val="en-US" w:eastAsia="zh-CN"/>
            </w:rPr>
            <w:fldChar w:fldCharType="end"/>
          </w:r>
        </w:p>
        <w:p>
          <w:pPr>
            <w:pStyle w:val="17"/>
            <w:tabs>
              <w:tab w:val="right" w:leader="dot" w:pos="8820"/>
            </w:tabs>
            <w:rPr>
              <w:sz w:val="28"/>
              <w:szCs w:val="28"/>
              <w:highlight w:val="none"/>
            </w:rPr>
          </w:pPr>
          <w:r>
            <w:rPr>
              <w:rFonts w:hint="eastAsia"/>
              <w:sz w:val="28"/>
              <w:szCs w:val="28"/>
              <w:highlight w:val="none"/>
              <w:lang w:val="en-US" w:eastAsia="zh-CN"/>
            </w:rPr>
            <w:fldChar w:fldCharType="begin"/>
          </w:r>
          <w:r>
            <w:rPr>
              <w:rFonts w:hint="eastAsia"/>
              <w:sz w:val="28"/>
              <w:szCs w:val="28"/>
              <w:highlight w:val="none"/>
              <w:lang w:val="en-US" w:eastAsia="zh-CN"/>
            </w:rPr>
            <w:instrText xml:space="preserve"> HYPERLINK \l _Toc25688 </w:instrText>
          </w:r>
          <w:r>
            <w:rPr>
              <w:rFonts w:hint="eastAsia"/>
              <w:sz w:val="28"/>
              <w:szCs w:val="28"/>
              <w:highlight w:val="none"/>
              <w:lang w:val="en-US" w:eastAsia="zh-CN"/>
            </w:rPr>
            <w:fldChar w:fldCharType="separate"/>
          </w:r>
          <w:r>
            <w:rPr>
              <w:rFonts w:hint="eastAsia" w:ascii="宋体" w:hAnsi="宋体"/>
              <w:bCs/>
              <w:sz w:val="28"/>
              <w:szCs w:val="28"/>
              <w:highlight w:val="none"/>
            </w:rPr>
            <w:t>第二章 供应商须知</w:t>
          </w:r>
          <w:r>
            <w:rPr>
              <w:sz w:val="28"/>
              <w:szCs w:val="28"/>
              <w:highlight w:val="none"/>
            </w:rPr>
            <w:tab/>
          </w:r>
          <w:r>
            <w:rPr>
              <w:sz w:val="28"/>
              <w:szCs w:val="28"/>
              <w:highlight w:val="none"/>
            </w:rPr>
            <w:fldChar w:fldCharType="begin"/>
          </w:r>
          <w:r>
            <w:rPr>
              <w:sz w:val="28"/>
              <w:szCs w:val="28"/>
              <w:highlight w:val="none"/>
            </w:rPr>
            <w:instrText xml:space="preserve"> PAGEREF _Toc25688 \h </w:instrText>
          </w:r>
          <w:r>
            <w:rPr>
              <w:sz w:val="28"/>
              <w:szCs w:val="28"/>
              <w:highlight w:val="none"/>
            </w:rPr>
            <w:fldChar w:fldCharType="separate"/>
          </w:r>
          <w:r>
            <w:rPr>
              <w:sz w:val="28"/>
              <w:szCs w:val="28"/>
              <w:highlight w:val="none"/>
            </w:rPr>
            <w:t>5</w:t>
          </w:r>
          <w:r>
            <w:rPr>
              <w:sz w:val="28"/>
              <w:szCs w:val="28"/>
              <w:highlight w:val="none"/>
            </w:rPr>
            <w:fldChar w:fldCharType="end"/>
          </w:r>
          <w:r>
            <w:rPr>
              <w:rFonts w:hint="eastAsia"/>
              <w:sz w:val="28"/>
              <w:szCs w:val="28"/>
              <w:highlight w:val="none"/>
              <w:lang w:val="en-US" w:eastAsia="zh-CN"/>
            </w:rPr>
            <w:fldChar w:fldCharType="end"/>
          </w:r>
        </w:p>
        <w:p>
          <w:pPr>
            <w:pStyle w:val="17"/>
            <w:tabs>
              <w:tab w:val="right" w:leader="dot" w:pos="8820"/>
            </w:tabs>
            <w:rPr>
              <w:sz w:val="28"/>
              <w:szCs w:val="28"/>
              <w:highlight w:val="none"/>
            </w:rPr>
          </w:pPr>
          <w:r>
            <w:rPr>
              <w:rFonts w:hint="eastAsia"/>
              <w:sz w:val="28"/>
              <w:szCs w:val="28"/>
              <w:highlight w:val="none"/>
              <w:lang w:val="en-US" w:eastAsia="zh-CN"/>
            </w:rPr>
            <w:fldChar w:fldCharType="begin"/>
          </w:r>
          <w:r>
            <w:rPr>
              <w:rFonts w:hint="eastAsia"/>
              <w:sz w:val="28"/>
              <w:szCs w:val="28"/>
              <w:highlight w:val="none"/>
              <w:lang w:val="en-US" w:eastAsia="zh-CN"/>
            </w:rPr>
            <w:instrText xml:space="preserve"> HYPERLINK \l _Toc26001 </w:instrText>
          </w:r>
          <w:r>
            <w:rPr>
              <w:rFonts w:hint="eastAsia"/>
              <w:sz w:val="28"/>
              <w:szCs w:val="28"/>
              <w:highlight w:val="none"/>
              <w:lang w:val="en-US" w:eastAsia="zh-CN"/>
            </w:rPr>
            <w:fldChar w:fldCharType="separate"/>
          </w:r>
          <w:r>
            <w:rPr>
              <w:rFonts w:hint="eastAsia"/>
              <w:sz w:val="28"/>
              <w:szCs w:val="28"/>
              <w:highlight w:val="none"/>
            </w:rPr>
            <w:t>第三章 评标方法（综合评分法）</w:t>
          </w:r>
          <w:r>
            <w:rPr>
              <w:sz w:val="28"/>
              <w:szCs w:val="28"/>
              <w:highlight w:val="none"/>
            </w:rPr>
            <w:tab/>
          </w:r>
          <w:r>
            <w:rPr>
              <w:sz w:val="28"/>
              <w:szCs w:val="28"/>
              <w:highlight w:val="none"/>
            </w:rPr>
            <w:fldChar w:fldCharType="begin"/>
          </w:r>
          <w:r>
            <w:rPr>
              <w:sz w:val="28"/>
              <w:szCs w:val="28"/>
              <w:highlight w:val="none"/>
            </w:rPr>
            <w:instrText xml:space="preserve"> PAGEREF _Toc26001 \h </w:instrText>
          </w:r>
          <w:r>
            <w:rPr>
              <w:sz w:val="28"/>
              <w:szCs w:val="28"/>
              <w:highlight w:val="none"/>
            </w:rPr>
            <w:fldChar w:fldCharType="separate"/>
          </w:r>
          <w:r>
            <w:rPr>
              <w:sz w:val="28"/>
              <w:szCs w:val="28"/>
              <w:highlight w:val="none"/>
            </w:rPr>
            <w:t>19</w:t>
          </w:r>
          <w:r>
            <w:rPr>
              <w:sz w:val="28"/>
              <w:szCs w:val="28"/>
              <w:highlight w:val="none"/>
            </w:rPr>
            <w:fldChar w:fldCharType="end"/>
          </w:r>
          <w:r>
            <w:rPr>
              <w:rFonts w:hint="eastAsia"/>
              <w:sz w:val="28"/>
              <w:szCs w:val="28"/>
              <w:highlight w:val="none"/>
              <w:lang w:val="en-US" w:eastAsia="zh-CN"/>
            </w:rPr>
            <w:fldChar w:fldCharType="end"/>
          </w:r>
        </w:p>
        <w:p>
          <w:pPr>
            <w:pStyle w:val="17"/>
            <w:tabs>
              <w:tab w:val="right" w:leader="dot" w:pos="8820"/>
            </w:tabs>
            <w:rPr>
              <w:sz w:val="28"/>
              <w:szCs w:val="28"/>
              <w:highlight w:val="none"/>
            </w:rPr>
          </w:pPr>
          <w:r>
            <w:rPr>
              <w:rFonts w:hint="eastAsia"/>
              <w:sz w:val="28"/>
              <w:szCs w:val="28"/>
              <w:highlight w:val="none"/>
              <w:lang w:val="en-US" w:eastAsia="zh-CN"/>
            </w:rPr>
            <w:fldChar w:fldCharType="begin"/>
          </w:r>
          <w:r>
            <w:rPr>
              <w:rFonts w:hint="eastAsia"/>
              <w:sz w:val="28"/>
              <w:szCs w:val="28"/>
              <w:highlight w:val="none"/>
              <w:lang w:val="en-US" w:eastAsia="zh-CN"/>
            </w:rPr>
            <w:instrText xml:space="preserve"> HYPERLINK \l _Toc6672 </w:instrText>
          </w:r>
          <w:r>
            <w:rPr>
              <w:rFonts w:hint="eastAsia"/>
              <w:sz w:val="28"/>
              <w:szCs w:val="28"/>
              <w:highlight w:val="none"/>
              <w:lang w:val="en-US" w:eastAsia="zh-CN"/>
            </w:rPr>
            <w:fldChar w:fldCharType="separate"/>
          </w:r>
          <w:r>
            <w:rPr>
              <w:rFonts w:hint="eastAsia"/>
              <w:sz w:val="28"/>
              <w:szCs w:val="28"/>
              <w:highlight w:val="none"/>
            </w:rPr>
            <w:t>第四章</w:t>
          </w:r>
          <w:r>
            <w:rPr>
              <w:sz w:val="28"/>
              <w:szCs w:val="28"/>
              <w:highlight w:val="none"/>
            </w:rPr>
            <w:t xml:space="preserve"> </w:t>
          </w:r>
          <w:r>
            <w:rPr>
              <w:rFonts w:hint="eastAsia"/>
              <w:sz w:val="28"/>
              <w:szCs w:val="28"/>
              <w:highlight w:val="none"/>
            </w:rPr>
            <w:t>合同条款及格式</w:t>
          </w:r>
          <w:r>
            <w:rPr>
              <w:sz w:val="28"/>
              <w:szCs w:val="28"/>
              <w:highlight w:val="none"/>
            </w:rPr>
            <w:tab/>
          </w:r>
          <w:r>
            <w:rPr>
              <w:sz w:val="28"/>
              <w:szCs w:val="28"/>
              <w:highlight w:val="none"/>
            </w:rPr>
            <w:fldChar w:fldCharType="begin"/>
          </w:r>
          <w:r>
            <w:rPr>
              <w:sz w:val="28"/>
              <w:szCs w:val="28"/>
              <w:highlight w:val="none"/>
            </w:rPr>
            <w:instrText xml:space="preserve"> PAGEREF _Toc6672 \h </w:instrText>
          </w:r>
          <w:r>
            <w:rPr>
              <w:sz w:val="28"/>
              <w:szCs w:val="28"/>
              <w:highlight w:val="none"/>
            </w:rPr>
            <w:fldChar w:fldCharType="separate"/>
          </w:r>
          <w:r>
            <w:rPr>
              <w:sz w:val="28"/>
              <w:szCs w:val="28"/>
              <w:highlight w:val="none"/>
            </w:rPr>
            <w:t>32</w:t>
          </w:r>
          <w:r>
            <w:rPr>
              <w:sz w:val="28"/>
              <w:szCs w:val="28"/>
              <w:highlight w:val="none"/>
            </w:rPr>
            <w:fldChar w:fldCharType="end"/>
          </w:r>
          <w:r>
            <w:rPr>
              <w:rFonts w:hint="eastAsia"/>
              <w:sz w:val="28"/>
              <w:szCs w:val="28"/>
              <w:highlight w:val="none"/>
              <w:lang w:val="en-US" w:eastAsia="zh-CN"/>
            </w:rPr>
            <w:fldChar w:fldCharType="end"/>
          </w:r>
        </w:p>
        <w:p>
          <w:pPr>
            <w:pStyle w:val="17"/>
            <w:tabs>
              <w:tab w:val="right" w:leader="dot" w:pos="8820"/>
            </w:tabs>
            <w:rPr>
              <w:sz w:val="28"/>
              <w:szCs w:val="28"/>
              <w:highlight w:val="none"/>
            </w:rPr>
          </w:pPr>
          <w:r>
            <w:rPr>
              <w:rFonts w:hint="eastAsia"/>
              <w:sz w:val="28"/>
              <w:szCs w:val="28"/>
              <w:highlight w:val="none"/>
              <w:lang w:val="en-US" w:eastAsia="zh-CN"/>
            </w:rPr>
            <w:fldChar w:fldCharType="begin"/>
          </w:r>
          <w:r>
            <w:rPr>
              <w:rFonts w:hint="eastAsia"/>
              <w:sz w:val="28"/>
              <w:szCs w:val="28"/>
              <w:highlight w:val="none"/>
              <w:lang w:val="en-US" w:eastAsia="zh-CN"/>
            </w:rPr>
            <w:instrText xml:space="preserve"> HYPERLINK \l _Toc20157 </w:instrText>
          </w:r>
          <w:r>
            <w:rPr>
              <w:rFonts w:hint="eastAsia"/>
              <w:sz w:val="28"/>
              <w:szCs w:val="28"/>
              <w:highlight w:val="none"/>
              <w:lang w:val="en-US" w:eastAsia="zh-CN"/>
            </w:rPr>
            <w:fldChar w:fldCharType="separate"/>
          </w:r>
          <w:r>
            <w:rPr>
              <w:rFonts w:hint="eastAsia"/>
              <w:sz w:val="28"/>
              <w:szCs w:val="28"/>
              <w:highlight w:val="none"/>
              <w:lang w:val="en-US" w:eastAsia="zh-CN"/>
            </w:rPr>
            <w:t>第五章</w:t>
          </w:r>
          <w:r>
            <w:rPr>
              <w:rFonts w:hint="eastAsia"/>
              <w:sz w:val="28"/>
              <w:szCs w:val="28"/>
              <w:highlight w:val="none"/>
            </w:rPr>
            <w:t xml:space="preserve"> </w:t>
          </w:r>
          <w:r>
            <w:rPr>
              <w:rFonts w:hint="eastAsia"/>
              <w:sz w:val="28"/>
              <w:szCs w:val="28"/>
              <w:highlight w:val="none"/>
              <w:lang w:val="zh-CN"/>
            </w:rPr>
            <w:t>工程量</w:t>
          </w:r>
          <w:r>
            <w:rPr>
              <w:rFonts w:hint="eastAsia"/>
              <w:sz w:val="28"/>
              <w:szCs w:val="28"/>
              <w:highlight w:val="none"/>
            </w:rPr>
            <w:t>清单</w:t>
          </w:r>
          <w:r>
            <w:rPr>
              <w:sz w:val="28"/>
              <w:szCs w:val="28"/>
              <w:highlight w:val="none"/>
            </w:rPr>
            <w:tab/>
          </w:r>
          <w:r>
            <w:rPr>
              <w:sz w:val="28"/>
              <w:szCs w:val="28"/>
              <w:highlight w:val="none"/>
            </w:rPr>
            <w:fldChar w:fldCharType="begin"/>
          </w:r>
          <w:r>
            <w:rPr>
              <w:sz w:val="28"/>
              <w:szCs w:val="28"/>
              <w:highlight w:val="none"/>
            </w:rPr>
            <w:instrText xml:space="preserve"> PAGEREF _Toc20157 \h </w:instrText>
          </w:r>
          <w:r>
            <w:rPr>
              <w:sz w:val="28"/>
              <w:szCs w:val="28"/>
              <w:highlight w:val="none"/>
            </w:rPr>
            <w:fldChar w:fldCharType="separate"/>
          </w:r>
          <w:r>
            <w:rPr>
              <w:sz w:val="28"/>
              <w:szCs w:val="28"/>
              <w:highlight w:val="none"/>
            </w:rPr>
            <w:t>194</w:t>
          </w:r>
          <w:r>
            <w:rPr>
              <w:sz w:val="28"/>
              <w:szCs w:val="28"/>
              <w:highlight w:val="none"/>
            </w:rPr>
            <w:fldChar w:fldCharType="end"/>
          </w:r>
          <w:r>
            <w:rPr>
              <w:rFonts w:hint="eastAsia"/>
              <w:sz w:val="28"/>
              <w:szCs w:val="28"/>
              <w:highlight w:val="none"/>
              <w:lang w:val="en-US" w:eastAsia="zh-CN"/>
            </w:rPr>
            <w:fldChar w:fldCharType="end"/>
          </w:r>
        </w:p>
        <w:p>
          <w:pPr>
            <w:pStyle w:val="17"/>
            <w:tabs>
              <w:tab w:val="right" w:leader="dot" w:pos="8820"/>
            </w:tabs>
            <w:rPr>
              <w:sz w:val="28"/>
              <w:szCs w:val="28"/>
              <w:highlight w:val="none"/>
            </w:rPr>
          </w:pPr>
          <w:r>
            <w:rPr>
              <w:rFonts w:hint="eastAsia"/>
              <w:sz w:val="28"/>
              <w:szCs w:val="28"/>
              <w:highlight w:val="none"/>
              <w:lang w:val="en-US" w:eastAsia="zh-CN"/>
            </w:rPr>
            <w:fldChar w:fldCharType="begin"/>
          </w:r>
          <w:r>
            <w:rPr>
              <w:rFonts w:hint="eastAsia"/>
              <w:sz w:val="28"/>
              <w:szCs w:val="28"/>
              <w:highlight w:val="none"/>
              <w:lang w:val="en-US" w:eastAsia="zh-CN"/>
            </w:rPr>
            <w:instrText xml:space="preserve"> HYPERLINK \l _Toc8132 </w:instrText>
          </w:r>
          <w:r>
            <w:rPr>
              <w:rFonts w:hint="eastAsia"/>
              <w:sz w:val="28"/>
              <w:szCs w:val="28"/>
              <w:highlight w:val="none"/>
              <w:lang w:val="en-US" w:eastAsia="zh-CN"/>
            </w:rPr>
            <w:fldChar w:fldCharType="separate"/>
          </w:r>
          <w:r>
            <w:rPr>
              <w:rFonts w:hint="eastAsia"/>
              <w:sz w:val="28"/>
              <w:szCs w:val="28"/>
              <w:highlight w:val="none"/>
              <w:lang w:val="en-US" w:eastAsia="zh-CN"/>
            </w:rPr>
            <w:t>第六章</w:t>
          </w:r>
          <w:r>
            <w:rPr>
              <w:rFonts w:hint="eastAsia"/>
              <w:sz w:val="28"/>
              <w:szCs w:val="28"/>
              <w:highlight w:val="none"/>
            </w:rPr>
            <w:t xml:space="preserve"> </w:t>
          </w:r>
          <w:r>
            <w:rPr>
              <w:rFonts w:hint="eastAsia"/>
              <w:sz w:val="28"/>
              <w:szCs w:val="28"/>
              <w:highlight w:val="none"/>
              <w:lang w:val="en-US" w:eastAsia="zh-CN"/>
            </w:rPr>
            <w:t>图纸</w:t>
          </w:r>
          <w:r>
            <w:rPr>
              <w:sz w:val="28"/>
              <w:szCs w:val="28"/>
              <w:highlight w:val="none"/>
            </w:rPr>
            <w:tab/>
          </w:r>
          <w:r>
            <w:rPr>
              <w:sz w:val="28"/>
              <w:szCs w:val="28"/>
              <w:highlight w:val="none"/>
            </w:rPr>
            <w:fldChar w:fldCharType="begin"/>
          </w:r>
          <w:r>
            <w:rPr>
              <w:sz w:val="28"/>
              <w:szCs w:val="28"/>
              <w:highlight w:val="none"/>
            </w:rPr>
            <w:instrText xml:space="preserve"> PAGEREF _Toc8132 \h </w:instrText>
          </w:r>
          <w:r>
            <w:rPr>
              <w:sz w:val="28"/>
              <w:szCs w:val="28"/>
              <w:highlight w:val="none"/>
            </w:rPr>
            <w:fldChar w:fldCharType="separate"/>
          </w:r>
          <w:r>
            <w:rPr>
              <w:sz w:val="28"/>
              <w:szCs w:val="28"/>
              <w:highlight w:val="none"/>
            </w:rPr>
            <w:t>195</w:t>
          </w:r>
          <w:r>
            <w:rPr>
              <w:sz w:val="28"/>
              <w:szCs w:val="28"/>
              <w:highlight w:val="none"/>
            </w:rPr>
            <w:fldChar w:fldCharType="end"/>
          </w:r>
          <w:r>
            <w:rPr>
              <w:rFonts w:hint="eastAsia"/>
              <w:sz w:val="28"/>
              <w:szCs w:val="28"/>
              <w:highlight w:val="none"/>
              <w:lang w:val="en-US" w:eastAsia="zh-CN"/>
            </w:rPr>
            <w:fldChar w:fldCharType="end"/>
          </w:r>
        </w:p>
        <w:p>
          <w:pPr>
            <w:pStyle w:val="17"/>
            <w:tabs>
              <w:tab w:val="right" w:leader="dot" w:pos="8820"/>
            </w:tabs>
            <w:rPr>
              <w:sz w:val="28"/>
              <w:szCs w:val="28"/>
              <w:highlight w:val="none"/>
            </w:rPr>
          </w:pPr>
          <w:r>
            <w:rPr>
              <w:rFonts w:hint="eastAsia"/>
              <w:sz w:val="28"/>
              <w:szCs w:val="28"/>
              <w:highlight w:val="none"/>
              <w:lang w:val="en-US" w:eastAsia="zh-CN"/>
            </w:rPr>
            <w:fldChar w:fldCharType="begin"/>
          </w:r>
          <w:r>
            <w:rPr>
              <w:rFonts w:hint="eastAsia"/>
              <w:sz w:val="28"/>
              <w:szCs w:val="28"/>
              <w:highlight w:val="none"/>
              <w:lang w:val="en-US" w:eastAsia="zh-CN"/>
            </w:rPr>
            <w:instrText xml:space="preserve"> HYPERLINK \l _Toc21614 </w:instrText>
          </w:r>
          <w:r>
            <w:rPr>
              <w:rFonts w:hint="eastAsia"/>
              <w:sz w:val="28"/>
              <w:szCs w:val="28"/>
              <w:highlight w:val="none"/>
              <w:lang w:val="en-US" w:eastAsia="zh-CN"/>
            </w:rPr>
            <w:fldChar w:fldCharType="separate"/>
          </w:r>
          <w:r>
            <w:rPr>
              <w:rFonts w:hint="eastAsia" w:ascii="Arial" w:hAnsi="Arial"/>
              <w:bCs/>
              <w:kern w:val="0"/>
              <w:sz w:val="28"/>
              <w:szCs w:val="28"/>
              <w:highlight w:val="none"/>
            </w:rPr>
            <w:t>第七章 技术标准和要求</w:t>
          </w:r>
          <w:r>
            <w:rPr>
              <w:sz w:val="28"/>
              <w:szCs w:val="28"/>
              <w:highlight w:val="none"/>
            </w:rPr>
            <w:tab/>
          </w:r>
          <w:r>
            <w:rPr>
              <w:sz w:val="28"/>
              <w:szCs w:val="28"/>
              <w:highlight w:val="none"/>
            </w:rPr>
            <w:fldChar w:fldCharType="begin"/>
          </w:r>
          <w:r>
            <w:rPr>
              <w:sz w:val="28"/>
              <w:szCs w:val="28"/>
              <w:highlight w:val="none"/>
            </w:rPr>
            <w:instrText xml:space="preserve"> PAGEREF _Toc21614 \h </w:instrText>
          </w:r>
          <w:r>
            <w:rPr>
              <w:sz w:val="28"/>
              <w:szCs w:val="28"/>
              <w:highlight w:val="none"/>
            </w:rPr>
            <w:fldChar w:fldCharType="separate"/>
          </w:r>
          <w:r>
            <w:rPr>
              <w:sz w:val="28"/>
              <w:szCs w:val="28"/>
              <w:highlight w:val="none"/>
            </w:rPr>
            <w:t>196</w:t>
          </w:r>
          <w:r>
            <w:rPr>
              <w:sz w:val="28"/>
              <w:szCs w:val="28"/>
              <w:highlight w:val="none"/>
            </w:rPr>
            <w:fldChar w:fldCharType="end"/>
          </w:r>
          <w:r>
            <w:rPr>
              <w:rFonts w:hint="eastAsia"/>
              <w:sz w:val="28"/>
              <w:szCs w:val="28"/>
              <w:highlight w:val="none"/>
              <w:lang w:val="en-US" w:eastAsia="zh-CN"/>
            </w:rPr>
            <w:fldChar w:fldCharType="end"/>
          </w:r>
        </w:p>
        <w:p>
          <w:pPr>
            <w:pStyle w:val="17"/>
            <w:tabs>
              <w:tab w:val="right" w:leader="dot" w:pos="8820"/>
            </w:tabs>
            <w:rPr>
              <w:sz w:val="28"/>
              <w:szCs w:val="28"/>
              <w:highlight w:val="none"/>
            </w:rPr>
          </w:pPr>
          <w:r>
            <w:rPr>
              <w:rFonts w:hint="eastAsia"/>
              <w:sz w:val="28"/>
              <w:szCs w:val="28"/>
              <w:highlight w:val="none"/>
              <w:lang w:val="en-US" w:eastAsia="zh-CN"/>
            </w:rPr>
            <w:fldChar w:fldCharType="begin"/>
          </w:r>
          <w:r>
            <w:rPr>
              <w:rFonts w:hint="eastAsia"/>
              <w:sz w:val="28"/>
              <w:szCs w:val="28"/>
              <w:highlight w:val="none"/>
              <w:lang w:val="en-US" w:eastAsia="zh-CN"/>
            </w:rPr>
            <w:instrText xml:space="preserve"> HYPERLINK \l _Toc18148 </w:instrText>
          </w:r>
          <w:r>
            <w:rPr>
              <w:rFonts w:hint="eastAsia"/>
              <w:sz w:val="28"/>
              <w:szCs w:val="28"/>
              <w:highlight w:val="none"/>
              <w:lang w:val="en-US" w:eastAsia="zh-CN"/>
            </w:rPr>
            <w:fldChar w:fldCharType="separate"/>
          </w:r>
          <w:r>
            <w:rPr>
              <w:rFonts w:hint="eastAsia"/>
              <w:sz w:val="28"/>
              <w:szCs w:val="28"/>
              <w:highlight w:val="none"/>
            </w:rPr>
            <w:t>第八章 磋商响应文件格式</w:t>
          </w:r>
          <w:r>
            <w:rPr>
              <w:sz w:val="28"/>
              <w:szCs w:val="28"/>
              <w:highlight w:val="none"/>
            </w:rPr>
            <w:tab/>
          </w:r>
          <w:r>
            <w:rPr>
              <w:sz w:val="28"/>
              <w:szCs w:val="28"/>
              <w:highlight w:val="none"/>
            </w:rPr>
            <w:fldChar w:fldCharType="begin"/>
          </w:r>
          <w:r>
            <w:rPr>
              <w:sz w:val="28"/>
              <w:szCs w:val="28"/>
              <w:highlight w:val="none"/>
            </w:rPr>
            <w:instrText xml:space="preserve"> PAGEREF _Toc18148 \h </w:instrText>
          </w:r>
          <w:r>
            <w:rPr>
              <w:sz w:val="28"/>
              <w:szCs w:val="28"/>
              <w:highlight w:val="none"/>
            </w:rPr>
            <w:fldChar w:fldCharType="separate"/>
          </w:r>
          <w:r>
            <w:rPr>
              <w:sz w:val="28"/>
              <w:szCs w:val="28"/>
              <w:highlight w:val="none"/>
            </w:rPr>
            <w:t>197</w:t>
          </w:r>
          <w:r>
            <w:rPr>
              <w:sz w:val="28"/>
              <w:szCs w:val="28"/>
              <w:highlight w:val="none"/>
            </w:rPr>
            <w:fldChar w:fldCharType="end"/>
          </w:r>
          <w:r>
            <w:rPr>
              <w:rFonts w:hint="eastAsia"/>
              <w:sz w:val="28"/>
              <w:szCs w:val="28"/>
              <w:highlight w:val="none"/>
              <w:lang w:val="en-US" w:eastAsia="zh-CN"/>
            </w:rPr>
            <w:fldChar w:fldCharType="end"/>
          </w:r>
        </w:p>
        <w:p>
          <w:pPr>
            <w:outlineLvl w:val="9"/>
            <w:rPr>
              <w:rFonts w:hint="eastAsia"/>
              <w:highlight w:val="none"/>
              <w:lang w:val="en-US" w:eastAsia="zh-CN"/>
            </w:rPr>
          </w:pPr>
          <w:r>
            <w:rPr>
              <w:rFonts w:hint="eastAsia"/>
              <w:sz w:val="28"/>
              <w:szCs w:val="28"/>
              <w:highlight w:val="none"/>
              <w:lang w:val="en-US" w:eastAsia="zh-CN"/>
            </w:rPr>
            <w:fldChar w:fldCharType="end"/>
          </w:r>
        </w:p>
      </w:sdtContent>
    </w:sdt>
    <w:p>
      <w:pPr>
        <w:widowControl/>
        <w:spacing w:line="360" w:lineRule="auto"/>
        <w:jc w:val="center"/>
        <w:outlineLvl w:val="0"/>
        <w:rPr>
          <w:rFonts w:hint="eastAsia" w:ascii="宋体" w:hAnsi="宋体"/>
          <w:b/>
          <w:bCs/>
          <w:color w:val="auto"/>
          <w:kern w:val="0"/>
          <w:sz w:val="36"/>
          <w:szCs w:val="36"/>
          <w:highlight w:val="none"/>
          <w:lang w:eastAsia="zh-CN"/>
        </w:rPr>
        <w:sectPr>
          <w:pgSz w:w="11906" w:h="16838"/>
          <w:pgMar w:top="1418" w:right="1555" w:bottom="1418" w:left="1531" w:header="851" w:footer="992" w:gutter="0"/>
          <w:pgNumType w:fmt="decimal"/>
          <w:cols w:space="720" w:num="1"/>
          <w:titlePg/>
          <w:docGrid w:type="lines" w:linePitch="312" w:charSpace="0"/>
        </w:sectPr>
      </w:pPr>
      <w:bookmarkStart w:id="8" w:name="_Toc17245"/>
      <w:bookmarkStart w:id="9" w:name="_Toc24632"/>
    </w:p>
    <w:bookmarkEnd w:id="8"/>
    <w:bookmarkEnd w:id="9"/>
    <w:p>
      <w:pPr>
        <w:widowControl/>
        <w:spacing w:line="360" w:lineRule="auto"/>
        <w:jc w:val="center"/>
        <w:outlineLvl w:val="0"/>
        <w:rPr>
          <w:rFonts w:hint="eastAsia" w:ascii="宋体" w:hAnsi="宋体" w:eastAsia="宋体"/>
          <w:b/>
          <w:bCs/>
          <w:color w:val="auto"/>
          <w:kern w:val="0"/>
          <w:sz w:val="44"/>
          <w:szCs w:val="44"/>
          <w:highlight w:val="none"/>
          <w:lang w:eastAsia="zh-CN"/>
        </w:rPr>
      </w:pPr>
      <w:r>
        <w:rPr>
          <w:rFonts w:hint="eastAsia" w:ascii="宋体" w:hAnsi="宋体"/>
          <w:b/>
          <w:bCs/>
          <w:color w:val="auto"/>
          <w:kern w:val="0"/>
          <w:sz w:val="36"/>
          <w:szCs w:val="36"/>
          <w:highlight w:val="none"/>
          <w:lang w:eastAsia="zh-CN"/>
        </w:rPr>
        <w:t>长春市工人文化宫艺术剧场装修改造项目二次</w:t>
      </w:r>
    </w:p>
    <w:p>
      <w:pPr>
        <w:pStyle w:val="19"/>
        <w:widowControl/>
        <w:wordWrap w:val="0"/>
        <w:spacing w:before="150" w:beforeAutospacing="0" w:afterAutospacing="0"/>
        <w:jc w:val="center"/>
        <w:outlineLvl w:val="0"/>
        <w:rPr>
          <w:rFonts w:hint="eastAsia" w:ascii="宋体" w:hAnsi="宋体" w:cs="宋体"/>
          <w:b/>
          <w:bCs/>
          <w:color w:val="auto"/>
          <w:highlight w:val="none"/>
          <w:lang w:bidi="ar"/>
        </w:rPr>
      </w:pPr>
      <w:bookmarkStart w:id="10" w:name="_Toc9290"/>
      <w:r>
        <w:rPr>
          <w:rFonts w:hint="eastAsia" w:ascii="宋体" w:hAnsi="宋体"/>
          <w:b/>
          <w:color w:val="auto"/>
          <w:sz w:val="36"/>
          <w:szCs w:val="20"/>
          <w:highlight w:val="none"/>
        </w:rPr>
        <w:t>竞争性磋商公告</w:t>
      </w:r>
      <w:bookmarkEnd w:id="10"/>
      <w:bookmarkStart w:id="11" w:name="_Toc31118_WPSOffice_Level2"/>
      <w:bookmarkStart w:id="12" w:name="_Toc31230_WPSOffice_Level2"/>
    </w:p>
    <w:bookmarkEnd w:id="11"/>
    <w:bookmarkEnd w:id="12"/>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w:t>
      </w:r>
      <w:r>
        <w:rPr>
          <w:rFonts w:hint="eastAsia" w:ascii="宋体" w:hAnsi="宋体" w:cs="宋体"/>
          <w:color w:val="auto"/>
          <w:szCs w:val="21"/>
          <w:highlight w:val="none"/>
        </w:rPr>
        <w:t>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lang w:eastAsia="zh-CN"/>
        </w:rPr>
        <w:t>长春市工人文化宫艺术剧场装修改造项目二次</w:t>
      </w:r>
      <w:r>
        <w:rPr>
          <w:rFonts w:hint="eastAsia" w:ascii="宋体" w:hAnsi="宋体" w:cs="宋体"/>
          <w:color w:val="auto"/>
          <w:szCs w:val="21"/>
          <w:highlight w:val="none"/>
        </w:rPr>
        <w:t>采购项目的潜在供应商应在</w:t>
      </w:r>
      <w:r>
        <w:rPr>
          <w:rFonts w:hint="eastAsia" w:ascii="宋体" w:hAnsi="宋体" w:cs="宋体"/>
          <w:color w:val="auto"/>
          <w:szCs w:val="21"/>
          <w:highlight w:val="none"/>
          <w:u w:val="single"/>
        </w:rPr>
        <w:t>“政采云”平台（https://www.zcygov.cn/）</w:t>
      </w:r>
      <w:r>
        <w:rPr>
          <w:rFonts w:hint="eastAsia" w:ascii="宋体" w:hAnsi="宋体" w:cs="宋体"/>
          <w:color w:val="auto"/>
          <w:szCs w:val="21"/>
          <w:highlight w:val="none"/>
        </w:rPr>
        <w:t xml:space="preserve">获取磋商文件，并于 </w:t>
      </w:r>
      <w:r>
        <w:rPr>
          <w:rFonts w:hint="eastAsia" w:ascii="宋体" w:hAnsi="宋体" w:cs="宋体"/>
          <w:color w:val="auto"/>
          <w:szCs w:val="21"/>
          <w:highlight w:val="none"/>
          <w:lang w:eastAsia="zh-CN"/>
        </w:rPr>
        <w:t>2024年6月</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lang w:eastAsia="zh-CN"/>
        </w:rPr>
        <w:t>日</w:t>
      </w:r>
      <w:r>
        <w:rPr>
          <w:rFonts w:hint="eastAsia" w:ascii="宋体" w:hAnsi="宋体" w:cs="宋体"/>
          <w:color w:val="auto"/>
          <w:szCs w:val="21"/>
          <w:highlight w:val="none"/>
          <w:lang w:val="en-US" w:eastAsia="zh-CN"/>
        </w:rPr>
        <w:t>13</w:t>
      </w:r>
      <w:r>
        <w:rPr>
          <w:rFonts w:hint="eastAsia" w:ascii="宋体" w:hAnsi="宋体" w:cs="宋体"/>
          <w:color w:val="auto"/>
          <w:szCs w:val="21"/>
          <w:highlight w:val="none"/>
          <w:lang w:eastAsia="zh-CN"/>
        </w:rPr>
        <w:t>点</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lang w:eastAsia="zh-CN"/>
        </w:rPr>
        <w:t>分</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w:t>
      </w:r>
      <w:r>
        <w:rPr>
          <w:rFonts w:hint="eastAsia" w:ascii="宋体" w:hAnsi="宋体" w:cs="宋体"/>
          <w:bCs/>
          <w:color w:val="auto"/>
          <w:szCs w:val="21"/>
          <w:highlight w:val="none"/>
        </w:rPr>
        <w:t>北京时间）前提交响应文件</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cs="宋体"/>
          <w:b/>
          <w:bCs/>
          <w:color w:val="auto"/>
          <w:sz w:val="21"/>
          <w:szCs w:val="21"/>
          <w:highlight w:val="none"/>
        </w:rPr>
      </w:pPr>
      <w:bookmarkStart w:id="13" w:name="_Toc35393798"/>
      <w:bookmarkStart w:id="14" w:name="_Toc35393629"/>
      <w:bookmarkStart w:id="15" w:name="_Toc28359012"/>
      <w:bookmarkStart w:id="16" w:name="_Toc28359089"/>
      <w:r>
        <w:rPr>
          <w:rFonts w:hint="eastAsia" w:ascii="宋体" w:hAnsi="宋体" w:cs="宋体"/>
          <w:b/>
          <w:bCs/>
          <w:color w:val="auto"/>
          <w:sz w:val="21"/>
          <w:szCs w:val="21"/>
          <w:highlight w:val="none"/>
        </w:rPr>
        <w:t>一、项目基本情况</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Cs w:val="21"/>
          <w:highlight w:val="none"/>
          <w:lang w:eastAsia="zh-CN"/>
        </w:rPr>
      </w:pPr>
      <w:bookmarkStart w:id="17" w:name="_Toc35393630"/>
      <w:bookmarkStart w:id="18" w:name="_Toc35393799"/>
      <w:bookmarkStart w:id="19" w:name="_Toc28359090"/>
      <w:bookmarkStart w:id="20" w:name="_Toc28359013"/>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JM-2024-05-00492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长春市工人文化宫艺术剧场装修改造项目二次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采购内容：</w:t>
      </w:r>
      <w:r>
        <w:rPr>
          <w:rFonts w:hint="eastAsia" w:ascii="宋体" w:hAnsi="宋体" w:cs="宋体"/>
          <w:highlight w:val="none"/>
          <w:lang w:val="en-US" w:eastAsia="zh-CN"/>
        </w:rPr>
        <w:t>充分发挥职工文化服务阵地作用，将长春市工人文化宫一楼490平方米场馆空间装修改造为艺术剧场。具体详见工程量清单及图纸。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工程地点：</w:t>
      </w:r>
      <w:r>
        <w:rPr>
          <w:rFonts w:hint="eastAsia" w:ascii="宋体" w:hAnsi="宋体"/>
          <w:highlight w:val="none"/>
          <w:lang w:eastAsia="zh-CN"/>
        </w:rPr>
        <w:t>长春市人民大街2302号长春市工人文化宫一楼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预算金额：</w:t>
      </w:r>
      <w:r>
        <w:rPr>
          <w:rFonts w:hint="eastAsia" w:ascii="宋体" w:hAnsi="宋体" w:eastAsia="宋体" w:cs="宋体"/>
          <w:highlight w:val="none"/>
          <w:lang w:val="en-US" w:eastAsia="zh-CN"/>
        </w:rPr>
        <w:t>350万元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最高限价：</w:t>
      </w:r>
      <w:r>
        <w:rPr>
          <w:rFonts w:hint="eastAsia" w:ascii="宋体" w:hAnsi="宋体" w:eastAsia="宋体" w:cs="宋体"/>
          <w:highlight w:val="none"/>
          <w:lang w:val="en-US" w:eastAsia="zh-CN"/>
        </w:rPr>
        <w:t>350万元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bCs/>
          <w:color w:val="auto"/>
          <w:szCs w:val="21"/>
          <w:highlight w:val="none"/>
          <w:lang w:val="zh-CN"/>
        </w:rPr>
        <w:t>合同履约期限</w:t>
      </w:r>
      <w:r>
        <w:rPr>
          <w:rFonts w:hint="eastAsia" w:ascii="宋体" w:hAnsi="宋体" w:cs="宋体"/>
          <w:color w:val="auto"/>
          <w:szCs w:val="21"/>
          <w:highlight w:val="none"/>
        </w:rPr>
        <w:t>：</w:t>
      </w:r>
      <w:r>
        <w:rPr>
          <w:rFonts w:hint="eastAsia" w:ascii="宋体" w:hAnsi="宋体" w:cs="宋体"/>
          <w:highlight w:val="none"/>
          <w:lang w:val="en-US" w:eastAsia="zh-CN"/>
        </w:rPr>
        <w:t>合同签订之日起至2024年8月30日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工程质量要求：</w:t>
      </w:r>
      <w:r>
        <w:rPr>
          <w:rFonts w:hint="eastAsia" w:ascii="宋体" w:hAnsi="宋体"/>
          <w:highlight w:val="none"/>
          <w:lang w:eastAsia="zh-CN"/>
        </w:rPr>
        <w:t>符合国家及行业现行有关规范标准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eastAsia="宋体" w:cs="宋体"/>
          <w:highlight w:val="none"/>
        </w:rPr>
        <w:t>本项目接受联合体</w:t>
      </w:r>
      <w:r>
        <w:rPr>
          <w:rFonts w:hint="eastAsia" w:ascii="宋体" w:hAnsi="宋体" w:eastAsia="宋体" w:cs="宋体"/>
          <w:highlight w:val="none"/>
          <w:lang w:val="en-US" w:eastAsia="zh-CN"/>
        </w:rPr>
        <w:t>投标</w:t>
      </w:r>
      <w:r>
        <w:rPr>
          <w:rFonts w:hint="eastAsia" w:ascii="宋体" w:hAnsi="宋体" w:cs="宋体"/>
          <w:highlight w:val="none"/>
          <w:lang w:val="en-US" w:eastAsia="zh-CN"/>
        </w:rPr>
        <w:t>（联合体数量不多于2个）</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二、申请人的资格要求：</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1.满足《中华人民共和国政府采购法》第二十二条规定</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bookmarkStart w:id="21" w:name="_Toc28359014"/>
      <w:bookmarkStart w:id="22" w:name="_Toc28359091"/>
      <w:r>
        <w:rPr>
          <w:rFonts w:hint="eastAsia" w:ascii="宋体" w:hAnsi="宋体" w:eastAsia="宋体" w:cs="宋体"/>
          <w:highlight w:val="none"/>
        </w:rPr>
        <w:t>(</w:t>
      </w:r>
      <w:r>
        <w:rPr>
          <w:rFonts w:hint="eastAsia" w:ascii="宋体" w:hAnsi="宋体" w:eastAsia="宋体" w:cs="宋体"/>
          <w:highlight w:val="none"/>
          <w:lang w:val="en-US" w:eastAsia="zh-CN"/>
        </w:rPr>
        <w:t>1</w:t>
      </w:r>
      <w:r>
        <w:rPr>
          <w:rFonts w:hint="eastAsia" w:ascii="宋体" w:hAnsi="宋体" w:eastAsia="宋体" w:cs="宋体"/>
          <w:highlight w:val="none"/>
        </w:rPr>
        <w:t>)具有独立承担民事责任的能力；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3</w:t>
      </w:r>
      <w:r>
        <w:rPr>
          <w:rFonts w:hint="eastAsia" w:ascii="宋体" w:hAnsi="宋体" w:eastAsia="宋体" w:cs="宋体"/>
          <w:highlight w:val="none"/>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4</w:t>
      </w:r>
      <w:r>
        <w:rPr>
          <w:rFonts w:hint="eastAsia" w:ascii="宋体" w:hAnsi="宋体" w:eastAsia="宋体" w:cs="宋体"/>
          <w:highlight w:val="none"/>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5</w:t>
      </w:r>
      <w:r>
        <w:rPr>
          <w:rFonts w:hint="eastAsia" w:ascii="宋体" w:hAnsi="宋体" w:eastAsia="宋体" w:cs="宋体"/>
          <w:highlight w:val="none"/>
        </w:rPr>
        <w:t>)参加政府采购活动前三年内，在经营活动中没有重大违法记录（重大违法记录是指供应商因违法经营受到刑事处罚或者责令停产停业、吊销许可证或者执照、较大数额罚款等行政处罚）；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2.落实政府采购政策需满足的资格要求：本项目专门面向中小企业采购；本项目所属行业为：建筑业。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落实政府采购政策：《政府采购促进中小企业发展管理办法》（财库〔2020〕46号）；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《关于政府采购支持监狱企业发展有关问题的通知》(财库〔2014〕68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《关于促进残疾人就业政府采购政策的通知》（财库〔2017〕141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《关于环境标志产品政府采购实施的意见》（财库〔2006〕90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《节能产品政府采购实施意见》的通知（财库〔2004〕185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olor w:val="auto"/>
          <w:highlight w:val="none"/>
        </w:rPr>
        <w:t>《关于调整优化节能产品、环境标志产品政府采购执行机制的通知》（财库〔2020〕9 号）等。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3.1 </w:t>
      </w:r>
      <w:r>
        <w:rPr>
          <w:rFonts w:hint="eastAsia" w:ascii="宋体" w:hAnsi="宋体" w:eastAsia="宋体" w:cs="宋体"/>
          <w:highlight w:val="none"/>
          <w:lang w:val="en-US" w:eastAsia="zh-CN"/>
        </w:rPr>
        <w:t>供应商需具备独立承担民事行为能力的法人或其他组织，</w:t>
      </w:r>
      <w:r>
        <w:rPr>
          <w:rFonts w:hint="eastAsia" w:ascii="宋体" w:hAnsi="宋体" w:eastAsia="宋体" w:cs="宋体"/>
          <w:highlight w:val="none"/>
        </w:rPr>
        <w:t>具备有效的营业执照；具有履行合同所必需的设备、资金和专业技术能力</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 xml:space="preserve">3.2 </w:t>
      </w:r>
      <w:r>
        <w:rPr>
          <w:rFonts w:hint="eastAsia" w:ascii="宋体" w:hAnsi="宋体" w:eastAsia="宋体" w:cs="宋体"/>
          <w:highlight w:val="none"/>
          <w:lang w:val="en-US" w:eastAsia="zh-CN"/>
        </w:rPr>
        <w:t>供应商需具备建设行政主管部门核发的建筑装修装饰工程专业承包</w:t>
      </w:r>
      <w:r>
        <w:rPr>
          <w:rFonts w:hint="eastAsia" w:ascii="宋体" w:hAnsi="宋体" w:cs="宋体"/>
          <w:highlight w:val="none"/>
          <w:lang w:val="en-US" w:eastAsia="zh-CN"/>
        </w:rPr>
        <w:t>贰</w:t>
      </w:r>
      <w:r>
        <w:rPr>
          <w:rFonts w:hint="eastAsia" w:ascii="宋体" w:hAnsi="宋体" w:eastAsia="宋体" w:cs="宋体"/>
          <w:highlight w:val="none"/>
          <w:lang w:val="en-US" w:eastAsia="zh-CN"/>
        </w:rPr>
        <w:t>级及以上资质、电子与智能化专业承包</w:t>
      </w:r>
      <w:r>
        <w:rPr>
          <w:rFonts w:hint="eastAsia" w:ascii="宋体" w:hAnsi="宋体" w:cs="宋体"/>
          <w:highlight w:val="none"/>
          <w:lang w:val="en-US" w:eastAsia="zh-CN"/>
        </w:rPr>
        <w:t>贰</w:t>
      </w:r>
      <w:r>
        <w:rPr>
          <w:rFonts w:hint="eastAsia" w:ascii="宋体" w:hAnsi="宋体" w:eastAsia="宋体" w:cs="宋体"/>
          <w:highlight w:val="none"/>
          <w:lang w:val="en-US" w:eastAsia="zh-CN"/>
        </w:rPr>
        <w:t>级及以上资质（注：电子版证书与纸质版原件具有同等效力）。且具备有效的安全生产许可证（注：电子版证书与纸质版原件具有同等效力），并在人员、设备、资金等方面具有相应的能力</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3.3 </w:t>
      </w:r>
      <w:r>
        <w:rPr>
          <w:rFonts w:hint="eastAsia" w:ascii="宋体" w:hAnsi="宋体" w:eastAsia="宋体" w:cs="宋体"/>
          <w:highlight w:val="none"/>
          <w:lang w:val="en-US" w:eastAsia="zh-CN"/>
        </w:rPr>
        <w:t>供应商</w:t>
      </w:r>
      <w:r>
        <w:rPr>
          <w:rFonts w:hint="eastAsia" w:ascii="宋体" w:hAnsi="宋体" w:eastAsia="宋体" w:cs="宋体"/>
          <w:highlight w:val="none"/>
          <w:lang w:val="zh-CN" w:eastAsia="zh-CN"/>
        </w:rPr>
        <w:t>拟派</w:t>
      </w:r>
      <w:r>
        <w:rPr>
          <w:rFonts w:hint="eastAsia" w:ascii="宋体" w:hAnsi="宋体" w:eastAsia="宋体" w:cs="宋体"/>
          <w:highlight w:val="none"/>
          <w:lang w:val="en-US" w:eastAsia="zh-CN"/>
        </w:rPr>
        <w:t>项目负责人</w:t>
      </w:r>
      <w:r>
        <w:rPr>
          <w:rFonts w:hint="eastAsia" w:ascii="宋体" w:hAnsi="宋体" w:eastAsia="宋体" w:cs="宋体"/>
          <w:highlight w:val="none"/>
          <w:lang w:val="zh-CN" w:eastAsia="zh-CN"/>
        </w:rPr>
        <w:t>须具备</w:t>
      </w:r>
      <w:r>
        <w:rPr>
          <w:rFonts w:hint="eastAsia" w:ascii="宋体" w:hAnsi="宋体" w:eastAsia="宋体" w:cs="宋体"/>
          <w:highlight w:val="none"/>
          <w:lang w:val="en-US" w:eastAsia="zh-CN"/>
        </w:rPr>
        <w:t>建筑工程专业</w:t>
      </w:r>
      <w:r>
        <w:rPr>
          <w:rFonts w:hint="eastAsia" w:ascii="宋体" w:hAnsi="宋体" w:cs="宋体"/>
          <w:highlight w:val="none"/>
          <w:lang w:val="en-US" w:eastAsia="zh-CN"/>
        </w:rPr>
        <w:t>二</w:t>
      </w:r>
      <w:r>
        <w:rPr>
          <w:rFonts w:hint="eastAsia" w:ascii="宋体" w:hAnsi="宋体" w:eastAsia="宋体" w:cs="宋体"/>
          <w:highlight w:val="none"/>
          <w:lang w:val="zh-CN" w:eastAsia="zh-CN"/>
        </w:rPr>
        <w:t>级注册建造师资格，同时具备有效的安全生产考核合格证书</w:t>
      </w:r>
      <w:r>
        <w:rPr>
          <w:rFonts w:hint="eastAsia" w:ascii="宋体" w:hAnsi="宋体"/>
          <w:highlight w:val="none"/>
          <w:lang w:eastAsia="zh-CN"/>
        </w:rPr>
        <w:t>（</w:t>
      </w:r>
      <w:r>
        <w:rPr>
          <w:rFonts w:hint="eastAsia" w:ascii="宋体" w:hAnsi="宋体"/>
          <w:highlight w:val="none"/>
          <w:lang w:val="en-US" w:eastAsia="zh-CN"/>
        </w:rPr>
        <w:t>B类</w:t>
      </w:r>
      <w:r>
        <w:rPr>
          <w:rFonts w:hint="eastAsia" w:ascii="宋体" w:hAnsi="宋体"/>
          <w:highlight w:val="none"/>
          <w:lang w:eastAsia="zh-CN"/>
        </w:rPr>
        <w:t>）</w:t>
      </w:r>
      <w:r>
        <w:rPr>
          <w:rFonts w:hint="eastAsia" w:ascii="宋体" w:hAnsi="宋体" w:eastAsia="宋体" w:cs="宋体"/>
          <w:highlight w:val="none"/>
          <w:lang w:val="zh-CN" w:eastAsia="zh-CN"/>
        </w:rPr>
        <w:t>，提供</w:t>
      </w:r>
      <w:r>
        <w:rPr>
          <w:rFonts w:hint="eastAsia" w:ascii="宋体" w:hAnsi="宋体" w:eastAsia="宋体" w:cs="宋体"/>
          <w:highlight w:val="none"/>
          <w:lang w:val="en-US" w:eastAsia="zh-CN"/>
        </w:rPr>
        <w:t>磋商</w:t>
      </w:r>
      <w:r>
        <w:rPr>
          <w:rFonts w:hint="eastAsia" w:ascii="宋体" w:hAnsi="宋体" w:eastAsia="宋体" w:cs="宋体"/>
          <w:highlight w:val="none"/>
          <w:lang w:val="zh-CN" w:eastAsia="zh-CN"/>
        </w:rPr>
        <w:t>公告发布月份前在本单位缴纳至少连续六个月</w:t>
      </w:r>
      <w:r>
        <w:rPr>
          <w:rFonts w:hint="eastAsia" w:ascii="宋体" w:hAnsi="宋体" w:eastAsia="宋体" w:cs="宋体"/>
          <w:highlight w:val="none"/>
          <w:lang w:val="en-US" w:eastAsia="zh-CN"/>
        </w:rPr>
        <w:t>的</w:t>
      </w:r>
      <w:r>
        <w:rPr>
          <w:rFonts w:hint="eastAsia" w:ascii="宋体" w:hAnsi="宋体" w:eastAsia="宋体" w:cs="宋体"/>
          <w:highlight w:val="none"/>
          <w:lang w:val="zh-CN" w:eastAsia="zh-CN"/>
        </w:rPr>
        <w:t>社保证明</w:t>
      </w:r>
      <w:r>
        <w:rPr>
          <w:rFonts w:hint="eastAsia" w:ascii="宋体" w:hAnsi="宋体" w:cs="宋体"/>
          <w:highlight w:val="none"/>
          <w:lang w:val="zh-CN" w:eastAsia="zh-CN"/>
        </w:rPr>
        <w:t>（</w:t>
      </w:r>
      <w:r>
        <w:rPr>
          <w:rFonts w:hint="eastAsia" w:ascii="宋体" w:hAnsi="宋体" w:cs="宋体"/>
          <w:highlight w:val="none"/>
          <w:lang w:val="en-US" w:eastAsia="zh-CN"/>
        </w:rPr>
        <w:t>联合体投标的项目经理必须为联合体牵头人注册人员</w:t>
      </w:r>
      <w:r>
        <w:rPr>
          <w:rFonts w:hint="eastAsia" w:ascii="宋体" w:hAnsi="宋体" w:cs="宋体"/>
          <w:highlight w:val="none"/>
          <w:lang w:val="zh-CN" w:eastAsia="zh-CN"/>
        </w:rPr>
        <w:t>）</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3.4 供应商应按照《长春市财政局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信誉要求（如联合体投标各方均需查询）：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（1）拒绝列入政府取消投标资格记录期间的企业或个人投标。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（2）未被工商行政管理机关在全国企业信用信息公示系统（www.gsxt.gov.cn）中列入严重违法失信企业名单。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（3）未被中国执行信息公开网（http://zxgk.court.gov.cn）列入失信被执行人名单。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（4）未被最高人民法院在“信用中国”网站（www.creditchina.gov.cn）列入重大税收违法案件当事人名单。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（5）在近三年（202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年至今）内供应商或其法定代表人、拟委任的项目经理未在“中国裁判文书网”(wenshu.court.gov.cn）上有行贿犯罪行为。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（6）未被中国政府采购网(www.ccgp.gov.cn)列入政府采购严重违法失信行为记录名单。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 xml:space="preserve"> </w:t>
      </w:r>
      <w:r>
        <w:rPr>
          <w:rFonts w:hint="eastAsia" w:ascii="宋体" w:hAnsi="宋体" w:eastAsia="宋体" w:cs="宋体"/>
          <w:highlight w:val="none"/>
        </w:rPr>
        <w:t>外埠单位在我省承揽项目应执行吉林省关于外企入吉备案相关规定</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 单位负责人为同一人或者存在直接控股、管理关系的不同单位，不得参加同一标段投标或者未划分标段的同一招标项目投标</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3.8 </w:t>
      </w:r>
      <w:r>
        <w:rPr>
          <w:rFonts w:hint="eastAsia" w:ascii="宋体" w:hAnsi="宋体" w:eastAsia="宋体" w:cs="宋体"/>
          <w:highlight w:val="none"/>
        </w:rPr>
        <w:t>本项目不允许分包</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eastAsia="宋体" w:cs="宋体"/>
          <w:b/>
          <w:bCs/>
          <w:color w:val="auto"/>
          <w:sz w:val="21"/>
          <w:szCs w:val="21"/>
          <w:highlight w:val="none"/>
        </w:rPr>
      </w:pPr>
      <w:bookmarkStart w:id="23" w:name="_Toc35393800"/>
      <w:bookmarkStart w:id="24" w:name="_Toc35393631"/>
      <w:r>
        <w:rPr>
          <w:rFonts w:hint="eastAsia" w:ascii="宋体" w:hAnsi="宋体" w:eastAsia="宋体" w:cs="宋体"/>
          <w:b/>
          <w:bCs/>
          <w:color w:val="auto"/>
          <w:sz w:val="21"/>
          <w:szCs w:val="21"/>
          <w:highlight w:val="none"/>
        </w:rPr>
        <w:t>三、获取</w:t>
      </w:r>
      <w:bookmarkEnd w:id="21"/>
      <w:bookmarkEnd w:id="22"/>
      <w:bookmarkEnd w:id="23"/>
      <w:bookmarkEnd w:id="24"/>
      <w:r>
        <w:rPr>
          <w:rFonts w:hint="eastAsia" w:ascii="宋体" w:hAnsi="宋体" w:eastAsia="宋体" w:cs="宋体"/>
          <w:b/>
          <w:bCs/>
          <w:color w:val="auto"/>
          <w:sz w:val="21"/>
          <w:szCs w:val="21"/>
          <w:highlight w:val="none"/>
        </w:rPr>
        <w:t>磋商文件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1.时间：</w:t>
      </w:r>
      <w:r>
        <w:rPr>
          <w:rFonts w:hint="eastAsia" w:ascii="宋体" w:hAnsi="宋体" w:cs="宋体"/>
          <w:color w:val="auto"/>
          <w:szCs w:val="21"/>
          <w:highlight w:val="none"/>
          <w:lang w:val="zh-CN" w:eastAsia="zh-CN"/>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val="zh-CN" w:eastAsia="zh-CN"/>
        </w:rPr>
        <w:t>年</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val="zh-CN" w:eastAsia="zh-CN"/>
        </w:rPr>
        <w:t>月</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lang w:val="zh-CN" w:eastAsia="zh-CN"/>
        </w:rPr>
        <w:t>日至202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val="zh-CN" w:eastAsia="zh-CN"/>
        </w:rPr>
        <w:t>年</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val="zh-CN" w:eastAsia="zh-CN"/>
        </w:rPr>
        <w:t>月</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lang w:val="zh-CN" w:eastAsia="zh-CN"/>
        </w:rPr>
        <w:t>日</w:t>
      </w:r>
      <w:r>
        <w:rPr>
          <w:rFonts w:hint="eastAsia" w:ascii="宋体" w:hAnsi="宋体" w:cs="宋体"/>
          <w:color w:val="auto"/>
          <w:szCs w:val="21"/>
          <w:highlight w:val="none"/>
        </w:rPr>
        <w:t>，每天上午</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30分</w:t>
      </w:r>
      <w:r>
        <w:rPr>
          <w:rFonts w:hint="eastAsia" w:ascii="宋体" w:hAnsi="宋体" w:cs="宋体"/>
          <w:color w:val="auto"/>
          <w:szCs w:val="21"/>
          <w:highlight w:val="none"/>
        </w:rPr>
        <w:t>至下午16时</w:t>
      </w:r>
      <w:r>
        <w:rPr>
          <w:rFonts w:hint="eastAsia" w:ascii="宋体" w:hAnsi="宋体" w:cs="宋体"/>
          <w:color w:val="auto"/>
          <w:szCs w:val="21"/>
          <w:highlight w:val="none"/>
          <w:lang w:val="en-US" w:eastAsia="zh-CN"/>
        </w:rPr>
        <w:t>30分</w:t>
      </w:r>
      <w:r>
        <w:rPr>
          <w:rFonts w:hint="eastAsia" w:ascii="宋体" w:hAnsi="宋体" w:cs="宋体"/>
          <w:color w:val="auto"/>
          <w:szCs w:val="21"/>
          <w:highlight w:val="none"/>
        </w:rPr>
        <w:t>（法定公休日、节假日除外）。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 w:val="21"/>
          <w:szCs w:val="21"/>
          <w:highlight w:val="none"/>
        </w:rPr>
        <w:t>2.获取方式：网上下载。本项目不发放纸质文件，供应商可自行在“政采云”平台（https://www.zcygov.cn/）免费下载磋商文件（操作路径：登录“政采云”平台-项目采购-获取采购文件-找到本项目-点击“申请获取采购文件”），电子磋商响应文件制作需要基于“政采云”平台获取的磋商文件编制</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3.数字证书办理方式联系电话：0431-80663516。</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eastAsia="宋体" w:cs="宋体"/>
          <w:b/>
          <w:bCs/>
          <w:color w:val="auto"/>
          <w:sz w:val="21"/>
          <w:szCs w:val="21"/>
          <w:highlight w:val="none"/>
        </w:rPr>
      </w:pPr>
      <w:bookmarkStart w:id="25" w:name="_Toc35393801"/>
      <w:bookmarkStart w:id="26" w:name="_Toc28359092"/>
      <w:bookmarkStart w:id="27" w:name="_Toc28359015"/>
      <w:bookmarkStart w:id="28" w:name="_Toc35393632"/>
      <w:r>
        <w:rPr>
          <w:rFonts w:hint="eastAsia" w:ascii="宋体" w:hAnsi="宋体" w:eastAsia="宋体" w:cs="宋体"/>
          <w:b/>
          <w:bCs/>
          <w:color w:val="auto"/>
          <w:sz w:val="21"/>
          <w:szCs w:val="21"/>
          <w:highlight w:val="none"/>
        </w:rPr>
        <w:t>四、响应文件提交</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提交响应文件截止时间为：</w:t>
      </w:r>
      <w:r>
        <w:rPr>
          <w:rFonts w:hint="eastAsia" w:ascii="宋体" w:hAnsi="宋体" w:cs="宋体"/>
          <w:bCs/>
          <w:color w:val="auto"/>
          <w:szCs w:val="21"/>
          <w:highlight w:val="none"/>
          <w:u w:val="single"/>
          <w:lang w:eastAsia="zh-CN"/>
        </w:rPr>
        <w:t>2024年6月24日13点30分</w:t>
      </w:r>
      <w:r>
        <w:rPr>
          <w:rFonts w:hint="eastAsia" w:ascii="宋体" w:hAnsi="宋体" w:cs="宋体"/>
          <w:bCs/>
          <w:color w:val="auto"/>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w:t>
      </w:r>
      <w:r>
        <w:rPr>
          <w:rFonts w:hint="eastAsia" w:ascii="宋体" w:hAnsi="宋体" w:cs="宋体"/>
          <w:bCs/>
          <w:color w:val="auto"/>
          <w:szCs w:val="21"/>
          <w:highlight w:val="none"/>
          <w:lang w:val="en-US" w:eastAsia="zh-CN"/>
        </w:rPr>
        <w:t>点：长春市二道区洋浦大街6669号凯利中心AB栋101开标四室</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本项目采用全流程电子化采购，需通过政府采购云平台（</w:t>
      </w:r>
      <w:r>
        <w:rPr>
          <w:rFonts w:hint="eastAsia" w:ascii="宋体" w:hAnsi="宋体" w:cs="宋体"/>
          <w:color w:val="auto"/>
          <w:szCs w:val="21"/>
          <w:highlight w:val="none"/>
          <w:u w:val="single"/>
        </w:rPr>
        <w:t>https://www.zcygov.cn/</w:t>
      </w:r>
      <w:r>
        <w:rPr>
          <w:rFonts w:hint="eastAsia" w:ascii="宋体" w:hAnsi="宋体" w:cs="宋体"/>
          <w:color w:val="auto"/>
          <w:kern w:val="0"/>
          <w:szCs w:val="21"/>
          <w:highlight w:val="none"/>
        </w:rPr>
        <w:t>）递交电子版响应文件。操作流程：供应商在政府采购云平台注册入库成为正式供应商后，在平台按《政府采购项目电子交易管理操作指南-供应商》进行操作。由于供应商自身原因在递交响应文件截止时间前无法完成办理的，后果自负。</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eastAsia="宋体" w:cs="宋体"/>
          <w:b/>
          <w:bCs/>
          <w:color w:val="auto"/>
          <w:sz w:val="21"/>
          <w:szCs w:val="21"/>
          <w:highlight w:val="none"/>
        </w:rPr>
      </w:pPr>
      <w:bookmarkStart w:id="29" w:name="_Toc35393625"/>
      <w:bookmarkStart w:id="30" w:name="_Toc28359084"/>
      <w:bookmarkStart w:id="31" w:name="_Toc28359007"/>
      <w:bookmarkStart w:id="32" w:name="_Toc35393794"/>
      <w:r>
        <w:rPr>
          <w:rFonts w:hint="eastAsia" w:ascii="宋体" w:hAnsi="宋体" w:eastAsia="宋体" w:cs="宋体"/>
          <w:b/>
          <w:bCs/>
          <w:color w:val="auto"/>
          <w:sz w:val="21"/>
          <w:szCs w:val="21"/>
          <w:highlight w:val="none"/>
        </w:rPr>
        <w:t>五、公告期限</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eastAsia="宋体" w:cs="宋体"/>
          <w:b/>
          <w:bCs/>
          <w:color w:val="auto"/>
          <w:sz w:val="21"/>
          <w:szCs w:val="21"/>
          <w:highlight w:val="none"/>
        </w:rPr>
      </w:pPr>
      <w:bookmarkStart w:id="33" w:name="_Toc35393795"/>
      <w:bookmarkStart w:id="34" w:name="_Toc35393626"/>
      <w:r>
        <w:rPr>
          <w:rFonts w:hint="eastAsia" w:ascii="宋体" w:hAnsi="宋体" w:eastAsia="宋体" w:cs="宋体"/>
          <w:b/>
          <w:bCs/>
          <w:color w:val="auto"/>
          <w:sz w:val="21"/>
          <w:szCs w:val="21"/>
          <w:highlight w:val="none"/>
        </w:rPr>
        <w:t>六、其他补充事宜</w:t>
      </w:r>
      <w:bookmarkEnd w:id="33"/>
      <w:bookmarkEnd w:id="34"/>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cs="宋体"/>
          <w:color w:val="auto"/>
          <w:kern w:val="0"/>
          <w:szCs w:val="21"/>
          <w:highlight w:val="none"/>
        </w:rPr>
      </w:pPr>
      <w:bookmarkStart w:id="35" w:name="_Toc35393796"/>
      <w:bookmarkStart w:id="36" w:name="_Toc28359008"/>
      <w:bookmarkStart w:id="37" w:name="_Toc28359085"/>
      <w:bookmarkStart w:id="38" w:name="_Toc35393627"/>
      <w:r>
        <w:rPr>
          <w:rFonts w:hint="eastAsia" w:ascii="宋体" w:hAnsi="宋体" w:cs="宋体"/>
          <w:color w:val="auto"/>
          <w:kern w:val="0"/>
          <w:szCs w:val="21"/>
          <w:highlight w:val="none"/>
        </w:rPr>
        <w:t>1.本次磋商公告在《中国政府采购网》、《政府采购云平台》、</w:t>
      </w:r>
      <w:r>
        <w:rPr>
          <w:rFonts w:hint="eastAsia" w:ascii="宋体" w:hAnsi="宋体" w:cs="宋体"/>
          <w:color w:val="auto"/>
          <w:kern w:val="0"/>
          <w:szCs w:val="21"/>
          <w:highlight w:val="none"/>
          <w:lang w:val="en-US" w:eastAsia="zh-CN"/>
        </w:rPr>
        <w:t>《中国招标投标公共服务平台》</w:t>
      </w:r>
      <w:r>
        <w:rPr>
          <w:rFonts w:hint="eastAsia" w:ascii="宋体" w:hAnsi="宋体" w:cs="宋体"/>
          <w:color w:val="auto"/>
          <w:kern w:val="0"/>
          <w:szCs w:val="21"/>
          <w:highlight w:val="none"/>
        </w:rPr>
        <w:t>上发布。</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2.若对项目采购电子交易系统操作有疑问，可登录“政采云”平台（https://www.zcygov.cn/），点击右侧咨询小采，获取采小蜜智能服务管家帮助，或拨打政采云服务热线400-881-7190获取热线服务帮助。</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七、对本次磋商采购提出询问，请按以下方式联系。</w:t>
      </w:r>
      <w:bookmarkEnd w:id="35"/>
      <w:bookmarkEnd w:id="36"/>
      <w:bookmarkEnd w:id="37"/>
      <w:bookmarkEnd w:id="38"/>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w:t>
      </w:r>
      <w:r>
        <w:rPr>
          <w:rFonts w:hint="eastAsia" w:ascii="宋体" w:hAnsi="宋体" w:cs="宋体"/>
          <w:b w:val="0"/>
          <w:bCs w:val="0"/>
          <w:color w:val="auto"/>
          <w:kern w:val="0"/>
          <w:sz w:val="21"/>
          <w:szCs w:val="21"/>
          <w:highlight w:val="none"/>
          <w:lang w:val="en-US" w:eastAsia="zh-CN" w:bidi="ar-SA"/>
        </w:rPr>
        <w:t>、</w:t>
      </w:r>
      <w:r>
        <w:rPr>
          <w:rFonts w:hint="eastAsia" w:ascii="宋体" w:hAnsi="宋体" w:eastAsia="宋体" w:cs="宋体"/>
          <w:b w:val="0"/>
          <w:bCs w:val="0"/>
          <w:color w:val="auto"/>
          <w:kern w:val="0"/>
          <w:sz w:val="21"/>
          <w:szCs w:val="21"/>
          <w:highlight w:val="none"/>
          <w:lang w:val="en-US" w:eastAsia="zh-CN" w:bidi="ar-SA"/>
        </w:rPr>
        <w:t>采购人信息</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采 购 人：长春市工人文化宫</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地    址：长春市人民大街2302号</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联 系 人：崔景富</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联系电话：0431-85832806</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bidi="ar-SA"/>
        </w:rPr>
        <w:t>2、</w:t>
      </w:r>
      <w:r>
        <w:rPr>
          <w:rFonts w:hint="eastAsia" w:ascii="宋体" w:hAnsi="宋体" w:eastAsia="宋体" w:cs="宋体"/>
          <w:b w:val="0"/>
          <w:bCs w:val="0"/>
          <w:color w:val="auto"/>
          <w:kern w:val="0"/>
          <w:sz w:val="21"/>
          <w:szCs w:val="21"/>
          <w:highlight w:val="none"/>
          <w:lang w:val="en-US" w:eastAsia="zh-CN" w:bidi="ar-SA"/>
        </w:rPr>
        <w:t>采购代理机构信息</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采购代理机构：中盛精诚工程项目管理有限公司</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地址：</w:t>
      </w:r>
      <w:r>
        <w:rPr>
          <w:rFonts w:hint="eastAsia" w:ascii="宋体" w:hAnsi="宋体" w:eastAsia="宋体" w:cs="宋体"/>
          <w:b w:val="0"/>
          <w:bCs w:val="0"/>
          <w:color w:val="auto"/>
          <w:kern w:val="0"/>
          <w:sz w:val="21"/>
          <w:szCs w:val="21"/>
          <w:highlight w:val="none"/>
          <w:lang w:val="zh-CN" w:eastAsia="zh-CN" w:bidi="ar-SA"/>
        </w:rPr>
        <w:t>长春市</w:t>
      </w:r>
      <w:r>
        <w:rPr>
          <w:rFonts w:hint="eastAsia" w:ascii="宋体" w:hAnsi="宋体" w:eastAsia="宋体" w:cs="宋体"/>
          <w:b w:val="0"/>
          <w:bCs w:val="0"/>
          <w:color w:val="auto"/>
          <w:kern w:val="0"/>
          <w:sz w:val="21"/>
          <w:szCs w:val="21"/>
          <w:highlight w:val="none"/>
          <w:lang w:val="en-US" w:eastAsia="zh-CN" w:bidi="ar-SA"/>
        </w:rPr>
        <w:t>南关区</w:t>
      </w:r>
      <w:r>
        <w:rPr>
          <w:rFonts w:hint="eastAsia" w:ascii="宋体" w:hAnsi="宋体" w:eastAsia="宋体" w:cs="宋体"/>
          <w:b w:val="0"/>
          <w:bCs w:val="0"/>
          <w:color w:val="auto"/>
          <w:kern w:val="0"/>
          <w:sz w:val="21"/>
          <w:szCs w:val="21"/>
          <w:highlight w:val="none"/>
          <w:lang w:val="zh-CN" w:eastAsia="zh-CN" w:bidi="ar-SA"/>
        </w:rPr>
        <w:t>自由大路4776号凯麒大厦</w:t>
      </w:r>
      <w:r>
        <w:rPr>
          <w:rFonts w:hint="eastAsia" w:ascii="宋体" w:hAnsi="宋体" w:eastAsia="宋体" w:cs="宋体"/>
          <w:b w:val="0"/>
          <w:bCs w:val="0"/>
          <w:color w:val="auto"/>
          <w:kern w:val="0"/>
          <w:sz w:val="21"/>
          <w:szCs w:val="21"/>
          <w:highlight w:val="none"/>
          <w:lang w:val="en-US" w:eastAsia="zh-CN" w:bidi="ar-SA"/>
        </w:rPr>
        <w:t>818</w:t>
      </w:r>
      <w:r>
        <w:rPr>
          <w:rFonts w:hint="eastAsia" w:ascii="宋体" w:hAnsi="宋体" w:eastAsia="宋体" w:cs="宋体"/>
          <w:b w:val="0"/>
          <w:bCs w:val="0"/>
          <w:color w:val="auto"/>
          <w:kern w:val="0"/>
          <w:sz w:val="21"/>
          <w:szCs w:val="21"/>
          <w:highlight w:val="none"/>
          <w:lang w:val="zh-CN" w:eastAsia="zh-CN" w:bidi="ar-SA"/>
        </w:rPr>
        <w:t>室</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联系人：李洋、王雪</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电话：0431-89895228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bidi="ar-SA"/>
        </w:rPr>
        <w:t>3、</w:t>
      </w:r>
      <w:r>
        <w:rPr>
          <w:rFonts w:hint="eastAsia" w:ascii="宋体" w:hAnsi="宋体" w:eastAsia="宋体" w:cs="宋体"/>
          <w:b w:val="0"/>
          <w:bCs w:val="0"/>
          <w:color w:val="auto"/>
          <w:kern w:val="0"/>
          <w:sz w:val="21"/>
          <w:szCs w:val="21"/>
          <w:highlight w:val="none"/>
          <w:lang w:val="en-US" w:eastAsia="zh-CN" w:bidi="ar-SA"/>
        </w:rPr>
        <w:t>监督管理部门：长春市财政局政府采购管理工作办公室</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4</w:t>
      </w:r>
      <w:r>
        <w:rPr>
          <w:rFonts w:hint="eastAsia" w:ascii="宋体" w:hAnsi="宋体" w:cs="宋体"/>
          <w:b w:val="0"/>
          <w:bCs w:val="0"/>
          <w:color w:val="auto"/>
          <w:kern w:val="0"/>
          <w:sz w:val="21"/>
          <w:szCs w:val="21"/>
          <w:highlight w:val="none"/>
          <w:lang w:val="en-US" w:eastAsia="zh-CN" w:bidi="ar-SA"/>
        </w:rPr>
        <w:t>、</w:t>
      </w:r>
      <w:r>
        <w:rPr>
          <w:rFonts w:hint="eastAsia" w:ascii="宋体" w:hAnsi="宋体" w:eastAsia="宋体" w:cs="宋体"/>
          <w:b w:val="0"/>
          <w:bCs w:val="0"/>
          <w:color w:val="auto"/>
          <w:kern w:val="0"/>
          <w:sz w:val="21"/>
          <w:szCs w:val="21"/>
          <w:highlight w:val="none"/>
          <w:lang w:val="en-US" w:eastAsia="zh-CN" w:bidi="ar-SA"/>
        </w:rPr>
        <w:t>项目联系方式</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项目联系人：李洋、王雪</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电话：0431-89895228</w:t>
      </w:r>
    </w:p>
    <w:p>
      <w:pPr>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br w:type="page"/>
      </w:r>
    </w:p>
    <w:p>
      <w:pPr>
        <w:pStyle w:val="21"/>
        <w:ind w:left="0" w:leftChars="0" w:firstLine="0" w:firstLineChars="0"/>
        <w:jc w:val="center"/>
        <w:outlineLvl w:val="0"/>
        <w:rPr>
          <w:rFonts w:hint="eastAsia" w:ascii="宋体" w:hAnsi="宋体" w:eastAsia="宋体" w:cs="Times New Roman"/>
          <w:b/>
          <w:color w:val="auto"/>
          <w:kern w:val="0"/>
          <w:sz w:val="36"/>
          <w:szCs w:val="20"/>
          <w:highlight w:val="none"/>
          <w:lang w:val="en-US" w:eastAsia="zh-CN" w:bidi="ar-SA"/>
        </w:rPr>
      </w:pPr>
      <w:bookmarkStart w:id="39" w:name="_Toc25688"/>
      <w:bookmarkStart w:id="40" w:name="_Toc17994"/>
      <w:r>
        <w:rPr>
          <w:rFonts w:hint="eastAsia" w:ascii="宋体" w:hAnsi="宋体" w:eastAsia="宋体" w:cs="Times New Roman"/>
          <w:b/>
          <w:color w:val="auto"/>
          <w:kern w:val="0"/>
          <w:sz w:val="36"/>
          <w:szCs w:val="20"/>
          <w:highlight w:val="none"/>
          <w:lang w:val="en-US" w:eastAsia="zh-CN" w:bidi="ar-SA"/>
        </w:rPr>
        <w:t>第二章 供应商须知</w:t>
      </w:r>
      <w:bookmarkEnd w:id="39"/>
      <w:bookmarkEnd w:id="40"/>
    </w:p>
    <w:p>
      <w:pPr>
        <w:bidi w:val="0"/>
        <w:jc w:val="center"/>
        <w:rPr>
          <w:sz w:val="30"/>
          <w:szCs w:val="30"/>
          <w:highlight w:val="none"/>
        </w:rPr>
      </w:pPr>
      <w:bookmarkStart w:id="41" w:name="_Toc504654674"/>
      <w:bookmarkStart w:id="42" w:name="_Toc30267"/>
      <w:r>
        <w:rPr>
          <w:rFonts w:hint="eastAsia"/>
          <w:sz w:val="30"/>
          <w:szCs w:val="30"/>
          <w:highlight w:val="none"/>
        </w:rPr>
        <w:t>供应商须知前附表</w:t>
      </w:r>
      <w:bookmarkEnd w:id="41"/>
      <w:bookmarkEnd w:id="42"/>
    </w:p>
    <w:tbl>
      <w:tblPr>
        <w:tblStyle w:val="22"/>
        <w:tblW w:w="10123"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7"/>
        <w:gridCol w:w="2239"/>
        <w:gridCol w:w="68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条款号</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条款名称</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采购人</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采 购 人：长春市工人文化宫</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地    址：长春市人民大街2302号</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lang w:val="en-US" w:eastAsia="zh-CN"/>
              </w:rPr>
              <w:t>联 系 人：崔景富</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en-US" w:eastAsia="zh-CN"/>
              </w:rPr>
              <w:t>联系电话：0431-85832806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2</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zh-CN"/>
              </w:rPr>
              <w:t>采购代理机构</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采购代理机构：</w:t>
            </w:r>
            <w:r>
              <w:rPr>
                <w:rFonts w:hint="eastAsia" w:ascii="宋体" w:hAnsi="宋体" w:eastAsia="宋体" w:cs="宋体"/>
                <w:color w:val="auto"/>
                <w:sz w:val="21"/>
                <w:szCs w:val="21"/>
                <w:highlight w:val="none"/>
              </w:rPr>
              <w:t>中盛精诚工程项目管理有限公司</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地</w:t>
            </w:r>
            <w:r>
              <w:rPr>
                <w:rFonts w:hint="eastAsia" w:ascii="宋体" w:hAnsi="宋体" w:eastAsia="宋体" w:cs="宋体"/>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址：</w:t>
            </w:r>
            <w:r>
              <w:rPr>
                <w:rFonts w:hint="eastAsia" w:ascii="宋体" w:hAnsi="宋体" w:eastAsia="宋体" w:cs="宋体"/>
                <w:bCs/>
                <w:color w:val="auto"/>
                <w:sz w:val="21"/>
                <w:szCs w:val="21"/>
                <w:highlight w:val="none"/>
                <w:lang w:val="zh-CN"/>
              </w:rPr>
              <w:t>长春市</w:t>
            </w:r>
            <w:r>
              <w:rPr>
                <w:rFonts w:hint="eastAsia" w:ascii="宋体" w:hAnsi="宋体" w:eastAsia="宋体" w:cs="宋体"/>
                <w:bCs/>
                <w:color w:val="auto"/>
                <w:sz w:val="21"/>
                <w:szCs w:val="21"/>
                <w:highlight w:val="none"/>
              </w:rPr>
              <w:t>南关区</w:t>
            </w:r>
            <w:r>
              <w:rPr>
                <w:rFonts w:hint="eastAsia" w:ascii="宋体" w:hAnsi="宋体" w:eastAsia="宋体" w:cs="宋体"/>
                <w:bCs/>
                <w:color w:val="auto"/>
                <w:sz w:val="21"/>
                <w:szCs w:val="21"/>
                <w:highlight w:val="none"/>
                <w:lang w:val="zh-CN"/>
              </w:rPr>
              <w:t>自由大路4776号凯麒大厦</w:t>
            </w:r>
            <w:r>
              <w:rPr>
                <w:rFonts w:hint="eastAsia" w:ascii="宋体" w:hAnsi="宋体" w:eastAsia="宋体" w:cs="宋体"/>
                <w:bCs/>
                <w:color w:val="auto"/>
                <w:sz w:val="21"/>
                <w:szCs w:val="21"/>
                <w:highlight w:val="none"/>
              </w:rPr>
              <w:t>818</w:t>
            </w:r>
            <w:r>
              <w:rPr>
                <w:rFonts w:hint="eastAsia" w:ascii="宋体" w:hAnsi="宋体" w:eastAsia="宋体" w:cs="宋体"/>
                <w:bCs/>
                <w:color w:val="auto"/>
                <w:sz w:val="21"/>
                <w:szCs w:val="21"/>
                <w:highlight w:val="none"/>
                <w:lang w:val="zh-CN"/>
              </w:rPr>
              <w:t>室</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联   系   人：李洋、王雪</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b w:val="0"/>
                <w:bCs w:val="0"/>
                <w:color w:val="auto"/>
                <w:kern w:val="0"/>
                <w:sz w:val="21"/>
                <w:szCs w:val="21"/>
                <w:highlight w:val="none"/>
                <w:lang w:val="en-US" w:eastAsia="zh-CN" w:bidi="ar-SA"/>
              </w:rPr>
              <w:t>电        话：0431-89895228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3</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rPr>
              <w:t>项目名称</w:t>
            </w:r>
            <w:r>
              <w:rPr>
                <w:rFonts w:hint="eastAsia" w:ascii="宋体" w:hAnsi="宋体" w:eastAsia="宋体" w:cs="宋体"/>
                <w:color w:val="auto"/>
                <w:kern w:val="0"/>
                <w:sz w:val="21"/>
                <w:szCs w:val="21"/>
                <w:highlight w:val="none"/>
                <w:shd w:val="clear" w:color="auto" w:fill="FFFFFF"/>
                <w:lang w:val="en-US" w:eastAsia="zh-CN"/>
              </w:rPr>
              <w:t>及编号</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sz w:val="21"/>
                <w:szCs w:val="21"/>
                <w:highlight w:val="none"/>
                <w:lang w:val="zh-CN" w:eastAsia="zh-CN"/>
              </w:rPr>
            </w:pPr>
            <w:r>
              <w:rPr>
                <w:rFonts w:hint="eastAsia" w:ascii="宋体" w:hAnsi="宋体" w:eastAsia="宋体" w:cs="宋体"/>
                <w:bCs/>
                <w:color w:val="auto"/>
                <w:sz w:val="21"/>
                <w:szCs w:val="21"/>
                <w:highlight w:val="none"/>
                <w:lang w:val="zh-CN"/>
              </w:rPr>
              <w:t>项目名称：</w:t>
            </w:r>
            <w:r>
              <w:rPr>
                <w:rFonts w:hint="eastAsia" w:ascii="宋体" w:hAnsi="宋体" w:cs="宋体"/>
                <w:bCs/>
                <w:color w:val="auto"/>
                <w:sz w:val="21"/>
                <w:szCs w:val="21"/>
                <w:highlight w:val="none"/>
                <w:lang w:val="zh-CN" w:eastAsia="zh-CN"/>
              </w:rPr>
              <w:t>长春市工人文化宫艺术剧场装修改造项目二次</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JM-2024-05-00492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4</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项目地点</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sz w:val="21"/>
                <w:szCs w:val="21"/>
                <w:highlight w:val="none"/>
                <w:lang w:eastAsia="zh-CN"/>
              </w:rPr>
              <w:t>长春市人民大街2302号长春市工人文化宫一楼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5</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资金来源</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default" w:ascii="宋体" w:hAnsi="宋体" w:eastAsia="宋体" w:cs="宋体"/>
                <w:color w:val="auto"/>
                <w:kern w:val="0"/>
                <w:sz w:val="21"/>
                <w:szCs w:val="21"/>
                <w:highlight w:val="none"/>
                <w:shd w:val="clear" w:color="auto" w:fill="FFFFFF"/>
                <w:lang w:val="en-US"/>
              </w:rPr>
            </w:pPr>
            <w:r>
              <w:rPr>
                <w:rFonts w:hint="eastAsia" w:ascii="宋体" w:hAnsi="宋体" w:eastAsia="宋体" w:cs="宋体"/>
                <w:sz w:val="21"/>
                <w:szCs w:val="21"/>
                <w:highlight w:val="none"/>
                <w:lang w:val="en-US" w:eastAsia="zh-CN"/>
              </w:rPr>
              <w:t>自筹</w:t>
            </w:r>
            <w:r>
              <w:rPr>
                <w:rFonts w:hint="eastAsia" w:ascii="宋体" w:hAnsi="宋体" w:cs="宋体"/>
                <w:sz w:val="21"/>
                <w:szCs w:val="21"/>
                <w:highlight w:val="none"/>
                <w:lang w:val="en-US" w:eastAsia="zh-CN"/>
              </w:rPr>
              <w:t>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6</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资金落实情况</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007"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7</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采购内容</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sz w:val="21"/>
                <w:szCs w:val="21"/>
                <w:highlight w:val="none"/>
                <w:lang w:val="en-US" w:eastAsia="zh-CN"/>
              </w:rPr>
              <w:t>充分发挥职工文化服务阵地作用，将长春市工人文化宫一楼490平方米场馆空间装修改造为艺术剧场。具体详见工程量清单及图纸。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8</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Cs/>
                <w:color w:val="auto"/>
                <w:sz w:val="21"/>
                <w:szCs w:val="21"/>
                <w:highlight w:val="none"/>
                <w:lang w:val="zh-CN"/>
              </w:rPr>
              <w:t>合同履约期限</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sz w:val="21"/>
                <w:szCs w:val="21"/>
                <w:highlight w:val="none"/>
                <w:lang w:val="en-US" w:eastAsia="zh-CN"/>
              </w:rPr>
              <w:t>合同签订之日起至2024年8月30日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9</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zh-CN"/>
              </w:rPr>
              <w:t>质量标准</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color w:val="auto"/>
                <w:sz w:val="21"/>
                <w:szCs w:val="21"/>
                <w:highlight w:val="none"/>
                <w:lang w:eastAsia="zh-CN"/>
              </w:rPr>
              <w:t>符合国家及行业现行有关规范标准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10</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安全要求</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符合现行</w:t>
            </w:r>
            <w:r>
              <w:rPr>
                <w:rFonts w:hint="eastAsia" w:ascii="宋体" w:hAnsi="宋体" w:eastAsia="宋体" w:cs="宋体"/>
                <w:color w:val="auto"/>
                <w:kern w:val="0"/>
                <w:sz w:val="21"/>
                <w:szCs w:val="21"/>
                <w:highlight w:val="none"/>
                <w:shd w:val="clear" w:color="auto" w:fill="FFFFFF"/>
                <w:lang w:val="en-US" w:eastAsia="zh-CN"/>
              </w:rPr>
              <w:t>建筑</w:t>
            </w:r>
            <w:r>
              <w:rPr>
                <w:rFonts w:hint="eastAsia" w:ascii="宋体" w:hAnsi="宋体" w:eastAsia="宋体" w:cs="宋体"/>
                <w:color w:val="auto"/>
                <w:kern w:val="0"/>
                <w:sz w:val="21"/>
                <w:szCs w:val="21"/>
                <w:highlight w:val="none"/>
                <w:shd w:val="clear" w:color="auto" w:fill="FFFFFF"/>
              </w:rPr>
              <w:t>行业施工安全相关标准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11</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供应商资质条件、能力和信誉</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eastAsia="zh-CN"/>
              </w:rPr>
              <w:t>)具有独立承担民事责任的能力；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eastAsia="zh-CN"/>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val="zh-CN" w:eastAsia="zh-CN"/>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val="zh-CN" w:eastAsia="zh-CN"/>
              </w:rPr>
              <w:t>)参加政府采购活动前三年内，在经营活动中没有重大违法记录（重大违法记录是指供应商因违法经营受到刑事处罚或者责令停产停业、吊销许可证或者执照、较大数额罚款等行政处罚）；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val="zh-CN" w:eastAsia="zh-CN"/>
              </w:rPr>
              <w:t>)法律、行政法规规定的其他条件。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2.落实政府采购政策需满足的资格要求：本项目专门面向中小企业采购；本项目所属行业为：建筑业。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落实政府采购政策：《政府采购促进中小企业发展管理办法》（财库〔2020〕46号）；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《关于政府采购支持监狱企业发展有关问题的通知》(财库〔2014〕68 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《关于促进残疾人就业政府采购政策的通知》（财库〔2017〕141 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《关于环境标志产品政府采购实施的意见》（财库〔2006〕90 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《节能产品政府采购实施意见》的通知（财库〔2004〕185 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《关于调整优化节能产品、环境标志产品政府采购执行机制的通知》（财库〔2020〕9 号）等。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3.本项目的特定资格要求：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 xml:space="preserve">3.1 </w:t>
            </w:r>
            <w:r>
              <w:rPr>
                <w:rFonts w:hint="eastAsia" w:ascii="宋体" w:hAnsi="宋体" w:eastAsia="宋体" w:cs="宋体"/>
                <w:sz w:val="21"/>
                <w:szCs w:val="21"/>
                <w:highlight w:val="none"/>
                <w:lang w:val="en-US" w:eastAsia="zh-CN"/>
              </w:rPr>
              <w:t>供应商需具备独立承担民事行为能力的法人或其他组织，</w:t>
            </w:r>
            <w:r>
              <w:rPr>
                <w:rFonts w:hint="eastAsia" w:ascii="宋体" w:hAnsi="宋体" w:eastAsia="宋体" w:cs="宋体"/>
                <w:sz w:val="21"/>
                <w:szCs w:val="21"/>
                <w:highlight w:val="none"/>
                <w:lang w:val="zh-CN" w:eastAsia="zh-CN"/>
              </w:rPr>
              <w:t>具备有效的营业执照；具有履行合同所必需的设备、资金和专业技术能力。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 xml:space="preserve">3.2 </w:t>
            </w:r>
            <w:r>
              <w:rPr>
                <w:rFonts w:hint="eastAsia" w:ascii="宋体" w:hAnsi="宋体" w:eastAsia="宋体" w:cs="宋体"/>
                <w:sz w:val="21"/>
                <w:szCs w:val="21"/>
                <w:highlight w:val="none"/>
                <w:lang w:val="en-US" w:eastAsia="zh-CN"/>
              </w:rPr>
              <w:t>供应商需具备建设行政主管部门核发的建筑装修装饰工程专业承包贰级及以上资质、电子与智能化专业承包贰级及以上资质（注：电子版证书与纸质版原件具有同等效力）。且具备有效的安全生产许可证（注：电子版证书与纸质版原件具有同等效力），并在人员、设备、资金等方面具有相应的能力</w:t>
            </w:r>
            <w:r>
              <w:rPr>
                <w:rFonts w:hint="eastAsia" w:ascii="宋体" w:hAnsi="宋体" w:eastAsia="宋体" w:cs="宋体"/>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 xml:space="preserve">3.3 </w:t>
            </w:r>
            <w:r>
              <w:rPr>
                <w:rFonts w:hint="eastAsia" w:ascii="宋体" w:hAnsi="宋体" w:eastAsia="宋体" w:cs="宋体"/>
                <w:highlight w:val="none"/>
                <w:lang w:val="en-US" w:eastAsia="zh-CN"/>
              </w:rPr>
              <w:t>供应商</w:t>
            </w:r>
            <w:r>
              <w:rPr>
                <w:rFonts w:hint="eastAsia" w:ascii="宋体" w:hAnsi="宋体" w:eastAsia="宋体" w:cs="宋体"/>
                <w:highlight w:val="none"/>
                <w:lang w:val="zh-CN" w:eastAsia="zh-CN"/>
              </w:rPr>
              <w:t>拟派</w:t>
            </w:r>
            <w:r>
              <w:rPr>
                <w:rFonts w:hint="eastAsia" w:ascii="宋体" w:hAnsi="宋体" w:eastAsia="宋体" w:cs="宋体"/>
                <w:highlight w:val="none"/>
                <w:lang w:val="en-US" w:eastAsia="zh-CN"/>
              </w:rPr>
              <w:t>项目负责人</w:t>
            </w:r>
            <w:r>
              <w:rPr>
                <w:rFonts w:hint="eastAsia" w:ascii="宋体" w:hAnsi="宋体" w:eastAsia="宋体" w:cs="宋体"/>
                <w:highlight w:val="none"/>
                <w:lang w:val="zh-CN" w:eastAsia="zh-CN"/>
              </w:rPr>
              <w:t>须具备</w:t>
            </w:r>
            <w:r>
              <w:rPr>
                <w:rFonts w:hint="eastAsia" w:ascii="宋体" w:hAnsi="宋体" w:eastAsia="宋体" w:cs="宋体"/>
                <w:highlight w:val="none"/>
                <w:lang w:val="en-US" w:eastAsia="zh-CN"/>
              </w:rPr>
              <w:t>建筑工程专业</w:t>
            </w:r>
            <w:r>
              <w:rPr>
                <w:rFonts w:hint="eastAsia" w:ascii="宋体" w:hAnsi="宋体" w:cs="宋体"/>
                <w:highlight w:val="none"/>
                <w:lang w:val="en-US" w:eastAsia="zh-CN"/>
              </w:rPr>
              <w:t>二</w:t>
            </w:r>
            <w:r>
              <w:rPr>
                <w:rFonts w:hint="eastAsia" w:ascii="宋体" w:hAnsi="宋体" w:eastAsia="宋体" w:cs="宋体"/>
                <w:highlight w:val="none"/>
                <w:lang w:val="zh-CN" w:eastAsia="zh-CN"/>
              </w:rPr>
              <w:t>级注册建造师资格，同时具备有效的安全生产考核合格证书</w:t>
            </w:r>
            <w:r>
              <w:rPr>
                <w:rFonts w:hint="eastAsia" w:ascii="宋体" w:hAnsi="宋体"/>
                <w:highlight w:val="none"/>
                <w:lang w:eastAsia="zh-CN"/>
              </w:rPr>
              <w:t>（</w:t>
            </w:r>
            <w:r>
              <w:rPr>
                <w:rFonts w:hint="eastAsia" w:ascii="宋体" w:hAnsi="宋体"/>
                <w:highlight w:val="none"/>
                <w:lang w:val="en-US" w:eastAsia="zh-CN"/>
              </w:rPr>
              <w:t>B类</w:t>
            </w:r>
            <w:r>
              <w:rPr>
                <w:rFonts w:hint="eastAsia" w:ascii="宋体" w:hAnsi="宋体"/>
                <w:highlight w:val="none"/>
                <w:lang w:eastAsia="zh-CN"/>
              </w:rPr>
              <w:t>）</w:t>
            </w:r>
            <w:r>
              <w:rPr>
                <w:rFonts w:hint="eastAsia" w:ascii="宋体" w:hAnsi="宋体" w:eastAsia="宋体" w:cs="宋体"/>
                <w:highlight w:val="none"/>
                <w:lang w:val="zh-CN" w:eastAsia="zh-CN"/>
              </w:rPr>
              <w:t>，提供</w:t>
            </w:r>
            <w:r>
              <w:rPr>
                <w:rFonts w:hint="eastAsia" w:ascii="宋体" w:hAnsi="宋体" w:eastAsia="宋体" w:cs="宋体"/>
                <w:highlight w:val="none"/>
                <w:lang w:val="en-US" w:eastAsia="zh-CN"/>
              </w:rPr>
              <w:t>磋商</w:t>
            </w:r>
            <w:r>
              <w:rPr>
                <w:rFonts w:hint="eastAsia" w:ascii="宋体" w:hAnsi="宋体" w:eastAsia="宋体" w:cs="宋体"/>
                <w:highlight w:val="none"/>
                <w:lang w:val="zh-CN" w:eastAsia="zh-CN"/>
              </w:rPr>
              <w:t>公告发布月份前在本单位缴纳至少连续六个月</w:t>
            </w:r>
            <w:r>
              <w:rPr>
                <w:rFonts w:hint="eastAsia" w:ascii="宋体" w:hAnsi="宋体" w:eastAsia="宋体" w:cs="宋体"/>
                <w:highlight w:val="none"/>
                <w:lang w:val="en-US" w:eastAsia="zh-CN"/>
              </w:rPr>
              <w:t>的</w:t>
            </w:r>
            <w:r>
              <w:rPr>
                <w:rFonts w:hint="eastAsia" w:ascii="宋体" w:hAnsi="宋体" w:eastAsia="宋体" w:cs="宋体"/>
                <w:highlight w:val="none"/>
                <w:lang w:val="zh-CN" w:eastAsia="zh-CN"/>
              </w:rPr>
              <w:t>社保证明</w:t>
            </w:r>
            <w:r>
              <w:rPr>
                <w:rFonts w:hint="eastAsia" w:ascii="宋体" w:hAnsi="宋体" w:cs="宋体"/>
                <w:highlight w:val="none"/>
                <w:lang w:val="zh-CN" w:eastAsia="zh-CN"/>
              </w:rPr>
              <w:t>（</w:t>
            </w:r>
            <w:r>
              <w:rPr>
                <w:rFonts w:hint="eastAsia" w:ascii="宋体" w:hAnsi="宋体" w:cs="宋体"/>
                <w:highlight w:val="none"/>
                <w:lang w:val="en-US" w:eastAsia="zh-CN"/>
              </w:rPr>
              <w:t>联合体投标的项目经理必须为联合体牵头人注册人员</w:t>
            </w:r>
            <w:r>
              <w:rPr>
                <w:rFonts w:hint="eastAsia" w:ascii="宋体" w:hAnsi="宋体" w:cs="宋体"/>
                <w:highlight w:val="none"/>
                <w:lang w:val="zh-CN" w:eastAsia="zh-CN"/>
              </w:rPr>
              <w:t>）</w:t>
            </w:r>
            <w:r>
              <w:rPr>
                <w:rFonts w:hint="eastAsia" w:ascii="宋体" w:hAnsi="宋体" w:eastAsia="宋体" w:cs="宋体"/>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3.4 供应商应按照《长春市财政局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val="zh-CN" w:eastAsia="zh-CN"/>
              </w:rPr>
              <w:t xml:space="preserve"> </w:t>
            </w:r>
            <w:r>
              <w:rPr>
                <w:rFonts w:hint="eastAsia" w:ascii="宋体" w:hAnsi="宋体" w:eastAsia="宋体" w:cs="宋体"/>
                <w:sz w:val="21"/>
                <w:szCs w:val="21"/>
                <w:highlight w:val="none"/>
                <w:lang w:val="en-US" w:eastAsia="zh-CN"/>
              </w:rPr>
              <w:t>信誉要求</w:t>
            </w:r>
            <w:r>
              <w:rPr>
                <w:rFonts w:hint="eastAsia" w:ascii="宋体" w:hAnsi="宋体" w:cs="宋体"/>
                <w:color w:val="auto"/>
                <w:szCs w:val="21"/>
                <w:highlight w:val="none"/>
                <w:lang w:val="en-US" w:eastAsia="zh-CN"/>
              </w:rPr>
              <w:t>（如联合体投标各方均需查询）</w:t>
            </w:r>
            <w:r>
              <w:rPr>
                <w:rFonts w:hint="eastAsia" w:ascii="宋体" w:hAnsi="宋体"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（1）拒绝列入政府取消投标资格记录期间的企业或个人投标。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（2）未被工商行政管理机关在全国企业信用信息公示系统（www.gsxt.gov.cn）中列入严重违法失信企业名单。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（3）未被中国执行信息公开网（http://zxgk.court.gov.cn）列入失信被执行人名单。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（4）未被最高人民法院在“信用中国”网站（www.creditchina.gov.cn）列入重大税收违法案件当事人名单。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（5）在近三年（202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eastAsia="zh-CN"/>
              </w:rPr>
              <w:t>年至今）内供应商或其法定代表人、拟委任的项目经理未在“中国裁判文书网”(wenshu.court.gov.cn）上有行贿犯罪行为。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 xml:space="preserve">（6）未被中国政府采购网(www.ccgp.gov.cn)列入政府采购严重违法失信行为记录名单。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val="zh-CN" w:eastAsia="zh-CN"/>
              </w:rPr>
              <w:t xml:space="preserve"> 外埠单位在我省承揽项目应执行吉林省关于外企入吉备案相关规定。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lang w:val="zh-CN" w:eastAsia="zh-CN"/>
              </w:rPr>
              <w:t xml:space="preserve"> 单位负责人为同一人或者存在直接控股、管理关系的不同单位，不得参加同一标段投标或者未划分标段的同一招标项目投标。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 xml:space="preserve">3.8 </w:t>
            </w:r>
            <w:r>
              <w:rPr>
                <w:rFonts w:hint="eastAsia" w:ascii="宋体" w:hAnsi="宋体" w:eastAsia="宋体" w:cs="宋体"/>
                <w:sz w:val="21"/>
                <w:szCs w:val="21"/>
                <w:highlight w:val="none"/>
                <w:lang w:val="zh-CN" w:eastAsia="zh-CN"/>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12</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zh-CN"/>
              </w:rPr>
              <w:t>踏勘现场</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踏勘时间：2024年6月</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lang w:val="en-US" w:eastAsia="zh-CN"/>
              </w:rPr>
              <w:t>日10时00分</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sz w:val="21"/>
                <w:szCs w:val="21"/>
                <w:highlight w:val="none"/>
                <w:lang w:val="en-US" w:eastAsia="zh-CN"/>
              </w:rPr>
              <w:t>地点：长</w:t>
            </w:r>
            <w:r>
              <w:rPr>
                <w:rFonts w:hint="eastAsia" w:ascii="宋体" w:hAnsi="宋体" w:eastAsia="宋体" w:cs="宋体"/>
                <w:sz w:val="21"/>
                <w:szCs w:val="21"/>
                <w:highlight w:val="none"/>
                <w:lang w:eastAsia="zh-CN"/>
              </w:rPr>
              <w:t>春市人民大街2302号长春市工人文化宫一楼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13</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标前预备会</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不召开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14</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default"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lang w:val="en-US" w:eastAsia="zh-CN"/>
              </w:rPr>
              <w:t>标前答疑会</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lang w:val="en-US" w:eastAsia="zh-CN"/>
              </w:rPr>
              <w:t>不召开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15</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供应商提出问题的截止时间</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磋商截止时间前</w:t>
            </w:r>
            <w:r>
              <w:rPr>
                <w:rFonts w:hint="eastAsia" w:ascii="宋体" w:hAnsi="宋体" w:eastAsia="宋体" w:cs="宋体"/>
                <w:color w:val="auto"/>
                <w:kern w:val="0"/>
                <w:sz w:val="21"/>
                <w:szCs w:val="21"/>
                <w:highlight w:val="none"/>
                <w:shd w:val="clear" w:color="auto" w:fill="FFFFFF"/>
              </w:rPr>
              <w:t>3</w:t>
            </w:r>
            <w:r>
              <w:rPr>
                <w:rFonts w:hint="eastAsia" w:ascii="宋体" w:hAnsi="宋体" w:eastAsia="宋体" w:cs="宋体"/>
                <w:color w:val="auto"/>
                <w:kern w:val="0"/>
                <w:sz w:val="21"/>
                <w:szCs w:val="21"/>
                <w:highlight w:val="none"/>
                <w:shd w:val="clear" w:color="auto" w:fill="FFFFFF"/>
                <w:lang w:val="zh-CN"/>
              </w:rPr>
              <w:t>天</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rPr>
              <w:t>形式：网上提交，在“政采云”平台（https://www.zcygov.cn/）上提交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16</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采购人书面澄清的时间</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磋商截止时间前</w:t>
            </w:r>
            <w:r>
              <w:rPr>
                <w:rFonts w:hint="eastAsia" w:ascii="宋体" w:hAnsi="宋体" w:eastAsia="宋体" w:cs="宋体"/>
                <w:color w:val="auto"/>
                <w:kern w:val="0"/>
                <w:sz w:val="21"/>
                <w:szCs w:val="21"/>
                <w:highlight w:val="none"/>
                <w:shd w:val="clear" w:color="auto" w:fill="FFFFFF"/>
              </w:rPr>
              <w:t>5</w:t>
            </w:r>
            <w:r>
              <w:rPr>
                <w:rFonts w:hint="eastAsia" w:ascii="宋体" w:hAnsi="宋体" w:eastAsia="宋体" w:cs="宋体"/>
                <w:color w:val="auto"/>
                <w:kern w:val="0"/>
                <w:sz w:val="21"/>
                <w:szCs w:val="21"/>
                <w:highlight w:val="none"/>
                <w:shd w:val="clear" w:color="auto" w:fill="FFFFFF"/>
                <w:lang w:val="zh-CN"/>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17</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rPr>
              <w:t>分包、偏离</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18</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构成磋商文件的其他材料</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澄清、修改及补充通知等书面材料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19</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供应商要求澄清磋商文件的截止时间</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zh-CN"/>
              </w:rPr>
              <w:t>磋商截止时间前</w:t>
            </w:r>
            <w:r>
              <w:rPr>
                <w:rFonts w:hint="eastAsia" w:ascii="宋体" w:hAnsi="宋体" w:eastAsia="宋体" w:cs="宋体"/>
                <w:color w:val="auto"/>
                <w:kern w:val="0"/>
                <w:sz w:val="21"/>
                <w:szCs w:val="21"/>
                <w:highlight w:val="none"/>
                <w:shd w:val="clear" w:color="auto" w:fill="FFFFFF"/>
              </w:rPr>
              <w:t>5</w:t>
            </w:r>
            <w:r>
              <w:rPr>
                <w:rFonts w:hint="eastAsia" w:ascii="宋体" w:hAnsi="宋体" w:eastAsia="宋体" w:cs="宋体"/>
                <w:color w:val="auto"/>
                <w:kern w:val="0"/>
                <w:sz w:val="21"/>
                <w:szCs w:val="21"/>
                <w:highlight w:val="none"/>
                <w:shd w:val="clear" w:color="auto" w:fill="FFFFFF"/>
                <w:lang w:val="zh-CN"/>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20</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磋商截止时间</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cs="宋体"/>
                <w:color w:val="auto"/>
                <w:kern w:val="0"/>
                <w:sz w:val="21"/>
                <w:szCs w:val="21"/>
                <w:highlight w:val="none"/>
                <w:shd w:val="clear" w:color="auto" w:fill="FFFFFF"/>
                <w:lang w:val="zh-CN" w:eastAsia="zh-CN"/>
              </w:rPr>
              <w:t>2024年6月24日13点30分</w:t>
            </w:r>
            <w:r>
              <w:rPr>
                <w:rFonts w:hint="eastAsia" w:ascii="宋体" w:hAnsi="宋体" w:eastAsia="宋体" w:cs="宋体"/>
                <w:color w:val="auto"/>
                <w:kern w:val="0"/>
                <w:sz w:val="21"/>
                <w:szCs w:val="21"/>
                <w:highlight w:val="none"/>
                <w:shd w:val="clear" w:color="auto" w:fill="FFFFFF"/>
                <w:lang w:val="zh-CN"/>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21</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供应商确认收到磋商文件澄清的时间</w:t>
            </w:r>
          </w:p>
        </w:tc>
        <w:tc>
          <w:tcPr>
            <w:tcW w:w="6877" w:type="dxa"/>
            <w:vMerge w:val="restart"/>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lang w:val="zh-CN"/>
              </w:rPr>
              <w:t>请潜在供应商在参与本项目活动期间关注网站信息，所有有投标意愿的供应商有义务在网上自行查询，无需书面回复。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22</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供应商确认收到磋商文件修改的时间</w:t>
            </w:r>
          </w:p>
        </w:tc>
        <w:tc>
          <w:tcPr>
            <w:tcW w:w="6877"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23</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line="240" w:lineRule="auto"/>
              <w:jc w:val="center"/>
              <w:rPr>
                <w:rFonts w:hint="eastAsia" w:ascii="宋体" w:hAnsi="宋体" w:eastAsia="宋体" w:cs="宋体"/>
                <w:bCs/>
                <w:color w:val="auto"/>
                <w:kern w:val="2"/>
                <w:sz w:val="21"/>
                <w:szCs w:val="21"/>
                <w:highlight w:val="none"/>
                <w:lang w:val="zh-CN" w:eastAsia="zh-CN" w:bidi="ar-SA"/>
              </w:rPr>
            </w:pPr>
            <w:r>
              <w:rPr>
                <w:rFonts w:hint="eastAsia" w:ascii="宋体" w:hAnsi="宋体" w:eastAsia="宋体" w:cs="宋体"/>
                <w:bCs/>
                <w:color w:val="auto"/>
                <w:sz w:val="21"/>
                <w:szCs w:val="21"/>
                <w:highlight w:val="none"/>
              </w:rPr>
              <w:t>接收质疑函的方式和联系方式</w:t>
            </w:r>
          </w:p>
        </w:tc>
        <w:tc>
          <w:tcPr>
            <w:tcW w:w="6877" w:type="dxa"/>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eastAsia="zh-CN"/>
              </w:rPr>
              <w:t>供应商认为采购文件、采购过程和中标、成交结果使自己的权益受到损害的，可以在知道或者应知其权益受到损害之日起七个工作日内，在法定质疑期内以书面形式向采购代理机构一次性提出针对同一采购程序环节的质疑，</w:t>
            </w:r>
            <w:r>
              <w:rPr>
                <w:rFonts w:hint="eastAsia" w:ascii="宋体" w:hAnsi="宋体" w:eastAsia="宋体" w:cs="宋体"/>
                <w:color w:val="auto"/>
                <w:kern w:val="0"/>
                <w:sz w:val="21"/>
                <w:szCs w:val="21"/>
                <w:highlight w:val="none"/>
              </w:rPr>
              <w:t>质疑</w:t>
            </w:r>
            <w:r>
              <w:rPr>
                <w:rFonts w:hint="eastAsia" w:ascii="宋体" w:hAnsi="宋体" w:eastAsia="宋体" w:cs="宋体"/>
                <w:bCs/>
                <w:color w:val="auto"/>
                <w:sz w:val="21"/>
                <w:szCs w:val="21"/>
                <w:highlight w:val="none"/>
              </w:rPr>
              <w:t>以书面形式送达（仅接收派人送达、邮寄送达质疑函原件两种方式），质疑函的格式和内容应当符合《政府采购质疑和投诉办法》（财政部令第94号）的要求。</w:t>
            </w:r>
          </w:p>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联系部门：招标部</w:t>
            </w:r>
          </w:p>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zh-CN" w:eastAsia="zh-CN"/>
              </w:rPr>
              <w:t>联系</w:t>
            </w:r>
            <w:r>
              <w:rPr>
                <w:rFonts w:hint="eastAsia" w:ascii="宋体" w:hAnsi="宋体" w:eastAsia="宋体" w:cs="宋体"/>
                <w:bCs/>
                <w:color w:val="auto"/>
                <w:sz w:val="21"/>
                <w:szCs w:val="21"/>
                <w:highlight w:val="none"/>
                <w:lang w:val="en-US" w:eastAsia="zh-CN"/>
              </w:rPr>
              <w:t>人</w:t>
            </w:r>
            <w:r>
              <w:rPr>
                <w:rFonts w:hint="eastAsia" w:ascii="宋体" w:hAnsi="宋体" w:eastAsia="宋体" w:cs="宋体"/>
                <w:bCs/>
                <w:color w:val="auto"/>
                <w:sz w:val="21"/>
                <w:szCs w:val="21"/>
                <w:highlight w:val="none"/>
                <w:lang w:val="zh-CN" w:eastAsia="zh-CN"/>
              </w:rPr>
              <w:t>：李洋、王雪</w:t>
            </w:r>
          </w:p>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电  话：</w:t>
            </w:r>
            <w:r>
              <w:rPr>
                <w:rFonts w:hint="eastAsia" w:ascii="宋体" w:hAnsi="宋体" w:eastAsia="宋体" w:cs="宋体"/>
                <w:bCs/>
                <w:color w:val="auto"/>
                <w:sz w:val="21"/>
                <w:szCs w:val="21"/>
                <w:highlight w:val="none"/>
                <w:lang w:val="zh-CN" w:eastAsia="zh-CN"/>
              </w:rPr>
              <w:t>0431-</w:t>
            </w:r>
            <w:r>
              <w:rPr>
                <w:rFonts w:hint="eastAsia" w:ascii="宋体" w:hAnsi="宋体" w:eastAsia="宋体" w:cs="宋体"/>
                <w:bCs/>
                <w:color w:val="auto"/>
                <w:sz w:val="21"/>
                <w:szCs w:val="21"/>
                <w:highlight w:val="none"/>
                <w:lang w:val="en-US" w:eastAsia="zh-CN"/>
              </w:rPr>
              <w:t>89895228</w:t>
            </w:r>
          </w:p>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邮箱：</w:t>
            </w:r>
            <w:r>
              <w:rPr>
                <w:rFonts w:hint="eastAsia" w:ascii="宋体" w:hAnsi="宋体" w:eastAsia="宋体" w:cs="宋体"/>
                <w:bCs/>
                <w:color w:val="auto"/>
                <w:sz w:val="21"/>
                <w:szCs w:val="21"/>
                <w:highlight w:val="none"/>
                <w:lang w:val="en-US" w:eastAsia="zh-CN"/>
              </w:rPr>
              <w:t>zsjc6666@163.com</w:t>
            </w:r>
          </w:p>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kern w:val="2"/>
                <w:sz w:val="21"/>
                <w:szCs w:val="21"/>
                <w:highlight w:val="none"/>
                <w:lang w:val="zh-CN" w:eastAsia="zh-CN" w:bidi="ar-SA"/>
              </w:rPr>
            </w:pPr>
            <w:r>
              <w:rPr>
                <w:rFonts w:hint="eastAsia" w:ascii="宋体" w:hAnsi="宋体" w:eastAsia="宋体" w:cs="宋体"/>
                <w:bCs/>
                <w:color w:val="auto"/>
                <w:sz w:val="21"/>
                <w:szCs w:val="21"/>
                <w:highlight w:val="none"/>
              </w:rPr>
              <w:t>通信地址：</w:t>
            </w:r>
            <w:r>
              <w:rPr>
                <w:rFonts w:hint="eastAsia" w:ascii="宋体" w:hAnsi="宋体" w:eastAsia="宋体" w:cs="宋体"/>
                <w:color w:val="auto"/>
                <w:sz w:val="21"/>
                <w:szCs w:val="21"/>
                <w:highlight w:val="none"/>
                <w:lang w:eastAsia="zh-CN"/>
              </w:rPr>
              <w:t>长春市</w:t>
            </w:r>
            <w:r>
              <w:rPr>
                <w:rFonts w:hint="eastAsia" w:ascii="宋体" w:hAnsi="宋体" w:eastAsia="宋体" w:cs="宋体"/>
                <w:color w:val="auto"/>
                <w:sz w:val="21"/>
                <w:szCs w:val="21"/>
                <w:highlight w:val="none"/>
                <w:lang w:val="en-US" w:eastAsia="zh-CN"/>
              </w:rPr>
              <w:t>南关区</w:t>
            </w:r>
            <w:r>
              <w:rPr>
                <w:rFonts w:hint="eastAsia" w:ascii="宋体" w:hAnsi="宋体" w:eastAsia="宋体" w:cs="宋体"/>
                <w:color w:val="auto"/>
                <w:sz w:val="21"/>
                <w:szCs w:val="21"/>
                <w:highlight w:val="none"/>
                <w:lang w:eastAsia="zh-CN"/>
              </w:rPr>
              <w:t>自由大路4776号凯麒大厦</w:t>
            </w:r>
            <w:r>
              <w:rPr>
                <w:rFonts w:hint="eastAsia" w:ascii="宋体" w:hAnsi="宋体" w:eastAsia="宋体" w:cs="宋体"/>
                <w:color w:val="auto"/>
                <w:sz w:val="21"/>
                <w:szCs w:val="21"/>
                <w:highlight w:val="none"/>
                <w:lang w:val="en-US" w:eastAsia="zh-CN"/>
              </w:rPr>
              <w:t>818</w:t>
            </w:r>
            <w:r>
              <w:rPr>
                <w:rFonts w:hint="eastAsia" w:ascii="宋体" w:hAnsi="宋体" w:eastAsia="宋体" w:cs="宋体"/>
                <w:color w:val="auto"/>
                <w:sz w:val="21"/>
                <w:szCs w:val="21"/>
                <w:highlight w:val="none"/>
                <w:lang w:eastAsia="zh-CN"/>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24</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line="24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sz w:val="21"/>
                <w:szCs w:val="21"/>
                <w:highlight w:val="none"/>
              </w:rPr>
              <w:t>答复供应商异议的截止时间</w:t>
            </w:r>
          </w:p>
        </w:tc>
        <w:tc>
          <w:tcPr>
            <w:tcW w:w="6877" w:type="dxa"/>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kern w:val="2"/>
                <w:sz w:val="21"/>
                <w:szCs w:val="21"/>
                <w:highlight w:val="none"/>
                <w:lang w:val="zh-CN" w:eastAsia="zh-CN" w:bidi="ar-SA"/>
              </w:rPr>
            </w:pPr>
            <w:r>
              <w:rPr>
                <w:rFonts w:hint="eastAsia" w:ascii="宋体" w:hAnsi="宋体" w:eastAsia="宋体" w:cs="宋体"/>
                <w:sz w:val="21"/>
                <w:szCs w:val="21"/>
                <w:highlight w:val="none"/>
              </w:rPr>
              <w:t>接到供应商提出异议之日起3日内</w:t>
            </w:r>
            <w:r>
              <w:rPr>
                <w:rFonts w:hint="eastAsia" w:ascii="宋体" w:hAnsi="宋体" w:eastAsia="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25</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构成响应文件的其他材料</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240" w:lineRule="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26</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zh-CN"/>
              </w:rPr>
              <w:t>磋商</w:t>
            </w:r>
            <w:r>
              <w:rPr>
                <w:rFonts w:hint="eastAsia" w:ascii="宋体" w:hAnsi="宋体" w:eastAsia="宋体" w:cs="宋体"/>
                <w:color w:val="auto"/>
                <w:kern w:val="0"/>
                <w:sz w:val="21"/>
                <w:szCs w:val="21"/>
                <w:highlight w:val="none"/>
                <w:shd w:val="clear" w:color="auto" w:fill="FFFFFF"/>
              </w:rPr>
              <w:t>有效期</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bCs/>
                <w:color w:val="auto"/>
                <w:sz w:val="21"/>
                <w:szCs w:val="21"/>
                <w:highlight w:val="none"/>
                <w:lang w:val="zh-CN" w:eastAsia="zh-CN"/>
              </w:rPr>
              <w:t>响应文件提交</w:t>
            </w:r>
            <w:r>
              <w:rPr>
                <w:rFonts w:hint="eastAsia" w:ascii="宋体" w:hAnsi="宋体" w:eastAsia="宋体" w:cs="宋体"/>
                <w:bCs/>
                <w:color w:val="auto"/>
                <w:sz w:val="21"/>
                <w:szCs w:val="21"/>
                <w:highlight w:val="none"/>
                <w:lang w:val="zh-CN"/>
              </w:rPr>
              <w:t>截止之日</w:t>
            </w:r>
            <w:r>
              <w:rPr>
                <w:rFonts w:hint="eastAsia" w:ascii="宋体" w:hAnsi="宋体" w:eastAsia="宋体" w:cs="宋体"/>
                <w:bCs/>
                <w:color w:val="auto"/>
                <w:sz w:val="21"/>
                <w:szCs w:val="21"/>
                <w:highlight w:val="none"/>
                <w:lang w:val="en-US" w:eastAsia="zh-CN"/>
              </w:rPr>
              <w:t>起</w:t>
            </w:r>
            <w:r>
              <w:rPr>
                <w:rFonts w:hint="eastAsia" w:ascii="宋体" w:hAnsi="宋体" w:eastAsia="宋体" w:cs="宋体"/>
                <w:bCs/>
                <w:color w:val="auto"/>
                <w:sz w:val="21"/>
                <w:szCs w:val="21"/>
                <w:highlight w:val="none"/>
                <w:lang w:val="zh-CN"/>
              </w:rPr>
              <w:t>90天（日历天）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27</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磋商保证金</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b/>
                <w:bCs/>
                <w:color w:val="auto"/>
                <w:kern w:val="0"/>
                <w:sz w:val="21"/>
                <w:szCs w:val="21"/>
                <w:highlight w:val="none"/>
                <w:shd w:val="clear" w:color="auto" w:fill="FFFFFF"/>
                <w:lang w:val="zh-CN"/>
              </w:rPr>
            </w:pPr>
            <w:r>
              <w:rPr>
                <w:rFonts w:hint="eastAsia" w:ascii="宋体" w:hAnsi="宋体" w:eastAsia="宋体" w:cs="宋体"/>
                <w:b/>
                <w:bCs/>
                <w:color w:val="auto"/>
                <w:kern w:val="0"/>
                <w:sz w:val="21"/>
                <w:szCs w:val="21"/>
                <w:highlight w:val="none"/>
                <w:shd w:val="clear" w:color="auto" w:fill="FFFFFF"/>
                <w:lang w:val="zh-CN"/>
              </w:rPr>
              <w:t>依据长财采购</w:t>
            </w:r>
            <w:r>
              <w:rPr>
                <w:rFonts w:hint="eastAsia" w:ascii="宋体" w:hAnsi="宋体" w:eastAsia="宋体" w:cs="宋体"/>
                <w:b/>
                <w:bCs/>
                <w:color w:val="auto"/>
                <w:kern w:val="0"/>
                <w:sz w:val="21"/>
                <w:szCs w:val="21"/>
                <w:highlight w:val="none"/>
                <w:shd w:val="clear" w:color="auto" w:fill="FFFFFF"/>
              </w:rPr>
              <w:t>&lt;2021&gt;695号</w:t>
            </w:r>
            <w:r>
              <w:rPr>
                <w:rFonts w:hint="eastAsia" w:ascii="宋体" w:hAnsi="宋体" w:eastAsia="宋体" w:cs="宋体"/>
                <w:b/>
                <w:bCs/>
                <w:color w:val="auto"/>
                <w:kern w:val="0"/>
                <w:sz w:val="21"/>
                <w:szCs w:val="21"/>
                <w:highlight w:val="none"/>
                <w:shd w:val="clear" w:color="auto" w:fill="FFFFFF"/>
                <w:lang w:val="zh-CN"/>
              </w:rPr>
              <w:t>要求的政府采购项目，不收取磋商保证金。但对于满足《中华人民共和国政府采购法》第二十二条有关规定，经“信用中国”网站查询存在行政处罚的供应商，将依法收取磋商保证金</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磋商保证金金额：￥</w:t>
            </w:r>
            <w:r>
              <w:rPr>
                <w:rFonts w:hint="eastAsia" w:ascii="宋体" w:hAnsi="宋体" w:eastAsia="宋体" w:cs="宋体"/>
                <w:color w:val="auto"/>
                <w:kern w:val="0"/>
                <w:sz w:val="21"/>
                <w:szCs w:val="21"/>
                <w:highlight w:val="none"/>
                <w:shd w:val="clear" w:color="auto" w:fill="FFFFFF"/>
                <w:lang w:val="en-US" w:eastAsia="zh-CN"/>
              </w:rPr>
              <w:t>35000</w:t>
            </w:r>
            <w:r>
              <w:rPr>
                <w:rFonts w:hint="eastAsia" w:ascii="宋体" w:hAnsi="宋体" w:eastAsia="宋体" w:cs="宋体"/>
                <w:color w:val="auto"/>
                <w:kern w:val="0"/>
                <w:sz w:val="21"/>
                <w:szCs w:val="21"/>
                <w:highlight w:val="none"/>
                <w:shd w:val="clear" w:color="auto" w:fill="FFFFFF"/>
                <w:lang w:val="zh-CN"/>
              </w:rPr>
              <w:t>元（人民币</w:t>
            </w:r>
            <w:r>
              <w:rPr>
                <w:rFonts w:hint="eastAsia" w:ascii="宋体" w:hAnsi="宋体" w:eastAsia="宋体" w:cs="宋体"/>
                <w:color w:val="auto"/>
                <w:kern w:val="0"/>
                <w:sz w:val="21"/>
                <w:szCs w:val="21"/>
                <w:highlight w:val="none"/>
                <w:shd w:val="clear" w:color="auto" w:fill="FFFFFF"/>
                <w:lang w:val="en-US" w:eastAsia="zh-CN"/>
              </w:rPr>
              <w:t>叁万伍仟元整</w:t>
            </w:r>
            <w:r>
              <w:rPr>
                <w:rFonts w:hint="eastAsia" w:ascii="宋体" w:hAnsi="宋体" w:eastAsia="宋体" w:cs="宋体"/>
                <w:color w:val="auto"/>
                <w:kern w:val="0"/>
                <w:sz w:val="21"/>
                <w:szCs w:val="21"/>
                <w:highlight w:val="none"/>
                <w:shd w:val="clear" w:color="auto" w:fill="FFFFFF"/>
                <w:lang w:val="zh-CN"/>
              </w:rPr>
              <w:t>）；</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可采用电汇、转账、银行出具的现金支票、保兑支票、银行汇票及银行、专业担保公司、保险公司出具的保函等合法形式，须由</w:t>
            </w:r>
            <w:r>
              <w:rPr>
                <w:rFonts w:hint="eastAsia" w:ascii="宋体" w:hAnsi="宋体" w:eastAsia="宋体" w:cs="宋体"/>
                <w:color w:val="auto"/>
                <w:kern w:val="0"/>
                <w:sz w:val="21"/>
                <w:szCs w:val="21"/>
                <w:highlight w:val="none"/>
                <w:shd w:val="clear" w:color="auto" w:fill="FFFFFF"/>
              </w:rPr>
              <w:t>供应商</w:t>
            </w:r>
            <w:r>
              <w:rPr>
                <w:rFonts w:hint="eastAsia" w:ascii="宋体" w:hAnsi="宋体" w:eastAsia="宋体" w:cs="宋体"/>
                <w:color w:val="auto"/>
                <w:kern w:val="0"/>
                <w:sz w:val="21"/>
                <w:szCs w:val="21"/>
                <w:highlight w:val="none"/>
                <w:shd w:val="clear" w:color="auto" w:fill="FFFFFF"/>
                <w:lang w:val="zh-CN"/>
              </w:rPr>
              <w:t>基本账户汇出，请在磋商</w:t>
            </w:r>
            <w:r>
              <w:rPr>
                <w:rFonts w:hint="eastAsia" w:ascii="宋体" w:hAnsi="宋体" w:eastAsia="宋体" w:cs="宋体"/>
                <w:color w:val="auto"/>
                <w:kern w:val="0"/>
                <w:sz w:val="21"/>
                <w:szCs w:val="21"/>
                <w:highlight w:val="none"/>
                <w:shd w:val="clear" w:color="auto" w:fill="FFFFFF"/>
              </w:rPr>
              <w:t>截止时间</w:t>
            </w:r>
            <w:r>
              <w:rPr>
                <w:rFonts w:hint="eastAsia" w:ascii="宋体" w:hAnsi="宋体" w:eastAsia="宋体" w:cs="宋体"/>
                <w:color w:val="auto"/>
                <w:kern w:val="0"/>
                <w:sz w:val="21"/>
                <w:szCs w:val="21"/>
                <w:highlight w:val="none"/>
                <w:shd w:val="clear" w:color="auto" w:fill="FFFFFF"/>
                <w:lang w:val="zh-CN"/>
              </w:rPr>
              <w:t>前，按</w:t>
            </w:r>
            <w:r>
              <w:rPr>
                <w:rFonts w:hint="eastAsia" w:ascii="宋体" w:hAnsi="宋体" w:eastAsia="宋体" w:cs="宋体"/>
                <w:color w:val="auto"/>
                <w:kern w:val="0"/>
                <w:sz w:val="21"/>
                <w:szCs w:val="21"/>
                <w:highlight w:val="none"/>
                <w:shd w:val="clear" w:color="auto" w:fill="FFFFFF"/>
              </w:rPr>
              <w:t>磋商</w:t>
            </w:r>
            <w:r>
              <w:rPr>
                <w:rFonts w:hint="eastAsia" w:ascii="宋体" w:hAnsi="宋体" w:eastAsia="宋体" w:cs="宋体"/>
                <w:color w:val="auto"/>
                <w:kern w:val="0"/>
                <w:sz w:val="21"/>
                <w:szCs w:val="21"/>
                <w:highlight w:val="none"/>
                <w:shd w:val="clear" w:color="auto" w:fill="FFFFFF"/>
                <w:lang w:val="zh-CN"/>
              </w:rPr>
              <w:t>文件的要求向</w:t>
            </w:r>
            <w:r>
              <w:rPr>
                <w:rFonts w:hint="eastAsia" w:ascii="宋体" w:hAnsi="宋体" w:eastAsia="宋体" w:cs="宋体"/>
                <w:color w:val="auto"/>
                <w:kern w:val="0"/>
                <w:sz w:val="21"/>
                <w:szCs w:val="21"/>
                <w:highlight w:val="none"/>
                <w:shd w:val="clear" w:color="auto" w:fill="FFFFFF"/>
              </w:rPr>
              <w:t>采购</w:t>
            </w:r>
            <w:r>
              <w:rPr>
                <w:rFonts w:hint="eastAsia" w:ascii="宋体" w:hAnsi="宋体" w:eastAsia="宋体" w:cs="宋体"/>
                <w:color w:val="auto"/>
                <w:kern w:val="0"/>
                <w:sz w:val="21"/>
                <w:szCs w:val="21"/>
                <w:highlight w:val="none"/>
                <w:shd w:val="clear" w:color="auto" w:fill="FFFFFF"/>
                <w:lang w:val="zh-CN"/>
              </w:rPr>
              <w:t>代理机构递交磋商保证金，磋商</w:t>
            </w:r>
            <w:r>
              <w:rPr>
                <w:rFonts w:hint="eastAsia" w:ascii="宋体" w:hAnsi="宋体" w:eastAsia="宋体" w:cs="宋体"/>
                <w:color w:val="auto"/>
                <w:kern w:val="0"/>
                <w:sz w:val="21"/>
                <w:szCs w:val="21"/>
                <w:highlight w:val="none"/>
                <w:shd w:val="clear" w:color="auto" w:fill="FFFFFF"/>
              </w:rPr>
              <w:t>截止时间</w:t>
            </w:r>
            <w:r>
              <w:rPr>
                <w:rFonts w:hint="eastAsia" w:ascii="宋体" w:hAnsi="宋体" w:eastAsia="宋体" w:cs="宋体"/>
                <w:color w:val="auto"/>
                <w:kern w:val="0"/>
                <w:sz w:val="21"/>
                <w:szCs w:val="21"/>
                <w:highlight w:val="none"/>
                <w:shd w:val="clear" w:color="auto" w:fill="FFFFFF"/>
                <w:lang w:val="zh-CN"/>
              </w:rPr>
              <w:t>之后递交的磋商保证金将被拒绝。（未从基本账户汇出或未到帐均视为无效），</w:t>
            </w:r>
            <w:r>
              <w:rPr>
                <w:rFonts w:hint="eastAsia" w:ascii="宋体" w:hAnsi="宋体" w:eastAsia="宋体" w:cs="宋体"/>
                <w:color w:val="auto"/>
                <w:kern w:val="0"/>
                <w:sz w:val="21"/>
                <w:szCs w:val="21"/>
                <w:highlight w:val="none"/>
                <w:shd w:val="clear" w:color="auto" w:fill="FFFFFF"/>
              </w:rPr>
              <w:t>供应商</w:t>
            </w:r>
            <w:r>
              <w:rPr>
                <w:rFonts w:hint="eastAsia" w:ascii="宋体" w:hAnsi="宋体" w:eastAsia="宋体" w:cs="宋体"/>
                <w:color w:val="auto"/>
                <w:kern w:val="0"/>
                <w:sz w:val="21"/>
                <w:szCs w:val="21"/>
                <w:highlight w:val="none"/>
                <w:shd w:val="clear" w:color="auto" w:fill="FFFFFF"/>
                <w:lang w:val="zh-CN"/>
              </w:rPr>
              <w:t>若未按此要求办理产生的一切后果由</w:t>
            </w:r>
            <w:r>
              <w:rPr>
                <w:rFonts w:hint="eastAsia" w:ascii="宋体" w:hAnsi="宋体" w:eastAsia="宋体" w:cs="宋体"/>
                <w:color w:val="auto"/>
                <w:kern w:val="0"/>
                <w:sz w:val="21"/>
                <w:szCs w:val="21"/>
                <w:highlight w:val="none"/>
                <w:shd w:val="clear" w:color="auto" w:fill="FFFFFF"/>
              </w:rPr>
              <w:t>供应商</w:t>
            </w:r>
            <w:r>
              <w:rPr>
                <w:rFonts w:hint="eastAsia" w:ascii="宋体" w:hAnsi="宋体" w:eastAsia="宋体" w:cs="宋体"/>
                <w:color w:val="auto"/>
                <w:kern w:val="0"/>
                <w:sz w:val="21"/>
                <w:szCs w:val="21"/>
                <w:highlight w:val="none"/>
                <w:shd w:val="clear" w:color="auto" w:fill="FFFFFF"/>
                <w:lang w:val="zh-CN"/>
              </w:rPr>
              <w:t>自行承担。磋商保证金有效期与磋商有效期一致。</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汇款信息注明：请</w:t>
            </w:r>
            <w:r>
              <w:rPr>
                <w:rFonts w:hint="eastAsia" w:ascii="宋体" w:hAnsi="宋体" w:eastAsia="宋体" w:cs="宋体"/>
                <w:color w:val="auto"/>
                <w:kern w:val="0"/>
                <w:sz w:val="21"/>
                <w:szCs w:val="21"/>
                <w:highlight w:val="none"/>
                <w:shd w:val="clear" w:color="auto" w:fill="FFFFFF"/>
              </w:rPr>
              <w:t>供应商</w:t>
            </w:r>
            <w:r>
              <w:rPr>
                <w:rFonts w:hint="eastAsia" w:ascii="宋体" w:hAnsi="宋体" w:eastAsia="宋体" w:cs="宋体"/>
                <w:color w:val="auto"/>
                <w:kern w:val="0"/>
                <w:sz w:val="21"/>
                <w:szCs w:val="21"/>
                <w:highlight w:val="none"/>
                <w:shd w:val="clear" w:color="auto" w:fill="FFFFFF"/>
                <w:lang w:val="zh-CN"/>
              </w:rPr>
              <w:t>在汇款时务必注明所投项目的</w:t>
            </w:r>
            <w:r>
              <w:rPr>
                <w:rFonts w:hint="eastAsia" w:ascii="宋体" w:hAnsi="宋体" w:eastAsia="宋体" w:cs="宋体"/>
                <w:color w:val="auto"/>
                <w:kern w:val="0"/>
                <w:sz w:val="21"/>
                <w:szCs w:val="21"/>
                <w:highlight w:val="none"/>
                <w:shd w:val="clear" w:color="auto" w:fill="FFFFFF"/>
              </w:rPr>
              <w:t>项目</w:t>
            </w:r>
            <w:r>
              <w:rPr>
                <w:rFonts w:hint="eastAsia" w:ascii="宋体" w:hAnsi="宋体" w:eastAsia="宋体" w:cs="宋体"/>
                <w:color w:val="auto"/>
                <w:kern w:val="0"/>
                <w:sz w:val="21"/>
                <w:szCs w:val="21"/>
                <w:highlight w:val="none"/>
                <w:shd w:val="clear" w:color="auto" w:fill="FFFFFF"/>
                <w:lang w:val="zh-CN"/>
              </w:rPr>
              <w:t>编号，否则，因款项用途不明导致投标无效等后果由</w:t>
            </w:r>
            <w:r>
              <w:rPr>
                <w:rFonts w:hint="eastAsia" w:ascii="宋体" w:hAnsi="宋体" w:eastAsia="宋体" w:cs="宋体"/>
                <w:color w:val="auto"/>
                <w:kern w:val="0"/>
                <w:sz w:val="21"/>
                <w:szCs w:val="21"/>
                <w:highlight w:val="none"/>
                <w:shd w:val="clear" w:color="auto" w:fill="FFFFFF"/>
              </w:rPr>
              <w:t>供应商</w:t>
            </w:r>
            <w:r>
              <w:rPr>
                <w:rFonts w:hint="eastAsia" w:ascii="宋体" w:hAnsi="宋体" w:eastAsia="宋体" w:cs="宋体"/>
                <w:color w:val="auto"/>
                <w:kern w:val="0"/>
                <w:sz w:val="21"/>
                <w:szCs w:val="21"/>
                <w:highlight w:val="none"/>
                <w:shd w:val="clear" w:color="auto" w:fill="FFFFFF"/>
                <w:lang w:val="zh-CN"/>
              </w:rPr>
              <w:t>自行承担。（用途可填写：***（项目编号）****</w:t>
            </w:r>
            <w:r>
              <w:rPr>
                <w:rFonts w:hint="eastAsia" w:ascii="宋体" w:hAnsi="宋体" w:eastAsia="宋体" w:cs="宋体"/>
                <w:color w:val="auto"/>
                <w:kern w:val="0"/>
                <w:sz w:val="21"/>
                <w:szCs w:val="21"/>
                <w:highlight w:val="none"/>
                <w:shd w:val="clear" w:color="auto" w:fill="FFFFFF"/>
              </w:rPr>
              <w:t>磋商</w:t>
            </w:r>
            <w:r>
              <w:rPr>
                <w:rFonts w:hint="eastAsia" w:ascii="宋体" w:hAnsi="宋体" w:eastAsia="宋体" w:cs="宋体"/>
                <w:color w:val="auto"/>
                <w:kern w:val="0"/>
                <w:sz w:val="21"/>
                <w:szCs w:val="21"/>
                <w:highlight w:val="none"/>
                <w:shd w:val="clear" w:color="auto" w:fill="FFFFFF"/>
                <w:lang w:val="zh-CN"/>
              </w:rPr>
              <w:t>保证金）</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rPr>
              <w:t>供应商</w:t>
            </w:r>
            <w:r>
              <w:rPr>
                <w:rFonts w:hint="eastAsia" w:ascii="宋体" w:hAnsi="宋体" w:eastAsia="宋体" w:cs="宋体"/>
                <w:color w:val="auto"/>
                <w:kern w:val="0"/>
                <w:sz w:val="21"/>
                <w:szCs w:val="21"/>
                <w:highlight w:val="none"/>
                <w:shd w:val="clear" w:color="auto" w:fill="FFFFFF"/>
                <w:lang w:val="zh-CN"/>
              </w:rPr>
              <w:t>应将银行单据及基本账户开户许可证复印件装订入</w:t>
            </w:r>
            <w:r>
              <w:rPr>
                <w:rFonts w:hint="eastAsia" w:ascii="宋体" w:hAnsi="宋体" w:eastAsia="宋体" w:cs="宋体"/>
                <w:color w:val="auto"/>
                <w:kern w:val="0"/>
                <w:sz w:val="21"/>
                <w:szCs w:val="21"/>
                <w:highlight w:val="none"/>
                <w:shd w:val="clear" w:color="auto" w:fill="FFFFFF"/>
              </w:rPr>
              <w:t>响应文</w:t>
            </w:r>
            <w:r>
              <w:rPr>
                <w:rFonts w:hint="eastAsia" w:ascii="宋体" w:hAnsi="宋体" w:eastAsia="宋体" w:cs="宋体"/>
                <w:color w:val="auto"/>
                <w:kern w:val="0"/>
                <w:sz w:val="21"/>
                <w:szCs w:val="21"/>
                <w:highlight w:val="none"/>
                <w:shd w:val="clear" w:color="auto" w:fill="FFFFFF"/>
                <w:lang w:val="zh-CN"/>
              </w:rPr>
              <w:t>件相应位置。</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开户名称：中盛精诚工程项目管理有限公司吉林分公司</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银行：中国建设银行股份有限公司吉林市船营支行</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账号：22050161863600000932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28</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cs="宋体"/>
                <w:color w:val="auto"/>
                <w:szCs w:val="21"/>
                <w:highlight w:val="none"/>
              </w:rPr>
              <w:t>财务状况、依法缴纳税收和社保保障资金情况</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eastAsia="zh-CN"/>
              </w:rPr>
            </w:pPr>
            <w:r>
              <w:rPr>
                <w:rFonts w:hint="eastAsia" w:ascii="宋体" w:hAnsi="宋体" w:cs="宋体"/>
                <w:color w:val="auto"/>
                <w:szCs w:val="21"/>
                <w:highlight w:val="none"/>
              </w:rPr>
              <w:t>供应商应按照《长春市财政局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29</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近年完成的类似项目的年份要求</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指</w:t>
            </w:r>
            <w:r>
              <w:rPr>
                <w:rFonts w:hint="eastAsia" w:ascii="宋体" w:hAnsi="宋体" w:eastAsia="宋体" w:cs="宋体"/>
                <w:sz w:val="21"/>
                <w:szCs w:val="21"/>
                <w:highlight w:val="none"/>
                <w:lang w:val="en-US" w:eastAsia="zh-CN"/>
              </w:rPr>
              <w:t>2019年</w:t>
            </w:r>
            <w:r>
              <w:rPr>
                <w:rFonts w:hint="eastAsia" w:ascii="宋体" w:hAnsi="宋体" w:eastAsia="宋体" w:cs="宋体"/>
                <w:color w:val="auto"/>
                <w:kern w:val="0"/>
                <w:sz w:val="21"/>
                <w:szCs w:val="21"/>
                <w:highlight w:val="none"/>
                <w:shd w:val="clear" w:color="auto" w:fill="FFFFFF"/>
              </w:rPr>
              <w:t>1月1日起至今。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30</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近年发生的诉讼及仲裁情况的年份要求</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指202</w:t>
            </w:r>
            <w:r>
              <w:rPr>
                <w:rFonts w:hint="eastAsia" w:ascii="宋体" w:hAnsi="宋体" w:eastAsia="宋体" w:cs="宋体"/>
                <w:color w:val="auto"/>
                <w:kern w:val="0"/>
                <w:sz w:val="21"/>
                <w:szCs w:val="21"/>
                <w:highlight w:val="none"/>
                <w:shd w:val="clear" w:color="auto" w:fill="FFFFFF"/>
                <w:lang w:val="en-US" w:eastAsia="zh-CN"/>
              </w:rPr>
              <w:t>1</w:t>
            </w:r>
            <w:r>
              <w:rPr>
                <w:rFonts w:hint="eastAsia" w:ascii="宋体" w:hAnsi="宋体" w:eastAsia="宋体" w:cs="宋体"/>
                <w:color w:val="auto"/>
                <w:kern w:val="0"/>
                <w:sz w:val="21"/>
                <w:szCs w:val="21"/>
                <w:highlight w:val="none"/>
                <w:shd w:val="clear" w:color="auto" w:fill="FFFFFF"/>
              </w:rPr>
              <w:t>年1月1日起至今。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31</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是否允许递交</w:t>
            </w:r>
          </w:p>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备选</w:t>
            </w:r>
            <w:r>
              <w:rPr>
                <w:rFonts w:hint="eastAsia" w:ascii="宋体" w:hAnsi="宋体" w:eastAsia="宋体" w:cs="宋体"/>
                <w:color w:val="auto"/>
                <w:kern w:val="0"/>
                <w:sz w:val="21"/>
                <w:szCs w:val="21"/>
                <w:highlight w:val="none"/>
                <w:shd w:val="clear" w:color="auto" w:fill="FFFFFF"/>
                <w:lang w:val="zh-CN"/>
              </w:rPr>
              <w:t>磋商</w:t>
            </w:r>
            <w:r>
              <w:rPr>
                <w:rFonts w:hint="eastAsia" w:ascii="宋体" w:hAnsi="宋体" w:eastAsia="宋体" w:cs="宋体"/>
                <w:color w:val="auto"/>
                <w:kern w:val="0"/>
                <w:sz w:val="21"/>
                <w:szCs w:val="21"/>
                <w:highlight w:val="none"/>
                <w:shd w:val="clear" w:color="auto" w:fill="FFFFFF"/>
              </w:rPr>
              <w:t>方案</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32</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签字或盖章要求</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按磋商文件要求签字</w:t>
            </w:r>
            <w:r>
              <w:rPr>
                <w:rFonts w:hint="eastAsia" w:ascii="宋体" w:hAnsi="宋体" w:eastAsia="宋体" w:cs="宋体"/>
                <w:color w:val="auto"/>
                <w:kern w:val="0"/>
                <w:sz w:val="21"/>
                <w:szCs w:val="21"/>
                <w:highlight w:val="none"/>
                <w:shd w:val="clear" w:color="auto" w:fill="FFFFFF"/>
              </w:rPr>
              <w:t>盖章</w:t>
            </w:r>
            <w:r>
              <w:rPr>
                <w:rFonts w:hint="eastAsia" w:ascii="宋体" w:hAnsi="宋体" w:eastAsia="宋体" w:cs="宋体"/>
                <w:color w:val="auto"/>
                <w:kern w:val="0"/>
                <w:sz w:val="21"/>
                <w:szCs w:val="21"/>
                <w:highlight w:val="none"/>
                <w:shd w:val="clear" w:color="auto" w:fill="FFFFFF"/>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33</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磋商响应文件份数</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供应商在“政采云”平台（https://www.zcygov.cn/）通过有效数字证书（CA认证）制作的响应文件（1正</w:t>
            </w:r>
            <w:r>
              <w:rPr>
                <w:rFonts w:hint="eastAsia" w:ascii="宋体" w:hAnsi="宋体" w:eastAsia="宋体" w:cs="宋体"/>
                <w:color w:val="auto"/>
                <w:kern w:val="0"/>
                <w:sz w:val="21"/>
                <w:szCs w:val="21"/>
                <w:highlight w:val="none"/>
                <w:shd w:val="clear" w:color="auto" w:fill="FFFFFF"/>
                <w:lang w:val="en-US" w:eastAsia="zh-CN"/>
              </w:rPr>
              <w:t>4</w:t>
            </w:r>
            <w:r>
              <w:rPr>
                <w:rFonts w:hint="eastAsia" w:ascii="宋体" w:hAnsi="宋体" w:eastAsia="宋体" w:cs="宋体"/>
                <w:color w:val="auto"/>
                <w:kern w:val="0"/>
                <w:sz w:val="21"/>
                <w:szCs w:val="21"/>
                <w:highlight w:val="none"/>
                <w:shd w:val="clear" w:color="auto" w:fill="FFFFFF"/>
                <w:lang w:val="zh-CN"/>
              </w:rPr>
              <w:t>副）及电子版文件2份（此响应文件须上传至“政采云”平台）。</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b/>
                <w:bCs/>
                <w:color w:val="auto"/>
                <w:kern w:val="0"/>
                <w:sz w:val="21"/>
                <w:szCs w:val="21"/>
                <w:highlight w:val="none"/>
                <w:shd w:val="clear" w:color="auto" w:fill="FFFFFF"/>
                <w:lang w:val="zh-CN"/>
              </w:rPr>
              <w:t>供应商须在磋商截止日</w:t>
            </w:r>
            <w:r>
              <w:rPr>
                <w:rFonts w:hint="eastAsia" w:ascii="宋体" w:hAnsi="宋体" w:cs="宋体"/>
                <w:b/>
                <w:bCs/>
                <w:color w:val="auto"/>
                <w:kern w:val="0"/>
                <w:sz w:val="21"/>
                <w:szCs w:val="21"/>
                <w:highlight w:val="none"/>
                <w:shd w:val="clear" w:color="auto" w:fill="FFFFFF"/>
                <w:lang w:val="en-US" w:eastAsia="zh-CN"/>
              </w:rPr>
              <w:t>14:00—</w:t>
            </w:r>
            <w:r>
              <w:rPr>
                <w:rFonts w:hint="eastAsia" w:ascii="宋体" w:hAnsi="宋体" w:eastAsia="宋体" w:cs="宋体"/>
                <w:b/>
                <w:bCs/>
                <w:color w:val="auto"/>
                <w:kern w:val="0"/>
                <w:sz w:val="21"/>
                <w:szCs w:val="21"/>
                <w:highlight w:val="none"/>
                <w:shd w:val="clear" w:color="auto" w:fill="FFFFFF"/>
                <w:lang w:val="zh-CN"/>
              </w:rPr>
              <w:t>1</w:t>
            </w:r>
            <w:r>
              <w:rPr>
                <w:rFonts w:hint="eastAsia" w:ascii="宋体" w:hAnsi="宋体" w:cs="宋体"/>
                <w:b/>
                <w:bCs/>
                <w:color w:val="auto"/>
                <w:kern w:val="0"/>
                <w:sz w:val="21"/>
                <w:szCs w:val="21"/>
                <w:highlight w:val="none"/>
                <w:shd w:val="clear" w:color="auto" w:fill="FFFFFF"/>
                <w:lang w:val="en-US" w:eastAsia="zh-CN"/>
              </w:rPr>
              <w:t>7</w:t>
            </w:r>
            <w:r>
              <w:rPr>
                <w:rFonts w:hint="eastAsia" w:ascii="宋体" w:hAnsi="宋体" w:eastAsia="宋体" w:cs="宋体"/>
                <w:b/>
                <w:bCs/>
                <w:color w:val="auto"/>
                <w:kern w:val="0"/>
                <w:sz w:val="21"/>
                <w:szCs w:val="21"/>
                <w:highlight w:val="none"/>
                <w:shd w:val="clear" w:color="auto" w:fill="FFFFFF"/>
                <w:lang w:val="zh-CN"/>
              </w:rPr>
              <w:t>:00递交纸质版文件（正本1份、副本</w:t>
            </w:r>
            <w:r>
              <w:rPr>
                <w:rFonts w:hint="eastAsia" w:ascii="宋体" w:hAnsi="宋体" w:eastAsia="宋体" w:cs="宋体"/>
                <w:b/>
                <w:bCs/>
                <w:color w:val="auto"/>
                <w:kern w:val="0"/>
                <w:sz w:val="21"/>
                <w:szCs w:val="21"/>
                <w:highlight w:val="none"/>
                <w:shd w:val="clear" w:color="auto" w:fill="FFFFFF"/>
                <w:lang w:val="en-US" w:eastAsia="zh-CN"/>
              </w:rPr>
              <w:t>4</w:t>
            </w:r>
            <w:r>
              <w:rPr>
                <w:rFonts w:hint="eastAsia" w:ascii="宋体" w:hAnsi="宋体" w:eastAsia="宋体" w:cs="宋体"/>
                <w:b/>
                <w:bCs/>
                <w:color w:val="auto"/>
                <w:kern w:val="0"/>
                <w:sz w:val="21"/>
                <w:szCs w:val="21"/>
                <w:highlight w:val="none"/>
                <w:shd w:val="clear" w:color="auto" w:fill="FFFFFF"/>
                <w:lang w:val="zh-CN"/>
              </w:rPr>
              <w:t>份）及2份u盘存档的电子版文件用于项目存档使用，将响应文件正本和所有副本密封在一个密封袋中。递交地点为长春市</w:t>
            </w:r>
            <w:r>
              <w:rPr>
                <w:rFonts w:hint="eastAsia" w:ascii="宋体" w:hAnsi="宋体" w:eastAsia="宋体" w:cs="宋体"/>
                <w:b/>
                <w:bCs/>
                <w:color w:val="auto"/>
                <w:kern w:val="0"/>
                <w:sz w:val="21"/>
                <w:szCs w:val="21"/>
                <w:highlight w:val="none"/>
                <w:shd w:val="clear" w:color="auto" w:fill="FFFFFF"/>
              </w:rPr>
              <w:t>南关区自由大路4776号凯麒大厦818室</w:t>
            </w:r>
            <w:r>
              <w:rPr>
                <w:rFonts w:hint="eastAsia" w:ascii="宋体" w:hAnsi="宋体" w:eastAsia="宋体" w:cs="宋体"/>
                <w:b/>
                <w:bCs/>
                <w:color w:val="auto"/>
                <w:kern w:val="0"/>
                <w:sz w:val="21"/>
                <w:szCs w:val="21"/>
                <w:highlight w:val="none"/>
                <w:shd w:val="clear" w:color="auto" w:fill="FFFFFF"/>
                <w:lang w:val="zh-CN"/>
              </w:rPr>
              <w:t>。纸质版及电子版应与上传的加密文件一致。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34</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装订要求</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左侧纵向装订，不允许活页装订，需胶装装订。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5"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35</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封套上写明</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项目名称：</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项目编号：</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供应商名称：</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供应商联系人名称：</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联系人电话：</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（加盖供应商公章及法定代表人或委托人签字）</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在____年____月____日____时____分前不得开启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36</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default" w:ascii="宋体" w:hAnsi="宋体" w:eastAsia="宋体" w:cs="宋体"/>
                <w:color w:val="auto"/>
                <w:kern w:val="0"/>
                <w:sz w:val="21"/>
                <w:szCs w:val="21"/>
                <w:highlight w:val="none"/>
                <w:shd w:val="clear" w:color="auto" w:fill="FFFFFF"/>
                <w:lang w:val="en-US"/>
              </w:rPr>
            </w:pPr>
            <w:r>
              <w:rPr>
                <w:rFonts w:hint="eastAsia" w:ascii="宋体" w:hAnsi="宋体" w:eastAsia="宋体" w:cs="宋体"/>
                <w:color w:val="auto"/>
                <w:kern w:val="0"/>
                <w:sz w:val="21"/>
                <w:szCs w:val="21"/>
                <w:highlight w:val="none"/>
                <w:shd w:val="clear" w:color="auto" w:fill="FFFFFF"/>
                <w:lang w:val="en-US" w:eastAsia="zh-CN"/>
              </w:rPr>
              <w:t>开标地点</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default" w:ascii="宋体" w:hAnsi="宋体" w:eastAsia="宋体" w:cs="宋体"/>
                <w:color w:val="auto"/>
                <w:kern w:val="0"/>
                <w:sz w:val="21"/>
                <w:szCs w:val="21"/>
                <w:highlight w:val="none"/>
                <w:shd w:val="clear" w:color="auto" w:fill="FFFFFF"/>
                <w:lang w:val="en-US" w:eastAsia="zh-CN"/>
              </w:rPr>
            </w:pPr>
            <w:r>
              <w:rPr>
                <w:rFonts w:hint="eastAsia" w:ascii="宋体" w:hAnsi="宋体" w:cs="宋体"/>
                <w:bCs/>
                <w:color w:val="auto"/>
                <w:szCs w:val="21"/>
                <w:highlight w:val="none"/>
                <w:lang w:val="en-US" w:eastAsia="zh-CN"/>
              </w:rPr>
              <w:t>长春市二道区洋浦大街6669号凯利中心AB栋101开标四室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38</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是否退还磋商响应文件</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39</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磋商时间和地点</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zh-CN"/>
              </w:rPr>
              <w:t>提交响应文件的截止时间、开标时间：</w:t>
            </w:r>
            <w:r>
              <w:rPr>
                <w:rFonts w:hint="eastAsia" w:ascii="宋体" w:hAnsi="宋体" w:cs="宋体"/>
                <w:color w:val="auto"/>
                <w:sz w:val="21"/>
                <w:szCs w:val="21"/>
                <w:highlight w:val="none"/>
                <w:lang w:val="zh-CN"/>
              </w:rPr>
              <w:t>2024年6月24日13点30分</w:t>
            </w:r>
            <w:r>
              <w:rPr>
                <w:rFonts w:hint="eastAsia" w:ascii="宋体" w:hAnsi="宋体" w:eastAsia="宋体" w:cs="宋体"/>
                <w:color w:val="auto"/>
                <w:sz w:val="21"/>
                <w:szCs w:val="21"/>
                <w:highlight w:val="none"/>
                <w:lang w:val="zh-CN"/>
              </w:rPr>
              <w:t>（北京时间）</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rPr>
              <w:t>2</w:t>
            </w:r>
            <w:r>
              <w:rPr>
                <w:rFonts w:hint="eastAsia" w:ascii="宋体" w:hAnsi="宋体" w:eastAsia="宋体" w:cs="宋体"/>
                <w:color w:val="auto"/>
                <w:kern w:val="0"/>
                <w:sz w:val="21"/>
                <w:szCs w:val="21"/>
                <w:highlight w:val="none"/>
                <w:shd w:val="clear" w:color="auto" w:fill="FFFFFF"/>
                <w:lang w:val="zh-CN"/>
              </w:rPr>
              <w:t>.本项目采用远程开标。供应商在线参加远程开标，如无故离开远程开标会议室，后果自负。供应商对开标有异议的，应当在远程开标时提出，非远程开标中提出的开标异议，采购人或者行政监督部门不予受理。</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3</w:t>
            </w:r>
            <w:r>
              <w:rPr>
                <w:rFonts w:hint="eastAsia" w:ascii="宋体" w:hAnsi="宋体" w:eastAsia="宋体" w:cs="宋体"/>
                <w:color w:val="auto"/>
                <w:kern w:val="0"/>
                <w:sz w:val="21"/>
                <w:szCs w:val="21"/>
                <w:highlight w:val="none"/>
                <w:shd w:val="clear" w:color="auto" w:fill="FFFFFF"/>
                <w:lang w:val="zh-CN"/>
              </w:rPr>
              <w:t>.全流程电子招标项目交易平台系统支持响应文件远程解密；解密方式：响应文件递交截止时间后30分钟内完成解密工作，供应商投标时，需携带制作响应文件时用来加密的有效数字证书（CA认证）登录“政采云”平台电子开标大厅现场按规定时间对加密的响应文件进行解密。因供应商自身原因未能按时完成解密的，视为逾期未提交响应文件，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4"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40</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评审委员会的组建</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评审委员会构成:</w:t>
            </w:r>
            <w:r>
              <w:rPr>
                <w:rFonts w:hint="eastAsia" w:ascii="宋体" w:hAnsi="宋体" w:eastAsia="宋体" w:cs="宋体"/>
                <w:color w:val="auto"/>
                <w:kern w:val="0"/>
                <w:sz w:val="21"/>
                <w:szCs w:val="21"/>
                <w:highlight w:val="none"/>
                <w:shd w:val="clear" w:color="auto" w:fill="FFFFFF"/>
                <w:lang w:val="en-US" w:eastAsia="zh-CN"/>
              </w:rPr>
              <w:t>专家3人</w:t>
            </w:r>
            <w:r>
              <w:rPr>
                <w:rFonts w:hint="eastAsia" w:ascii="宋体" w:hAnsi="宋体" w:eastAsia="宋体" w:cs="宋体"/>
                <w:color w:val="auto"/>
                <w:kern w:val="0"/>
                <w:sz w:val="21"/>
                <w:szCs w:val="21"/>
                <w:highlight w:val="none"/>
                <w:shd w:val="clear" w:color="auto" w:fill="FFFFFF"/>
              </w:rPr>
              <w:t>；</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评审专家确定方式：从依法设立的专家库中按相应的专业随机抽取。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41</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en-US" w:eastAsia="zh-CN"/>
              </w:rPr>
              <w:t>成交结果公告</w:t>
            </w:r>
            <w:r>
              <w:rPr>
                <w:rFonts w:hint="eastAsia" w:ascii="宋体" w:hAnsi="宋体" w:eastAsia="宋体" w:cs="宋体"/>
                <w:color w:val="auto"/>
                <w:kern w:val="0"/>
                <w:sz w:val="21"/>
                <w:szCs w:val="21"/>
                <w:highlight w:val="none"/>
                <w:shd w:val="clear" w:color="auto" w:fill="FFFFFF"/>
              </w:rPr>
              <w:t>媒介及期限</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Style w:val="9"/>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color w:val="auto"/>
                <w:kern w:val="0"/>
                <w:sz w:val="21"/>
                <w:szCs w:val="21"/>
                <w:highlight w:val="none"/>
                <w:shd w:val="clear" w:color="auto" w:fill="FFFFFF"/>
              </w:rPr>
              <w:t>媒介：《中国政府采购网》、《政府采购云平台》、《中国招标投标公共服务平台》</w:t>
            </w:r>
          </w:p>
          <w:p>
            <w:pPr>
              <w:pStyle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期限：</w:t>
            </w:r>
            <w:r>
              <w:rPr>
                <w:rFonts w:hint="eastAsia" w:ascii="宋体" w:hAnsi="宋体" w:eastAsia="宋体" w:cs="宋体"/>
                <w:color w:val="auto"/>
                <w:kern w:val="0"/>
                <w:sz w:val="21"/>
                <w:szCs w:val="21"/>
                <w:highlight w:val="none"/>
                <w:shd w:val="clear" w:color="auto" w:fill="FFFFFF"/>
                <w:lang w:val="en-US" w:eastAsia="zh-CN"/>
              </w:rPr>
              <w:t>1个工作</w:t>
            </w:r>
            <w:r>
              <w:rPr>
                <w:rFonts w:hint="eastAsia" w:ascii="宋体" w:hAnsi="宋体" w:eastAsia="宋体" w:cs="宋体"/>
                <w:color w:val="auto"/>
                <w:kern w:val="0"/>
                <w:sz w:val="21"/>
                <w:szCs w:val="21"/>
                <w:highlight w:val="none"/>
                <w:shd w:val="clear" w:color="auto" w:fill="FFFFFF"/>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rPr>
              <w:t>42</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是否授权评审委员会确定中标人</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zh-CN"/>
              </w:rPr>
              <w:t>√</w:t>
            </w:r>
            <w:r>
              <w:rPr>
                <w:rFonts w:hint="eastAsia" w:ascii="宋体" w:hAnsi="宋体" w:eastAsia="宋体" w:cs="宋体"/>
                <w:color w:val="auto"/>
                <w:kern w:val="0"/>
                <w:sz w:val="21"/>
                <w:szCs w:val="21"/>
                <w:highlight w:val="none"/>
                <w:shd w:val="clear" w:color="auto" w:fill="FFFFFF"/>
              </w:rPr>
              <w:t>否 ：评审委员会推荐3名中标候选人，并标明推荐顺序。采购人将依据评审委员会推荐的中标候选人确定中标人。</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rPr>
              <w:t>43</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履约保证金</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是否要求中标人提交履约保证金：</w:t>
            </w:r>
          </w:p>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sz w:val="21"/>
                <w:szCs w:val="21"/>
                <w:highlight w:val="none"/>
                <w:lang w:val="en-US" w:eastAsia="zh-CN"/>
              </w:rPr>
            </w:pP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要求</w:t>
            </w: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sz w:val="21"/>
                <w:szCs w:val="21"/>
                <w:highlight w:val="none"/>
                <w:lang w:val="en-US" w:eastAsia="zh-CN"/>
              </w:rPr>
              <w:t>履约保证金金额：按成交金额的5%收取</w:t>
            </w:r>
          </w:p>
          <w:p>
            <w:pPr>
              <w:pageBreakBefore w:val="0"/>
              <w:kinsoku/>
              <w:wordWrap/>
              <w:overflowPunct/>
              <w:topLinePunct w:val="0"/>
              <w:bidi w:val="0"/>
              <w:spacing w:line="240" w:lineRule="auto"/>
              <w:ind w:firstLine="840" w:firstLineChars="400"/>
              <w:jc w:val="left"/>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lang w:val="en-US" w:eastAsia="zh-CN"/>
              </w:rPr>
              <w:t>履约保证金缴纳时间：当自中标通知书发出之日起十日内缴纳</w:t>
            </w:r>
          </w:p>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rPr>
              <w:sym w:font="Wingdings" w:char="00A8"/>
            </w:r>
            <w:r>
              <w:rPr>
                <w:rFonts w:hint="eastAsia" w:ascii="宋体" w:hAnsi="宋体" w:eastAsia="宋体" w:cs="宋体"/>
                <w:color w:val="auto"/>
                <w:kern w:val="0"/>
                <w:sz w:val="21"/>
                <w:szCs w:val="21"/>
                <w:highlight w:val="none"/>
                <w:shd w:val="clear" w:color="auto" w:fill="FFFFFF"/>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default"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lang w:val="en-US" w:eastAsia="zh-CN"/>
              </w:rPr>
              <w:t>44</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最高投标限价</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sz w:val="21"/>
                <w:szCs w:val="21"/>
                <w:highlight w:val="none"/>
                <w:lang w:val="en-US" w:eastAsia="zh-CN"/>
              </w:rPr>
              <w:t>350万元</w:t>
            </w:r>
            <w:r>
              <w:rPr>
                <w:rFonts w:hint="eastAsia" w:ascii="宋体" w:hAnsi="宋体" w:eastAsia="宋体" w:cs="宋体"/>
                <w:color w:val="auto"/>
                <w:kern w:val="0"/>
                <w:sz w:val="21"/>
                <w:szCs w:val="21"/>
                <w:highlight w:val="none"/>
                <w:shd w:val="clear" w:color="auto" w:fill="FFFFFF"/>
              </w:rPr>
              <w:t>（高于最高投标限价的磋商报价将被否决）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123"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需要补充的其他内容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45</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类似项目</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相关工程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46</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编制及报送要求</w:t>
            </w:r>
          </w:p>
          <w:p>
            <w:pPr>
              <w:pageBreakBefore w:val="0"/>
              <w:kinsoku/>
              <w:wordWrap/>
              <w:overflowPunct/>
              <w:topLinePunct w:val="0"/>
              <w:bidi w:val="0"/>
              <w:spacing w:line="240" w:lineRule="auto"/>
              <w:rPr>
                <w:rFonts w:hint="eastAsia" w:ascii="宋体" w:hAnsi="宋体" w:eastAsia="宋体" w:cs="宋体"/>
                <w:color w:val="auto"/>
                <w:kern w:val="0"/>
                <w:sz w:val="21"/>
                <w:szCs w:val="21"/>
                <w:highlight w:val="none"/>
                <w:shd w:val="clear" w:color="auto" w:fill="FFFFFF"/>
                <w:lang w:val="zh-CN"/>
              </w:rPr>
            </w:pP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240" w:lineRule="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一、</w:t>
            </w:r>
            <w:r>
              <w:rPr>
                <w:rFonts w:hint="eastAsia" w:ascii="宋体" w:hAnsi="宋体" w:eastAsia="宋体" w:cs="宋体"/>
                <w:color w:val="auto"/>
                <w:sz w:val="21"/>
                <w:szCs w:val="21"/>
                <w:highlight w:val="none"/>
                <w:shd w:val="clear" w:color="auto" w:fill="FFFFFF"/>
                <w:lang w:val="en-US" w:eastAsia="zh-CN"/>
              </w:rPr>
              <w:t>供应商</w:t>
            </w:r>
            <w:r>
              <w:rPr>
                <w:rFonts w:hint="eastAsia" w:ascii="宋体" w:hAnsi="宋体" w:eastAsia="宋体" w:cs="宋体"/>
                <w:color w:val="auto"/>
                <w:sz w:val="21"/>
                <w:szCs w:val="21"/>
                <w:highlight w:val="none"/>
                <w:shd w:val="clear" w:color="auto" w:fill="FFFFFF"/>
              </w:rPr>
              <w:t>应按</w:t>
            </w:r>
            <w:r>
              <w:rPr>
                <w:rFonts w:hint="eastAsia" w:ascii="宋体" w:hAnsi="宋体" w:eastAsia="宋体" w:cs="宋体"/>
                <w:color w:val="auto"/>
                <w:sz w:val="21"/>
                <w:szCs w:val="21"/>
                <w:highlight w:val="none"/>
                <w:shd w:val="clear" w:color="auto" w:fill="FFFFFF"/>
                <w:lang w:val="en-US" w:eastAsia="zh-CN"/>
              </w:rPr>
              <w:t>磋商文件</w:t>
            </w:r>
            <w:r>
              <w:rPr>
                <w:rFonts w:hint="eastAsia" w:ascii="宋体" w:hAnsi="宋体" w:eastAsia="宋体" w:cs="宋体"/>
                <w:color w:val="auto"/>
                <w:sz w:val="21"/>
                <w:szCs w:val="21"/>
                <w:highlight w:val="none"/>
                <w:shd w:val="clear" w:color="auto" w:fill="FFFFFF"/>
              </w:rPr>
              <w:t>要求编制</w:t>
            </w:r>
            <w:r>
              <w:rPr>
                <w:rFonts w:hint="eastAsia" w:ascii="宋体" w:hAnsi="宋体" w:eastAsia="宋体" w:cs="宋体"/>
                <w:color w:val="auto"/>
                <w:sz w:val="21"/>
                <w:szCs w:val="21"/>
                <w:highlight w:val="none"/>
                <w:shd w:val="clear" w:color="auto" w:fill="FFFFFF"/>
                <w:lang w:val="en-US" w:eastAsia="zh-CN"/>
              </w:rPr>
              <w:t>响应</w:t>
            </w:r>
            <w:r>
              <w:rPr>
                <w:rFonts w:hint="eastAsia" w:ascii="宋体" w:hAnsi="宋体" w:eastAsia="宋体" w:cs="宋体"/>
                <w:color w:val="auto"/>
                <w:sz w:val="21"/>
                <w:szCs w:val="21"/>
                <w:highlight w:val="none"/>
                <w:shd w:val="clear" w:color="auto" w:fill="FFFFFF"/>
              </w:rPr>
              <w:t>文件，将所有</w:t>
            </w:r>
            <w:r>
              <w:rPr>
                <w:rFonts w:hint="eastAsia" w:ascii="宋体" w:hAnsi="宋体" w:eastAsia="宋体" w:cs="宋体"/>
                <w:color w:val="auto"/>
                <w:sz w:val="21"/>
                <w:szCs w:val="21"/>
                <w:highlight w:val="none"/>
                <w:shd w:val="clear" w:color="auto" w:fill="FFFFFF"/>
                <w:lang w:val="en-US" w:eastAsia="zh-CN"/>
              </w:rPr>
              <w:t>响应</w:t>
            </w:r>
            <w:r>
              <w:rPr>
                <w:rFonts w:hint="eastAsia" w:ascii="宋体" w:hAnsi="宋体" w:eastAsia="宋体" w:cs="宋体"/>
                <w:color w:val="auto"/>
                <w:sz w:val="21"/>
                <w:szCs w:val="21"/>
                <w:highlight w:val="none"/>
                <w:shd w:val="clear" w:color="auto" w:fill="FFFFFF"/>
              </w:rPr>
              <w:t>文件内容上传至“政采云”平台。</w:t>
            </w:r>
          </w:p>
          <w:p>
            <w:pPr>
              <w:pageBreakBefore w:val="0"/>
              <w:kinsoku/>
              <w:wordWrap/>
              <w:overflowPunct/>
              <w:topLinePunct w:val="0"/>
              <w:bidi w:val="0"/>
              <w:spacing w:line="240" w:lineRule="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二、</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中反映</w:t>
            </w:r>
            <w:r>
              <w:rPr>
                <w:rFonts w:hint="eastAsia" w:ascii="宋体" w:hAnsi="宋体" w:eastAsia="宋体" w:cs="宋体"/>
                <w:color w:val="auto"/>
                <w:sz w:val="21"/>
                <w:szCs w:val="21"/>
                <w:highlight w:val="none"/>
                <w:shd w:val="clear" w:color="auto" w:fill="FFFFFF"/>
                <w:lang w:eastAsia="zh-CN"/>
              </w:rPr>
              <w:t>供应商</w:t>
            </w:r>
            <w:r>
              <w:rPr>
                <w:rFonts w:hint="eastAsia" w:ascii="宋体" w:hAnsi="宋体" w:eastAsia="宋体" w:cs="宋体"/>
                <w:color w:val="auto"/>
                <w:sz w:val="21"/>
                <w:szCs w:val="21"/>
                <w:highlight w:val="none"/>
                <w:shd w:val="clear" w:color="auto" w:fill="FFFFFF"/>
              </w:rPr>
              <w:t>资格审查的图片、扫描件、文字描述等，必须清晰可见。其中所有证书和执照必须为原件扫描。</w:t>
            </w:r>
          </w:p>
          <w:p>
            <w:pPr>
              <w:pageBreakBefore w:val="0"/>
              <w:kinsoku/>
              <w:wordWrap/>
              <w:overflowPunct/>
              <w:topLinePunct w:val="0"/>
              <w:bidi w:val="0"/>
              <w:spacing w:line="240" w:lineRule="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三、若</w:t>
            </w:r>
            <w:r>
              <w:rPr>
                <w:rFonts w:hint="eastAsia" w:ascii="宋体" w:hAnsi="宋体" w:eastAsia="宋体" w:cs="宋体"/>
                <w:color w:val="auto"/>
                <w:sz w:val="21"/>
                <w:szCs w:val="21"/>
                <w:highlight w:val="none"/>
                <w:shd w:val="clear" w:color="auto" w:fill="FFFFFF"/>
                <w:lang w:eastAsia="zh-CN"/>
              </w:rPr>
              <w:t>供应商</w:t>
            </w:r>
            <w:r>
              <w:rPr>
                <w:rFonts w:hint="eastAsia" w:ascii="宋体" w:hAnsi="宋体" w:eastAsia="宋体" w:cs="宋体"/>
                <w:color w:val="auto"/>
                <w:sz w:val="21"/>
                <w:szCs w:val="21"/>
                <w:highlight w:val="none"/>
                <w:shd w:val="clear" w:color="auto" w:fill="FFFFFF"/>
              </w:rPr>
              <w:t>上传的电子</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因无法解密而对</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无法进行评价的，采购人可以拒绝该</w:t>
            </w:r>
            <w:r>
              <w:rPr>
                <w:rFonts w:hint="eastAsia" w:ascii="宋体" w:hAnsi="宋体" w:eastAsia="宋体" w:cs="宋体"/>
                <w:color w:val="auto"/>
                <w:sz w:val="21"/>
                <w:szCs w:val="21"/>
                <w:highlight w:val="none"/>
                <w:shd w:val="clear" w:color="auto" w:fill="FFFFFF"/>
                <w:lang w:eastAsia="zh-CN"/>
              </w:rPr>
              <w:t>供应商</w:t>
            </w:r>
            <w:r>
              <w:rPr>
                <w:rFonts w:hint="eastAsia" w:ascii="宋体" w:hAnsi="宋体" w:eastAsia="宋体" w:cs="宋体"/>
                <w:color w:val="auto"/>
                <w:sz w:val="21"/>
                <w:szCs w:val="21"/>
                <w:highlight w:val="none"/>
                <w:shd w:val="clear" w:color="auto" w:fill="FFFFFF"/>
              </w:rPr>
              <w:t>投标。</w:t>
            </w:r>
          </w:p>
          <w:p>
            <w:pPr>
              <w:pageBreakBefore w:val="0"/>
              <w:kinsoku/>
              <w:wordWrap/>
              <w:overflowPunct/>
              <w:topLinePunct w:val="0"/>
              <w:bidi w:val="0"/>
              <w:spacing w:line="240" w:lineRule="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四、未进行网上注册并办理数字证书（CA认证）的</w:t>
            </w:r>
            <w:r>
              <w:rPr>
                <w:rFonts w:hint="eastAsia" w:ascii="宋体" w:hAnsi="宋体" w:eastAsia="宋体" w:cs="宋体"/>
                <w:color w:val="auto"/>
                <w:sz w:val="21"/>
                <w:szCs w:val="21"/>
                <w:highlight w:val="none"/>
                <w:shd w:val="clear" w:color="auto" w:fill="FFFFFF"/>
                <w:lang w:eastAsia="zh-CN"/>
              </w:rPr>
              <w:t>供应商</w:t>
            </w:r>
            <w:r>
              <w:rPr>
                <w:rFonts w:hint="eastAsia" w:ascii="宋体" w:hAnsi="宋体" w:eastAsia="宋体" w:cs="宋体"/>
                <w:color w:val="auto"/>
                <w:sz w:val="21"/>
                <w:szCs w:val="21"/>
                <w:highlight w:val="none"/>
                <w:shd w:val="clear" w:color="auto" w:fill="FFFFFF"/>
              </w:rPr>
              <w:t>将无法参与本项目政府采购活动，潜在</w:t>
            </w:r>
            <w:r>
              <w:rPr>
                <w:rFonts w:hint="eastAsia" w:ascii="宋体" w:hAnsi="宋体" w:eastAsia="宋体" w:cs="宋体"/>
                <w:color w:val="auto"/>
                <w:sz w:val="21"/>
                <w:szCs w:val="21"/>
                <w:highlight w:val="none"/>
                <w:shd w:val="clear" w:color="auto" w:fill="FFFFFF"/>
                <w:lang w:eastAsia="zh-CN"/>
              </w:rPr>
              <w:t>供应商</w:t>
            </w:r>
            <w:r>
              <w:rPr>
                <w:rFonts w:hint="eastAsia" w:ascii="宋体" w:hAnsi="宋体" w:eastAsia="宋体" w:cs="宋体"/>
                <w:color w:val="auto"/>
                <w:sz w:val="21"/>
                <w:szCs w:val="21"/>
                <w:highlight w:val="none"/>
                <w:shd w:val="clear" w:color="auto" w:fill="FFFFFF"/>
              </w:rPr>
              <w:t>应当在投标截止时间前，完成电子交易平台上的CA数字证书办理及</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的提交。</w:t>
            </w:r>
          </w:p>
          <w:p>
            <w:pPr>
              <w:pageBreakBefore w:val="0"/>
              <w:kinsoku/>
              <w:wordWrap/>
              <w:overflowPunct/>
              <w:topLinePunct w:val="0"/>
              <w:bidi w:val="0"/>
              <w:spacing w:line="240" w:lineRule="auto"/>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sz w:val="21"/>
                <w:szCs w:val="21"/>
                <w:highlight w:val="none"/>
                <w:shd w:val="clear" w:color="auto" w:fill="FFFFFF"/>
              </w:rPr>
              <w:t>五、</w:t>
            </w:r>
            <w:r>
              <w:rPr>
                <w:rFonts w:hint="eastAsia" w:ascii="宋体" w:hAnsi="宋体" w:eastAsia="宋体" w:cs="宋体"/>
                <w:color w:val="auto"/>
                <w:sz w:val="21"/>
                <w:szCs w:val="21"/>
                <w:highlight w:val="none"/>
                <w:shd w:val="clear" w:color="auto" w:fill="FFFFFF"/>
                <w:lang w:eastAsia="zh-CN"/>
              </w:rPr>
              <w:t>供应商</w:t>
            </w:r>
            <w:r>
              <w:rPr>
                <w:rFonts w:hint="eastAsia" w:ascii="宋体" w:hAnsi="宋体" w:eastAsia="宋体" w:cs="宋体"/>
                <w:color w:val="auto"/>
                <w:sz w:val="21"/>
                <w:szCs w:val="21"/>
                <w:highlight w:val="none"/>
                <w:shd w:val="clear" w:color="auto" w:fill="FFFFFF"/>
              </w:rPr>
              <w:t>应当在投标截止时间前完成电子</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的上传、递交，投标截止时间前可以补充、修改或者撤回</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。补充或者修改</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的，应当先行撤回原文件，补充、修改后重新上传、递交。投标截止时间前未完成上传、递交的，视为撤回</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。投标截止时间以后上传递交的</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“政采云”平台将予以拒收。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47</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采购代理服务费</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240" w:lineRule="auto"/>
              <w:jc w:val="left"/>
              <w:rPr>
                <w:rFonts w:hint="eastAsia" w:ascii="宋体" w:hAnsi="宋体" w:eastAsia="宋体" w:cs="宋体"/>
                <w:b w:val="0"/>
                <w:bCs/>
                <w:color w:val="auto"/>
                <w:kern w:val="2"/>
                <w:sz w:val="21"/>
                <w:szCs w:val="21"/>
                <w:highlight w:val="none"/>
                <w:lang w:val="zh-CN" w:eastAsia="zh-CN" w:bidi="ar-SA"/>
              </w:rPr>
            </w:pPr>
            <w:r>
              <w:rPr>
                <w:rFonts w:hint="eastAsia" w:ascii="宋体" w:hAnsi="宋体" w:eastAsia="宋体" w:cs="宋体"/>
                <w:b w:val="0"/>
                <w:bCs/>
                <w:color w:val="auto"/>
                <w:kern w:val="2"/>
                <w:sz w:val="21"/>
                <w:szCs w:val="21"/>
                <w:highlight w:val="none"/>
                <w:lang w:val="zh-CN" w:eastAsia="zh-CN" w:bidi="ar-SA"/>
              </w:rPr>
              <w:t>采购代理机构按如下标准收取代理服务费：</w:t>
            </w:r>
          </w:p>
          <w:p>
            <w:pPr>
              <w:pageBreakBefore w:val="0"/>
              <w:kinsoku/>
              <w:wordWrap/>
              <w:overflowPunct/>
              <w:topLinePunct w:val="0"/>
              <w:bidi w:val="0"/>
              <w:spacing w:line="240" w:lineRule="auto"/>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收费依据：依据国家发展改革委“发改价格【2015】299号”文件要求。</w:t>
            </w:r>
          </w:p>
          <w:p>
            <w:pPr>
              <w:pageBreakBefore w:val="0"/>
              <w:kinsoku/>
              <w:wordWrap/>
              <w:overflowPunct/>
              <w:topLinePunct w:val="0"/>
              <w:bidi w:val="0"/>
              <w:spacing w:line="240" w:lineRule="auto"/>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收取对象：成交供应商</w:t>
            </w:r>
            <w:r>
              <w:rPr>
                <w:rFonts w:hint="eastAsia" w:ascii="宋体" w:hAnsi="宋体" w:eastAsia="宋体" w:cs="宋体"/>
                <w:b w:val="0"/>
                <w:bCs/>
                <w:color w:val="auto"/>
                <w:kern w:val="2"/>
                <w:sz w:val="21"/>
                <w:szCs w:val="21"/>
                <w:highlight w:val="none"/>
                <w:lang w:val="zh-CN" w:eastAsia="zh-CN" w:bidi="ar-SA"/>
              </w:rPr>
              <w:t>领取</w:t>
            </w:r>
            <w:r>
              <w:rPr>
                <w:rFonts w:hint="eastAsia" w:ascii="宋体" w:hAnsi="宋体" w:eastAsia="宋体" w:cs="宋体"/>
                <w:b w:val="0"/>
                <w:bCs/>
                <w:color w:val="auto"/>
                <w:kern w:val="2"/>
                <w:sz w:val="21"/>
                <w:szCs w:val="21"/>
                <w:highlight w:val="none"/>
                <w:lang w:val="en-US" w:eastAsia="zh-CN" w:bidi="ar-SA"/>
              </w:rPr>
              <w:t>成交</w:t>
            </w:r>
            <w:r>
              <w:rPr>
                <w:rFonts w:hint="eastAsia" w:ascii="宋体" w:hAnsi="宋体" w:eastAsia="宋体" w:cs="宋体"/>
                <w:b w:val="0"/>
                <w:bCs/>
                <w:color w:val="auto"/>
                <w:kern w:val="2"/>
                <w:sz w:val="21"/>
                <w:szCs w:val="21"/>
                <w:highlight w:val="none"/>
                <w:lang w:val="zh-CN" w:eastAsia="zh-CN" w:bidi="ar-SA"/>
              </w:rPr>
              <w:t>通知书时一次性支付</w:t>
            </w:r>
            <w:r>
              <w:rPr>
                <w:rFonts w:hint="eastAsia" w:ascii="宋体" w:hAnsi="宋体" w:eastAsia="宋体" w:cs="宋体"/>
                <w:b w:val="0"/>
                <w:bCs/>
                <w:color w:val="auto"/>
                <w:kern w:val="2"/>
                <w:sz w:val="21"/>
                <w:szCs w:val="21"/>
                <w:highlight w:val="none"/>
                <w:lang w:val="en-US" w:eastAsia="zh-CN" w:bidi="ar-SA"/>
              </w:rPr>
              <w:t>。</w:t>
            </w:r>
          </w:p>
          <w:p>
            <w:pPr>
              <w:pageBreakBefore w:val="0"/>
              <w:kinsoku/>
              <w:wordWrap/>
              <w:overflowPunct/>
              <w:topLinePunct w:val="0"/>
              <w:bidi w:val="0"/>
              <w:spacing w:line="240" w:lineRule="auto"/>
              <w:jc w:val="left"/>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收费金额</w:t>
            </w:r>
            <w:r>
              <w:rPr>
                <w:rFonts w:hint="eastAsia" w:ascii="宋体" w:hAnsi="宋体" w:eastAsia="宋体" w:cs="宋体"/>
                <w:b w:val="0"/>
                <w:bCs/>
                <w:color w:val="auto"/>
                <w:kern w:val="2"/>
                <w:sz w:val="21"/>
                <w:szCs w:val="21"/>
                <w:highlight w:val="none"/>
                <w:lang w:val="zh-CN" w:eastAsia="zh-CN" w:bidi="ar-SA"/>
              </w:rPr>
              <w:t>：</w:t>
            </w:r>
            <w:r>
              <w:rPr>
                <w:rFonts w:hint="eastAsia" w:ascii="宋体" w:hAnsi="宋体" w:eastAsia="宋体" w:cs="宋体"/>
                <w:b w:val="0"/>
                <w:bCs/>
                <w:color w:val="auto"/>
                <w:kern w:val="2"/>
                <w:sz w:val="21"/>
                <w:szCs w:val="21"/>
                <w:highlight w:val="none"/>
                <w:lang w:val="en-US" w:eastAsia="zh-CN" w:bidi="ar-SA"/>
              </w:rPr>
              <w:t>50000元（大写：伍万元整）</w:t>
            </w:r>
          </w:p>
          <w:p>
            <w:pPr>
              <w:pageBreakBefore w:val="0"/>
              <w:kinsoku/>
              <w:wordWrap/>
              <w:overflowPunct/>
              <w:topLinePunct w:val="0"/>
              <w:bidi w:val="0"/>
              <w:spacing w:line="240" w:lineRule="auto"/>
              <w:jc w:val="left"/>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账号名称：中盛精诚工程项目管理有限公司吉林分公司</w:t>
            </w:r>
          </w:p>
          <w:p>
            <w:pPr>
              <w:pageBreakBefore w:val="0"/>
              <w:kinsoku/>
              <w:wordWrap/>
              <w:overflowPunct/>
              <w:topLinePunct w:val="0"/>
              <w:bidi w:val="0"/>
              <w:spacing w:line="240" w:lineRule="auto"/>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开户行：中国建设银行股份有限公司长春吉新支行</w:t>
            </w:r>
          </w:p>
          <w:p>
            <w:pPr>
              <w:pageBreakBefore w:val="0"/>
              <w:kinsoku/>
              <w:wordWrap/>
              <w:overflowPunct/>
              <w:topLinePunct w:val="0"/>
              <w:bidi w:val="0"/>
              <w:spacing w:line="240" w:lineRule="auto"/>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账号：22050131270000000687</w:t>
            </w:r>
          </w:p>
          <w:p>
            <w:pPr>
              <w:pageBreakBefore w:val="0"/>
              <w:kinsoku/>
              <w:wordWrap/>
              <w:overflowPunct/>
              <w:topLinePunct w:val="0"/>
              <w:bidi w:val="0"/>
              <w:spacing w:line="240" w:lineRule="auto"/>
              <w:jc w:val="left"/>
              <w:rPr>
                <w:rFonts w:hint="eastAsia" w:ascii="宋体" w:hAnsi="宋体" w:eastAsia="宋体" w:cs="宋体"/>
                <w:color w:val="auto"/>
                <w:sz w:val="21"/>
                <w:szCs w:val="21"/>
                <w:highlight w:val="none"/>
              </w:rPr>
            </w:pPr>
            <w:r>
              <w:rPr>
                <w:rFonts w:hint="eastAsia" w:ascii="宋体" w:hAnsi="宋体" w:eastAsia="宋体" w:cs="宋体"/>
                <w:b w:val="0"/>
                <w:bCs/>
                <w:color w:val="auto"/>
                <w:kern w:val="2"/>
                <w:sz w:val="21"/>
                <w:szCs w:val="21"/>
                <w:highlight w:val="none"/>
                <w:lang w:val="en-US" w:eastAsia="zh-CN" w:bidi="ar-SA"/>
              </w:rPr>
              <w:t>代理服务费以现金或公对公转账方式均可。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rPr>
              <w:t>48</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其他要求</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240" w:lineRule="auto"/>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 w:val="0"/>
                <w:bCs/>
                <w:color w:val="auto"/>
                <w:kern w:val="2"/>
                <w:sz w:val="21"/>
                <w:szCs w:val="21"/>
                <w:highlight w:val="none"/>
                <w:lang w:val="en-US" w:eastAsia="zh-CN" w:bidi="ar-SA"/>
              </w:rPr>
              <w:t>、本项目采用两轮报价（包括首次报价），第二轮报价即最后报价。</w:t>
            </w:r>
          </w:p>
          <w:p>
            <w:pPr>
              <w:pageBreakBefore w:val="0"/>
              <w:kinsoku/>
              <w:wordWrap/>
              <w:overflowPunct/>
              <w:topLinePunct w:val="0"/>
              <w:bidi w:val="0"/>
              <w:spacing w:line="240" w:lineRule="auto"/>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2、每一名造价师只能担任本项目其中一个供应商的造价工作，且此造价师应该承认该项目的二次报价（最后报价），并根据最后报价修改分项报价。</w:t>
            </w:r>
          </w:p>
          <w:p>
            <w:pPr>
              <w:pageBreakBefore w:val="0"/>
              <w:kinsoku/>
              <w:wordWrap/>
              <w:overflowPunct/>
              <w:topLinePunct w:val="0"/>
              <w:bidi w:val="0"/>
              <w:spacing w:line="240" w:lineRule="auto"/>
              <w:jc w:val="left"/>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3、各供应商于最后报价截止后4小时内将最后报价的已标价工程量清单纸质版（一正四副）送至中盛精诚工程项目管理有限公司。</w:t>
            </w:r>
          </w:p>
          <w:p>
            <w:pPr>
              <w:pStyle w:val="2"/>
              <w:pageBreakBefore w:val="0"/>
              <w:kinsoku/>
              <w:wordWrap/>
              <w:overflowPunct/>
              <w:topLinePunct w:val="0"/>
              <w:bidi w:val="0"/>
              <w:spacing w:line="240" w:lineRule="auto"/>
              <w:rPr>
                <w:rFonts w:hint="eastAsia" w:ascii="宋体" w:hAnsi="宋体" w:eastAsia="宋体" w:cs="宋体"/>
                <w:sz w:val="21"/>
                <w:szCs w:val="21"/>
                <w:highlight w:val="none"/>
              </w:rPr>
            </w:pPr>
            <w:r>
              <w:rPr>
                <w:rFonts w:hint="eastAsia" w:ascii="宋体" w:hAnsi="宋体" w:eastAsia="宋体" w:cs="宋体"/>
                <w:b w:val="0"/>
                <w:bCs/>
                <w:color w:val="auto"/>
                <w:kern w:val="2"/>
                <w:sz w:val="21"/>
                <w:szCs w:val="21"/>
                <w:highlight w:val="none"/>
                <w:lang w:val="en-US" w:eastAsia="zh-CN" w:bidi="ar-SA"/>
              </w:rPr>
              <w:t>4、本次采购最高投标限价包含工程所需所有费用，供应商报价应包括完成本次工程项目所发生全部费用。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4</w:t>
            </w:r>
            <w:r>
              <w:rPr>
                <w:rFonts w:hint="eastAsia" w:ascii="宋体" w:hAnsi="宋体" w:eastAsia="宋体" w:cs="宋体"/>
                <w:color w:val="auto"/>
                <w:kern w:val="0"/>
                <w:sz w:val="21"/>
                <w:szCs w:val="21"/>
                <w:highlight w:val="none"/>
                <w:shd w:val="clear" w:color="auto" w:fill="FFFFFF"/>
                <w:lang w:val="en-US" w:eastAsia="zh-CN"/>
              </w:rPr>
              <w:t>9</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合同方式</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综合单价合同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rPr>
              <w:t>50</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rPr>
            </w:pPr>
            <w:r>
              <w:rPr>
                <w:rFonts w:hint="eastAsia" w:ascii="宋体" w:hAnsi="宋体" w:eastAsia="宋体" w:cs="宋体"/>
                <w:color w:val="auto"/>
                <w:kern w:val="0"/>
                <w:sz w:val="21"/>
                <w:szCs w:val="21"/>
                <w:highlight w:val="none"/>
                <w:shd w:val="clear" w:color="auto" w:fill="FFFFFF"/>
                <w:lang w:val="zh-CN"/>
              </w:rPr>
              <w:t>付款方式</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15"/>
                <w:sz w:val="21"/>
                <w:szCs w:val="21"/>
                <w:highlight w:val="none"/>
                <w:lang w:val="en-US" w:eastAsia="zh-CN" w:bidi="ar-SA"/>
              </w:rPr>
              <w:t>合同签订后10个工作日内支付项目额的20%预付款，待工程验收合格后，按审计决算的总金额扣除预付款和3%质保金后支付工程尾款。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rPr>
              <w:t>51</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eastAsia="zh-CN" w:bidi="ar-SA"/>
              </w:rPr>
            </w:pPr>
            <w:r>
              <w:rPr>
                <w:rFonts w:hint="eastAsia" w:ascii="宋体" w:hAnsi="宋体" w:eastAsia="宋体" w:cs="宋体"/>
                <w:color w:val="auto"/>
                <w:kern w:val="0"/>
                <w:sz w:val="21"/>
                <w:szCs w:val="21"/>
                <w:highlight w:val="none"/>
                <w:shd w:val="clear" w:color="auto" w:fill="FFFFFF"/>
                <w:lang w:val="zh-CN"/>
              </w:rPr>
              <w:t>质量保证金</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kern w:val="15"/>
                <w:sz w:val="21"/>
                <w:szCs w:val="21"/>
                <w:highlight w:val="none"/>
                <w:lang w:val="en-US" w:eastAsia="zh-CN" w:bidi="ar-SA"/>
              </w:rPr>
              <w:t>质保金金额：经审计后合同价格的3%，质保期满后返还。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52</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lang w:val="zh-CN" w:eastAsia="zh-CN" w:bidi="ar-SA"/>
              </w:rPr>
            </w:pPr>
            <w:r>
              <w:rPr>
                <w:rFonts w:hint="eastAsia" w:ascii="宋体" w:hAnsi="宋体" w:eastAsia="宋体" w:cs="宋体"/>
                <w:color w:val="auto"/>
                <w:kern w:val="0"/>
                <w:sz w:val="21"/>
                <w:szCs w:val="21"/>
                <w:highlight w:val="none"/>
                <w:shd w:val="clear" w:color="auto" w:fill="FFFFFF"/>
              </w:rPr>
              <w:t>质保期</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Style w:val="21"/>
              <w:pageBreakBefore w:val="0"/>
              <w:kinsoku/>
              <w:wordWrap/>
              <w:overflowPunct/>
              <w:topLinePunct w:val="0"/>
              <w:bidi w:val="0"/>
              <w:spacing w:line="240" w:lineRule="auto"/>
              <w:ind w:left="0" w:leftChars="0"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kern w:val="15"/>
                <w:sz w:val="21"/>
                <w:szCs w:val="21"/>
                <w:highlight w:val="none"/>
                <w:lang w:val="en-US" w:eastAsia="zh-CN" w:bidi="ar-SA"/>
              </w:rPr>
              <w:t>自竣工验收合格之日起三年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default"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lang w:val="en-US" w:eastAsia="zh-CN"/>
              </w:rPr>
              <w:t>53</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Cs/>
                <w:color w:val="auto"/>
                <w:sz w:val="21"/>
                <w:szCs w:val="21"/>
                <w:highlight w:val="none"/>
                <w:lang w:val="zh-CN"/>
              </w:rPr>
              <w:t>是否接受联合体投标</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sym w:font="Wingdings 2" w:char="00A3"/>
            </w:r>
            <w:r>
              <w:rPr>
                <w:rFonts w:hint="eastAsia" w:ascii="宋体" w:hAnsi="宋体" w:eastAsia="宋体" w:cs="宋体"/>
                <w:bCs/>
                <w:color w:val="auto"/>
                <w:sz w:val="21"/>
                <w:szCs w:val="21"/>
                <w:highlight w:val="none"/>
                <w:lang w:val="zh-CN"/>
              </w:rPr>
              <w:t>不接受</w:t>
            </w:r>
          </w:p>
          <w:p>
            <w:pPr>
              <w:pStyle w:val="21"/>
              <w:pageBreakBefore w:val="0"/>
              <w:kinsoku/>
              <w:wordWrap/>
              <w:overflowPunct/>
              <w:topLinePunct w:val="0"/>
              <w:bidi w:val="0"/>
              <w:spacing w:line="24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lang w:val="zh-CN"/>
              </w:rPr>
              <w:sym w:font="Wingdings 2" w:char="0052"/>
            </w:r>
            <w:r>
              <w:rPr>
                <w:rFonts w:hint="eastAsia" w:ascii="宋体" w:hAnsi="宋体" w:eastAsia="宋体" w:cs="宋体"/>
                <w:bCs/>
                <w:color w:val="auto"/>
                <w:sz w:val="21"/>
                <w:szCs w:val="21"/>
                <w:highlight w:val="none"/>
                <w:lang w:val="zh-CN"/>
              </w:rPr>
              <w:t>接受</w:t>
            </w:r>
            <w:r>
              <w:rPr>
                <w:rFonts w:hint="eastAsia" w:ascii="宋体" w:hAnsi="宋体" w:cs="宋体"/>
                <w:bCs/>
                <w:color w:val="auto"/>
                <w:sz w:val="21"/>
                <w:szCs w:val="21"/>
                <w:highlight w:val="none"/>
                <w:lang w:val="zh-CN"/>
              </w:rPr>
              <w:t>，</w:t>
            </w:r>
            <w:r>
              <w:rPr>
                <w:rFonts w:hint="eastAsia" w:ascii="宋体" w:hAnsi="宋体" w:cs="宋体"/>
                <w:highlight w:val="none"/>
                <w:lang w:val="en-US" w:eastAsia="zh-CN"/>
              </w:rPr>
              <w:t>联合体数量不多于2个。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default"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lang w:val="en-US" w:eastAsia="zh-CN"/>
              </w:rPr>
              <w:t>54</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line="240" w:lineRule="auto"/>
              <w:jc w:val="center"/>
              <w:rPr>
                <w:rFonts w:hint="eastAsia" w:ascii="宋体" w:hAnsi="宋体" w:eastAsia="宋体" w:cs="宋体"/>
                <w:bCs/>
                <w:color w:val="auto"/>
                <w:kern w:val="2"/>
                <w:sz w:val="21"/>
                <w:szCs w:val="21"/>
                <w:highlight w:val="none"/>
                <w:lang w:val="zh-CN" w:eastAsia="zh-CN" w:bidi="ar-SA"/>
              </w:rPr>
            </w:pPr>
            <w:r>
              <w:rPr>
                <w:rFonts w:hint="eastAsia" w:ascii="宋体" w:hAnsi="宋体" w:eastAsia="宋体" w:cs="宋体"/>
                <w:bCs/>
                <w:color w:val="auto"/>
                <w:sz w:val="21"/>
                <w:szCs w:val="21"/>
                <w:highlight w:val="none"/>
              </w:rPr>
              <w:t>本项目是否专门面向中小企业或小型、微型企业采购</w:t>
            </w:r>
          </w:p>
        </w:tc>
        <w:tc>
          <w:tcPr>
            <w:tcW w:w="68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line="240" w:lineRule="auto"/>
              <w:jc w:val="left"/>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sym w:font="Wingdings 2" w:char="00A3"/>
            </w:r>
            <w:r>
              <w:rPr>
                <w:rFonts w:hint="eastAsia" w:ascii="宋体" w:hAnsi="宋体" w:eastAsia="宋体" w:cs="宋体"/>
                <w:bCs/>
                <w:color w:val="auto"/>
                <w:sz w:val="21"/>
                <w:szCs w:val="21"/>
                <w:highlight w:val="none"/>
                <w:lang w:val="zh-CN"/>
              </w:rPr>
              <w:t>否</w:t>
            </w:r>
          </w:p>
          <w:p>
            <w:pPr>
              <w:pageBreakBefore w:val="0"/>
              <w:kinsoku/>
              <w:wordWrap/>
              <w:overflowPunct/>
              <w:topLinePunct w:val="0"/>
              <w:bidi w:val="0"/>
              <w:spacing w:line="240" w:lineRule="auto"/>
              <w:jc w:val="left"/>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bCs/>
                <w:color w:val="auto"/>
                <w:sz w:val="21"/>
                <w:szCs w:val="21"/>
                <w:highlight w:val="none"/>
                <w:lang w:val="zh-CN"/>
              </w:rPr>
              <w:sym w:font="Wingdings 2" w:char="0052"/>
            </w:r>
            <w:r>
              <w:rPr>
                <w:rFonts w:hint="eastAsia" w:ascii="宋体" w:hAnsi="宋体" w:eastAsia="宋体" w:cs="宋体"/>
                <w:bCs/>
                <w:color w:val="auto"/>
                <w:sz w:val="21"/>
                <w:szCs w:val="21"/>
                <w:highlight w:val="none"/>
                <w:lang w:val="zh-CN"/>
              </w:rPr>
              <w:t>是</w:t>
            </w:r>
            <w:r>
              <w:rPr>
                <w:rFonts w:hint="eastAsia" w:ascii="宋体" w:hAnsi="宋体" w:eastAsia="宋体" w:cs="宋体"/>
                <w:bCs/>
                <w:color w:val="auto"/>
                <w:sz w:val="21"/>
                <w:szCs w:val="21"/>
                <w:highlight w:val="none"/>
                <w:lang w:val="en-US"/>
              </w:rPr>
              <w:t>,</w:t>
            </w:r>
            <w:r>
              <w:rPr>
                <w:rFonts w:hint="eastAsia" w:ascii="宋体" w:hAnsi="宋体" w:eastAsia="宋体" w:cs="宋体"/>
                <w:b w:val="0"/>
                <w:bCs/>
                <w:color w:val="auto"/>
                <w:kern w:val="2"/>
                <w:sz w:val="21"/>
                <w:szCs w:val="21"/>
                <w:highlight w:val="none"/>
                <w:lang w:val="en-US" w:eastAsia="zh-CN" w:bidi="ar-SA"/>
              </w:rPr>
              <w:t>中小企业行业划分类型:</w:t>
            </w:r>
            <w:r>
              <w:rPr>
                <w:rFonts w:hint="eastAsia" w:ascii="宋体" w:hAnsi="宋体" w:eastAsia="宋体" w:cs="宋体"/>
                <w:b w:val="0"/>
                <w:bCs/>
                <w:color w:val="auto"/>
                <w:kern w:val="0"/>
                <w:sz w:val="21"/>
                <w:szCs w:val="21"/>
                <w:highlight w:val="none"/>
              </w:rPr>
              <w:t>建筑业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10123"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240" w:lineRule="auto"/>
              <w:jc w:val="center"/>
              <w:textAlignment w:val="baseline"/>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磋商公告与磋商文件不一致之处，以磋商文件为准。</w:t>
            </w:r>
          </w:p>
        </w:tc>
      </w:tr>
    </w:tbl>
    <w:p>
      <w:pPr>
        <w:spacing w:line="360" w:lineRule="auto"/>
        <w:ind w:firstLine="420" w:firstLineChars="200"/>
        <w:jc w:val="center"/>
        <w:rPr>
          <w:rFonts w:hint="eastAsia" w:ascii="宋体" w:hAnsi="宋体" w:cs="宋体"/>
          <w:b/>
          <w:color w:val="auto"/>
          <w:szCs w:val="21"/>
          <w:highlight w:val="none"/>
        </w:rPr>
      </w:pPr>
      <w:bookmarkStart w:id="43" w:name="_Toc511746974"/>
      <w:r>
        <w:rPr>
          <w:rFonts w:ascii="宋体" w:hAnsi="宋体"/>
          <w:color w:val="auto"/>
          <w:highlight w:val="none"/>
        </w:rPr>
        <w:br w:type="page"/>
      </w:r>
      <w:bookmarkEnd w:id="43"/>
      <w:r>
        <w:rPr>
          <w:rFonts w:hint="eastAsia" w:ascii="宋体" w:hAnsi="宋体" w:cs="宋体"/>
          <w:b/>
          <w:color w:val="auto"/>
          <w:szCs w:val="21"/>
          <w:highlight w:val="none"/>
        </w:rPr>
        <w:t>第一部分  磋商程序</w:t>
      </w:r>
    </w:p>
    <w:p>
      <w:pPr>
        <w:numPr>
          <w:ilvl w:val="0"/>
          <w:numId w:val="0"/>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采购方式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本次采购采用竞争性磋商的方式。</w:t>
      </w:r>
    </w:p>
    <w:p>
      <w:pPr>
        <w:numPr>
          <w:ilvl w:val="0"/>
          <w:numId w:val="1"/>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磋商程序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2.1在规定的时间内由供应商将磋商响应文件提交给采购代理机构，由磋商小组对磋商响应文件进行评审。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2.2就商务、技术方案及价格等进行磋商，经过磋商小组的评审确定最终成交供应商。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合格供应商的资格要求</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1.满足《中华人民共和国政府采购法》第二十二条规定</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1</w:t>
      </w:r>
      <w:r>
        <w:rPr>
          <w:rFonts w:hint="eastAsia" w:ascii="宋体" w:hAnsi="宋体" w:eastAsia="宋体" w:cs="宋体"/>
          <w:highlight w:val="none"/>
        </w:rPr>
        <w:t>)具有独立承担民事责任的能力；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3</w:t>
      </w:r>
      <w:r>
        <w:rPr>
          <w:rFonts w:hint="eastAsia" w:ascii="宋体" w:hAnsi="宋体" w:eastAsia="宋体" w:cs="宋体"/>
          <w:highlight w:val="none"/>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4</w:t>
      </w:r>
      <w:r>
        <w:rPr>
          <w:rFonts w:hint="eastAsia" w:ascii="宋体" w:hAnsi="宋体" w:eastAsia="宋体" w:cs="宋体"/>
          <w:highlight w:val="none"/>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5</w:t>
      </w:r>
      <w:r>
        <w:rPr>
          <w:rFonts w:hint="eastAsia" w:ascii="宋体" w:hAnsi="宋体" w:eastAsia="宋体" w:cs="宋体"/>
          <w:highlight w:val="none"/>
        </w:rPr>
        <w:t>)参加政府采购活动前三年内，在经营活动中没有重大违法记录（重大违法记录是指供应商因违法经营受到刑事处罚或者责令停产停业、吊销许可证或者执照、较大数额罚款等行政处罚）；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2.落实政府采购政策需满足的资格要求：本项目专门面向中小企业采购；本项目所属行业为：建筑业。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落实政府采购政策：《政府采购促进中小企业发展管理办法》（财库〔2020〕46号）；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《关于政府采购支持监狱企业发展有关问题的通知》(财库〔2014〕68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《关于促进残疾人就业政府采购政策的通知》（财库〔2017〕141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《关于环境标志产品政府采购实施的意见》（财库〔2006〕90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hint="eastAsia" w:ascii="宋体" w:hAnsi="宋体"/>
          <w:color w:val="auto"/>
          <w:highlight w:val="none"/>
        </w:rPr>
        <w:t>《节能产品政府采购实施意见》的通知（财库〔2004〕185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olor w:val="auto"/>
          <w:highlight w:val="none"/>
        </w:rPr>
        <w:t>《关于调整优化节能产品、环境标志产品政府采购执行机制的通知》（财库〔2020〕9 号）等。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3.1 </w:t>
      </w:r>
      <w:r>
        <w:rPr>
          <w:rFonts w:hint="eastAsia" w:ascii="宋体" w:hAnsi="宋体" w:eastAsia="宋体" w:cs="宋体"/>
          <w:highlight w:val="none"/>
          <w:lang w:val="en-US" w:eastAsia="zh-CN"/>
        </w:rPr>
        <w:t>供应商需具备独立承担民事行为能力的法人或其他组织，</w:t>
      </w:r>
      <w:r>
        <w:rPr>
          <w:rFonts w:hint="eastAsia" w:ascii="宋体" w:hAnsi="宋体" w:eastAsia="宋体" w:cs="宋体"/>
          <w:highlight w:val="none"/>
        </w:rPr>
        <w:t>具备有效的营业执照；具有履行合同所必需的设备、资金和专业技术能力</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3.2 </w:t>
      </w:r>
      <w:r>
        <w:rPr>
          <w:rFonts w:hint="eastAsia" w:ascii="宋体" w:hAnsi="宋体" w:eastAsia="宋体" w:cs="宋体"/>
          <w:highlight w:val="none"/>
          <w:lang w:val="en-US" w:eastAsia="zh-CN"/>
        </w:rPr>
        <w:t>供应商需具备建设行政主管部门核发的建筑装修装饰工程专业承包</w:t>
      </w:r>
      <w:r>
        <w:rPr>
          <w:rFonts w:hint="eastAsia" w:ascii="宋体" w:hAnsi="宋体" w:cs="宋体"/>
          <w:highlight w:val="none"/>
          <w:lang w:val="en-US" w:eastAsia="zh-CN"/>
        </w:rPr>
        <w:t>贰</w:t>
      </w:r>
      <w:r>
        <w:rPr>
          <w:rFonts w:hint="eastAsia" w:ascii="宋体" w:hAnsi="宋体" w:eastAsia="宋体" w:cs="宋体"/>
          <w:highlight w:val="none"/>
          <w:lang w:val="en-US" w:eastAsia="zh-CN"/>
        </w:rPr>
        <w:t>级及以上资质、电子与智能化专业承包</w:t>
      </w:r>
      <w:r>
        <w:rPr>
          <w:rFonts w:hint="eastAsia" w:ascii="宋体" w:hAnsi="宋体" w:cs="宋体"/>
          <w:highlight w:val="none"/>
          <w:lang w:val="en-US" w:eastAsia="zh-CN"/>
        </w:rPr>
        <w:t>贰</w:t>
      </w:r>
      <w:r>
        <w:rPr>
          <w:rFonts w:hint="eastAsia" w:ascii="宋体" w:hAnsi="宋体" w:eastAsia="宋体" w:cs="宋体"/>
          <w:highlight w:val="none"/>
          <w:lang w:val="en-US" w:eastAsia="zh-CN"/>
        </w:rPr>
        <w:t>级及以上资质（注：电子版证书与纸质版原件具有同等效力）。且具备有效的安全生产许可证（注：电子版证书与纸质版原件具有同等效力），并在人员、设备、资金等方面具有相应的能力</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eastAsia="zh-CN"/>
        </w:rPr>
      </w:pPr>
      <w:r>
        <w:rPr>
          <w:rFonts w:hint="eastAsia" w:ascii="宋体" w:hAnsi="宋体" w:eastAsia="宋体" w:cs="宋体"/>
          <w:highlight w:val="none"/>
          <w:lang w:val="en-US" w:eastAsia="zh-CN"/>
        </w:rPr>
        <w:t>3.</w:t>
      </w:r>
      <w:r>
        <w:rPr>
          <w:rFonts w:hint="eastAsia" w:ascii="宋体" w:hAnsi="宋体" w:eastAsia="宋体" w:cs="宋体"/>
          <w:highlight w:val="none"/>
          <w:lang w:val="zh-CN" w:eastAsia="zh-CN"/>
        </w:rPr>
        <w:t xml:space="preserve">3.3 </w:t>
      </w:r>
      <w:r>
        <w:rPr>
          <w:rFonts w:hint="eastAsia" w:ascii="宋体" w:hAnsi="宋体" w:eastAsia="宋体" w:cs="宋体"/>
          <w:highlight w:val="none"/>
          <w:lang w:val="en-US" w:eastAsia="zh-CN"/>
        </w:rPr>
        <w:t>供应商</w:t>
      </w:r>
      <w:r>
        <w:rPr>
          <w:rFonts w:hint="eastAsia" w:ascii="宋体" w:hAnsi="宋体" w:eastAsia="宋体" w:cs="宋体"/>
          <w:highlight w:val="none"/>
          <w:lang w:val="zh-CN" w:eastAsia="zh-CN"/>
        </w:rPr>
        <w:t>拟派</w:t>
      </w:r>
      <w:r>
        <w:rPr>
          <w:rFonts w:hint="eastAsia" w:ascii="宋体" w:hAnsi="宋体" w:eastAsia="宋体" w:cs="宋体"/>
          <w:highlight w:val="none"/>
          <w:lang w:val="en-US" w:eastAsia="zh-CN"/>
        </w:rPr>
        <w:t>项目负责人</w:t>
      </w:r>
      <w:r>
        <w:rPr>
          <w:rFonts w:hint="eastAsia" w:ascii="宋体" w:hAnsi="宋体" w:eastAsia="宋体" w:cs="宋体"/>
          <w:highlight w:val="none"/>
          <w:lang w:val="zh-CN" w:eastAsia="zh-CN"/>
        </w:rPr>
        <w:t>须具备</w:t>
      </w:r>
      <w:r>
        <w:rPr>
          <w:rFonts w:hint="eastAsia" w:ascii="宋体" w:hAnsi="宋体" w:eastAsia="宋体" w:cs="宋体"/>
          <w:highlight w:val="none"/>
          <w:lang w:val="en-US" w:eastAsia="zh-CN"/>
        </w:rPr>
        <w:t>建筑工程专业</w:t>
      </w:r>
      <w:r>
        <w:rPr>
          <w:rFonts w:hint="eastAsia" w:ascii="宋体" w:hAnsi="宋体" w:cs="宋体"/>
          <w:highlight w:val="none"/>
          <w:lang w:val="en-US" w:eastAsia="zh-CN"/>
        </w:rPr>
        <w:t>二</w:t>
      </w:r>
      <w:r>
        <w:rPr>
          <w:rFonts w:hint="eastAsia" w:ascii="宋体" w:hAnsi="宋体" w:eastAsia="宋体" w:cs="宋体"/>
          <w:highlight w:val="none"/>
          <w:lang w:val="zh-CN" w:eastAsia="zh-CN"/>
        </w:rPr>
        <w:t>级注册建造师资格，同时具备有效的安全生产考核合格证书</w:t>
      </w:r>
      <w:r>
        <w:rPr>
          <w:rFonts w:hint="eastAsia" w:ascii="宋体" w:hAnsi="宋体"/>
          <w:highlight w:val="none"/>
          <w:lang w:eastAsia="zh-CN"/>
        </w:rPr>
        <w:t>（</w:t>
      </w:r>
      <w:r>
        <w:rPr>
          <w:rFonts w:hint="eastAsia" w:ascii="宋体" w:hAnsi="宋体"/>
          <w:highlight w:val="none"/>
          <w:lang w:val="en-US" w:eastAsia="zh-CN"/>
        </w:rPr>
        <w:t>B类</w:t>
      </w:r>
      <w:r>
        <w:rPr>
          <w:rFonts w:hint="eastAsia" w:ascii="宋体" w:hAnsi="宋体"/>
          <w:highlight w:val="none"/>
          <w:lang w:eastAsia="zh-CN"/>
        </w:rPr>
        <w:t>）</w:t>
      </w:r>
      <w:r>
        <w:rPr>
          <w:rFonts w:hint="eastAsia" w:ascii="宋体" w:hAnsi="宋体" w:eastAsia="宋体" w:cs="宋体"/>
          <w:highlight w:val="none"/>
          <w:lang w:val="zh-CN" w:eastAsia="zh-CN"/>
        </w:rPr>
        <w:t>，提供</w:t>
      </w:r>
      <w:r>
        <w:rPr>
          <w:rFonts w:hint="eastAsia" w:ascii="宋体" w:hAnsi="宋体" w:eastAsia="宋体" w:cs="宋体"/>
          <w:highlight w:val="none"/>
          <w:lang w:val="en-US" w:eastAsia="zh-CN"/>
        </w:rPr>
        <w:t>磋商</w:t>
      </w:r>
      <w:r>
        <w:rPr>
          <w:rFonts w:hint="eastAsia" w:ascii="宋体" w:hAnsi="宋体" w:eastAsia="宋体" w:cs="宋体"/>
          <w:highlight w:val="none"/>
          <w:lang w:val="zh-CN" w:eastAsia="zh-CN"/>
        </w:rPr>
        <w:t>公告发布月份前在本单位缴纳至少连续六个月</w:t>
      </w:r>
      <w:r>
        <w:rPr>
          <w:rFonts w:hint="eastAsia" w:ascii="宋体" w:hAnsi="宋体" w:eastAsia="宋体" w:cs="宋体"/>
          <w:highlight w:val="none"/>
          <w:lang w:val="en-US" w:eastAsia="zh-CN"/>
        </w:rPr>
        <w:t>的</w:t>
      </w:r>
      <w:r>
        <w:rPr>
          <w:rFonts w:hint="eastAsia" w:ascii="宋体" w:hAnsi="宋体" w:eastAsia="宋体" w:cs="宋体"/>
          <w:highlight w:val="none"/>
          <w:lang w:val="zh-CN" w:eastAsia="zh-CN"/>
        </w:rPr>
        <w:t>社保证明</w:t>
      </w:r>
      <w:r>
        <w:rPr>
          <w:rFonts w:hint="eastAsia" w:ascii="宋体" w:hAnsi="宋体" w:cs="宋体"/>
          <w:highlight w:val="none"/>
          <w:lang w:val="zh-CN" w:eastAsia="zh-CN"/>
        </w:rPr>
        <w:t>（</w:t>
      </w:r>
      <w:r>
        <w:rPr>
          <w:rFonts w:hint="eastAsia" w:ascii="宋体" w:hAnsi="宋体" w:cs="宋体"/>
          <w:highlight w:val="none"/>
          <w:lang w:val="en-US" w:eastAsia="zh-CN"/>
        </w:rPr>
        <w:t>联合体投标的项目经理必须为联合体牵头人注册人员</w:t>
      </w:r>
      <w:r>
        <w:rPr>
          <w:rFonts w:hint="eastAsia" w:ascii="宋体" w:hAnsi="宋体" w:cs="宋体"/>
          <w:highlight w:val="none"/>
          <w:lang w:val="zh-CN" w:eastAsia="zh-CN"/>
        </w:rPr>
        <w:t>）</w:t>
      </w:r>
      <w:r>
        <w:rPr>
          <w:rFonts w:hint="eastAsia" w:ascii="宋体" w:hAnsi="宋体" w:eastAsia="宋体" w:cs="宋体"/>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lang w:val="zh-CN" w:eastAsia="zh-CN"/>
        </w:rPr>
      </w:pPr>
      <w:r>
        <w:rPr>
          <w:rFonts w:hint="eastAsia" w:ascii="宋体" w:hAnsi="宋体" w:eastAsia="宋体" w:cs="宋体"/>
          <w:highlight w:val="none"/>
          <w:lang w:val="en-US" w:eastAsia="zh-CN"/>
        </w:rPr>
        <w:t>3.</w:t>
      </w:r>
      <w:r>
        <w:rPr>
          <w:rFonts w:hint="eastAsia" w:ascii="宋体" w:hAnsi="宋体" w:eastAsia="宋体" w:cs="宋体"/>
          <w:highlight w:val="none"/>
          <w:lang w:val="zh-CN" w:eastAsia="zh-CN"/>
        </w:rPr>
        <w:t>3.4 供应商应按照《长春市财政局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highlight w:val="none"/>
          <w:lang w:val="en-US" w:eastAsia="zh-CN"/>
        </w:rPr>
      </w:pPr>
      <w:r>
        <w:rPr>
          <w:rFonts w:hint="eastAsia" w:ascii="宋体" w:hAnsi="宋体" w:eastAsia="宋体" w:cs="宋体"/>
          <w:highlight w:val="none"/>
          <w:lang w:val="en-US" w:eastAsia="zh-CN"/>
        </w:rPr>
        <w:t>3.</w:t>
      </w:r>
      <w:r>
        <w:rPr>
          <w:rFonts w:hint="eastAsia" w:ascii="宋体" w:hAnsi="宋体" w:eastAsia="宋体" w:cs="宋体"/>
          <w:highlight w:val="none"/>
          <w:lang w:val="zh-CN" w:eastAsia="zh-CN"/>
        </w:rPr>
        <w:t>3.</w:t>
      </w:r>
      <w:r>
        <w:rPr>
          <w:rFonts w:hint="eastAsia" w:ascii="宋体" w:hAnsi="宋体" w:eastAsia="宋体" w:cs="宋体"/>
          <w:highlight w:val="none"/>
          <w:lang w:val="en-US" w:eastAsia="zh-CN"/>
        </w:rPr>
        <w:t>5</w:t>
      </w:r>
      <w:r>
        <w:rPr>
          <w:rFonts w:hint="eastAsia" w:ascii="宋体" w:hAnsi="宋体" w:eastAsia="宋体" w:cs="宋体"/>
          <w:highlight w:val="none"/>
          <w:lang w:val="zh-CN" w:eastAsia="zh-CN"/>
        </w:rPr>
        <w:t xml:space="preserve"> </w:t>
      </w:r>
      <w:r>
        <w:rPr>
          <w:rFonts w:hint="eastAsia" w:ascii="宋体" w:hAnsi="宋体" w:eastAsia="宋体" w:cs="宋体"/>
          <w:highlight w:val="none"/>
          <w:lang w:val="en-US" w:eastAsia="zh-CN"/>
        </w:rPr>
        <w:t>信誉要求</w:t>
      </w:r>
      <w:r>
        <w:rPr>
          <w:rFonts w:hint="eastAsia" w:ascii="宋体" w:hAnsi="宋体" w:cs="宋体"/>
          <w:color w:val="auto"/>
          <w:szCs w:val="21"/>
          <w:highlight w:val="none"/>
          <w:lang w:val="en-US" w:eastAsia="zh-CN"/>
        </w:rPr>
        <w:t>（如联合体投标各方均需查询）</w:t>
      </w:r>
      <w:r>
        <w:rPr>
          <w:rFonts w:hint="eastAsia" w:ascii="宋体" w:hAnsi="宋体" w:eastAsia="宋体" w:cs="宋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（1）拒绝列入政府取消投标资格记录期间的企业或个人投标。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（2）未被工商行政管理机关在全国企业信用信息公示系统（www.gsxt.gov.cn）中列入严重违法失信企业名单。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（3）未被中国执行信息公开网（http://zxgk.court.gov.cn）列入失信被执行人名单。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（4）未被最高人民法院在“信用中国”网站（www.creditchina.gov.cn）列入重大税收违法案件当事人名单。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（5）在近三年（202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年至今）内供应商或其法定代表人、拟委任的项目经理未在“中国裁判文书网”(wenshu.court.gov.cn）上有行贿犯罪行为。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（6）未被中国政府采购网(www.ccgp.gov.cn)列入政府采购严重违法失信行为记录名单。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 xml:space="preserve"> </w:t>
      </w:r>
      <w:r>
        <w:rPr>
          <w:rFonts w:hint="eastAsia" w:ascii="宋体" w:hAnsi="宋体" w:eastAsia="宋体" w:cs="宋体"/>
          <w:highlight w:val="none"/>
        </w:rPr>
        <w:t>外埠单位在我省承揽项目应执行吉林省关于外企入吉备案相关规定</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 单位负责人为同一人或者存在直接控股、管理关系的不同单位，不得参加同一标段投标或者未划分标段的同一招标项目投标</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 xml:space="preserve">3.3.8 </w:t>
      </w:r>
      <w:r>
        <w:rPr>
          <w:rFonts w:hint="eastAsia" w:ascii="宋体" w:hAnsi="宋体" w:eastAsia="宋体" w:cs="宋体"/>
          <w:highlight w:val="none"/>
        </w:rPr>
        <w:t>本项目不允许分包</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4.磋商费用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供应商应承担所有与准备和参加磋商有关的费用，采购代理机构和采购人在任何情况下均无义务和责任承担这些费用。</w:t>
      </w:r>
    </w:p>
    <w:p>
      <w:pPr>
        <w:numPr>
          <w:ilvl w:val="0"/>
          <w:numId w:val="0"/>
        </w:numPr>
        <w:spacing w:line="360" w:lineRule="auto"/>
        <w:ind w:left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5.联合体</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公告规定接受联合体投标的，除应符合本章</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合格供应商的资格要求外，还应遵守</w:t>
      </w:r>
      <w:r>
        <w:rPr>
          <w:rFonts w:hint="eastAsia" w:ascii="宋体" w:hAnsi="宋体" w:eastAsia="宋体" w:cs="宋体"/>
          <w:color w:val="auto"/>
          <w:szCs w:val="21"/>
          <w:highlight w:val="none"/>
          <w:lang w:val="en-US" w:eastAsia="zh-CN"/>
        </w:rPr>
        <w:t>以下</w:t>
      </w:r>
      <w:r>
        <w:rPr>
          <w:rFonts w:hint="eastAsia" w:ascii="宋体" w:hAnsi="宋体" w:eastAsia="宋体" w:cs="宋体"/>
          <w:color w:val="auto"/>
          <w:szCs w:val="21"/>
          <w:highlight w:val="none"/>
        </w:rPr>
        <w:t>规定：</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5.1</w:t>
      </w:r>
      <w:r>
        <w:rPr>
          <w:rFonts w:hint="eastAsia" w:ascii="宋体" w:hAnsi="宋体" w:eastAsia="宋体" w:cs="宋体"/>
          <w:color w:val="auto"/>
          <w:szCs w:val="21"/>
          <w:highlight w:val="none"/>
        </w:rPr>
        <w:t>联合体各方应按</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提供的格式签订联合体协议书，明确联合体牵头人和各方工作内容和义务</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5.2</w:t>
      </w:r>
      <w:r>
        <w:rPr>
          <w:rFonts w:hint="eastAsia" w:ascii="宋体" w:hAnsi="宋体" w:eastAsia="宋体" w:cs="宋体"/>
          <w:color w:val="auto"/>
          <w:szCs w:val="21"/>
          <w:highlight w:val="none"/>
          <w:lang w:val="en-US" w:eastAsia="zh-CN"/>
        </w:rPr>
        <w:tab/>
      </w:r>
      <w:r>
        <w:rPr>
          <w:rFonts w:hint="eastAsia" w:ascii="宋体" w:hAnsi="宋体" w:eastAsia="宋体" w:cs="宋体"/>
          <w:color w:val="auto"/>
          <w:szCs w:val="21"/>
          <w:highlight w:val="none"/>
        </w:rPr>
        <w:t>联合体中有同类资质的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按照联合体分工承担相同工作的，应当按照资质等级较低的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确定联合体的资质等级</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5.3</w:t>
      </w:r>
      <w:r>
        <w:rPr>
          <w:rFonts w:hint="eastAsia" w:ascii="宋体" w:hAnsi="宋体" w:eastAsia="宋体" w:cs="宋体"/>
          <w:color w:val="auto"/>
          <w:szCs w:val="21"/>
          <w:highlight w:val="none"/>
        </w:rPr>
        <w:t>联合体各方不得再单独参加或者与其他</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另外组成联合体参加同一合同项下的投标。联合体各方应当共同与采购人签订采购合同，就采购合同约定的事项对采购人承担连带责任。</w:t>
      </w:r>
    </w:p>
    <w:p>
      <w:pPr>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6.踏勘现场 </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6.1供应商须知前附表规定组织踏勘现场的，采购人须按照规定时间、地点组织供应商踏勘项目现场。</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6.2供应商承担踏勘现场所发生的自身费用、责任和风险。</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6.3采购人向供应商提供的有关现场的资料和数据，是采购人现有的能被供应商利用的资料，采购人不对供应商由此而做出的推论、理解和结论负责。</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6.4除采购人原因外，供应商应对踏勘现场而造成的人员伤亡、财产损失以及由此引起的连带责任和费用负责。</w:t>
      </w:r>
    </w:p>
    <w:p>
      <w:pPr>
        <w:spacing w:line="60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第二部分   磋商文件</w:t>
      </w:r>
    </w:p>
    <w:p>
      <w:pPr>
        <w:numPr>
          <w:ilvl w:val="0"/>
          <w:numId w:val="2"/>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应认真阅读竞争性磋商文件所有的事项、格式、条款和技术规格等。如供应商没有按照磋商文件要求提交全部资料，或者磋商响应文件没有对磋商文件在各方面都作出实质性响应是供应商的风险，并可能导致其报价被拒绝。</w:t>
      </w:r>
    </w:p>
    <w:p>
      <w:pPr>
        <w:numPr>
          <w:ilvl w:val="0"/>
          <w:numId w:val="2"/>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磋商文件的澄清及修改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任何要求对磋商文件进行澄清的供应商，磋商截止时间前均应以书面形式通知采购代理机构。采购代理机构均在网站进行澄清答复，请潜在供应商在参与本项目活动期间关注网站信息，所有有投标意愿的供应商有义务在网上自行查询，无需书面回复。</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采购单位可主动地或在解答供应商提出的澄清问题时对磋商文件进行修改，磋商文件的修改应以书面形式通知采购代理机构，由采购代理机构在网站进行通知各供应商，并对其具有约束力。请潜在供应商在参与本项目活动期间关注网站信息，所有有投标意愿的供应商有义务在网上自行查询，无需书面回复。</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2.3为使供应商有足够的时间对磋商响应文件的修改部分进行研究，采购单位有权决定是否延长磋商截止期。</w:t>
      </w:r>
    </w:p>
    <w:p>
      <w:pPr>
        <w:spacing w:line="600" w:lineRule="auto"/>
        <w:ind w:firstLine="422" w:firstLineChars="200"/>
        <w:jc w:val="center"/>
        <w:rPr>
          <w:rFonts w:hint="eastAsia" w:ascii="宋体" w:hAnsi="宋体" w:cs="宋体"/>
          <w:b/>
          <w:bCs/>
          <w:color w:val="auto"/>
          <w:szCs w:val="21"/>
          <w:highlight w:val="none"/>
        </w:rPr>
      </w:pPr>
      <w:r>
        <w:rPr>
          <w:rFonts w:hint="eastAsia" w:ascii="宋体" w:hAnsi="宋体" w:cs="宋体"/>
          <w:b/>
          <w:bCs/>
          <w:color w:val="auto"/>
          <w:szCs w:val="21"/>
          <w:highlight w:val="none"/>
        </w:rPr>
        <w:t>第三部分 磋商响应文件的编制</w:t>
      </w:r>
    </w:p>
    <w:p>
      <w:pPr>
        <w:numPr>
          <w:ilvl w:val="0"/>
          <w:numId w:val="3"/>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磋商范围及磋商相应文件中计量单位的使用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1.1供应商应按磋商文件的采购需求内容进行报价，不能将整个的内容拆开就其中一项或一部分进行报价。</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1.2磋商响应文件中所使用的计量单位，除磋商文件中有特殊要求外，应采用中华人民共和国法定计量单位。</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2.磋商响应文件构成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供应商应完整的按磋商文件提供的磋商响应文件格式填写磋商响应文件，磋商响应文件应包括以下内容：</w:t>
      </w:r>
    </w:p>
    <w:p>
      <w:pPr>
        <w:keepNext w:val="0"/>
        <w:keepLines w:val="0"/>
        <w:pageBreakBefore w:val="0"/>
        <w:widowControl w:val="0"/>
        <w:kinsoku/>
        <w:wordWrap/>
        <w:overflowPunct/>
        <w:topLinePunct w:val="0"/>
        <w:autoSpaceDE/>
        <w:autoSpaceDN/>
        <w:bidi w:val="0"/>
        <w:adjustRightInd/>
        <w:snapToGrid/>
        <w:spacing w:before="120"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一、价格部分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（1）首次报价表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（2）已标价工程量清单</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二、商务部分</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（1）响应函及响应函附录</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）法定代表人身份证明书</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）被授权人身份证明书</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联合体协议书（如有）</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w:t>
      </w:r>
      <w:r>
        <w:rPr>
          <w:rFonts w:hint="eastAsia" w:ascii="宋体" w:hAnsi="宋体" w:cs="宋体"/>
          <w:color w:val="auto"/>
          <w:szCs w:val="21"/>
          <w:highlight w:val="none"/>
        </w:rPr>
        <w:t>项目管理机构</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）资格审查材料</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）供应商的资格声明</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（8）供应商认为需要提供的其他商务文件材料，但应注意不要提供与评审无直接关联的文件材料</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三、技术部分</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（1）施工组织设计</w:t>
      </w:r>
    </w:p>
    <w:p>
      <w:pPr>
        <w:keepNext w:val="0"/>
        <w:keepLines w:val="0"/>
        <w:pageBreakBefore w:val="0"/>
        <w:widowControl w:val="0"/>
        <w:tabs>
          <w:tab w:val="left" w:pos="77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（2）优惠条件及服务承诺</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（3）供应商须知前附表规定的其他材料</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3.报价</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3.1.1供应商应按采购人提供的“已标价工程量清单”的要求填写相应表格。</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3.1.2供应商磋商报价总额为各分项金额之和。</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3.1.3采购人设有采购预算的，供应商的磋商报价不得超过采购预算。</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3.1.4磋商报价为供应商在响应文件中提出的各项支付金额的总和。</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3.1.5供应商的磋商报价，应是完成本须知和竞争性磋中所列采购需求的全部，不得以任何理由予以重复，作为供应商计算单价或总价的依据。</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3.1.6</w:t>
      </w:r>
      <w:r>
        <w:rPr>
          <w:rFonts w:hint="eastAsia" w:ascii="宋体" w:hAnsi="宋体" w:cs="宋体"/>
          <w:color w:val="auto"/>
          <w:szCs w:val="21"/>
          <w:highlight w:val="none"/>
          <w:shd w:val="clear" w:color="auto" w:fill="FFFFFF"/>
        </w:rPr>
        <w:t>最低报价不能作为中标的唯一依据</w:t>
      </w:r>
      <w:r>
        <w:rPr>
          <w:rFonts w:hint="eastAsia" w:ascii="宋体" w:hAnsi="宋体" w:cs="宋体"/>
          <w:color w:val="auto"/>
          <w:szCs w:val="21"/>
          <w:highlight w:val="none"/>
        </w:rPr>
        <w:t>。</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3.1.7本项目采用两轮报价（第二轮报价即最后报价）。</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4.磋商保证金</w:t>
      </w:r>
    </w:p>
    <w:p>
      <w:pPr>
        <w:spacing w:line="360"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详见供应商须知前附表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5.有效期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5.1供应商的磋商响应文件应在规定的递交磋商响应文件截止日起</w:t>
      </w:r>
      <w:r>
        <w:rPr>
          <w:rFonts w:hint="eastAsia" w:ascii="宋体" w:hAnsi="宋体" w:cs="宋体"/>
          <w:color w:val="auto"/>
          <w:szCs w:val="21"/>
          <w:highlight w:val="none"/>
          <w:u w:val="single"/>
        </w:rPr>
        <w:t>90</w:t>
      </w:r>
      <w:r>
        <w:rPr>
          <w:rFonts w:hint="eastAsia" w:ascii="宋体" w:hAnsi="宋体" w:cs="宋体"/>
          <w:color w:val="auto"/>
          <w:szCs w:val="21"/>
          <w:highlight w:val="none"/>
        </w:rPr>
        <w:t>天内保持有效，有效期不满足要求的磋商响应文件将被视为非实质性响应而予以拒绝。</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采购单位可根据实际情况，在原有效期截止之前，要求供应商同意延长有效期。接受该要求的供应商将不得要求修正其报价，且本须知中有关保证金的要求将在延长的有效期内继续有效。供应商也可以拒绝采购单位的这种要求，其保证金将不会被没收。上述要求和答复都应以书面</w:t>
      </w:r>
      <w:r>
        <w:rPr>
          <w:rFonts w:hint="eastAsia" w:ascii="宋体" w:hAnsi="宋体" w:cs="宋体"/>
          <w:color w:val="auto"/>
          <w:szCs w:val="21"/>
          <w:highlight w:val="none"/>
        </w:rPr>
        <w:t>形式提交。</w:t>
      </w:r>
    </w:p>
    <w:p>
      <w:pPr>
        <w:spacing w:line="360" w:lineRule="auto"/>
        <w:ind w:left="420"/>
        <w:rPr>
          <w:rFonts w:hint="eastAsia" w:ascii="宋体" w:hAnsi="宋体" w:cs="宋体"/>
          <w:color w:val="auto"/>
          <w:szCs w:val="21"/>
          <w:highlight w:val="none"/>
        </w:rPr>
      </w:pPr>
      <w:r>
        <w:rPr>
          <w:rFonts w:hint="eastAsia" w:ascii="宋体" w:hAnsi="宋体" w:cs="宋体"/>
          <w:color w:val="auto"/>
          <w:szCs w:val="21"/>
          <w:highlight w:val="none"/>
        </w:rPr>
        <w:t>6.磋商响应文件的签署及规定</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6.1供应商应准备磋商响应文件正本1份、副本</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份，电子文件2份（U盘），每份文件须清楚地标明“正本”、“副本”。若正本和副本不符，以正本为准，电子文件（U盘）与纸质文件不符，以纸质文件为准。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6.2磋商响应文件的正本需用不褪色墨水书写，并由供应商的法定代表人或经其授权的代表在磋商响应文件上签字并加盖单位印章。授权代表须持有书面的“法定代表人授权书”（标准格式附后），并将其附在磋商响应文件中。如磋商响应文件需进行修改，则应有供应商的法定代表人或经其授权的代表在修改的每一页上签字。磋商响应文件的副本可以是正本的复印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6.3任何行间插字、涂改和增删，必须由供应商的法定代表人或经其授权的代表签字或盖章后才有效。</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6.4磋商响应文件因字迹潦草或表达不清所引起的后果由供应商负责。</w:t>
      </w:r>
    </w:p>
    <w:p>
      <w:pPr>
        <w:spacing w:line="360" w:lineRule="auto"/>
        <w:ind w:firstLine="420" w:firstLineChars="200"/>
        <w:rPr>
          <w:color w:val="auto"/>
          <w:highlight w:val="none"/>
        </w:rPr>
      </w:pPr>
      <w:r>
        <w:rPr>
          <w:rFonts w:hint="eastAsia" w:ascii="宋体" w:hAnsi="宋体" w:cs="宋体"/>
          <w:color w:val="auto"/>
          <w:szCs w:val="21"/>
          <w:highlight w:val="none"/>
        </w:rPr>
        <w:t>6.5为确保网上操作合法、有效和安全，供应商应当在磋商截止时间前完成在“政采云”平台的身份认证，确保在电子投标过程中能够对相关数据电文进行加密和使用电子签名。</w:t>
      </w:r>
    </w:p>
    <w:p>
      <w:pPr>
        <w:spacing w:line="480" w:lineRule="auto"/>
        <w:ind w:firstLine="422" w:firstLineChars="200"/>
        <w:jc w:val="center"/>
        <w:rPr>
          <w:rFonts w:hint="eastAsia" w:ascii="宋体" w:hAnsi="宋体" w:cs="宋体"/>
          <w:b/>
          <w:bCs/>
          <w:color w:val="auto"/>
          <w:szCs w:val="21"/>
          <w:highlight w:val="none"/>
        </w:rPr>
      </w:pPr>
      <w:r>
        <w:rPr>
          <w:rFonts w:hint="eastAsia" w:ascii="宋体" w:hAnsi="宋体" w:cs="宋体"/>
          <w:b/>
          <w:bCs/>
          <w:color w:val="auto"/>
          <w:szCs w:val="21"/>
          <w:highlight w:val="none"/>
        </w:rPr>
        <w:t>第四部分   磋商响应文件的递交</w:t>
      </w:r>
    </w:p>
    <w:p>
      <w:pPr>
        <w:numPr>
          <w:ilvl w:val="0"/>
          <w:numId w:val="4"/>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磋商响应文件的密封和标记</w:t>
      </w:r>
    </w:p>
    <w:p>
      <w:pPr>
        <w:autoSpaceDE w:val="0"/>
        <w:autoSpaceDN w:val="0"/>
        <w:adjustRightInd w:val="0"/>
        <w:spacing w:before="60" w:after="6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供应商必须在“供应商须知前附表”规定的响应文件接收时间和投标地点提交电子版响应文件。电子响应文件应在制作完成后，在磋商截止时间前通过有效数字证书（CA认证锁）进行电子签章、加密，然后通过网络将加密的电子响应文件递交至“政采云”平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1.2未在规定时间内提交或者未按照磋商文件要求密封或者标记的电子响应文件，“政采云”平台将拒收。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1.3所有标袋上均应：</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采购项目名称：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采购项目编号：</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供应商名称：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投标联系人名称：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联系人电话：</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（加盖供应商公章及法定代表人或委托人签字）</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在____年____月____日____时____分前不得开启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2.截止期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2.1供应商应在磋商公告中规定的截止日期和时间内，将磋商响应文件递交至磋商公告中规定的地址。</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2.2采购单位有权按本须知的规定，通过修改磋商文件延长磋商响应文件递交的截止日期。在此情况下，采购单位和供应商受截止期制约的所有权利和义务均应延长至新的截止期。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2.3采购代理机构将拒绝并原封退回在本须知规定的截止期后收到的任何磋商响应文件。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3.磋商响应文件的修改与撤回</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3.1磋商响应文件递交以后，如果供应商提出书面修改或撤标要求，在磋商响应文件递交截止时间前送达磋商公告中规定的地点的，采购代理机构将予以接受。</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3.2供应商对磋商响应文件的修改或撤回通知应按本须知规定编制、密封、标记和发送。</w:t>
      </w:r>
    </w:p>
    <w:p>
      <w:pPr>
        <w:spacing w:line="360" w:lineRule="auto"/>
        <w:ind w:firstLine="420" w:firstLineChars="200"/>
        <w:rPr>
          <w:rFonts w:hint="eastAsia" w:ascii="宋体" w:hAnsi="宋体" w:cs="宋体"/>
          <w:b/>
          <w:bCs/>
          <w:color w:val="auto"/>
          <w:szCs w:val="21"/>
          <w:highlight w:val="none"/>
        </w:rPr>
      </w:pPr>
      <w:r>
        <w:rPr>
          <w:rFonts w:hint="eastAsia" w:ascii="宋体" w:hAnsi="宋体" w:cs="宋体"/>
          <w:color w:val="auto"/>
          <w:szCs w:val="21"/>
          <w:highlight w:val="none"/>
        </w:rPr>
        <w:t>3.3在截止期之后，供应商不得对其磋商响应文件做任何修改。</w:t>
      </w:r>
    </w:p>
    <w:p>
      <w:pPr>
        <w:spacing w:line="480" w:lineRule="auto"/>
        <w:ind w:firstLine="422" w:firstLineChars="200"/>
        <w:jc w:val="center"/>
        <w:rPr>
          <w:rFonts w:hint="eastAsia" w:ascii="宋体" w:hAnsi="宋体" w:cs="宋体"/>
          <w:b/>
          <w:bCs/>
          <w:color w:val="auto"/>
          <w:szCs w:val="21"/>
          <w:highlight w:val="none"/>
        </w:rPr>
      </w:pPr>
      <w:r>
        <w:rPr>
          <w:rFonts w:hint="eastAsia" w:ascii="宋体" w:hAnsi="宋体" w:cs="宋体"/>
          <w:b/>
          <w:bCs/>
          <w:color w:val="auto"/>
          <w:szCs w:val="21"/>
          <w:highlight w:val="none"/>
        </w:rPr>
        <w:t>第五部分  磋商响应文件的评审</w:t>
      </w:r>
    </w:p>
    <w:p>
      <w:pPr>
        <w:numPr>
          <w:ilvl w:val="0"/>
          <w:numId w:val="5"/>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组建磋商小组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磋商小组根据采购内容的特点进行组建，并负责评审磋商工作。磋商小组的构成及抽取方式详见供应商须知前附表。</w:t>
      </w:r>
    </w:p>
    <w:p>
      <w:pPr>
        <w:numPr>
          <w:ilvl w:val="0"/>
          <w:numId w:val="5"/>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磋商响应文件的初审与澄清</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响应文件的初审分为形式评审、资格评审和响应性评审。形式、资格、响应性评审依据法律、法规和磋商文件的规定，对磋商响应文件中的资格证明、磋商保证金等进行审查，以确定供应商是否具备报价资格。评审标准详见《磋商评审细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3.磋商响应文件的澄清</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在评审期间，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3.2澄清文件将作为磋商响应文件内容的一部分。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4.比较与评价</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4.1经审查合格的磋商响应文件。</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4.1.1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变动磋商文件中的其他内容。实质性变动的内容，须经采购人代表确认。</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4.1.2对磋商文件作出的实质性变动是磋商文件的有效组成部分，磋商小组将及时以书面形式同时通知所有参加磋商的供应商。</w:t>
      </w:r>
    </w:p>
    <w:p>
      <w:pPr>
        <w:widowControl/>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4.1.3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4.1.4磋商结束后，磋商小组将要求所有实质性响应的供应商在规定时间内提交最后报价，提交最后报价的供应商不得少于3家。最后报价是供应商响应文件的有效组成部分。</w:t>
      </w:r>
    </w:p>
    <w:p>
      <w:pPr>
        <w:widowControl/>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4.1.5已提交响应文件的供应商，在提交最后报价之前，可以根据磋商情况退出磋商。采购人、采购代理机构将退还退出磋商的供应商的磋商保证金。</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4.1.6经磋商确定最终采购需求和提交最后报价的供应商后，由磋商小组采用综合评分法对提交最后报价的供应商的响应文件和最后报价进行综合评分。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4.2评审严格按照磋商文件的要求和条件进行。评审时将考虑以下因素：</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供应商能力；</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报价的合理性；</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方案实施能力； </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商务响应；</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技术响应。</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4.3本次评审将采用下列方法：</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详见评分标准。</w:t>
      </w:r>
    </w:p>
    <w:p>
      <w:pPr>
        <w:numPr>
          <w:ilvl w:val="0"/>
          <w:numId w:val="7"/>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评审过程及保密原则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5.1磋商响应文件递交后，直接授予成交供应商合同止，凡与本次采购有关人员对属于审查、澄清、评价和比较报价的有关资料以及授标意向等，均不得向供应商或其他无关的人员透露。</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rPr>
        <w:t>5.2在磋商评审期间，供应商试图影响采购单位和磋商小组的任何活动，将导致其报价被拒绝，并</w:t>
      </w:r>
      <w:r>
        <w:rPr>
          <w:rFonts w:hint="eastAsia" w:ascii="宋体" w:hAnsi="宋体" w:eastAsia="宋体" w:cs="宋体"/>
          <w:color w:val="auto"/>
          <w:szCs w:val="21"/>
          <w:highlight w:val="none"/>
        </w:rPr>
        <w:t>承担相应的法律责任。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本项目采用综合评分法，评审标准详见附表《磋商评审细则》，评审时磋商小组将严格按评审细则中的分值设置与评审因素进行量化打分。磋商文件中没有规定的评审标准不得作为评审依据。评审时，磋商小组各成员独立对每个有效响应的文件进行评价、打分，然后汇总每个供应商每项评分因素的得</w:t>
      </w:r>
      <w:r>
        <w:rPr>
          <w:rFonts w:hint="eastAsia" w:ascii="宋体" w:hAnsi="宋体" w:eastAsia="宋体" w:cs="宋体"/>
          <w:color w:val="auto"/>
          <w:szCs w:val="21"/>
          <w:highlight w:val="none"/>
        </w:rPr>
        <w:t>分。</w:t>
      </w:r>
    </w:p>
    <w:p>
      <w:pPr>
        <w:spacing w:line="360" w:lineRule="auto"/>
        <w:ind w:firstLine="420" w:firstLineChars="200"/>
        <w:rPr>
          <w:rFonts w:hint="eastAsia" w:ascii="宋体" w:hAnsi="宋体" w:cs="宋体"/>
          <w:color w:val="auto"/>
          <w:szCs w:val="21"/>
          <w:highlight w:val="none"/>
        </w:rPr>
      </w:pPr>
      <w:r>
        <w:rPr>
          <w:rFonts w:hint="eastAsia" w:ascii="宋体" w:hAnsi="宋体" w:eastAsia="宋体" w:cs="宋体"/>
          <w:color w:val="auto"/>
          <w:szCs w:val="21"/>
          <w:highlight w:val="none"/>
        </w:rPr>
        <w:t>7.磋商小组根据综合评分情况，按照评审得分由高到低顺序推荐3名成交候选供应商，并编写评审报告。评审得分相同的，按照最后报</w:t>
      </w:r>
      <w:r>
        <w:rPr>
          <w:rFonts w:hint="eastAsia" w:ascii="宋体" w:hAnsi="宋体" w:cs="宋体"/>
          <w:color w:val="auto"/>
          <w:szCs w:val="21"/>
          <w:highlight w:val="none"/>
        </w:rPr>
        <w:t>价由低到高的顺序推荐。评审得分且最后报价相同的，按照技术部分优劣顺序推荐。</w:t>
      </w:r>
    </w:p>
    <w:p>
      <w:pPr>
        <w:autoSpaceDE w:val="0"/>
        <w:autoSpaceDN w:val="0"/>
        <w:adjustRightInd w:val="0"/>
        <w:spacing w:line="360" w:lineRule="auto"/>
        <w:ind w:firstLine="420" w:firstLineChars="200"/>
        <w:jc w:val="left"/>
        <w:rPr>
          <w:rFonts w:hint="eastAsia" w:ascii="宋体" w:hAnsi="宋体" w:cs="宋体"/>
          <w:bCs/>
          <w:color w:val="auto"/>
          <w:szCs w:val="21"/>
          <w:highlight w:val="none"/>
        </w:rPr>
      </w:pPr>
      <w:r>
        <w:rPr>
          <w:rFonts w:hint="eastAsia" w:ascii="宋体" w:hAnsi="宋体" w:cs="宋体"/>
          <w:color w:val="auto"/>
          <w:szCs w:val="21"/>
          <w:highlight w:val="none"/>
        </w:rPr>
        <w:t>8.</w:t>
      </w:r>
      <w:r>
        <w:rPr>
          <w:rFonts w:hint="eastAsia" w:ascii="宋体" w:hAnsi="宋体" w:cs="宋体"/>
          <w:bCs/>
          <w:color w:val="auto"/>
          <w:szCs w:val="21"/>
          <w:highlight w:val="none"/>
        </w:rPr>
        <w:t>原则上推荐排名位于第一名的成交候选人为中标人。若排名第一的成交候选人放弃中标、因不可抗力提出不能履行合同或竞争性磋规定应当提交履约保证金而在规定的期限内未能提交的，</w:t>
      </w:r>
      <w:r>
        <w:rPr>
          <w:rFonts w:hint="eastAsia" w:ascii="宋体" w:hAnsi="宋体" w:cs="宋体"/>
          <w:color w:val="auto"/>
          <w:szCs w:val="21"/>
          <w:highlight w:val="none"/>
        </w:rPr>
        <w:t>采购</w:t>
      </w:r>
      <w:r>
        <w:rPr>
          <w:rFonts w:hint="eastAsia" w:ascii="宋体" w:hAnsi="宋体" w:cs="宋体"/>
          <w:bCs/>
          <w:color w:val="auto"/>
          <w:szCs w:val="21"/>
          <w:highlight w:val="none"/>
        </w:rPr>
        <w:t>人有权选择重新招标，或者</w:t>
      </w:r>
      <w:r>
        <w:rPr>
          <w:rFonts w:hint="eastAsia" w:ascii="宋体" w:hAnsi="宋体" w:cs="宋体"/>
          <w:color w:val="auto"/>
          <w:szCs w:val="21"/>
          <w:highlight w:val="none"/>
        </w:rPr>
        <w:t>采购</w:t>
      </w:r>
      <w:r>
        <w:rPr>
          <w:rFonts w:hint="eastAsia" w:ascii="宋体" w:hAnsi="宋体" w:cs="宋体"/>
          <w:bCs/>
          <w:color w:val="auto"/>
          <w:szCs w:val="21"/>
          <w:highlight w:val="none"/>
        </w:rPr>
        <w:t>人确定排名第二的成交候选人为中标人，以此类推。</w:t>
      </w:r>
    </w:p>
    <w:p>
      <w:pPr>
        <w:autoSpaceDE w:val="0"/>
        <w:autoSpaceDN w:val="0"/>
        <w:adjustRightInd w:val="0"/>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9.磋商小组完成评审后，应当向</w:t>
      </w:r>
      <w:r>
        <w:rPr>
          <w:rFonts w:hint="eastAsia" w:ascii="宋体" w:hAnsi="宋体" w:cs="宋体"/>
          <w:color w:val="auto"/>
          <w:szCs w:val="21"/>
          <w:highlight w:val="none"/>
        </w:rPr>
        <w:t>采购</w:t>
      </w:r>
      <w:r>
        <w:rPr>
          <w:rFonts w:hint="eastAsia" w:ascii="宋体" w:hAnsi="宋体" w:cs="宋体"/>
          <w:bCs/>
          <w:color w:val="auto"/>
          <w:szCs w:val="21"/>
          <w:highlight w:val="none"/>
        </w:rPr>
        <w:t>人提交书面评审报告。</w:t>
      </w:r>
    </w:p>
    <w:p>
      <w:pPr>
        <w:rPr>
          <w:rFonts w:hint="eastAsia" w:ascii="宋体" w:hAnsi="宋体" w:cs="宋体"/>
          <w:bCs/>
          <w:color w:val="auto"/>
          <w:szCs w:val="21"/>
          <w:highlight w:val="none"/>
        </w:rPr>
      </w:pPr>
      <w:r>
        <w:rPr>
          <w:rFonts w:hint="eastAsia" w:ascii="宋体" w:hAnsi="宋体" w:cs="宋体"/>
          <w:bCs/>
          <w:color w:val="auto"/>
          <w:szCs w:val="21"/>
          <w:highlight w:val="none"/>
        </w:rPr>
        <w:br w:type="page"/>
      </w:r>
    </w:p>
    <w:p>
      <w:pPr>
        <w:widowControl/>
        <w:jc w:val="center"/>
        <w:outlineLvl w:val="0"/>
        <w:rPr>
          <w:b/>
          <w:color w:val="auto"/>
          <w:sz w:val="36"/>
          <w:szCs w:val="36"/>
          <w:highlight w:val="none"/>
        </w:rPr>
      </w:pPr>
      <w:bookmarkStart w:id="44" w:name="_Toc31347"/>
      <w:bookmarkStart w:id="45" w:name="_Toc26001"/>
      <w:r>
        <w:rPr>
          <w:rFonts w:hint="eastAsia"/>
          <w:b/>
          <w:color w:val="auto"/>
          <w:sz w:val="36"/>
          <w:szCs w:val="36"/>
          <w:highlight w:val="none"/>
        </w:rPr>
        <w:t xml:space="preserve">第三章  </w:t>
      </w:r>
      <w:bookmarkEnd w:id="44"/>
      <w:r>
        <w:rPr>
          <w:rFonts w:hint="eastAsia"/>
          <w:b/>
          <w:color w:val="auto"/>
          <w:sz w:val="36"/>
          <w:szCs w:val="36"/>
          <w:highlight w:val="none"/>
        </w:rPr>
        <w:t>评标方法（综合评分法）</w:t>
      </w:r>
      <w:bookmarkEnd w:id="45"/>
    </w:p>
    <w:p>
      <w:pPr>
        <w:pStyle w:val="12"/>
        <w:bidi w:val="0"/>
        <w:ind w:left="0" w:leftChars="0" w:firstLine="0" w:firstLineChars="0"/>
        <w:jc w:val="center"/>
        <w:rPr>
          <w:rFonts w:hint="eastAsia"/>
          <w:sz w:val="28"/>
          <w:szCs w:val="28"/>
          <w:highlight w:val="none"/>
        </w:rPr>
      </w:pPr>
      <w:bookmarkStart w:id="46" w:name="_Toc21317"/>
      <w:bookmarkStart w:id="47" w:name="_Toc11048"/>
      <w:bookmarkStart w:id="48" w:name="_Toc6955"/>
      <w:r>
        <w:rPr>
          <w:rFonts w:hint="eastAsia"/>
          <w:sz w:val="28"/>
          <w:szCs w:val="28"/>
          <w:highlight w:val="none"/>
        </w:rPr>
        <w:t>评标方法前附表</w:t>
      </w:r>
      <w:bookmarkEnd w:id="46"/>
      <w:r>
        <w:rPr>
          <w:rFonts w:hint="eastAsia"/>
          <w:sz w:val="28"/>
          <w:szCs w:val="28"/>
          <w:highlight w:val="none"/>
        </w:rPr>
        <w:t>（一）</w:t>
      </w:r>
      <w:bookmarkEnd w:id="47"/>
      <w:bookmarkEnd w:id="48"/>
    </w:p>
    <w:p>
      <w:pPr>
        <w:bidi w:val="0"/>
        <w:jc w:val="center"/>
        <w:rPr>
          <w:rFonts w:hint="eastAsia"/>
          <w:sz w:val="28"/>
          <w:szCs w:val="28"/>
          <w:highlight w:val="none"/>
        </w:rPr>
      </w:pPr>
      <w:r>
        <w:rPr>
          <w:rFonts w:hint="eastAsia"/>
          <w:sz w:val="28"/>
          <w:szCs w:val="28"/>
          <w:highlight w:val="none"/>
        </w:rPr>
        <w:t>资格审查表</w:t>
      </w:r>
    </w:p>
    <w:tbl>
      <w:tblPr>
        <w:tblStyle w:val="2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456"/>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6"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2456"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评审因素</w:t>
            </w:r>
          </w:p>
        </w:tc>
        <w:tc>
          <w:tcPr>
            <w:tcW w:w="6124"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06"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1</w:t>
            </w:r>
          </w:p>
        </w:tc>
        <w:tc>
          <w:tcPr>
            <w:tcW w:w="2456"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highlight w:val="none"/>
                <w:lang w:val="zh-CN"/>
              </w:rPr>
              <w:t>营业执照</w:t>
            </w:r>
          </w:p>
        </w:tc>
        <w:tc>
          <w:tcPr>
            <w:tcW w:w="6124" w:type="dxa"/>
            <w:noWrap/>
            <w:vAlign w:val="center"/>
          </w:tcPr>
          <w:p>
            <w:pPr>
              <w:autoSpaceDE w:val="0"/>
              <w:autoSpaceDN w:val="0"/>
              <w:adjustRightInd w:val="0"/>
              <w:snapToGrid w:val="0"/>
              <w:spacing w:line="264" w:lineRule="auto"/>
              <w:rPr>
                <w:rFonts w:hint="eastAsia" w:ascii="宋体" w:hAnsi="宋体" w:cs="宋体"/>
                <w:bCs/>
                <w:color w:val="auto"/>
                <w:szCs w:val="21"/>
                <w:highlight w:val="none"/>
                <w:lang w:val="zh-CN"/>
              </w:rPr>
            </w:pPr>
            <w:r>
              <w:rPr>
                <w:rFonts w:hint="eastAsia" w:ascii="宋体" w:hAnsi="宋体" w:eastAsia="宋体" w:cs="宋体"/>
                <w:highlight w:val="none"/>
                <w:lang w:val="en-US" w:eastAsia="zh-CN"/>
              </w:rPr>
              <w:t>供应商需具备独立承担民事行为能力的法人或其他组织，</w:t>
            </w:r>
            <w:r>
              <w:rPr>
                <w:rFonts w:hint="eastAsia" w:ascii="宋体" w:hAnsi="宋体" w:eastAsia="宋体" w:cs="宋体"/>
                <w:highlight w:val="none"/>
              </w:rPr>
              <w:t>具备有效的营业执照；具有履行合同所必需的设备、资金和专业技术能力</w:t>
            </w:r>
            <w:r>
              <w:rPr>
                <w:rFonts w:hint="eastAsia" w:ascii="宋体" w:hAnsi="宋体" w:cs="宋体"/>
                <w:color w:val="auto"/>
                <w:kern w:val="0"/>
                <w:szCs w:val="21"/>
                <w:highlight w:val="none"/>
                <w:lang w:bidi="ar"/>
              </w:rPr>
              <w:t>，</w:t>
            </w:r>
            <w:r>
              <w:rPr>
                <w:rFonts w:hint="eastAsia" w:ascii="宋体" w:hAnsi="宋体"/>
                <w:b/>
                <w:bCs/>
                <w:color w:val="auto"/>
                <w:kern w:val="0"/>
                <w:highlight w:val="none"/>
              </w:rPr>
              <w:t>响应文件内附营业执复印件加盖公章</w:t>
            </w:r>
            <w:r>
              <w:rPr>
                <w:rFonts w:hint="eastAsia" w:ascii="宋体" w:hAnsi="宋体" w:eastAsia="宋体" w:cs="宋体"/>
                <w:b/>
                <w:bCs/>
                <w:i w:val="0"/>
                <w:iCs w:val="0"/>
                <w:color w:val="auto"/>
                <w:spacing w:val="6"/>
                <w:sz w:val="21"/>
                <w:szCs w:val="21"/>
                <w:highlight w:val="none"/>
                <w:lang w:val="en-US" w:eastAsia="zh-CN" w:bidi="ar-SA"/>
              </w:rPr>
              <w:t>（联合体投标均需提供）</w:t>
            </w:r>
            <w:r>
              <w:rPr>
                <w:rFonts w:hint="eastAsia" w:ascii="宋体" w:hAnsi="宋体"/>
                <w:b/>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06"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2</w:t>
            </w:r>
          </w:p>
        </w:tc>
        <w:tc>
          <w:tcPr>
            <w:tcW w:w="2456" w:type="dxa"/>
            <w:noWrap/>
            <w:vAlign w:val="center"/>
          </w:tcPr>
          <w:p>
            <w:pPr>
              <w:autoSpaceDE w:val="0"/>
              <w:autoSpaceDN w:val="0"/>
              <w:adjustRightInd w:val="0"/>
              <w:snapToGrid w:val="0"/>
              <w:spacing w:line="264" w:lineRule="auto"/>
              <w:jc w:val="center"/>
              <w:rPr>
                <w:rFonts w:ascii="宋体" w:hAnsi="宋体" w:cs="宋体"/>
                <w:bCs/>
                <w:color w:val="auto"/>
                <w:highlight w:val="none"/>
              </w:rPr>
            </w:pPr>
            <w:r>
              <w:rPr>
                <w:rFonts w:hint="eastAsia" w:ascii="宋体" w:hAnsi="宋体" w:cs="宋体"/>
                <w:bCs/>
                <w:color w:val="auto"/>
                <w:highlight w:val="none"/>
              </w:rPr>
              <w:t>资质证书</w:t>
            </w:r>
          </w:p>
        </w:tc>
        <w:tc>
          <w:tcPr>
            <w:tcW w:w="6124" w:type="dxa"/>
            <w:noWrap/>
            <w:vAlign w:val="center"/>
          </w:tcPr>
          <w:p>
            <w:pPr>
              <w:autoSpaceDE w:val="0"/>
              <w:autoSpaceDN w:val="0"/>
              <w:adjustRightInd w:val="0"/>
              <w:snapToGrid w:val="0"/>
              <w:spacing w:line="264" w:lineRule="auto"/>
              <w:rPr>
                <w:rFonts w:hint="eastAsia" w:ascii="宋体" w:hAnsi="宋体" w:cs="宋体"/>
                <w:color w:val="auto"/>
                <w:szCs w:val="21"/>
                <w:highlight w:val="none"/>
              </w:rPr>
            </w:pPr>
            <w:r>
              <w:rPr>
                <w:rFonts w:hint="eastAsia" w:ascii="宋体" w:hAnsi="宋体" w:eastAsia="宋体" w:cs="宋体"/>
                <w:bCs/>
                <w:color w:val="auto"/>
                <w:szCs w:val="21"/>
                <w:highlight w:val="none"/>
              </w:rPr>
              <w:t>供应商需具备建设行政主管部门核发的建筑装修装饰工程专业承包贰级及以上资质、电子与智能化专业承包贰级及以上资质（注：电子版证书与纸质版原件具有同等效力）</w:t>
            </w:r>
            <w:r>
              <w:rPr>
                <w:rFonts w:hint="eastAsia" w:ascii="宋体" w:hAnsi="宋体" w:cs="宋体"/>
                <w:color w:val="auto"/>
                <w:szCs w:val="21"/>
                <w:highlight w:val="none"/>
              </w:rPr>
              <w:t>，</w:t>
            </w:r>
            <w:r>
              <w:rPr>
                <w:rFonts w:hint="eastAsia" w:ascii="宋体" w:hAnsi="宋体"/>
                <w:b/>
                <w:bCs/>
                <w:color w:val="auto"/>
                <w:kern w:val="0"/>
                <w:highlight w:val="none"/>
              </w:rPr>
              <w:t>响应文件内附资质证书复印件加盖公章</w:t>
            </w:r>
            <w:r>
              <w:rPr>
                <w:rFonts w:hint="eastAsia" w:ascii="宋体" w:hAnsi="宋体" w:eastAsia="宋体" w:cs="宋体"/>
                <w:b/>
                <w:bCs/>
                <w:i w:val="0"/>
                <w:iCs w:val="0"/>
                <w:color w:val="auto"/>
                <w:spacing w:val="6"/>
                <w:sz w:val="21"/>
                <w:szCs w:val="21"/>
                <w:highlight w:val="none"/>
                <w:lang w:val="en-US" w:eastAsia="zh-CN" w:bidi="ar-SA"/>
              </w:rPr>
              <w:t>（联合体投标均需提供）</w:t>
            </w:r>
            <w:r>
              <w:rPr>
                <w:rFonts w:hint="eastAsia" w:ascii="宋体" w:hAnsi="宋体"/>
                <w:b/>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06"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3</w:t>
            </w:r>
          </w:p>
        </w:tc>
        <w:tc>
          <w:tcPr>
            <w:tcW w:w="2456" w:type="dxa"/>
            <w:noWrap/>
            <w:vAlign w:val="center"/>
          </w:tcPr>
          <w:p>
            <w:pPr>
              <w:autoSpaceDE w:val="0"/>
              <w:autoSpaceDN w:val="0"/>
              <w:adjustRightInd w:val="0"/>
              <w:snapToGrid w:val="0"/>
              <w:spacing w:line="264" w:lineRule="auto"/>
              <w:jc w:val="center"/>
              <w:rPr>
                <w:rFonts w:hint="eastAsia" w:ascii="宋体" w:hAnsi="宋体" w:cs="宋体"/>
                <w:bCs/>
                <w:color w:val="auto"/>
                <w:highlight w:val="none"/>
                <w:lang w:val="zh-CN"/>
              </w:rPr>
            </w:pPr>
            <w:r>
              <w:rPr>
                <w:rFonts w:hint="eastAsia" w:ascii="宋体" w:hAnsi="宋体" w:cs="宋体"/>
                <w:color w:val="auto"/>
                <w:szCs w:val="21"/>
                <w:highlight w:val="none"/>
              </w:rPr>
              <w:t>安全生产许可证</w:t>
            </w:r>
          </w:p>
        </w:tc>
        <w:tc>
          <w:tcPr>
            <w:tcW w:w="6124" w:type="dxa"/>
            <w:noWrap/>
            <w:vAlign w:val="center"/>
          </w:tcPr>
          <w:p>
            <w:pPr>
              <w:autoSpaceDE w:val="0"/>
              <w:autoSpaceDN w:val="0"/>
              <w:adjustRightInd w:val="0"/>
              <w:snapToGrid w:val="0"/>
              <w:spacing w:line="264" w:lineRule="auto"/>
              <w:rPr>
                <w:rFonts w:hint="eastAsia" w:ascii="宋体" w:hAnsi="宋体" w:cs="宋体"/>
                <w:color w:val="auto"/>
                <w:szCs w:val="21"/>
                <w:highlight w:val="none"/>
              </w:rPr>
            </w:pPr>
            <w:r>
              <w:rPr>
                <w:rFonts w:hint="eastAsia" w:ascii="宋体" w:hAnsi="宋体" w:eastAsia="宋体" w:cs="宋体"/>
                <w:highlight w:val="none"/>
                <w:lang w:val="en-US" w:eastAsia="zh-CN"/>
              </w:rPr>
              <w:t>供应商需具备有效的安全生产许可证（注：电子版证书与纸质版原件具有同等效力）</w:t>
            </w:r>
            <w:r>
              <w:rPr>
                <w:rFonts w:hint="eastAsia" w:ascii="宋体" w:hAnsi="宋体" w:cs="宋体"/>
                <w:color w:val="auto"/>
                <w:szCs w:val="21"/>
                <w:highlight w:val="none"/>
              </w:rPr>
              <w:t>，</w:t>
            </w:r>
            <w:r>
              <w:rPr>
                <w:rFonts w:hint="eastAsia" w:ascii="宋体" w:hAnsi="宋体"/>
                <w:b/>
                <w:bCs/>
                <w:color w:val="auto"/>
                <w:kern w:val="0"/>
                <w:highlight w:val="none"/>
              </w:rPr>
              <w:t>响应文件内附安全生产许可证复印件加盖公章</w:t>
            </w:r>
            <w:r>
              <w:rPr>
                <w:rFonts w:hint="eastAsia" w:ascii="宋体" w:hAnsi="宋体" w:eastAsia="宋体" w:cs="宋体"/>
                <w:b/>
                <w:bCs/>
                <w:i w:val="0"/>
                <w:iCs w:val="0"/>
                <w:color w:val="auto"/>
                <w:spacing w:val="6"/>
                <w:sz w:val="21"/>
                <w:szCs w:val="21"/>
                <w:highlight w:val="none"/>
                <w:lang w:val="en-US" w:eastAsia="zh-CN" w:bidi="ar-SA"/>
              </w:rPr>
              <w:t>（联合体投标均需提供）</w:t>
            </w:r>
            <w:r>
              <w:rPr>
                <w:rFonts w:hint="eastAsia" w:ascii="宋体" w:hAnsi="宋体"/>
                <w:b/>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06"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4</w:t>
            </w:r>
          </w:p>
        </w:tc>
        <w:tc>
          <w:tcPr>
            <w:tcW w:w="2456" w:type="dxa"/>
            <w:noWrap/>
            <w:vAlign w:val="center"/>
          </w:tcPr>
          <w:p>
            <w:pPr>
              <w:autoSpaceDE w:val="0"/>
              <w:autoSpaceDN w:val="0"/>
              <w:adjustRightInd w:val="0"/>
              <w:snapToGrid w:val="0"/>
              <w:spacing w:line="264" w:lineRule="auto"/>
              <w:jc w:val="center"/>
              <w:rPr>
                <w:rFonts w:hint="eastAsia" w:ascii="宋体" w:hAnsi="宋体" w:eastAsia="宋体" w:cs="宋体"/>
                <w:bCs/>
                <w:color w:val="auto"/>
                <w:highlight w:val="none"/>
                <w:lang w:eastAsia="zh-CN"/>
              </w:rPr>
            </w:pPr>
            <w:r>
              <w:rPr>
                <w:rFonts w:hint="eastAsia" w:ascii="宋体" w:hAnsi="宋体" w:cs="宋体"/>
                <w:bCs/>
                <w:color w:val="auto"/>
                <w:highlight w:val="none"/>
              </w:rPr>
              <w:t>项目</w:t>
            </w:r>
            <w:r>
              <w:rPr>
                <w:rFonts w:hint="eastAsia" w:ascii="宋体" w:hAnsi="宋体" w:cs="宋体"/>
                <w:bCs/>
                <w:color w:val="auto"/>
                <w:highlight w:val="none"/>
                <w:lang w:val="en-US" w:eastAsia="zh-CN"/>
              </w:rPr>
              <w:t>经理</w:t>
            </w:r>
          </w:p>
        </w:tc>
        <w:tc>
          <w:tcPr>
            <w:tcW w:w="6124" w:type="dxa"/>
            <w:noWrap/>
            <w:vAlign w:val="center"/>
          </w:tcPr>
          <w:p>
            <w:pPr>
              <w:autoSpaceDE w:val="0"/>
              <w:autoSpaceDN w:val="0"/>
              <w:adjustRightInd w:val="0"/>
              <w:snapToGrid w:val="0"/>
              <w:spacing w:line="264" w:lineRule="auto"/>
              <w:rPr>
                <w:rFonts w:ascii="宋体" w:hAnsi="宋体" w:cs="宋体"/>
                <w:color w:val="auto"/>
                <w:kern w:val="0"/>
                <w:szCs w:val="21"/>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lang w:val="zh-CN" w:eastAsia="zh-CN"/>
              </w:rPr>
              <w:t>拟派</w:t>
            </w:r>
            <w:r>
              <w:rPr>
                <w:rFonts w:hint="eastAsia" w:ascii="宋体" w:hAnsi="宋体" w:eastAsia="宋体" w:cs="宋体"/>
                <w:highlight w:val="none"/>
                <w:lang w:val="en-US" w:eastAsia="zh-CN"/>
              </w:rPr>
              <w:t>项目负责人</w:t>
            </w:r>
            <w:r>
              <w:rPr>
                <w:rFonts w:hint="eastAsia" w:ascii="宋体" w:hAnsi="宋体" w:eastAsia="宋体" w:cs="宋体"/>
                <w:highlight w:val="none"/>
                <w:lang w:val="zh-CN" w:eastAsia="zh-CN"/>
              </w:rPr>
              <w:t>须具备</w:t>
            </w:r>
            <w:r>
              <w:rPr>
                <w:rFonts w:hint="eastAsia" w:ascii="宋体" w:hAnsi="宋体" w:eastAsia="宋体" w:cs="宋体"/>
                <w:highlight w:val="none"/>
                <w:lang w:val="en-US" w:eastAsia="zh-CN"/>
              </w:rPr>
              <w:t>建筑工程专业</w:t>
            </w:r>
            <w:r>
              <w:rPr>
                <w:rFonts w:hint="eastAsia" w:ascii="宋体" w:hAnsi="宋体" w:cs="宋体"/>
                <w:highlight w:val="none"/>
                <w:lang w:val="en-US" w:eastAsia="zh-CN"/>
              </w:rPr>
              <w:t>二</w:t>
            </w:r>
            <w:r>
              <w:rPr>
                <w:rFonts w:hint="eastAsia" w:ascii="宋体" w:hAnsi="宋体" w:eastAsia="宋体" w:cs="宋体"/>
                <w:highlight w:val="none"/>
                <w:lang w:val="zh-CN" w:eastAsia="zh-CN"/>
              </w:rPr>
              <w:t>级注册建造师资格，同时具备有效的安全生产考核合格证书</w:t>
            </w:r>
            <w:r>
              <w:rPr>
                <w:rFonts w:hint="eastAsia" w:ascii="宋体" w:hAnsi="宋体"/>
                <w:highlight w:val="none"/>
                <w:lang w:eastAsia="zh-CN"/>
              </w:rPr>
              <w:t>（</w:t>
            </w:r>
            <w:r>
              <w:rPr>
                <w:rFonts w:hint="eastAsia" w:ascii="宋体" w:hAnsi="宋体"/>
                <w:highlight w:val="none"/>
                <w:lang w:val="en-US" w:eastAsia="zh-CN"/>
              </w:rPr>
              <w:t>B类</w:t>
            </w:r>
            <w:r>
              <w:rPr>
                <w:rFonts w:hint="eastAsia" w:ascii="宋体" w:hAnsi="宋体"/>
                <w:highlight w:val="none"/>
                <w:lang w:eastAsia="zh-CN"/>
              </w:rPr>
              <w:t>）</w:t>
            </w:r>
            <w:r>
              <w:rPr>
                <w:rFonts w:hint="eastAsia" w:ascii="宋体" w:hAnsi="宋体" w:eastAsia="宋体" w:cs="宋体"/>
                <w:highlight w:val="none"/>
                <w:lang w:val="zh-CN" w:eastAsia="zh-CN"/>
              </w:rPr>
              <w:t>，提供</w:t>
            </w:r>
            <w:r>
              <w:rPr>
                <w:rFonts w:hint="eastAsia" w:ascii="宋体" w:hAnsi="宋体" w:eastAsia="宋体" w:cs="宋体"/>
                <w:highlight w:val="none"/>
                <w:lang w:val="en-US" w:eastAsia="zh-CN"/>
              </w:rPr>
              <w:t>磋商</w:t>
            </w:r>
            <w:r>
              <w:rPr>
                <w:rFonts w:hint="eastAsia" w:ascii="宋体" w:hAnsi="宋体" w:eastAsia="宋体" w:cs="宋体"/>
                <w:highlight w:val="none"/>
                <w:lang w:val="zh-CN" w:eastAsia="zh-CN"/>
              </w:rPr>
              <w:t>公告发布月份前在本单位缴纳至少连续六个月</w:t>
            </w:r>
            <w:r>
              <w:rPr>
                <w:rFonts w:hint="eastAsia" w:ascii="宋体" w:hAnsi="宋体" w:eastAsia="宋体" w:cs="宋体"/>
                <w:highlight w:val="none"/>
                <w:lang w:val="en-US" w:eastAsia="zh-CN"/>
              </w:rPr>
              <w:t>的</w:t>
            </w:r>
            <w:r>
              <w:rPr>
                <w:rFonts w:hint="eastAsia" w:ascii="宋体" w:hAnsi="宋体" w:eastAsia="宋体" w:cs="宋体"/>
                <w:highlight w:val="none"/>
                <w:lang w:val="zh-CN" w:eastAsia="zh-CN"/>
              </w:rPr>
              <w:t>社保证明</w:t>
            </w:r>
            <w:r>
              <w:rPr>
                <w:rFonts w:hint="eastAsia" w:ascii="宋体" w:hAnsi="宋体" w:cs="宋体"/>
                <w:highlight w:val="none"/>
                <w:lang w:val="zh-CN" w:eastAsia="zh-CN"/>
              </w:rPr>
              <w:t>（</w:t>
            </w:r>
            <w:r>
              <w:rPr>
                <w:rFonts w:hint="eastAsia" w:ascii="宋体" w:hAnsi="宋体" w:cs="宋体"/>
                <w:highlight w:val="none"/>
                <w:lang w:val="en-US" w:eastAsia="zh-CN"/>
              </w:rPr>
              <w:t>联合体投标的项目经理必须为联合体牵头人注册人员</w:t>
            </w:r>
            <w:r>
              <w:rPr>
                <w:rFonts w:hint="eastAsia" w:ascii="宋体" w:hAnsi="宋体" w:cs="宋体"/>
                <w:highlight w:val="none"/>
                <w:lang w:val="zh-CN" w:eastAsia="zh-CN"/>
              </w:rPr>
              <w:t>）</w:t>
            </w:r>
            <w:r>
              <w:rPr>
                <w:rFonts w:hint="eastAsia" w:ascii="宋体" w:hAnsi="宋体" w:cs="宋体"/>
                <w:bCs/>
                <w:color w:val="auto"/>
                <w:szCs w:val="21"/>
                <w:highlight w:val="none"/>
                <w:lang w:val="zh-CN"/>
              </w:rPr>
              <w:t>，</w:t>
            </w:r>
            <w:r>
              <w:rPr>
                <w:rFonts w:hint="eastAsia" w:ascii="宋体" w:hAnsi="宋体" w:cs="宋体"/>
                <w:b/>
                <w:bCs/>
                <w:color w:val="auto"/>
                <w:szCs w:val="21"/>
                <w:highlight w:val="none"/>
              </w:rPr>
              <w:t>响应文件内附相关证书</w:t>
            </w:r>
            <w:r>
              <w:rPr>
                <w:rFonts w:hint="eastAsia" w:ascii="宋体" w:hAnsi="宋体" w:eastAsia="宋体" w:cs="宋体"/>
                <w:b/>
                <w:bCs/>
                <w:color w:val="auto"/>
                <w:szCs w:val="21"/>
                <w:highlight w:val="none"/>
                <w:lang w:val="en-US" w:eastAsia="zh-CN"/>
              </w:rPr>
              <w:t>及</w:t>
            </w:r>
            <w:r>
              <w:rPr>
                <w:rFonts w:hint="eastAsia" w:ascii="宋体" w:hAnsi="宋体" w:eastAsia="宋体" w:cs="宋体"/>
                <w:b/>
                <w:bCs/>
                <w:color w:val="auto"/>
                <w:szCs w:val="21"/>
                <w:highlight w:val="none"/>
              </w:rPr>
              <w:t>社保证明复印件加</w:t>
            </w:r>
            <w:r>
              <w:rPr>
                <w:rFonts w:hint="eastAsia" w:ascii="宋体" w:hAnsi="宋体" w:cs="宋体"/>
                <w:b/>
                <w:bCs/>
                <w:color w:val="auto"/>
                <w:szCs w:val="21"/>
                <w:highlight w:val="none"/>
              </w:rPr>
              <w:t>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6"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5</w:t>
            </w:r>
          </w:p>
        </w:tc>
        <w:tc>
          <w:tcPr>
            <w:tcW w:w="2456" w:type="dxa"/>
            <w:noWrap/>
            <w:vAlign w:val="center"/>
          </w:tcPr>
          <w:p>
            <w:pPr>
              <w:spacing w:line="400" w:lineRule="exact"/>
              <w:ind w:firstLine="189" w:firstLineChars="90"/>
              <w:jc w:val="center"/>
              <w:rPr>
                <w:rFonts w:hint="eastAsia" w:ascii="宋体" w:hAnsi="宋体" w:cs="宋体"/>
                <w:bCs/>
                <w:color w:val="auto"/>
                <w:szCs w:val="21"/>
                <w:highlight w:val="none"/>
              </w:rPr>
            </w:pPr>
            <w:r>
              <w:rPr>
                <w:rFonts w:hint="eastAsia" w:ascii="宋体" w:hAnsi="宋体" w:cs="宋体"/>
                <w:color w:val="auto"/>
                <w:szCs w:val="21"/>
                <w:highlight w:val="none"/>
              </w:rPr>
              <w:t>其他资格要求</w:t>
            </w:r>
          </w:p>
        </w:tc>
        <w:tc>
          <w:tcPr>
            <w:tcW w:w="6124" w:type="dxa"/>
            <w:noWrap/>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color w:val="auto"/>
                <w:szCs w:val="21"/>
                <w:highlight w:val="none"/>
              </w:rPr>
            </w:pPr>
            <w:r>
              <w:rPr>
                <w:rFonts w:hint="eastAsia" w:ascii="宋体" w:hAnsi="宋体" w:cs="宋体"/>
                <w:color w:val="auto"/>
                <w:szCs w:val="21"/>
                <w:highlight w:val="none"/>
              </w:rPr>
              <w:t>供应商应按照《长春市财政局关于加强政府采购信用体系建设简化供应商资格条件有关事项的通知》（长财采购[2022]2066号）文件要在响应文件中提交反映其财务状况、依法缴纳税收和社保保障资金情况的资格条件承诺函，并对资格条件承诺函有关内容的真实性、有效性、合法性负责</w:t>
            </w:r>
            <w:r>
              <w:rPr>
                <w:rFonts w:hint="default" w:ascii="宋体" w:hAnsi="宋体" w:cs="宋体"/>
                <w:color w:val="auto"/>
                <w:szCs w:val="21"/>
                <w:highlight w:val="none"/>
                <w:lang w:val="en-US"/>
              </w:rPr>
              <w:t>,</w:t>
            </w:r>
            <w:r>
              <w:rPr>
                <w:rFonts w:hint="eastAsia" w:ascii="宋体" w:hAnsi="宋体" w:cs="宋体"/>
                <w:b/>
                <w:bCs/>
                <w:color w:val="auto"/>
                <w:szCs w:val="21"/>
                <w:highlight w:val="none"/>
              </w:rPr>
              <w:t>响应文件内附承诺</w:t>
            </w:r>
            <w:r>
              <w:rPr>
                <w:rFonts w:hint="eastAsia" w:ascii="宋体" w:hAnsi="宋体" w:cs="宋体"/>
                <w:b/>
                <w:bCs/>
                <w:color w:val="auto"/>
                <w:szCs w:val="21"/>
                <w:highlight w:val="none"/>
                <w:lang w:val="en-US" w:eastAsia="zh-CN"/>
              </w:rPr>
              <w:t>书</w:t>
            </w:r>
            <w:r>
              <w:rPr>
                <w:rFonts w:hint="eastAsia" w:ascii="宋体" w:hAnsi="宋体" w:cs="宋体"/>
                <w:b/>
                <w:bCs/>
                <w:color w:val="auto"/>
                <w:szCs w:val="21"/>
                <w:highlight w:val="none"/>
              </w:rPr>
              <w:t>加盖公章</w:t>
            </w:r>
            <w:r>
              <w:rPr>
                <w:rFonts w:hint="eastAsia" w:ascii="宋体" w:hAnsi="宋体" w:eastAsia="宋体" w:cs="宋体"/>
                <w:b/>
                <w:bCs/>
                <w:i w:val="0"/>
                <w:iCs w:val="0"/>
                <w:color w:val="auto"/>
                <w:spacing w:val="6"/>
                <w:sz w:val="21"/>
                <w:szCs w:val="21"/>
                <w:highlight w:val="none"/>
                <w:lang w:val="en-US" w:eastAsia="zh-CN" w:bidi="ar-SA"/>
              </w:rPr>
              <w:t>（联合体投标均需提供）</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06"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6</w:t>
            </w:r>
          </w:p>
        </w:tc>
        <w:tc>
          <w:tcPr>
            <w:tcW w:w="2456" w:type="dxa"/>
            <w:noWrap/>
            <w:vAlign w:val="center"/>
          </w:tcPr>
          <w:p>
            <w:pPr>
              <w:adjustRightInd w:val="0"/>
              <w:snapToGrid w:val="0"/>
              <w:spacing w:line="264" w:lineRule="auto"/>
              <w:jc w:val="center"/>
              <w:rPr>
                <w:rFonts w:hint="eastAsia" w:ascii="宋体" w:hAnsi="宋体" w:cs="宋体"/>
                <w:color w:val="auto"/>
                <w:szCs w:val="21"/>
                <w:highlight w:val="none"/>
              </w:rPr>
            </w:pPr>
            <w:r>
              <w:rPr>
                <w:rFonts w:hint="eastAsia" w:ascii="宋体" w:hAnsi="宋体" w:cs="宋体"/>
                <w:color w:val="auto"/>
                <w:szCs w:val="21"/>
                <w:highlight w:val="none"/>
              </w:rPr>
              <w:t>信誉要求</w:t>
            </w:r>
          </w:p>
          <w:p>
            <w:pPr>
              <w:adjustRightInd w:val="0"/>
              <w:snapToGrid w:val="0"/>
              <w:spacing w:line="264" w:lineRule="auto"/>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（如联合体投标各方均需查询）</w:t>
            </w:r>
          </w:p>
        </w:tc>
        <w:tc>
          <w:tcPr>
            <w:tcW w:w="6124" w:type="dxa"/>
            <w:noWrap/>
            <w:vAlign w:val="center"/>
          </w:tcPr>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（1）拒绝列入政府取消投标资格记录期间的企业或个人投标。</w:t>
            </w:r>
          </w:p>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（2）未被工商行政管理机关在全国企业信用信息公示系统（www.gsxt.gov.cn）中列入严重违法失信企业名单。</w:t>
            </w:r>
          </w:p>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（3）未被中国执行信息公开网（http://zxgk.court.gov.cn）列入失信被执行人名单。</w:t>
            </w:r>
          </w:p>
          <w:p>
            <w:pPr>
              <w:autoSpaceDE w:val="0"/>
              <w:autoSpaceDN w:val="0"/>
              <w:adjustRightInd w:val="0"/>
              <w:snapToGrid w:val="0"/>
              <w:spacing w:line="264"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（4）未被最高人民法院在“信用中国”网站（www.creditchina.gov.cn）列入重大税收违法案件当事人名单。</w:t>
            </w:r>
          </w:p>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（5）在近三年（202</w:t>
            </w:r>
            <w:r>
              <w:rPr>
                <w:rFonts w:hint="eastAsia" w:ascii="宋体" w:hAnsi="宋体" w:eastAsia="宋体" w:cs="宋体"/>
                <w:bCs/>
                <w:color w:val="auto"/>
                <w:szCs w:val="21"/>
                <w:highlight w:val="none"/>
                <w:lang w:val="en-US" w:eastAsia="zh-CN"/>
              </w:rPr>
              <w:t>1</w:t>
            </w:r>
            <w:r>
              <w:rPr>
                <w:rFonts w:hint="eastAsia" w:ascii="宋体" w:hAnsi="宋体" w:eastAsia="宋体" w:cs="宋体"/>
                <w:bCs/>
                <w:color w:val="auto"/>
                <w:szCs w:val="21"/>
                <w:highlight w:val="none"/>
              </w:rPr>
              <w:t>年至今）内供应商或其法定代表人、拟委任的项目经理未在“中国裁判文书网”(wenshu.court.gov.cn）上有行贿犯罪行为。</w:t>
            </w:r>
          </w:p>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（6）未被中国政府采购网(www.ccgp.gov.cn)列入政府采购严重违法失信行为记录名单。</w:t>
            </w:r>
          </w:p>
          <w:p>
            <w:pPr>
              <w:widowControl/>
              <w:spacing w:line="23" w:lineRule="atLeast"/>
              <w:jc w:val="left"/>
              <w:rPr>
                <w:rFonts w:hint="eastAsia" w:ascii="宋体" w:hAnsi="宋体" w:eastAsia="宋体" w:cs="宋体"/>
                <w:color w:val="auto"/>
                <w:szCs w:val="21"/>
                <w:highlight w:val="none"/>
                <w:lang w:val="en-US" w:eastAsia="zh-CN"/>
              </w:rPr>
            </w:pPr>
            <w:r>
              <w:rPr>
                <w:rFonts w:hint="eastAsia" w:ascii="宋体" w:hAnsi="宋体" w:eastAsia="宋体" w:cs="宋体"/>
                <w:b/>
                <w:color w:val="auto"/>
                <w:kern w:val="0"/>
                <w:szCs w:val="21"/>
                <w:highlight w:val="none"/>
                <w:lang w:val="en-US" w:eastAsia="zh-CN"/>
              </w:rPr>
              <w:t>响应文件内</w:t>
            </w:r>
            <w:r>
              <w:rPr>
                <w:rFonts w:hint="default" w:ascii="宋体" w:hAnsi="宋体" w:eastAsia="宋体" w:cs="宋体"/>
                <w:b/>
                <w:color w:val="auto"/>
                <w:kern w:val="0"/>
                <w:szCs w:val="21"/>
                <w:highlight w:val="none"/>
                <w:lang w:val="en-US"/>
              </w:rPr>
              <w:t>（1）</w:t>
            </w:r>
            <w:r>
              <w:rPr>
                <w:rFonts w:hint="eastAsia" w:ascii="宋体" w:hAnsi="宋体" w:cs="宋体"/>
                <w:b/>
                <w:color w:val="auto"/>
                <w:kern w:val="0"/>
                <w:szCs w:val="21"/>
                <w:highlight w:val="none"/>
                <w:lang w:val="en-US" w:eastAsia="zh-CN"/>
              </w:rPr>
              <w:t>附</w:t>
            </w:r>
            <w:r>
              <w:rPr>
                <w:rFonts w:hint="eastAsia" w:ascii="宋体" w:hAnsi="宋体" w:eastAsia="宋体" w:cs="宋体"/>
                <w:b/>
                <w:color w:val="auto"/>
                <w:kern w:val="0"/>
                <w:szCs w:val="21"/>
                <w:highlight w:val="none"/>
              </w:rPr>
              <w:t>由法定代表人或其委托代理人签字并加盖公章的承诺书</w:t>
            </w:r>
            <w:r>
              <w:rPr>
                <w:rFonts w:hint="eastAsia" w:ascii="宋体" w:hAnsi="宋体" w:eastAsia="宋体" w:cs="宋体"/>
                <w:b/>
                <w:color w:val="auto"/>
                <w:kern w:val="0"/>
                <w:szCs w:val="21"/>
                <w:highlight w:val="none"/>
                <w:lang w:eastAsia="zh-CN"/>
              </w:rPr>
              <w:t>，</w:t>
            </w:r>
            <w:r>
              <w:rPr>
                <w:rFonts w:hint="eastAsia" w:ascii="宋体" w:hAnsi="宋体" w:eastAsia="宋体" w:cs="宋体"/>
                <w:b/>
                <w:color w:val="auto"/>
                <w:kern w:val="0"/>
                <w:szCs w:val="21"/>
                <w:highlight w:val="none"/>
              </w:rPr>
              <w:t>（2）</w:t>
            </w:r>
            <w:r>
              <w:rPr>
                <w:rFonts w:hint="eastAsia" w:ascii="宋体" w:hAnsi="宋体" w:eastAsia="宋体" w:cs="宋体"/>
                <w:b/>
                <w:color w:val="auto"/>
                <w:kern w:val="0"/>
                <w:szCs w:val="21"/>
                <w:highlight w:val="none"/>
                <w:lang w:val="en-US" w:eastAsia="zh-CN"/>
              </w:rPr>
              <w:t>至</w:t>
            </w:r>
            <w:r>
              <w:rPr>
                <w:rFonts w:hint="eastAsia" w:ascii="宋体" w:hAnsi="宋体" w:eastAsia="宋体" w:cs="宋体"/>
                <w:b/>
                <w:color w:val="auto"/>
                <w:kern w:val="0"/>
                <w:szCs w:val="21"/>
                <w:highlight w:val="none"/>
              </w:rPr>
              <w:t>（6）</w:t>
            </w:r>
            <w:r>
              <w:rPr>
                <w:rFonts w:hint="eastAsia" w:ascii="宋体" w:hAnsi="宋体" w:cs="宋体"/>
                <w:b/>
                <w:color w:val="auto"/>
                <w:kern w:val="0"/>
                <w:szCs w:val="21"/>
                <w:highlight w:val="none"/>
                <w:lang w:val="en-US" w:eastAsia="zh-CN"/>
              </w:rPr>
              <w:t>附网站</w:t>
            </w:r>
            <w:r>
              <w:rPr>
                <w:rFonts w:hint="eastAsia" w:ascii="宋体" w:hAnsi="宋体" w:eastAsia="宋体" w:cs="宋体"/>
                <w:b/>
                <w:color w:val="auto"/>
                <w:kern w:val="0"/>
                <w:szCs w:val="21"/>
                <w:highlight w:val="none"/>
                <w:lang w:val="en-US" w:eastAsia="zh-CN"/>
              </w:rPr>
              <w:t>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6"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7</w:t>
            </w:r>
          </w:p>
        </w:tc>
        <w:tc>
          <w:tcPr>
            <w:tcW w:w="2456" w:type="dxa"/>
            <w:noWrap/>
            <w:vAlign w:val="center"/>
          </w:tcPr>
          <w:p>
            <w:pPr>
              <w:adjustRightInd w:val="0"/>
              <w:snapToGrid w:val="0"/>
              <w:jc w:val="center"/>
              <w:rPr>
                <w:rFonts w:hint="eastAsia" w:ascii="宋体" w:hAnsi="宋体" w:cs="宋体"/>
                <w:color w:val="auto"/>
                <w:highlight w:val="none"/>
              </w:rPr>
            </w:pPr>
            <w:r>
              <w:rPr>
                <w:rFonts w:hint="eastAsia" w:ascii="宋体" w:hAnsi="宋体" w:cs="宋体"/>
                <w:color w:val="auto"/>
                <w:highlight w:val="none"/>
              </w:rPr>
              <w:t>联合体投标</w:t>
            </w:r>
          </w:p>
        </w:tc>
        <w:tc>
          <w:tcPr>
            <w:tcW w:w="6124" w:type="dxa"/>
            <w:noWrap/>
            <w:vAlign w:val="center"/>
          </w:tcPr>
          <w:p>
            <w:pPr>
              <w:adjustRightInd w:val="0"/>
              <w:snapToGrid w:val="0"/>
              <w:rPr>
                <w:rFonts w:hint="eastAsia" w:ascii="宋体" w:hAnsi="宋体" w:eastAsia="宋体" w:cs="宋体"/>
                <w:b/>
                <w:color w:val="auto"/>
                <w:kern w:val="0"/>
                <w:szCs w:val="21"/>
                <w:highlight w:val="none"/>
                <w:lang w:eastAsia="zh-CN"/>
              </w:rPr>
            </w:pPr>
            <w:r>
              <w:rPr>
                <w:rFonts w:hint="eastAsia" w:ascii="宋体" w:hAnsi="宋体" w:cs="宋体"/>
                <w:bCs/>
                <w:color w:val="auto"/>
                <w:kern w:val="0"/>
                <w:szCs w:val="21"/>
                <w:highlight w:val="none"/>
              </w:rPr>
              <w:t>本项目接受联合体投标</w:t>
            </w:r>
            <w:r>
              <w:rPr>
                <w:rFonts w:hint="eastAsia" w:ascii="宋体" w:hAnsi="宋体" w:cs="宋体"/>
                <w:bCs/>
                <w:color w:val="auto"/>
                <w:kern w:val="0"/>
                <w:szCs w:val="21"/>
                <w:highlight w:val="none"/>
                <w:lang w:eastAsia="zh-CN"/>
              </w:rPr>
              <w:t>，</w:t>
            </w:r>
            <w:r>
              <w:rPr>
                <w:rFonts w:hint="eastAsia" w:ascii="宋体" w:hAnsi="宋体" w:cs="宋体"/>
                <w:highlight w:val="none"/>
                <w:lang w:val="en-US" w:eastAsia="zh-CN"/>
              </w:rPr>
              <w:t>联合体数量不多于2个。</w:t>
            </w:r>
            <w:r>
              <w:rPr>
                <w:rFonts w:hint="eastAsia" w:ascii="宋体" w:hAnsi="宋体" w:eastAsia="宋体" w:cs="宋体"/>
                <w:b/>
                <w:color w:val="auto"/>
                <w:kern w:val="0"/>
                <w:szCs w:val="21"/>
                <w:highlight w:val="none"/>
                <w:lang w:val="en-US" w:eastAsia="zh-CN"/>
              </w:rPr>
              <w:t>响应文件</w:t>
            </w:r>
            <w:r>
              <w:rPr>
                <w:rFonts w:hint="eastAsia" w:ascii="宋体" w:hAnsi="宋体" w:eastAsia="宋体" w:cs="宋体"/>
                <w:b/>
                <w:bCs/>
                <w:i w:val="0"/>
                <w:iCs w:val="0"/>
                <w:color w:val="auto"/>
                <w:spacing w:val="6"/>
                <w:sz w:val="21"/>
                <w:szCs w:val="21"/>
                <w:highlight w:val="none"/>
                <w:lang w:val="en-US" w:eastAsia="zh-CN" w:bidi="ar-SA"/>
              </w:rPr>
              <w:t>内提供</w:t>
            </w:r>
            <w:r>
              <w:rPr>
                <w:rFonts w:hint="eastAsia" w:ascii="宋体" w:hAnsi="宋体" w:eastAsia="宋体" w:cs="宋体"/>
                <w:b/>
                <w:bCs/>
                <w:i w:val="0"/>
                <w:iCs w:val="0"/>
                <w:color w:val="auto"/>
                <w:spacing w:val="6"/>
                <w:sz w:val="21"/>
                <w:szCs w:val="21"/>
                <w:highlight w:val="none"/>
                <w:lang w:val="zh-CN" w:eastAsia="zh-CN" w:bidi="ar-SA"/>
              </w:rPr>
              <w:t>联合体协议书</w:t>
            </w:r>
            <w:r>
              <w:rPr>
                <w:rFonts w:hint="eastAsia" w:ascii="宋体" w:hAnsi="宋体" w:eastAsia="宋体" w:cs="宋体"/>
                <w:b/>
                <w:bCs/>
                <w:i w:val="0"/>
                <w:iCs w:val="0"/>
                <w:color w:val="auto"/>
                <w:spacing w:val="6"/>
                <w:sz w:val="21"/>
                <w:szCs w:val="21"/>
                <w:highlight w:val="none"/>
                <w:lang w:val="en-US" w:eastAsia="zh-CN" w:bidi="ar-SA"/>
              </w:rPr>
              <w:t>并</w:t>
            </w:r>
            <w:r>
              <w:rPr>
                <w:rFonts w:hint="eastAsia" w:ascii="宋体" w:hAnsi="宋体" w:cs="宋体"/>
                <w:b/>
                <w:bCs/>
                <w:i w:val="0"/>
                <w:iCs w:val="0"/>
                <w:color w:val="auto"/>
                <w:spacing w:val="6"/>
                <w:sz w:val="21"/>
                <w:szCs w:val="21"/>
                <w:highlight w:val="none"/>
                <w:lang w:val="en-US" w:eastAsia="zh-CN" w:bidi="ar-SA"/>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8</w:t>
            </w:r>
          </w:p>
        </w:tc>
        <w:tc>
          <w:tcPr>
            <w:tcW w:w="2456" w:type="dxa"/>
            <w:noWrap/>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外省入吉备案</w:t>
            </w:r>
          </w:p>
        </w:tc>
        <w:tc>
          <w:tcPr>
            <w:tcW w:w="6124" w:type="dxa"/>
            <w:noWrap/>
            <w:vAlign w:val="center"/>
          </w:tcPr>
          <w:p>
            <w:pPr>
              <w:adjustRightInd w:val="0"/>
              <w:snapToGrid w:val="0"/>
              <w:rPr>
                <w:rFonts w:hint="eastAsia" w:ascii="宋体" w:hAnsi="宋体" w:cs="宋体"/>
                <w:bCs/>
                <w:color w:val="auto"/>
                <w:kern w:val="0"/>
                <w:szCs w:val="21"/>
                <w:highlight w:val="none"/>
              </w:rPr>
            </w:pPr>
            <w:r>
              <w:rPr>
                <w:rFonts w:hint="eastAsia" w:ascii="宋体" w:hAnsi="宋体" w:eastAsia="宋体" w:cs="宋体"/>
                <w:highlight w:val="none"/>
              </w:rPr>
              <w:t>外埠单位在我省承揽项目应执行吉林省关于外企入吉备案相关规定。</w:t>
            </w:r>
            <w:r>
              <w:rPr>
                <w:rFonts w:hint="eastAsia" w:ascii="宋体" w:hAnsi="宋体" w:cs="宋体"/>
                <w:b/>
                <w:bCs/>
                <w:color w:val="auto"/>
                <w:szCs w:val="21"/>
                <w:highlight w:val="none"/>
              </w:rPr>
              <w:t>响应文件内附</w:t>
            </w:r>
            <w:r>
              <w:rPr>
                <w:rFonts w:hint="eastAsia" w:ascii="宋体" w:hAnsi="宋体" w:cs="宋体"/>
                <w:b/>
                <w:bCs/>
                <w:sz w:val="21"/>
                <w:szCs w:val="21"/>
                <w:highlight w:val="none"/>
                <w:u w:val="none"/>
                <w:lang w:val="en-US" w:eastAsia="zh-CN"/>
              </w:rPr>
              <w:t>入吉备案官网</w:t>
            </w:r>
            <w:r>
              <w:rPr>
                <w:rFonts w:hint="eastAsia" w:ascii="宋体" w:hAnsi="宋体" w:cs="宋体"/>
                <w:b/>
                <w:bCs/>
                <w:color w:val="auto"/>
                <w:szCs w:val="21"/>
                <w:highlight w:val="none"/>
              </w:rPr>
              <w:t>截图加盖供应商公章</w:t>
            </w:r>
            <w:r>
              <w:rPr>
                <w:rFonts w:hint="eastAsia" w:ascii="宋体" w:hAnsi="宋体" w:eastAsia="宋体" w:cs="宋体"/>
                <w:b/>
                <w:bCs/>
                <w:i w:val="0"/>
                <w:iCs w:val="0"/>
                <w:color w:val="auto"/>
                <w:spacing w:val="6"/>
                <w:sz w:val="21"/>
                <w:szCs w:val="21"/>
                <w:highlight w:val="none"/>
                <w:lang w:val="en-US" w:eastAsia="zh-CN" w:bidi="ar-SA"/>
              </w:rPr>
              <w:t>（联合体投标均需提供）</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06" w:type="dxa"/>
            <w:noWrap/>
            <w:vAlign w:val="center"/>
          </w:tcPr>
          <w:p>
            <w:pPr>
              <w:adjustRightInd w:val="0"/>
              <w:snapToGrid w:val="0"/>
              <w:spacing w:line="264"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2456" w:type="dxa"/>
            <w:noWrap/>
            <w:vAlign w:val="center"/>
          </w:tcPr>
          <w:p>
            <w:pPr>
              <w:adjustRightInd w:val="0"/>
              <w:snapToGrid w:val="0"/>
              <w:jc w:val="center"/>
              <w:rPr>
                <w:rFonts w:hint="eastAsia" w:ascii="宋体" w:hAnsi="宋体" w:cs="宋体"/>
                <w:color w:val="auto"/>
                <w:highlight w:val="none"/>
              </w:rPr>
            </w:pPr>
            <w:r>
              <w:rPr>
                <w:rFonts w:hint="eastAsia" w:ascii="宋体" w:hAnsi="宋体" w:cs="宋体"/>
                <w:color w:val="auto"/>
                <w:highlight w:val="none"/>
              </w:rPr>
              <w:t>其他要求</w:t>
            </w:r>
          </w:p>
        </w:tc>
        <w:tc>
          <w:tcPr>
            <w:tcW w:w="6124" w:type="dxa"/>
            <w:noWrap/>
            <w:vAlign w:val="center"/>
          </w:tcPr>
          <w:p>
            <w:pPr>
              <w:adjustRightInd w:val="0"/>
              <w:snapToGrid w:val="0"/>
              <w:rPr>
                <w:rFonts w:hint="eastAsia" w:ascii="宋体" w:hAnsi="宋体" w:cs="宋体"/>
                <w:bCs/>
                <w:color w:val="auto"/>
                <w:kern w:val="0"/>
                <w:szCs w:val="21"/>
                <w:highlight w:val="none"/>
              </w:rPr>
            </w:pPr>
            <w:r>
              <w:rPr>
                <w:rFonts w:hint="eastAsia" w:ascii="宋体" w:hAnsi="宋体" w:cs="宋体"/>
                <w:color w:val="auto"/>
                <w:szCs w:val="21"/>
                <w:highlight w:val="none"/>
              </w:rPr>
              <w:t>单位负责人为同一人或者存在直接控股、管理关系的不同单位，不得参加同一标段投标或者未划分标段的同一招标项目投标</w:t>
            </w:r>
            <w:r>
              <w:rPr>
                <w:rFonts w:hint="eastAsia" w:ascii="宋体" w:hAnsi="宋体" w:cs="宋体"/>
                <w:color w:val="auto"/>
                <w:kern w:val="0"/>
                <w:szCs w:val="21"/>
                <w:highlight w:val="none"/>
                <w:lang w:bidi="ar"/>
              </w:rPr>
              <w:t>，</w:t>
            </w:r>
            <w:r>
              <w:rPr>
                <w:rFonts w:hint="eastAsia" w:ascii="宋体" w:hAnsi="宋体" w:cs="宋体"/>
                <w:b/>
                <w:bCs/>
                <w:color w:val="auto"/>
                <w:szCs w:val="21"/>
                <w:highlight w:val="none"/>
              </w:rPr>
              <w:t>响应文件内</w:t>
            </w:r>
            <w:r>
              <w:rPr>
                <w:rFonts w:hint="eastAsia" w:ascii="宋体" w:hAnsi="宋体" w:cs="宋体"/>
                <w:b/>
                <w:color w:val="auto"/>
                <w:szCs w:val="21"/>
                <w:highlight w:val="none"/>
              </w:rPr>
              <w:t>提供由法定代表人或其委托代理人签字并加盖公章的承诺书</w:t>
            </w:r>
            <w:r>
              <w:rPr>
                <w:rFonts w:hint="eastAsia" w:ascii="宋体" w:hAnsi="宋体" w:eastAsia="宋体" w:cs="宋体"/>
                <w:b/>
                <w:bCs/>
                <w:i w:val="0"/>
                <w:iCs w:val="0"/>
                <w:color w:val="auto"/>
                <w:spacing w:val="6"/>
                <w:sz w:val="21"/>
                <w:szCs w:val="21"/>
                <w:highlight w:val="none"/>
                <w:lang w:val="en-US" w:eastAsia="zh-CN" w:bidi="ar-SA"/>
              </w:rPr>
              <w:t>（联合体投标均需提供）</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6" w:type="dxa"/>
            <w:noWrap/>
            <w:vAlign w:val="center"/>
          </w:tcPr>
          <w:p>
            <w:pPr>
              <w:adjustRightInd w:val="0"/>
              <w:snapToGrid w:val="0"/>
              <w:spacing w:line="264"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2456" w:type="dxa"/>
            <w:noWrap/>
            <w:vAlign w:val="center"/>
          </w:tcPr>
          <w:p>
            <w:pPr>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color w:val="auto"/>
                <w:szCs w:val="21"/>
                <w:highlight w:val="none"/>
              </w:rPr>
              <w:t>法律、行政法规规定的其他条件</w:t>
            </w:r>
          </w:p>
        </w:tc>
        <w:tc>
          <w:tcPr>
            <w:tcW w:w="6124" w:type="dxa"/>
            <w:noWrap/>
            <w:vAlign w:val="center"/>
          </w:tcPr>
          <w:p>
            <w:pPr>
              <w:adjustRightInd w:val="0"/>
              <w:snapToGrid w:val="0"/>
              <w:spacing w:line="264" w:lineRule="auto"/>
              <w:rPr>
                <w:rFonts w:hint="eastAsia" w:ascii="宋体" w:hAnsi="宋体" w:cs="宋体"/>
                <w:bCs/>
                <w:color w:val="auto"/>
                <w:szCs w:val="21"/>
                <w:highlight w:val="none"/>
              </w:rPr>
            </w:pPr>
            <w:r>
              <w:rPr>
                <w:rFonts w:hint="eastAsia" w:ascii="宋体" w:hAnsi="宋体" w:cs="宋体"/>
                <w:color w:val="auto"/>
                <w:szCs w:val="21"/>
                <w:highlight w:val="none"/>
              </w:rPr>
              <w:t>不存在违反法律、法规的情况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6" w:type="dxa"/>
            <w:noWrap/>
            <w:vAlign w:val="center"/>
          </w:tcPr>
          <w:p>
            <w:pPr>
              <w:adjustRightInd w:val="0"/>
              <w:snapToGrid w:val="0"/>
              <w:spacing w:line="264"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2456"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color w:val="auto"/>
                <w:kern w:val="0"/>
                <w:szCs w:val="21"/>
                <w:highlight w:val="none"/>
                <w:lang w:bidi="ar"/>
              </w:rPr>
              <w:t>落实政府采购政策需满足的资格要求</w:t>
            </w:r>
          </w:p>
        </w:tc>
        <w:tc>
          <w:tcPr>
            <w:tcW w:w="6124" w:type="dxa"/>
            <w:noWrap/>
            <w:vAlign w:val="center"/>
          </w:tcPr>
          <w:p>
            <w:pPr>
              <w:autoSpaceDE w:val="0"/>
              <w:autoSpaceDN w:val="0"/>
              <w:adjustRightInd w:val="0"/>
              <w:snapToGrid w:val="0"/>
              <w:spacing w:line="264" w:lineRule="auto"/>
              <w:rPr>
                <w:rFonts w:hint="default" w:ascii="宋体" w:hAnsi="宋体" w:eastAsia="宋体" w:cs="宋体"/>
                <w:bCs/>
                <w:color w:val="auto"/>
                <w:szCs w:val="21"/>
                <w:highlight w:val="none"/>
                <w:lang w:val="en-US" w:eastAsia="zh-CN"/>
              </w:rPr>
            </w:pPr>
            <w:r>
              <w:rPr>
                <w:rFonts w:hint="eastAsia" w:ascii="宋体" w:hAnsi="宋体" w:cs="宋体"/>
                <w:i w:val="0"/>
                <w:iCs w:val="0"/>
                <w:color w:val="auto"/>
                <w:spacing w:val="6"/>
                <w:sz w:val="21"/>
                <w:szCs w:val="21"/>
                <w:highlight w:val="none"/>
                <w:lang w:eastAsia="zh-CN" w:bidi="ar-SA"/>
              </w:rPr>
              <w:t>本项目专门面向中小企业，</w:t>
            </w:r>
            <w:r>
              <w:rPr>
                <w:rFonts w:hint="eastAsia" w:ascii="宋体" w:hAnsi="宋体" w:cs="宋体"/>
                <w:b/>
                <w:bCs/>
                <w:i w:val="0"/>
                <w:iCs w:val="0"/>
                <w:color w:val="auto"/>
                <w:spacing w:val="6"/>
                <w:sz w:val="21"/>
                <w:szCs w:val="21"/>
                <w:highlight w:val="none"/>
                <w:lang w:val="en-US" w:eastAsia="zh-CN" w:bidi="ar-SA"/>
              </w:rPr>
              <w:t>响应文件内提供中小企业声明函并加盖公</w:t>
            </w:r>
            <w:r>
              <w:rPr>
                <w:rFonts w:hint="eastAsia" w:ascii="宋体" w:hAnsi="宋体" w:eastAsia="宋体" w:cs="宋体"/>
                <w:b/>
                <w:bCs/>
                <w:i w:val="0"/>
                <w:iCs w:val="0"/>
                <w:color w:val="auto"/>
                <w:spacing w:val="6"/>
                <w:sz w:val="21"/>
                <w:szCs w:val="21"/>
                <w:highlight w:val="none"/>
                <w:lang w:val="en-US" w:eastAsia="zh-CN" w:bidi="ar-SA"/>
              </w:rPr>
              <w:t>章（联合体投标均需提供）。</w:t>
            </w:r>
          </w:p>
        </w:tc>
      </w:tr>
    </w:tbl>
    <w:p>
      <w:pPr>
        <w:rPr>
          <w:rFonts w:hint="eastAsia"/>
          <w:highlight w:val="none"/>
          <w:lang w:val="en-US" w:eastAsia="zh-CN"/>
        </w:rPr>
      </w:pPr>
      <w:r>
        <w:rPr>
          <w:rFonts w:hint="eastAsia"/>
          <w:highlight w:val="none"/>
          <w:lang w:val="en-US" w:eastAsia="zh-CN"/>
        </w:rPr>
        <w:br w:type="page"/>
      </w:r>
    </w:p>
    <w:p>
      <w:pPr>
        <w:pStyle w:val="10"/>
        <w:jc w:val="center"/>
        <w:rPr>
          <w:rFonts w:hint="eastAsia" w:ascii="宋体" w:hAnsi="宋体" w:cs="宋体"/>
          <w:color w:val="auto"/>
          <w:kern w:val="2"/>
          <w:sz w:val="28"/>
          <w:szCs w:val="28"/>
          <w:highlight w:val="none"/>
        </w:rPr>
      </w:pPr>
      <w:r>
        <w:rPr>
          <w:rFonts w:hint="eastAsia" w:ascii="宋体" w:hAnsi="宋体" w:cs="宋体"/>
          <w:color w:val="auto"/>
          <w:kern w:val="2"/>
          <w:sz w:val="28"/>
          <w:szCs w:val="28"/>
          <w:highlight w:val="none"/>
        </w:rPr>
        <w:t>符合性审查表</w:t>
      </w:r>
    </w:p>
    <w:tbl>
      <w:tblPr>
        <w:tblStyle w:val="22"/>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005"/>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23"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评审因素</w:t>
            </w:r>
          </w:p>
        </w:tc>
        <w:tc>
          <w:tcPr>
            <w:tcW w:w="6691"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23"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1</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供应商名称</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lang w:val="zh-CN"/>
              </w:rPr>
            </w:pPr>
            <w:r>
              <w:rPr>
                <w:rFonts w:hint="eastAsia" w:ascii="宋体" w:hAnsi="宋体" w:eastAsia="宋体" w:cs="宋体"/>
                <w:bCs/>
                <w:color w:val="auto"/>
                <w:szCs w:val="21"/>
                <w:highlight w:val="none"/>
                <w:lang w:val="zh-CN"/>
              </w:rPr>
              <w:t>与磋商文件获取、营业执照</w:t>
            </w:r>
            <w:r>
              <w:rPr>
                <w:rFonts w:hint="eastAsia" w:ascii="宋体" w:hAnsi="宋体" w:cs="宋体"/>
                <w:bCs/>
                <w:color w:val="auto"/>
                <w:szCs w:val="21"/>
                <w:highlight w:val="none"/>
                <w:lang w:val="zh-CN"/>
              </w:rPr>
              <w:t>、</w:t>
            </w:r>
            <w:r>
              <w:rPr>
                <w:rFonts w:hint="eastAsia" w:ascii="宋体" w:hAnsi="宋体" w:cs="宋体"/>
                <w:bCs/>
                <w:color w:val="auto"/>
                <w:szCs w:val="21"/>
                <w:highlight w:val="none"/>
                <w:lang w:val="en-US" w:eastAsia="zh-CN"/>
              </w:rPr>
              <w:t>企业资质、安全生产许可证、基本账户开户许可证或银行开户证明</w:t>
            </w:r>
            <w:r>
              <w:rPr>
                <w:rFonts w:hint="eastAsia" w:ascii="宋体" w:hAnsi="宋体" w:cs="宋体"/>
                <w:highlight w:val="none"/>
                <w:lang w:val="en-US" w:eastAsia="zh-CN"/>
              </w:rPr>
              <w:t>等证明文件</w:t>
            </w:r>
            <w:r>
              <w:rPr>
                <w:rFonts w:hint="eastAsia" w:ascii="宋体" w:hAnsi="宋体" w:eastAsia="宋体" w:cs="宋体"/>
                <w:bCs/>
                <w:color w:val="auto"/>
                <w:szCs w:val="21"/>
                <w:highlight w:val="none"/>
                <w:lang w:val="zh-CN"/>
              </w:rPr>
              <w:t>一致（</w:t>
            </w:r>
            <w:r>
              <w:rPr>
                <w:rFonts w:hint="eastAsia" w:ascii="宋体" w:hAnsi="宋体" w:eastAsia="宋体" w:cs="宋体"/>
                <w:color w:val="auto"/>
                <w:szCs w:val="21"/>
                <w:highlight w:val="none"/>
              </w:rPr>
              <w:t>符合法定工商变更程序除外</w:t>
            </w:r>
            <w:r>
              <w:rPr>
                <w:rFonts w:hint="eastAsia" w:ascii="宋体" w:hAnsi="宋体" w:eastAsia="宋体" w:cs="宋体"/>
                <w:bCs/>
                <w:color w:val="auto"/>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23"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2</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签字盖章</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3</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color w:val="auto"/>
                <w:highlight w:val="none"/>
              </w:rPr>
              <w:t>报价唯一</w:t>
            </w:r>
          </w:p>
        </w:tc>
        <w:tc>
          <w:tcPr>
            <w:tcW w:w="6691" w:type="dxa"/>
            <w:noWrap/>
            <w:vAlign w:val="center"/>
          </w:tcPr>
          <w:p>
            <w:pPr>
              <w:autoSpaceDE w:val="0"/>
              <w:autoSpaceDN w:val="0"/>
              <w:adjustRightInd w:val="0"/>
              <w:snapToGrid w:val="0"/>
              <w:spacing w:line="264" w:lineRule="auto"/>
              <w:rPr>
                <w:rFonts w:hint="eastAsia" w:ascii="宋体" w:hAnsi="宋体" w:eastAsia="宋体" w:cs="宋体"/>
                <w:szCs w:val="21"/>
                <w:highlight w:val="none"/>
              </w:rPr>
            </w:pPr>
            <w:r>
              <w:rPr>
                <w:rFonts w:hint="eastAsia" w:ascii="宋体" w:hAnsi="宋体" w:cs="宋体"/>
                <w:szCs w:val="21"/>
                <w:highlight w:val="none"/>
                <w:lang w:val="en-US" w:eastAsia="zh-CN"/>
              </w:rPr>
              <w:t>每轮报价</w:t>
            </w:r>
            <w:r>
              <w:rPr>
                <w:rFonts w:hint="eastAsia" w:ascii="宋体" w:hAnsi="宋体" w:eastAsia="宋体" w:cs="宋体"/>
                <w:szCs w:val="21"/>
                <w:highlight w:val="none"/>
              </w:rPr>
              <w:t>只能有一个有效报价</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且</w:t>
            </w:r>
            <w:r>
              <w:rPr>
                <w:rFonts w:hint="eastAsia" w:ascii="宋体" w:hAnsi="宋体" w:eastAsia="宋体" w:cs="宋体"/>
                <w:szCs w:val="21"/>
                <w:highlight w:val="none"/>
              </w:rPr>
              <w:t>报价未超过预算金额（</w:t>
            </w:r>
            <w:r>
              <w:rPr>
                <w:rFonts w:hint="eastAsia" w:ascii="宋体" w:hAnsi="宋体" w:eastAsia="宋体" w:cs="宋体"/>
                <w:szCs w:val="21"/>
                <w:highlight w:val="none"/>
                <w:lang w:val="en-US" w:eastAsia="zh-CN"/>
              </w:rPr>
              <w:t>磋商文件</w:t>
            </w:r>
            <w:r>
              <w:rPr>
                <w:rFonts w:hint="eastAsia" w:ascii="宋体" w:hAnsi="宋体" w:eastAsia="宋体" w:cs="宋体"/>
                <w:szCs w:val="21"/>
                <w:highlight w:val="none"/>
              </w:rPr>
              <w:t>有最高限价的，报价未超过最高限价）</w:t>
            </w:r>
          </w:p>
          <w:p>
            <w:pPr>
              <w:autoSpaceDE w:val="0"/>
              <w:autoSpaceDN w:val="0"/>
              <w:adjustRightInd w:val="0"/>
              <w:snapToGrid w:val="0"/>
              <w:spacing w:line="264" w:lineRule="auto"/>
              <w:rPr>
                <w:rFonts w:hint="eastAsia" w:ascii="宋体" w:hAnsi="宋体" w:eastAsia="宋体" w:cs="宋体"/>
                <w:bCs/>
                <w:color w:val="auto"/>
                <w:szCs w:val="21"/>
                <w:highlight w:val="none"/>
                <w:lang w:val="en-US" w:eastAsia="zh-CN"/>
              </w:rPr>
            </w:pPr>
            <w:r>
              <w:rPr>
                <w:rFonts w:hint="eastAsia" w:ascii="宋体" w:hAnsi="宋体" w:cs="宋体"/>
                <w:szCs w:val="21"/>
                <w:highlight w:val="none"/>
                <w:lang w:val="en-US" w:eastAsia="zh-CN"/>
              </w:rPr>
              <w:t xml:space="preserve">最高限价：350万元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3"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4</w:t>
            </w:r>
          </w:p>
        </w:tc>
        <w:tc>
          <w:tcPr>
            <w:tcW w:w="2005" w:type="dxa"/>
            <w:noWrap/>
            <w:vAlign w:val="center"/>
          </w:tcPr>
          <w:p>
            <w:pPr>
              <w:autoSpaceDE w:val="0"/>
              <w:autoSpaceDN w:val="0"/>
              <w:adjustRightInd w:val="0"/>
              <w:snapToGrid w:val="0"/>
              <w:spacing w:line="264" w:lineRule="auto"/>
              <w:jc w:val="center"/>
              <w:rPr>
                <w:rFonts w:ascii="宋体" w:hAnsi="宋体" w:cs="宋体"/>
                <w:color w:val="auto"/>
                <w:highlight w:val="none"/>
              </w:rPr>
            </w:pPr>
            <w:r>
              <w:rPr>
                <w:rFonts w:hint="eastAsia" w:ascii="宋体" w:hAnsi="宋体" w:cs="宋体"/>
                <w:color w:val="auto"/>
                <w:highlight w:val="none"/>
              </w:rPr>
              <w:t>采购内容</w:t>
            </w:r>
          </w:p>
        </w:tc>
        <w:tc>
          <w:tcPr>
            <w:tcW w:w="6691" w:type="dxa"/>
            <w:noWrap/>
            <w:vAlign w:val="center"/>
          </w:tcPr>
          <w:p>
            <w:pPr>
              <w:autoSpaceDE w:val="0"/>
              <w:autoSpaceDN w:val="0"/>
              <w:adjustRightInd w:val="0"/>
              <w:snapToGrid w:val="0"/>
              <w:spacing w:line="264" w:lineRule="auto"/>
              <w:rPr>
                <w:rFonts w:hint="eastAsia" w:ascii="宋体" w:hAnsi="宋体" w:cs="宋体"/>
                <w:color w:val="auto"/>
                <w:szCs w:val="21"/>
                <w:highlight w:val="none"/>
              </w:rPr>
            </w:pPr>
            <w:r>
              <w:rPr>
                <w:rFonts w:hint="eastAsia" w:ascii="宋体" w:hAnsi="宋体" w:eastAsia="宋体" w:cs="宋体"/>
                <w:sz w:val="21"/>
                <w:szCs w:val="21"/>
                <w:highlight w:val="none"/>
                <w:lang w:val="en-US" w:eastAsia="zh-CN"/>
              </w:rPr>
              <w:t>充分发挥职工文化服务阵地作用，将长春市工人文化宫一楼490平方米场馆空间装修改造为艺术剧场。具体详见工程量清单及图纸。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23" w:type="dxa"/>
            <w:noWrap/>
            <w:vAlign w:val="center"/>
          </w:tcPr>
          <w:p>
            <w:pPr>
              <w:autoSpaceDE w:val="0"/>
              <w:autoSpaceDN w:val="0"/>
              <w:adjustRightInd w:val="0"/>
              <w:snapToGrid w:val="0"/>
              <w:spacing w:line="264" w:lineRule="auto"/>
              <w:jc w:val="center"/>
              <w:rPr>
                <w:rFonts w:hint="eastAsia" w:ascii="宋体" w:hAnsi="宋体" w:cs="宋体"/>
                <w:color w:val="auto"/>
                <w:highlight w:val="none"/>
              </w:rPr>
            </w:pPr>
            <w:r>
              <w:rPr>
                <w:rFonts w:hint="eastAsia" w:ascii="宋体" w:hAnsi="宋体" w:cs="宋体"/>
                <w:color w:val="auto"/>
                <w:highlight w:val="none"/>
              </w:rPr>
              <w:t>5</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响应文件格式</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符合第</w:t>
            </w:r>
            <w:r>
              <w:rPr>
                <w:rFonts w:hint="eastAsia" w:ascii="宋体" w:hAnsi="宋体" w:cs="宋体"/>
                <w:bCs/>
                <w:color w:val="auto"/>
                <w:szCs w:val="21"/>
                <w:highlight w:val="none"/>
              </w:rPr>
              <w:t>八</w:t>
            </w:r>
            <w:r>
              <w:rPr>
                <w:rFonts w:hint="eastAsia" w:ascii="宋体" w:hAnsi="宋体" w:cs="宋体"/>
                <w:bCs/>
                <w:color w:val="auto"/>
                <w:szCs w:val="21"/>
                <w:highlight w:val="none"/>
                <w:lang w:val="zh-CN"/>
              </w:rPr>
              <w:t>章“</w:t>
            </w:r>
            <w:r>
              <w:rPr>
                <w:rFonts w:hint="eastAsia"/>
                <w:color w:val="auto"/>
                <w:highlight w:val="none"/>
              </w:rPr>
              <w:t>磋商响应文件格式</w:t>
            </w:r>
            <w:r>
              <w:rPr>
                <w:rFonts w:hint="eastAsia" w:ascii="宋体" w:hAnsi="宋体" w:cs="宋体"/>
                <w:bCs/>
                <w:color w:val="auto"/>
                <w:szCs w:val="21"/>
                <w:highlight w:val="none"/>
                <w:lang w:val="zh-CN"/>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923"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6</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合同履约期限</w:t>
            </w:r>
          </w:p>
        </w:tc>
        <w:tc>
          <w:tcPr>
            <w:tcW w:w="6691" w:type="dxa"/>
            <w:noWrap/>
            <w:vAlign w:val="center"/>
          </w:tcPr>
          <w:p>
            <w:pPr>
              <w:autoSpaceDE w:val="0"/>
              <w:autoSpaceDN w:val="0"/>
              <w:adjustRightInd w:val="0"/>
              <w:snapToGrid w:val="0"/>
              <w:spacing w:line="264" w:lineRule="auto"/>
              <w:rPr>
                <w:rFonts w:hint="eastAsia" w:ascii="宋体" w:hAnsi="宋体" w:cs="宋体"/>
                <w:color w:val="auto"/>
                <w:szCs w:val="21"/>
                <w:highlight w:val="none"/>
              </w:rPr>
            </w:pPr>
            <w:r>
              <w:rPr>
                <w:rFonts w:hint="eastAsia" w:ascii="宋体" w:hAnsi="宋体" w:cs="宋体"/>
                <w:bCs/>
                <w:color w:val="auto"/>
                <w:szCs w:val="21"/>
                <w:highlight w:val="none"/>
                <w:lang w:val="en-US" w:eastAsia="zh-CN"/>
              </w:rPr>
              <w:t>合同签订之日起至2024年8月30日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3"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7</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color w:val="auto"/>
                <w:highlight w:val="none"/>
              </w:rPr>
              <w:t>质量要求</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rPr>
            </w:pPr>
            <w:r>
              <w:rPr>
                <w:rFonts w:hint="eastAsia" w:ascii="宋体" w:hAnsi="宋体" w:eastAsia="宋体" w:cs="宋体"/>
                <w:bCs/>
                <w:color w:val="auto"/>
                <w:szCs w:val="21"/>
                <w:highlight w:val="none"/>
                <w:lang w:val="zh-CN" w:eastAsia="zh-CN"/>
              </w:rPr>
              <w:t>符合国家及行业现行有关规范标准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8</w:t>
            </w:r>
          </w:p>
        </w:tc>
        <w:tc>
          <w:tcPr>
            <w:tcW w:w="2005" w:type="dxa"/>
            <w:noWrap/>
            <w:vAlign w:val="center"/>
          </w:tcPr>
          <w:p>
            <w:pPr>
              <w:autoSpaceDE w:val="0"/>
              <w:autoSpaceDN w:val="0"/>
              <w:adjustRightInd w:val="0"/>
              <w:snapToGrid w:val="0"/>
              <w:spacing w:line="264" w:lineRule="auto"/>
              <w:jc w:val="center"/>
              <w:rPr>
                <w:rFonts w:ascii="宋体" w:hAnsi="宋体" w:cs="宋体"/>
                <w:color w:val="auto"/>
                <w:highlight w:val="none"/>
              </w:rPr>
            </w:pPr>
            <w:r>
              <w:rPr>
                <w:rFonts w:hint="eastAsia" w:ascii="宋体" w:hAnsi="宋体" w:cs="宋体"/>
                <w:color w:val="auto"/>
                <w:highlight w:val="none"/>
              </w:rPr>
              <w:t>质保期</w:t>
            </w:r>
          </w:p>
        </w:tc>
        <w:tc>
          <w:tcPr>
            <w:tcW w:w="6691" w:type="dxa"/>
            <w:noWrap/>
            <w:vAlign w:val="center"/>
          </w:tcPr>
          <w:p>
            <w:pPr>
              <w:autoSpaceDE w:val="0"/>
              <w:autoSpaceDN w:val="0"/>
              <w:adjustRightInd w:val="0"/>
              <w:snapToGrid w:val="0"/>
              <w:spacing w:line="264" w:lineRule="auto"/>
              <w:rPr>
                <w:rFonts w:ascii="宋体" w:hAnsi="宋体" w:cs="宋体"/>
                <w:color w:val="auto"/>
                <w:szCs w:val="21"/>
                <w:highlight w:val="none"/>
              </w:rPr>
            </w:pPr>
            <w:r>
              <w:rPr>
                <w:rFonts w:hint="eastAsia" w:ascii="宋体" w:hAnsi="宋体" w:eastAsia="宋体" w:cs="宋体"/>
                <w:bCs/>
                <w:color w:val="auto"/>
                <w:kern w:val="15"/>
                <w:sz w:val="21"/>
                <w:szCs w:val="21"/>
                <w:highlight w:val="none"/>
                <w:lang w:val="en-US" w:eastAsia="zh-CN" w:bidi="ar-SA"/>
              </w:rPr>
              <w:t>自竣工验收合格之日起三年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3"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9</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磋商有效期</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lang w:val="zh-CN"/>
              </w:rPr>
            </w:pPr>
            <w:r>
              <w:rPr>
                <w:rFonts w:hint="eastAsia" w:ascii="宋体" w:hAnsi="宋体" w:eastAsia="宋体" w:cs="宋体"/>
                <w:bCs/>
                <w:color w:val="auto"/>
                <w:szCs w:val="21"/>
                <w:highlight w:val="none"/>
                <w:lang w:val="zh-CN" w:eastAsia="zh-CN"/>
              </w:rPr>
              <w:t>响应文件提交截止之日</w:t>
            </w:r>
            <w:r>
              <w:rPr>
                <w:rFonts w:hint="eastAsia" w:ascii="宋体" w:hAnsi="宋体" w:eastAsia="宋体" w:cs="宋体"/>
                <w:bCs/>
                <w:color w:val="auto"/>
                <w:szCs w:val="21"/>
                <w:highlight w:val="none"/>
                <w:lang w:val="en-US" w:eastAsia="zh-CN"/>
              </w:rPr>
              <w:t>起</w:t>
            </w:r>
            <w:r>
              <w:rPr>
                <w:rFonts w:hint="eastAsia" w:ascii="宋体" w:hAnsi="宋体" w:eastAsia="宋体" w:cs="宋体"/>
                <w:bCs/>
                <w:color w:val="auto"/>
                <w:szCs w:val="21"/>
                <w:highlight w:val="none"/>
                <w:lang w:val="zh-CN" w:eastAsia="zh-CN"/>
              </w:rPr>
              <w:t>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10</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权利义务</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rPr>
            </w:pPr>
            <w:r>
              <w:rPr>
                <w:rFonts w:hint="eastAsia" w:ascii="宋体" w:hAnsi="宋体" w:cs="宋体"/>
                <w:bCs/>
                <w:color w:val="auto"/>
                <w:szCs w:val="21"/>
                <w:highlight w:val="none"/>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11</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响应文件装订方式</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rPr>
            </w:pPr>
            <w:r>
              <w:rPr>
                <w:rFonts w:hint="eastAsia" w:ascii="宋体" w:hAnsi="宋体" w:cs="宋体"/>
                <w:bCs/>
                <w:color w:val="auto"/>
                <w:szCs w:val="21"/>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23" w:type="dxa"/>
            <w:noWrap/>
            <w:vAlign w:val="center"/>
          </w:tcPr>
          <w:p>
            <w:pPr>
              <w:adjustRightInd w:val="0"/>
              <w:snapToGrid w:val="0"/>
              <w:spacing w:line="264"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lang w:val="zh-CN"/>
              </w:rPr>
            </w:pPr>
            <w:r>
              <w:rPr>
                <w:rFonts w:hint="eastAsia" w:ascii="宋体" w:hAnsi="宋体" w:cs="宋体"/>
                <w:bCs/>
                <w:color w:val="auto"/>
                <w:szCs w:val="21"/>
                <w:highlight w:val="none"/>
              </w:rPr>
              <w:t>工程</w:t>
            </w:r>
            <w:r>
              <w:rPr>
                <w:rFonts w:hint="eastAsia" w:ascii="宋体" w:hAnsi="宋体" w:cs="宋体"/>
                <w:bCs/>
                <w:color w:val="auto"/>
                <w:szCs w:val="21"/>
                <w:highlight w:val="none"/>
                <w:lang w:val="zh-CN"/>
              </w:rPr>
              <w:t>地点</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rPr>
            </w:pPr>
            <w:r>
              <w:rPr>
                <w:rFonts w:hint="eastAsia" w:ascii="宋体" w:hAnsi="宋体" w:eastAsia="宋体" w:cs="宋体"/>
                <w:bCs/>
                <w:color w:val="auto"/>
                <w:szCs w:val="21"/>
                <w:highlight w:val="none"/>
                <w:lang w:val="zh-CN" w:eastAsia="zh-CN"/>
              </w:rPr>
              <w:t>长春市人民大街2302号长春市工人文化宫一楼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13</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备选方案</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rPr>
            </w:pPr>
            <w:r>
              <w:rPr>
                <w:rFonts w:hint="eastAsia" w:ascii="宋体" w:hAnsi="宋体" w:cs="宋体"/>
                <w:bCs/>
                <w:color w:val="auto"/>
                <w:szCs w:val="21"/>
                <w:highlight w:val="none"/>
              </w:rPr>
              <w:t>供应商不得提交两份或者多份内容不同的响应文件，或者在同一份响应文件中对同一招标项目有两个或者多个报价。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14</w:t>
            </w:r>
          </w:p>
        </w:tc>
        <w:tc>
          <w:tcPr>
            <w:tcW w:w="2005" w:type="dxa"/>
            <w:noWrap/>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已标价工程量清单</w:t>
            </w:r>
          </w:p>
        </w:tc>
        <w:tc>
          <w:tcPr>
            <w:tcW w:w="6691" w:type="dxa"/>
            <w:noWrap/>
            <w:vAlign w:val="center"/>
          </w:tcPr>
          <w:p>
            <w:pPr>
              <w:adjustRightInd w:val="0"/>
              <w:snapToGrid w:val="0"/>
              <w:jc w:val="left"/>
              <w:rPr>
                <w:rFonts w:hint="eastAsia" w:ascii="宋体" w:hAnsi="宋体" w:cs="宋体"/>
                <w:color w:val="auto"/>
                <w:szCs w:val="21"/>
                <w:highlight w:val="none"/>
              </w:rPr>
            </w:pPr>
            <w:r>
              <w:rPr>
                <w:rFonts w:hint="eastAsia" w:ascii="宋体" w:hAnsi="宋体" w:cs="宋体"/>
                <w:color w:val="auto"/>
                <w:szCs w:val="21"/>
                <w:highlight w:val="none"/>
              </w:rPr>
              <w:t>符合第五章“工程量清单”给出的范围及数量，供应商应按招标工程量清单填报价格。项目编码、项目名称、项目特征、计量单位、工程量必须与招标工程量清单一致。经造价人员签字及盖专用章，并符合相关法律法规及磋商文件规定，</w:t>
            </w:r>
            <w:r>
              <w:rPr>
                <w:rFonts w:hint="eastAsia" w:ascii="宋体" w:hAnsi="宋体" w:cs="宋体"/>
                <w:color w:val="auto"/>
                <w:kern w:val="0"/>
                <w:szCs w:val="21"/>
                <w:highlight w:val="none"/>
                <w:shd w:val="clear" w:color="auto" w:fill="FFFFFF"/>
              </w:rPr>
              <w:t>每一名造价师只能担任本项目其中一个供应商的造价工作。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15</w:t>
            </w:r>
          </w:p>
        </w:tc>
        <w:tc>
          <w:tcPr>
            <w:tcW w:w="2005" w:type="dxa"/>
            <w:noWrap/>
            <w:vAlign w:val="center"/>
          </w:tcPr>
          <w:p>
            <w:pPr>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color w:val="auto"/>
                <w:szCs w:val="21"/>
                <w:highlight w:val="none"/>
              </w:rPr>
              <w:t>其他要求</w:t>
            </w:r>
          </w:p>
        </w:tc>
        <w:tc>
          <w:tcPr>
            <w:tcW w:w="6691" w:type="dxa"/>
            <w:noWrap/>
            <w:vAlign w:val="center"/>
          </w:tcPr>
          <w:p>
            <w:pPr>
              <w:adjustRightInd w:val="0"/>
              <w:snapToGrid w:val="0"/>
              <w:spacing w:line="264" w:lineRule="auto"/>
              <w:rPr>
                <w:rFonts w:hint="eastAsia" w:ascii="宋体" w:hAnsi="宋体" w:cs="宋体"/>
                <w:bCs/>
                <w:color w:val="auto"/>
                <w:szCs w:val="21"/>
                <w:highlight w:val="none"/>
              </w:rPr>
            </w:pPr>
            <w:r>
              <w:rPr>
                <w:rFonts w:hint="eastAsia" w:ascii="宋体" w:hAnsi="宋体" w:cs="宋体"/>
                <w:color w:val="auto"/>
                <w:szCs w:val="21"/>
                <w:highlight w:val="none"/>
              </w:rPr>
              <w:t>满足磋商文件其他实质性要求及相关法律法规规定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23" w:type="dxa"/>
            <w:noWrap/>
            <w:vAlign w:val="center"/>
          </w:tcPr>
          <w:p>
            <w:pPr>
              <w:autoSpaceDE w:val="0"/>
              <w:autoSpaceDN w:val="0"/>
              <w:adjustRightInd w:val="0"/>
              <w:snapToGrid w:val="0"/>
              <w:spacing w:line="264" w:lineRule="auto"/>
              <w:jc w:val="center"/>
              <w:rPr>
                <w:rFonts w:ascii="宋体" w:hAnsi="宋体" w:cs="宋体"/>
                <w:bCs/>
                <w:color w:val="auto"/>
                <w:szCs w:val="21"/>
                <w:highlight w:val="none"/>
              </w:rPr>
            </w:pPr>
            <w:r>
              <w:rPr>
                <w:rFonts w:hint="eastAsia" w:ascii="宋体" w:hAnsi="宋体" w:cs="宋体"/>
                <w:bCs/>
                <w:color w:val="auto"/>
                <w:szCs w:val="21"/>
                <w:highlight w:val="none"/>
              </w:rPr>
              <w:t>16</w:t>
            </w:r>
          </w:p>
        </w:tc>
        <w:tc>
          <w:tcPr>
            <w:tcW w:w="2005" w:type="dxa"/>
            <w:noWrap/>
            <w:vAlign w:val="center"/>
          </w:tcPr>
          <w:p>
            <w:pPr>
              <w:autoSpaceDE w:val="0"/>
              <w:autoSpaceDN w:val="0"/>
              <w:adjustRightInd w:val="0"/>
              <w:snapToGrid w:val="0"/>
              <w:spacing w:line="264"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附加条件</w:t>
            </w:r>
          </w:p>
        </w:tc>
        <w:tc>
          <w:tcPr>
            <w:tcW w:w="6691" w:type="dxa"/>
            <w:noWrap/>
            <w:vAlign w:val="center"/>
          </w:tcPr>
          <w:p>
            <w:pPr>
              <w:autoSpaceDE w:val="0"/>
              <w:autoSpaceDN w:val="0"/>
              <w:adjustRightInd w:val="0"/>
              <w:snapToGrid w:val="0"/>
              <w:spacing w:line="264" w:lineRule="auto"/>
              <w:rPr>
                <w:rFonts w:hint="eastAsia" w:ascii="宋体" w:hAnsi="宋体" w:cs="宋体"/>
                <w:bCs/>
                <w:color w:val="auto"/>
                <w:szCs w:val="21"/>
                <w:highlight w:val="none"/>
              </w:rPr>
            </w:pPr>
            <w:r>
              <w:rPr>
                <w:rFonts w:hint="eastAsia" w:ascii="宋体" w:hAnsi="宋体" w:cs="宋体"/>
                <w:bCs/>
                <w:color w:val="auto"/>
                <w:szCs w:val="21"/>
                <w:highlight w:val="none"/>
              </w:rPr>
              <w:t>响应文件未含有采购人不能接受的附加条件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23" w:type="dxa"/>
            <w:noWrap/>
            <w:vAlign w:val="center"/>
          </w:tcPr>
          <w:p>
            <w:pPr>
              <w:keepNext w:val="0"/>
              <w:keepLines w:val="0"/>
              <w:pageBreakBefore w:val="0"/>
              <w:widowControl w:val="0"/>
              <w:kinsoku/>
              <w:wordWrap/>
              <w:overflowPunct/>
              <w:topLinePunct w:val="0"/>
              <w:autoSpaceDE w:val="0"/>
              <w:autoSpaceDN w:val="0"/>
              <w:bidi w:val="0"/>
              <w:adjustRightInd w:val="0"/>
              <w:snapToGrid w:val="0"/>
              <w:spacing w:line="264" w:lineRule="auto"/>
              <w:jc w:val="center"/>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val="en-US" w:eastAsia="zh-CN"/>
              </w:rPr>
              <w:t>17</w:t>
            </w:r>
          </w:p>
        </w:tc>
        <w:tc>
          <w:tcPr>
            <w:tcW w:w="2005" w:type="dxa"/>
            <w:noWrap/>
            <w:vAlign w:val="center"/>
          </w:tcPr>
          <w:p>
            <w:pPr>
              <w:autoSpaceDE w:val="0"/>
              <w:autoSpaceDN w:val="0"/>
              <w:adjustRightInd w:val="0"/>
              <w:spacing w:line="320" w:lineRule="exact"/>
              <w:jc w:val="center"/>
              <w:rPr>
                <w:rFonts w:hint="eastAsia" w:ascii="宋体" w:hAnsi="宋体" w:eastAsia="宋体" w:cs="Times New Roman"/>
                <w:kern w:val="2"/>
                <w:sz w:val="21"/>
                <w:szCs w:val="21"/>
                <w:highlight w:val="none"/>
                <w:lang w:val="en-US" w:eastAsia="zh-CN" w:bidi="ar-SA"/>
              </w:rPr>
            </w:pPr>
            <w:r>
              <w:rPr>
                <w:rFonts w:hint="eastAsia" w:ascii="宋体" w:hAnsi="宋体" w:eastAsia="宋体" w:cs="宋体"/>
                <w:bCs/>
                <w:color w:val="auto"/>
                <w:szCs w:val="21"/>
                <w:highlight w:val="none"/>
              </w:rPr>
              <w:t>付款方式</w:t>
            </w:r>
          </w:p>
        </w:tc>
        <w:tc>
          <w:tcPr>
            <w:tcW w:w="6691" w:type="dxa"/>
            <w:noWrap/>
            <w:vAlign w:val="center"/>
          </w:tcPr>
          <w:p>
            <w:pPr>
              <w:autoSpaceDE w:val="0"/>
              <w:autoSpaceDN w:val="0"/>
              <w:adjustRightInd w:val="0"/>
              <w:spacing w:line="320" w:lineRule="exact"/>
              <w:rPr>
                <w:rFonts w:hint="eastAsia" w:ascii="宋体" w:hAnsi="宋体" w:eastAsia="宋体" w:cs="Times New Roman"/>
                <w:kern w:val="2"/>
                <w:sz w:val="21"/>
                <w:szCs w:val="21"/>
                <w:highlight w:val="none"/>
                <w:lang w:val="en-US" w:eastAsia="zh-CN" w:bidi="ar-SA"/>
              </w:rPr>
            </w:pPr>
            <w:r>
              <w:rPr>
                <w:rFonts w:hint="eastAsia" w:ascii="宋体" w:hAnsi="宋体"/>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23" w:type="dxa"/>
            <w:noWrap/>
            <w:vAlign w:val="center"/>
          </w:tcPr>
          <w:p>
            <w:pPr>
              <w:keepNext w:val="0"/>
              <w:keepLines w:val="0"/>
              <w:pageBreakBefore w:val="0"/>
              <w:widowControl w:val="0"/>
              <w:kinsoku/>
              <w:wordWrap/>
              <w:overflowPunct/>
              <w:topLinePunct w:val="0"/>
              <w:autoSpaceDE w:val="0"/>
              <w:autoSpaceDN w:val="0"/>
              <w:bidi w:val="0"/>
              <w:adjustRightInd w:val="0"/>
              <w:snapToGrid w:val="0"/>
              <w:spacing w:line="264" w:lineRule="auto"/>
              <w:jc w:val="center"/>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val="en-US" w:eastAsia="zh-CN"/>
              </w:rPr>
              <w:t>18</w:t>
            </w:r>
          </w:p>
        </w:tc>
        <w:tc>
          <w:tcPr>
            <w:tcW w:w="2005" w:type="dxa"/>
            <w:noWrap/>
            <w:vAlign w:val="center"/>
          </w:tcPr>
          <w:p>
            <w:pPr>
              <w:autoSpaceDE w:val="0"/>
              <w:autoSpaceDN w:val="0"/>
              <w:adjustRightInd w:val="0"/>
              <w:spacing w:line="320" w:lineRule="exact"/>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val="en-US" w:eastAsia="zh-CN"/>
              </w:rPr>
              <w:t>分包</w:t>
            </w:r>
          </w:p>
        </w:tc>
        <w:tc>
          <w:tcPr>
            <w:tcW w:w="6691" w:type="dxa"/>
            <w:noWrap/>
            <w:vAlign w:val="center"/>
          </w:tcPr>
          <w:p>
            <w:pPr>
              <w:autoSpaceDE w:val="0"/>
              <w:autoSpaceDN w:val="0"/>
              <w:adjustRightInd w:val="0"/>
              <w:spacing w:line="320" w:lineRule="exact"/>
              <w:rPr>
                <w:rFonts w:hint="eastAsia" w:ascii="宋体" w:hAnsi="宋体" w:eastAsia="宋体" w:cs="Times New Roman"/>
                <w:kern w:val="2"/>
                <w:sz w:val="21"/>
                <w:szCs w:val="24"/>
                <w:highlight w:val="none"/>
                <w:lang w:val="en-US" w:eastAsia="zh-CN" w:bidi="ar-SA"/>
              </w:rPr>
            </w:pPr>
            <w:r>
              <w:rPr>
                <w:rFonts w:hint="eastAsia" w:ascii="宋体" w:hAnsi="宋体" w:eastAsia="宋体" w:cs="宋体"/>
                <w:highlight w:val="none"/>
              </w:rPr>
              <w:t>本项目不允许分包</w:t>
            </w:r>
          </w:p>
        </w:tc>
      </w:tr>
    </w:tbl>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注：</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1、符合磋商文件要求用“√”表示，不符合用“×”表示。有一项不符合要求，结论为不合格。</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2、有下列情形之一的，视为供应商相互串通投标：</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（1）不同供应商的响应文件由同一单位或者个人编制；</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（2）不同供应商委托同一单位或者个人办理投标事宜；</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（3）不同供应商的响应文件载明的项目管理成员或者联系人员为同一人；</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（4）不同供应商的响应文件异常一致或者投标报价呈规律性差异；</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（5）不同供应商的响应文件相互混装；</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（6）不同供应商的磋商保证金从同一单位或者个人的账户转出。</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3、有下列情形之一的，属于提供虚假材料谋取中标的行为：</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（1）使用伪造、变造的许可证件；</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（2）提供虚假的财务状况或者业绩；</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（3）提供虚假的项目</w:t>
      </w:r>
      <w:r>
        <w:rPr>
          <w:rFonts w:hint="eastAsia" w:ascii="宋体" w:hAnsi="宋体" w:cs="宋体"/>
          <w:b/>
          <w:color w:val="auto"/>
          <w:szCs w:val="21"/>
          <w:highlight w:val="none"/>
          <w:lang w:val="en-US" w:eastAsia="zh-CN"/>
        </w:rPr>
        <w:t>经理</w:t>
      </w:r>
      <w:r>
        <w:rPr>
          <w:rFonts w:hint="eastAsia" w:ascii="宋体" w:hAnsi="宋体" w:cs="宋体"/>
          <w:b/>
          <w:color w:val="auto"/>
          <w:szCs w:val="21"/>
          <w:highlight w:val="none"/>
        </w:rPr>
        <w:t>或者主要技术人员简历、劳动关系证明；</w:t>
      </w:r>
    </w:p>
    <w:p>
      <w:pPr>
        <w:tabs>
          <w:tab w:val="left" w:pos="1260"/>
          <w:tab w:val="left" w:pos="1620"/>
        </w:tabs>
        <w:adjustRightInd w:val="0"/>
        <w:snapToGrid w:val="0"/>
        <w:jc w:val="left"/>
        <w:textAlignment w:val="baseline"/>
        <w:rPr>
          <w:rFonts w:hint="eastAsia" w:ascii="宋体" w:hAnsi="宋体" w:cs="宋体"/>
          <w:b/>
          <w:color w:val="auto"/>
          <w:szCs w:val="21"/>
          <w:highlight w:val="none"/>
        </w:rPr>
      </w:pPr>
      <w:r>
        <w:rPr>
          <w:rFonts w:hint="eastAsia" w:ascii="宋体" w:hAnsi="宋体" w:cs="宋体"/>
          <w:b/>
          <w:color w:val="auto"/>
          <w:szCs w:val="21"/>
          <w:highlight w:val="none"/>
        </w:rPr>
        <w:t>（4）提供虚假的信用状况；</w:t>
      </w:r>
    </w:p>
    <w:p>
      <w:pPr>
        <w:outlineLvl w:val="9"/>
        <w:rPr>
          <w:rFonts w:hint="eastAsia" w:ascii="宋体" w:hAnsi="宋体" w:cs="宋体"/>
          <w:b/>
          <w:color w:val="auto"/>
          <w:szCs w:val="21"/>
          <w:highlight w:val="none"/>
        </w:rPr>
      </w:pPr>
      <w:r>
        <w:rPr>
          <w:rFonts w:hint="eastAsia" w:ascii="宋体" w:hAnsi="宋体" w:cs="宋体"/>
          <w:b/>
          <w:color w:val="auto"/>
          <w:szCs w:val="21"/>
          <w:highlight w:val="none"/>
        </w:rPr>
        <w:t>（5）其他弄虚作假的行为。</w:t>
      </w:r>
    </w:p>
    <w:p>
      <w:pPr>
        <w:rPr>
          <w:rFonts w:hint="eastAsia"/>
          <w:highlight w:val="none"/>
          <w:lang w:val="en-US" w:eastAsia="zh-CN"/>
        </w:rPr>
      </w:pPr>
      <w:r>
        <w:rPr>
          <w:rFonts w:hint="eastAsia"/>
          <w:highlight w:val="none"/>
          <w:lang w:val="en-US" w:eastAsia="zh-CN"/>
        </w:rPr>
        <w:br w:type="page"/>
      </w:r>
    </w:p>
    <w:p>
      <w:pPr>
        <w:pStyle w:val="20"/>
        <w:outlineLvl w:val="9"/>
        <w:rPr>
          <w:rFonts w:ascii="宋体" w:hAnsi="宋体" w:cs="宋体"/>
          <w:bCs w:val="0"/>
          <w:color w:val="auto"/>
          <w:kern w:val="2"/>
          <w:sz w:val="28"/>
          <w:szCs w:val="24"/>
          <w:highlight w:val="none"/>
        </w:rPr>
      </w:pPr>
      <w:bookmarkStart w:id="49" w:name="_Toc5710"/>
      <w:bookmarkStart w:id="50" w:name="_Toc19207"/>
      <w:r>
        <w:rPr>
          <w:rFonts w:hint="eastAsia" w:ascii="宋体" w:hAnsi="宋体" w:cs="宋体"/>
          <w:bCs w:val="0"/>
          <w:color w:val="auto"/>
          <w:kern w:val="2"/>
          <w:sz w:val="28"/>
          <w:szCs w:val="24"/>
          <w:highlight w:val="none"/>
        </w:rPr>
        <w:t>评标方法前附表（二）</w:t>
      </w:r>
      <w:bookmarkEnd w:id="49"/>
      <w:bookmarkEnd w:id="50"/>
    </w:p>
    <w:tbl>
      <w:tblPr>
        <w:tblStyle w:val="22"/>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94"/>
        <w:gridCol w:w="2144"/>
        <w:gridCol w:w="4469"/>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2"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条款号</w:t>
            </w:r>
          </w:p>
        </w:tc>
        <w:tc>
          <w:tcPr>
            <w:tcW w:w="214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条款内容</w:t>
            </w:r>
          </w:p>
        </w:tc>
        <w:tc>
          <w:tcPr>
            <w:tcW w:w="5703"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72"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2.2.1</w:t>
            </w:r>
          </w:p>
        </w:tc>
        <w:tc>
          <w:tcPr>
            <w:tcW w:w="214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分值构成</w:t>
            </w:r>
          </w:p>
          <w:p>
            <w:pPr>
              <w:jc w:val="center"/>
              <w:rPr>
                <w:rFonts w:hint="eastAsia" w:ascii="宋体" w:hAnsi="宋体" w:cs="宋体"/>
                <w:color w:val="auto"/>
                <w:szCs w:val="21"/>
                <w:highlight w:val="none"/>
              </w:rPr>
            </w:pPr>
            <w:r>
              <w:rPr>
                <w:rFonts w:hint="eastAsia" w:ascii="宋体" w:hAnsi="宋体" w:cs="宋体"/>
                <w:color w:val="auto"/>
                <w:szCs w:val="21"/>
                <w:highlight w:val="none"/>
              </w:rPr>
              <w:t>（总分100分）</w:t>
            </w:r>
          </w:p>
        </w:tc>
        <w:tc>
          <w:tcPr>
            <w:tcW w:w="5703" w:type="dxa"/>
            <w:gridSpan w:val="2"/>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val="en-US" w:eastAsia="zh-CN"/>
              </w:rPr>
              <w:t>技术部分</w:t>
            </w:r>
            <w:r>
              <w:rPr>
                <w:rFonts w:hint="eastAsia" w:ascii="宋体" w:hAnsi="宋体" w:cs="宋体"/>
                <w:color w:val="auto"/>
                <w:szCs w:val="21"/>
                <w:highlight w:val="none"/>
              </w:rPr>
              <w:t>：</w:t>
            </w:r>
            <w:r>
              <w:rPr>
                <w:rFonts w:hint="eastAsia" w:ascii="宋体" w:hAnsi="宋体" w:cs="宋体"/>
                <w:color w:val="auto"/>
                <w:szCs w:val="21"/>
                <w:highlight w:val="none"/>
                <w:u w:val="single"/>
                <w:lang w:val="en-US" w:eastAsia="zh-CN"/>
              </w:rPr>
              <w:t>52</w:t>
            </w:r>
            <w:r>
              <w:rPr>
                <w:rFonts w:hint="eastAsia" w:ascii="宋体" w:hAnsi="宋体" w:cs="宋体"/>
                <w:color w:val="auto"/>
                <w:szCs w:val="21"/>
                <w:highlight w:val="none"/>
              </w:rPr>
              <w:t>分</w:t>
            </w:r>
          </w:p>
          <w:p>
            <w:pPr>
              <w:rPr>
                <w:rFonts w:hint="eastAsia" w:ascii="宋体" w:hAnsi="宋体" w:cs="宋体"/>
                <w:color w:val="auto"/>
                <w:szCs w:val="21"/>
                <w:highlight w:val="none"/>
              </w:rPr>
            </w:pPr>
            <w:r>
              <w:rPr>
                <w:rFonts w:hint="eastAsia" w:ascii="宋体" w:hAnsi="宋体" w:cs="宋体"/>
                <w:color w:val="auto"/>
                <w:szCs w:val="21"/>
                <w:highlight w:val="none"/>
                <w:lang w:val="en-US" w:eastAsia="zh-CN"/>
              </w:rPr>
              <w:t>商务部分</w:t>
            </w:r>
            <w:r>
              <w:rPr>
                <w:rFonts w:hint="eastAsia" w:ascii="宋体" w:hAnsi="宋体" w:cs="宋体"/>
                <w:color w:val="auto"/>
                <w:szCs w:val="21"/>
                <w:highlight w:val="none"/>
              </w:rPr>
              <w:t>：</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分</w:t>
            </w:r>
          </w:p>
          <w:p>
            <w:pPr>
              <w:rPr>
                <w:rFonts w:hint="eastAsia" w:ascii="宋体" w:hAnsi="宋体" w:cs="宋体"/>
                <w:color w:val="auto"/>
                <w:szCs w:val="21"/>
                <w:highlight w:val="none"/>
              </w:rPr>
            </w:pPr>
            <w:r>
              <w:rPr>
                <w:rFonts w:hint="eastAsia" w:ascii="宋体" w:hAnsi="宋体" w:cs="宋体"/>
                <w:color w:val="auto"/>
                <w:szCs w:val="21"/>
                <w:highlight w:val="none"/>
                <w:lang w:val="en-US" w:eastAsia="zh-CN"/>
              </w:rPr>
              <w:t>报价部分</w:t>
            </w:r>
            <w:r>
              <w:rPr>
                <w:rFonts w:hint="eastAsia" w:ascii="宋体" w:hAnsi="宋体" w:cs="宋体"/>
                <w:color w:val="auto"/>
                <w:szCs w:val="21"/>
                <w:highlight w:val="none"/>
              </w:rPr>
              <w:t>：</w:t>
            </w:r>
            <w:r>
              <w:rPr>
                <w:rFonts w:hint="eastAsia" w:ascii="宋体" w:hAnsi="宋体" w:cs="宋体"/>
                <w:color w:val="auto"/>
                <w:szCs w:val="21"/>
                <w:highlight w:val="none"/>
                <w:u w:val="single"/>
              </w:rPr>
              <w:t>30</w:t>
            </w:r>
            <w:r>
              <w:rPr>
                <w:rFonts w:hint="eastAsia" w:ascii="宋体" w:hAnsi="宋体" w:cs="宋体"/>
                <w:color w:val="auto"/>
                <w:szCs w:val="21"/>
                <w:highlight w:val="none"/>
              </w:rPr>
              <w:t>分</w:t>
            </w:r>
          </w:p>
          <w:p>
            <w:pPr>
              <w:rPr>
                <w:rFonts w:hint="eastAsia" w:ascii="宋体" w:hAnsi="宋体" w:cs="宋体"/>
                <w:color w:val="auto"/>
                <w:szCs w:val="21"/>
                <w:highlight w:val="none"/>
              </w:rPr>
            </w:pPr>
            <w:r>
              <w:rPr>
                <w:rFonts w:hint="eastAsia" w:ascii="宋体" w:hAnsi="宋体" w:cs="宋体"/>
                <w:color w:val="auto"/>
                <w:szCs w:val="21"/>
                <w:highlight w:val="none"/>
              </w:rPr>
              <w:t>其他</w:t>
            </w:r>
            <w:r>
              <w:rPr>
                <w:rFonts w:hint="eastAsia" w:ascii="宋体" w:hAnsi="宋体" w:cs="宋体"/>
                <w:color w:val="auto"/>
                <w:szCs w:val="21"/>
                <w:highlight w:val="none"/>
                <w:lang w:val="en-US" w:eastAsia="zh-CN"/>
              </w:rPr>
              <w:t>部分</w:t>
            </w:r>
            <w:r>
              <w:rPr>
                <w:rFonts w:hint="eastAsia" w:ascii="宋体" w:hAnsi="宋体" w:cs="宋体"/>
                <w:color w:val="auto"/>
                <w:szCs w:val="21"/>
                <w:highlight w:val="none"/>
              </w:rPr>
              <w:t>：</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872"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2.2.2</w:t>
            </w:r>
          </w:p>
        </w:tc>
        <w:tc>
          <w:tcPr>
            <w:tcW w:w="214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评审基准价</w:t>
            </w:r>
          </w:p>
          <w:p>
            <w:pPr>
              <w:jc w:val="center"/>
              <w:rPr>
                <w:rFonts w:hint="eastAsia" w:ascii="宋体" w:hAnsi="宋体" w:cs="宋体"/>
                <w:color w:val="auto"/>
                <w:szCs w:val="21"/>
                <w:highlight w:val="none"/>
              </w:rPr>
            </w:pPr>
            <w:r>
              <w:rPr>
                <w:rFonts w:hint="eastAsia" w:ascii="宋体" w:hAnsi="宋体" w:cs="宋体"/>
                <w:color w:val="auto"/>
                <w:szCs w:val="21"/>
                <w:highlight w:val="none"/>
              </w:rPr>
              <w:t>计算方法</w:t>
            </w:r>
          </w:p>
        </w:tc>
        <w:tc>
          <w:tcPr>
            <w:tcW w:w="5703" w:type="dxa"/>
            <w:gridSpan w:val="2"/>
            <w:noWrap w:val="0"/>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评审基准价：经评审的所有有效最后磋商报价（落实政府采购政策后）中以最低磋商报价为评审基准价；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872"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2.2.3</w:t>
            </w:r>
          </w:p>
        </w:tc>
        <w:tc>
          <w:tcPr>
            <w:tcW w:w="2144" w:type="dxa"/>
            <w:noWrap w:val="0"/>
            <w:vAlign w:val="center"/>
          </w:tcPr>
          <w:p>
            <w:pPr>
              <w:jc w:val="center"/>
              <w:rPr>
                <w:rFonts w:hint="eastAsia" w:ascii="宋体" w:hAnsi="宋体" w:cs="宋体"/>
                <w:color w:val="auto"/>
                <w:szCs w:val="21"/>
                <w:highlight w:val="none"/>
              </w:rPr>
            </w:pPr>
            <w:r>
              <w:rPr>
                <w:rFonts w:hint="eastAsia" w:ascii="宋体" w:hAnsi="宋体"/>
                <w:color w:val="auto"/>
                <w:szCs w:val="21"/>
                <w:highlight w:val="none"/>
              </w:rPr>
              <w:t>磋商报价得分计算方法</w:t>
            </w:r>
          </w:p>
        </w:tc>
        <w:tc>
          <w:tcPr>
            <w:tcW w:w="5703" w:type="dxa"/>
            <w:gridSpan w:val="2"/>
            <w:noWrap w:val="0"/>
            <w:vAlign w:val="center"/>
          </w:tcPr>
          <w:p>
            <w:pPr>
              <w:rPr>
                <w:rFonts w:ascii="宋体" w:hAnsi="宋体" w:cs="宋体"/>
                <w:color w:val="auto"/>
                <w:szCs w:val="21"/>
                <w:highlight w:val="none"/>
              </w:rPr>
            </w:pPr>
            <w:r>
              <w:rPr>
                <w:rFonts w:hint="eastAsia" w:ascii="宋体" w:hAnsi="宋体" w:cs="宋体"/>
                <w:sz w:val="21"/>
                <w:szCs w:val="21"/>
                <w:highlight w:val="none"/>
                <w:lang w:val="en-US" w:eastAsia="zh-CN"/>
              </w:rPr>
              <w:t>供应商最后报价</w:t>
            </w:r>
            <w:r>
              <w:rPr>
                <w:rFonts w:hint="eastAsia" w:ascii="宋体" w:hAnsi="宋体" w:cs="宋体"/>
                <w:sz w:val="21"/>
                <w:szCs w:val="21"/>
                <w:highlight w:val="none"/>
              </w:rPr>
              <w:t>等于</w:t>
            </w:r>
            <w:r>
              <w:rPr>
                <w:rFonts w:hint="eastAsia" w:ascii="宋体" w:hAnsi="宋体" w:cs="宋体"/>
                <w:sz w:val="21"/>
                <w:szCs w:val="21"/>
                <w:highlight w:val="none"/>
                <w:lang w:val="en-US" w:eastAsia="zh-CN"/>
              </w:rPr>
              <w:t>磋商</w:t>
            </w:r>
            <w:r>
              <w:rPr>
                <w:rFonts w:hint="eastAsia" w:ascii="宋体" w:hAnsi="宋体" w:cs="宋体"/>
                <w:sz w:val="21"/>
                <w:szCs w:val="21"/>
                <w:highlight w:val="none"/>
              </w:rPr>
              <w:t>基准价时得满分。其他报价得分=（</w:t>
            </w:r>
            <w:r>
              <w:rPr>
                <w:rFonts w:hint="eastAsia" w:ascii="宋体" w:hAnsi="宋体" w:cs="宋体"/>
                <w:sz w:val="21"/>
                <w:szCs w:val="21"/>
                <w:highlight w:val="none"/>
                <w:lang w:val="en-US" w:eastAsia="zh-CN"/>
              </w:rPr>
              <w:t>磋商</w:t>
            </w:r>
            <w:r>
              <w:rPr>
                <w:rFonts w:hint="eastAsia" w:ascii="宋体" w:hAnsi="宋体" w:cs="宋体"/>
                <w:sz w:val="21"/>
                <w:szCs w:val="21"/>
                <w:highlight w:val="none"/>
              </w:rPr>
              <w:t>基准价/</w:t>
            </w:r>
            <w:r>
              <w:rPr>
                <w:rFonts w:hint="eastAsia" w:ascii="宋体" w:hAnsi="宋体" w:cs="宋体"/>
                <w:sz w:val="21"/>
                <w:szCs w:val="21"/>
                <w:highlight w:val="none"/>
                <w:lang w:val="en-US" w:eastAsia="zh-CN"/>
              </w:rPr>
              <w:t>最后报价</w:t>
            </w:r>
            <w:r>
              <w:rPr>
                <w:rFonts w:hint="eastAsia" w:ascii="宋体" w:hAnsi="宋体" w:cs="宋体"/>
                <w:sz w:val="21"/>
                <w:szCs w:val="21"/>
                <w:highlight w:val="none"/>
              </w:rPr>
              <w:t>）×</w:t>
            </w:r>
            <w:r>
              <w:rPr>
                <w:rFonts w:hint="eastAsia" w:ascii="宋体" w:hAnsi="宋体" w:cs="宋体"/>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2"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条款号</w:t>
            </w:r>
          </w:p>
        </w:tc>
        <w:tc>
          <w:tcPr>
            <w:tcW w:w="214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评分因素</w:t>
            </w:r>
          </w:p>
        </w:tc>
        <w:tc>
          <w:tcPr>
            <w:tcW w:w="4469"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评分标准</w:t>
            </w:r>
          </w:p>
        </w:tc>
        <w:tc>
          <w:tcPr>
            <w:tcW w:w="123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778"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2.2.4</w:t>
            </w:r>
          </w:p>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094" w:type="dxa"/>
            <w:vMerge w:val="restart"/>
            <w:noWrap w:val="0"/>
            <w:vAlign w:val="center"/>
          </w:tcPr>
          <w:p>
            <w:pPr>
              <w:adjustRightInd w:val="0"/>
              <w:snapToGrid w:val="0"/>
              <w:spacing w:line="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技术</w:t>
            </w:r>
          </w:p>
          <w:p>
            <w:pPr>
              <w:adjustRightInd w:val="0"/>
              <w:snapToGrid w:val="0"/>
              <w:spacing w:line="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部分</w:t>
            </w:r>
          </w:p>
          <w:p>
            <w:pPr>
              <w:jc w:val="center"/>
              <w:rPr>
                <w:rFonts w:hint="eastAsia" w:ascii="宋体" w:hAnsi="宋体" w:cs="宋体"/>
                <w:color w:val="auto"/>
                <w:szCs w:val="21"/>
                <w:highlight w:val="none"/>
              </w:rPr>
            </w:pPr>
            <w:r>
              <w:rPr>
                <w:rFonts w:hint="eastAsia" w:ascii="宋体" w:hAnsi="宋体" w:eastAsia="宋体" w:cs="宋体"/>
                <w:sz w:val="21"/>
                <w:szCs w:val="21"/>
                <w:highlight w:val="none"/>
                <w:lang w:val="en-US" w:eastAsia="zh-CN"/>
              </w:rPr>
              <w:t>（52分）</w:t>
            </w:r>
          </w:p>
        </w:tc>
        <w:tc>
          <w:tcPr>
            <w:tcW w:w="2144" w:type="dxa"/>
            <w:noWrap w:val="0"/>
            <w:vAlign w:val="center"/>
          </w:tcPr>
          <w:p>
            <w:pPr>
              <w:adjustRightInd w:val="0"/>
              <w:snapToGrid w:val="0"/>
              <w:spacing w:line="0" w:lineRule="atLeast"/>
              <w:jc w:val="center"/>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TW" w:eastAsia="zh-TW"/>
              </w:rPr>
              <w:t>施工方案与技术措施</w:t>
            </w:r>
            <w:r>
              <w:rPr>
                <w:rFonts w:hint="eastAsia" w:ascii="宋体" w:hAnsi="宋体" w:eastAsia="宋体" w:cs="宋体"/>
                <w:sz w:val="21"/>
                <w:szCs w:val="21"/>
                <w:highlight w:val="none"/>
                <w:lang w:val="zh-TW" w:eastAsia="zh-CN"/>
              </w:rPr>
              <w:t>（</w:t>
            </w:r>
            <w:r>
              <w:rPr>
                <w:rFonts w:hint="eastAsia" w:ascii="宋体" w:hAnsi="宋体" w:eastAsia="宋体" w:cs="宋体"/>
                <w:sz w:val="21"/>
                <w:szCs w:val="21"/>
                <w:highlight w:val="none"/>
                <w:lang w:val="en-US" w:eastAsia="zh-CN"/>
              </w:rPr>
              <w:t>10分</w:t>
            </w:r>
            <w:r>
              <w:rPr>
                <w:rFonts w:hint="eastAsia" w:ascii="宋体" w:hAnsi="宋体" w:eastAsia="宋体" w:cs="宋体"/>
                <w:sz w:val="21"/>
                <w:szCs w:val="21"/>
                <w:highlight w:val="none"/>
                <w:lang w:val="zh-TW" w:eastAsia="zh-CN"/>
              </w:rPr>
              <w:t>）</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4"/>
                <w:highlight w:val="none"/>
                <w:lang w:val="zh-CN" w:eastAsia="zh-CN" w:bidi="ar-SA"/>
              </w:rPr>
            </w:pPr>
            <w:r>
              <w:rPr>
                <w:rFonts w:hint="eastAsia" w:ascii="宋体" w:hAnsi="宋体" w:cs="宋体"/>
                <w:highlight w:val="none"/>
                <w:lang w:val="en-US" w:eastAsia="zh-CN"/>
              </w:rPr>
              <w:t>供应商制</w:t>
            </w:r>
            <w:r>
              <w:rPr>
                <w:rFonts w:hint="eastAsia" w:ascii="宋体" w:hAnsi="宋体" w:eastAsia="宋体" w:cs="宋体"/>
                <w:highlight w:val="none"/>
                <w:lang w:val="en-US" w:eastAsia="zh-CN"/>
              </w:rPr>
              <w:t>定</w:t>
            </w:r>
            <w:r>
              <w:rPr>
                <w:rFonts w:hint="eastAsia" w:ascii="宋体" w:hAnsi="宋体" w:eastAsia="宋体" w:cs="宋体"/>
                <w:highlight w:val="none"/>
                <w:lang w:val="zh-TW" w:eastAsia="zh-TW"/>
              </w:rPr>
              <w:t>施工方案与技术措施</w:t>
            </w:r>
            <w:r>
              <w:rPr>
                <w:rFonts w:hint="eastAsia" w:ascii="宋体" w:hAnsi="宋体" w:eastAsia="宋体" w:cs="宋体"/>
                <w:highlight w:val="none"/>
                <w:lang w:val="zh-TW" w:eastAsia="zh-CN"/>
              </w:rPr>
              <w:t>，</w:t>
            </w:r>
            <w:r>
              <w:rPr>
                <w:rFonts w:hint="eastAsia" w:ascii="宋体" w:hAnsi="宋体" w:eastAsia="宋体" w:cs="宋体"/>
                <w:highlight w:val="none"/>
                <w:lang w:val="en-US" w:eastAsia="zh-CN"/>
              </w:rPr>
              <w:t>提供</w:t>
            </w:r>
            <w:r>
              <w:rPr>
                <w:rFonts w:hint="eastAsia" w:ascii="宋体" w:hAnsi="宋体" w:eastAsia="宋体" w:cs="宋体"/>
                <w:highlight w:val="none"/>
                <w:lang w:val="zh-TW" w:eastAsia="zh-TW"/>
              </w:rPr>
              <w:t>完</w:t>
            </w:r>
            <w:r>
              <w:rPr>
                <w:rStyle w:val="29"/>
                <w:rFonts w:hint="eastAsia" w:ascii="宋体" w:hAnsi="宋体" w:cs="宋体"/>
                <w:sz w:val="21"/>
                <w:szCs w:val="21"/>
                <w:highlight w:val="none"/>
                <w:lang w:val="zh-TW" w:eastAsia="zh-TW"/>
              </w:rPr>
              <w:t>整的施工方案</w:t>
            </w:r>
            <w:r>
              <w:rPr>
                <w:rStyle w:val="29"/>
                <w:rFonts w:hint="eastAsia" w:ascii="宋体" w:hAnsi="宋体" w:cs="宋体"/>
                <w:sz w:val="21"/>
                <w:szCs w:val="21"/>
                <w:highlight w:val="none"/>
                <w:lang w:val="zh-TW" w:eastAsia="zh-CN"/>
              </w:rPr>
              <w:t>，</w:t>
            </w:r>
            <w:r>
              <w:rPr>
                <w:rStyle w:val="29"/>
                <w:rFonts w:hint="eastAsia" w:ascii="宋体" w:hAnsi="宋体" w:cs="宋体"/>
                <w:sz w:val="21"/>
                <w:szCs w:val="21"/>
                <w:highlight w:val="none"/>
                <w:lang w:val="en-US" w:eastAsia="zh-CN"/>
              </w:rPr>
              <w:t>包括但不</w:t>
            </w:r>
            <w:r>
              <w:rPr>
                <w:rStyle w:val="29"/>
                <w:rFonts w:hint="eastAsia" w:ascii="宋体" w:hAnsi="宋体" w:eastAsia="宋体" w:cs="宋体"/>
                <w:sz w:val="21"/>
                <w:szCs w:val="21"/>
                <w:highlight w:val="none"/>
                <w:lang w:val="en-US" w:eastAsia="zh-CN"/>
              </w:rPr>
              <w:t>限于对</w:t>
            </w:r>
            <w:r>
              <w:rPr>
                <w:rStyle w:val="29"/>
                <w:rFonts w:hint="eastAsia" w:ascii="宋体" w:hAnsi="宋体" w:eastAsia="宋体" w:cs="宋体"/>
                <w:sz w:val="21"/>
                <w:szCs w:val="21"/>
                <w:highlight w:val="none"/>
                <w:lang w:val="zh-TW" w:eastAsia="zh-TW"/>
              </w:rPr>
              <w:t>应各部分工程的技术保证措施</w:t>
            </w:r>
            <w:r>
              <w:rPr>
                <w:rStyle w:val="29"/>
                <w:rFonts w:hint="eastAsia" w:ascii="宋体" w:hAnsi="宋体" w:eastAsia="宋体" w:cs="宋体"/>
                <w:sz w:val="21"/>
                <w:szCs w:val="21"/>
                <w:highlight w:val="none"/>
                <w:lang w:val="zh-TW" w:eastAsia="zh-CN"/>
              </w:rPr>
              <w:t>、</w:t>
            </w:r>
            <w:r>
              <w:rPr>
                <w:rStyle w:val="29"/>
                <w:rFonts w:hint="eastAsia" w:ascii="宋体" w:hAnsi="宋体" w:eastAsia="宋体" w:cs="宋体"/>
                <w:sz w:val="21"/>
                <w:szCs w:val="21"/>
                <w:highlight w:val="none"/>
                <w:lang w:val="en-US" w:eastAsia="zh-CN"/>
              </w:rPr>
              <w:t>提供</w:t>
            </w:r>
            <w:r>
              <w:rPr>
                <w:rStyle w:val="29"/>
                <w:rFonts w:hint="eastAsia" w:ascii="宋体" w:hAnsi="宋体" w:eastAsia="宋体" w:cs="宋体"/>
                <w:sz w:val="21"/>
                <w:szCs w:val="21"/>
                <w:highlight w:val="none"/>
                <w:lang w:val="zh-TW" w:eastAsia="zh-TW"/>
              </w:rPr>
              <w:t>详细完整的演出扩声系统测试数据及施工方案</w:t>
            </w:r>
            <w:r>
              <w:rPr>
                <w:rStyle w:val="29"/>
                <w:rFonts w:hint="eastAsia" w:ascii="宋体" w:hAnsi="宋体" w:eastAsia="宋体" w:cs="宋体"/>
                <w:sz w:val="21"/>
                <w:szCs w:val="21"/>
                <w:highlight w:val="none"/>
                <w:lang w:val="zh-TW" w:eastAsia="zh-CN"/>
              </w:rPr>
              <w:t>、</w:t>
            </w:r>
            <w:r>
              <w:rPr>
                <w:rStyle w:val="29"/>
                <w:rFonts w:hint="eastAsia" w:ascii="宋体" w:hAnsi="宋体" w:eastAsia="宋体" w:cs="宋体"/>
                <w:sz w:val="21"/>
                <w:szCs w:val="21"/>
                <w:highlight w:val="none"/>
                <w:lang w:val="zh-TW" w:eastAsia="zh-TW"/>
              </w:rPr>
              <w:t>舞台灯光系统测试图及施工方案</w:t>
            </w:r>
            <w:r>
              <w:rPr>
                <w:rStyle w:val="29"/>
                <w:rFonts w:hint="eastAsia" w:ascii="宋体" w:hAnsi="宋体" w:eastAsia="宋体" w:cs="宋体"/>
                <w:sz w:val="21"/>
                <w:szCs w:val="21"/>
                <w:highlight w:val="none"/>
                <w:lang w:val="zh-TW" w:eastAsia="zh-CN"/>
              </w:rPr>
              <w:t>、</w:t>
            </w:r>
            <w:r>
              <w:rPr>
                <w:rStyle w:val="29"/>
                <w:rFonts w:hint="eastAsia" w:ascii="宋体" w:hAnsi="宋体" w:eastAsia="宋体" w:cs="宋体"/>
                <w:sz w:val="21"/>
                <w:szCs w:val="21"/>
                <w:highlight w:val="none"/>
                <w:lang w:val="zh-TW" w:eastAsia="zh-TW"/>
              </w:rPr>
              <w:t>装饰声学报告及装饰施工方案</w:t>
            </w:r>
            <w:r>
              <w:rPr>
                <w:rStyle w:val="29"/>
                <w:rFonts w:hint="eastAsia" w:ascii="宋体" w:hAnsi="宋体" w:eastAsia="宋体" w:cs="宋体"/>
                <w:sz w:val="21"/>
                <w:szCs w:val="21"/>
                <w:highlight w:val="none"/>
                <w:lang w:val="zh-TW" w:eastAsia="zh-CN"/>
              </w:rPr>
              <w:t>。</w:t>
            </w:r>
            <w:r>
              <w:rPr>
                <w:rStyle w:val="29"/>
                <w:rFonts w:hint="eastAsia" w:ascii="宋体" w:hAnsi="宋体" w:eastAsia="宋体" w:cs="宋体"/>
                <w:sz w:val="21"/>
                <w:szCs w:val="21"/>
                <w:highlight w:val="none"/>
                <w:lang w:val="en-US" w:eastAsia="zh-CN"/>
              </w:rPr>
              <w:t>对上述</w:t>
            </w:r>
            <w:r>
              <w:rPr>
                <w:rStyle w:val="29"/>
                <w:rFonts w:hint="eastAsia" w:ascii="宋体" w:hAnsi="宋体" w:eastAsia="宋体" w:cs="宋体"/>
                <w:sz w:val="21"/>
                <w:szCs w:val="21"/>
                <w:highlight w:val="none"/>
                <w:lang w:val="zh-TW" w:eastAsia="zh-CN"/>
              </w:rPr>
              <w:t>内容</w:t>
            </w:r>
            <w:r>
              <w:rPr>
                <w:rStyle w:val="29"/>
                <w:rFonts w:hint="eastAsia" w:ascii="宋体" w:hAnsi="宋体" w:eastAsia="宋体" w:cs="宋体"/>
                <w:sz w:val="21"/>
                <w:szCs w:val="21"/>
                <w:highlight w:val="none"/>
                <w:lang w:val="en-US" w:eastAsia="zh-CN"/>
              </w:rPr>
              <w:t>描述清楚、</w:t>
            </w:r>
            <w:r>
              <w:rPr>
                <w:rStyle w:val="29"/>
                <w:rFonts w:hint="eastAsia" w:ascii="宋体" w:hAnsi="宋体" w:eastAsia="宋体" w:cs="宋体"/>
                <w:sz w:val="21"/>
                <w:szCs w:val="21"/>
                <w:highlight w:val="none"/>
                <w:lang w:val="zh-TW" w:eastAsia="zh-CN"/>
              </w:rPr>
              <w:t>完整、合理、可行</w:t>
            </w:r>
            <w:r>
              <w:rPr>
                <w:rStyle w:val="29"/>
                <w:rFonts w:hint="eastAsia" w:ascii="宋体" w:hAnsi="宋体" w:eastAsia="宋体" w:cs="宋体"/>
                <w:sz w:val="21"/>
                <w:szCs w:val="21"/>
                <w:highlight w:val="none"/>
                <w:lang w:val="en-US" w:eastAsia="zh-CN"/>
              </w:rPr>
              <w:t>等情况进行综合评分，</w:t>
            </w:r>
            <w:r>
              <w:rPr>
                <w:rStyle w:val="29"/>
                <w:rFonts w:hint="eastAsia" w:ascii="宋体" w:hAnsi="宋体" w:eastAsia="宋体" w:cs="宋体"/>
                <w:sz w:val="21"/>
                <w:szCs w:val="21"/>
                <w:highlight w:val="none"/>
                <w:lang w:val="zh-TW" w:eastAsia="zh-CN"/>
              </w:rPr>
              <w:t>优得</w:t>
            </w:r>
            <w:r>
              <w:rPr>
                <w:rStyle w:val="29"/>
                <w:rFonts w:hint="eastAsia" w:ascii="宋体" w:hAnsi="宋体" w:eastAsia="宋体" w:cs="宋体"/>
                <w:sz w:val="21"/>
                <w:szCs w:val="21"/>
                <w:highlight w:val="none"/>
                <w:lang w:val="en-US" w:eastAsia="zh-CN"/>
              </w:rPr>
              <w:t>10</w:t>
            </w:r>
            <w:r>
              <w:rPr>
                <w:rStyle w:val="29"/>
                <w:rFonts w:hint="eastAsia" w:ascii="宋体" w:hAnsi="宋体" w:eastAsia="宋体" w:cs="宋体"/>
                <w:sz w:val="21"/>
                <w:szCs w:val="21"/>
                <w:highlight w:val="none"/>
                <w:lang w:val="zh-TW" w:eastAsia="zh-CN"/>
              </w:rPr>
              <w:t>分、良得</w:t>
            </w:r>
            <w:r>
              <w:rPr>
                <w:rStyle w:val="29"/>
                <w:rFonts w:hint="eastAsia" w:ascii="宋体" w:hAnsi="宋体" w:eastAsia="宋体" w:cs="宋体"/>
                <w:sz w:val="21"/>
                <w:szCs w:val="21"/>
                <w:highlight w:val="none"/>
                <w:lang w:val="en-US" w:eastAsia="zh-CN"/>
              </w:rPr>
              <w:t>8</w:t>
            </w:r>
            <w:r>
              <w:rPr>
                <w:rStyle w:val="29"/>
                <w:rFonts w:hint="eastAsia" w:ascii="宋体" w:hAnsi="宋体" w:eastAsia="宋体" w:cs="宋体"/>
                <w:sz w:val="21"/>
                <w:szCs w:val="21"/>
                <w:highlight w:val="none"/>
                <w:lang w:val="zh-TW" w:eastAsia="zh-CN"/>
              </w:rPr>
              <w:t>分，</w:t>
            </w:r>
            <w:r>
              <w:rPr>
                <w:rStyle w:val="29"/>
                <w:rFonts w:hint="eastAsia" w:ascii="宋体" w:hAnsi="宋体" w:eastAsia="宋体" w:cs="宋体"/>
                <w:sz w:val="21"/>
                <w:szCs w:val="21"/>
                <w:highlight w:val="none"/>
                <w:lang w:val="en-US" w:eastAsia="zh-CN"/>
              </w:rPr>
              <w:t>中得</w:t>
            </w:r>
            <w:r>
              <w:rPr>
                <w:rFonts w:hint="eastAsia" w:ascii="宋体" w:hAnsi="宋体" w:cs="宋体"/>
                <w:sz w:val="21"/>
                <w:szCs w:val="21"/>
                <w:highlight w:val="none"/>
                <w:lang w:val="en-US" w:eastAsia="zh-CN"/>
              </w:rPr>
              <w:t>6分，</w:t>
            </w:r>
            <w:r>
              <w:rPr>
                <w:rFonts w:hint="eastAsia" w:ascii="宋体" w:hAnsi="宋体" w:eastAsia="宋体" w:cs="宋体"/>
                <w:sz w:val="21"/>
                <w:szCs w:val="21"/>
                <w:highlight w:val="none"/>
              </w:rPr>
              <w:t>一般得</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无不得分。</w:t>
            </w:r>
          </w:p>
        </w:tc>
        <w:tc>
          <w:tcPr>
            <w:tcW w:w="1234" w:type="dxa"/>
            <w:noWrap w:val="0"/>
            <w:vAlign w:val="center"/>
          </w:tcPr>
          <w:p>
            <w:pPr>
              <w:adjustRightInd w:val="0"/>
              <w:snapToGrid w:val="0"/>
              <w:jc w:val="center"/>
              <w:rPr>
                <w:rFonts w:hint="eastAsia" w:ascii="宋体" w:hAnsi="宋体" w:eastAsia="宋体" w:cs="宋体"/>
                <w:kern w:val="2"/>
                <w:sz w:val="21"/>
                <w:szCs w:val="24"/>
                <w:highlight w:val="none"/>
                <w:lang w:val="en-US" w:eastAsia="zh-CN" w:bidi="ar-SA"/>
              </w:rPr>
            </w:pPr>
            <w:r>
              <w:rPr>
                <w:rFonts w:hint="eastAsia" w:ascii="宋体" w:hAnsi="宋体" w:cs="宋体"/>
                <w:highlight w:val="no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Fonts w:hint="eastAsia" w:ascii="宋体" w:hAnsi="宋体" w:eastAsia="宋体" w:cs="宋体"/>
                <w:sz w:val="21"/>
                <w:szCs w:val="21"/>
                <w:highlight w:val="none"/>
                <w:lang w:val="zh-TW" w:eastAsia="zh-TW"/>
              </w:rPr>
            </w:pPr>
            <w:r>
              <w:rPr>
                <w:rFonts w:hint="eastAsia" w:ascii="宋体" w:hAnsi="宋体" w:eastAsia="宋体" w:cs="宋体"/>
                <w:sz w:val="21"/>
                <w:szCs w:val="21"/>
                <w:highlight w:val="none"/>
                <w:lang w:val="zh-TW" w:eastAsia="zh-TW"/>
              </w:rPr>
              <w:t>工程实施的重点、难点工序分析</w:t>
            </w:r>
          </w:p>
          <w:p>
            <w:pPr>
              <w:adjustRightInd w:val="0"/>
              <w:snapToGrid w:val="0"/>
              <w:spacing w:line="0" w:lineRule="atLeast"/>
              <w:jc w:val="center"/>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TW" w:eastAsia="zh-CN"/>
              </w:rPr>
              <w:t>（</w:t>
            </w:r>
            <w:r>
              <w:rPr>
                <w:rFonts w:hint="eastAsia" w:ascii="宋体" w:hAnsi="宋体" w:eastAsia="宋体" w:cs="宋体"/>
                <w:sz w:val="21"/>
                <w:szCs w:val="21"/>
                <w:highlight w:val="none"/>
                <w:lang w:val="en-US" w:eastAsia="zh-CN"/>
              </w:rPr>
              <w:t>10分</w:t>
            </w:r>
            <w:r>
              <w:rPr>
                <w:rFonts w:hint="eastAsia" w:ascii="宋体" w:hAnsi="宋体" w:eastAsia="宋体" w:cs="宋体"/>
                <w:sz w:val="21"/>
                <w:szCs w:val="21"/>
                <w:highlight w:val="none"/>
                <w:lang w:val="zh-TW" w:eastAsia="zh-CN"/>
              </w:rPr>
              <w:t>）</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2"/>
                <w:sz w:val="21"/>
                <w:szCs w:val="20"/>
                <w:highlight w:val="none"/>
                <w:u w:val="none"/>
                <w:lang w:val="en-US" w:eastAsia="zh-CN" w:bidi="ar-SA"/>
              </w:rPr>
            </w:pPr>
            <w:r>
              <w:rPr>
                <w:rFonts w:hint="eastAsia" w:ascii="宋体" w:hAnsi="宋体" w:eastAsia="宋体" w:cs="宋体"/>
                <w:color w:val="auto"/>
                <w:kern w:val="2"/>
                <w:sz w:val="21"/>
                <w:szCs w:val="20"/>
                <w:highlight w:val="none"/>
                <w:u w:val="none"/>
                <w:lang w:val="en-US" w:eastAsia="zh-CN" w:bidi="ar-SA"/>
              </w:rPr>
              <w:t>供应商制定</w:t>
            </w:r>
            <w:r>
              <w:rPr>
                <w:rFonts w:hint="eastAsia" w:ascii="宋体" w:hAnsi="宋体" w:eastAsia="宋体" w:cs="宋体"/>
                <w:color w:val="auto"/>
                <w:kern w:val="2"/>
                <w:sz w:val="21"/>
                <w:szCs w:val="20"/>
                <w:highlight w:val="none"/>
                <w:u w:val="none"/>
                <w:lang w:val="zh-TW" w:eastAsia="zh-TW" w:bidi="ar-SA"/>
              </w:rPr>
              <w:t>工程实施的重点、难点工序分析</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en-US" w:eastAsia="zh-CN" w:bidi="ar-SA"/>
              </w:rPr>
              <w:t>需</w:t>
            </w:r>
            <w:r>
              <w:rPr>
                <w:rFonts w:hint="eastAsia" w:ascii="宋体" w:hAnsi="宋体" w:eastAsia="宋体" w:cs="宋体"/>
                <w:color w:val="auto"/>
                <w:kern w:val="2"/>
                <w:sz w:val="21"/>
                <w:szCs w:val="20"/>
                <w:highlight w:val="none"/>
                <w:u w:val="none"/>
                <w:lang w:val="zh-TW" w:eastAsia="zh-TW" w:bidi="ar-SA"/>
              </w:rPr>
              <w:t>包含关键施工技术重点、难点工序</w:t>
            </w:r>
            <w:r>
              <w:rPr>
                <w:rFonts w:hint="eastAsia" w:ascii="宋体" w:hAnsi="宋体" w:eastAsia="宋体" w:cs="宋体"/>
                <w:color w:val="auto"/>
                <w:kern w:val="2"/>
                <w:sz w:val="21"/>
                <w:szCs w:val="20"/>
                <w:highlight w:val="none"/>
                <w:u w:val="none"/>
                <w:lang w:val="en-US" w:eastAsia="zh-CN" w:bidi="ar-SA"/>
              </w:rPr>
              <w:t>的</w:t>
            </w:r>
            <w:r>
              <w:rPr>
                <w:rFonts w:hint="eastAsia" w:ascii="宋体" w:hAnsi="宋体" w:eastAsia="宋体" w:cs="宋体"/>
                <w:color w:val="auto"/>
                <w:kern w:val="2"/>
                <w:sz w:val="21"/>
                <w:szCs w:val="20"/>
                <w:highlight w:val="none"/>
                <w:u w:val="none"/>
                <w:lang w:val="zh-TW" w:eastAsia="zh-TW" w:bidi="ar-SA"/>
              </w:rPr>
              <w:t>分析</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en-US" w:eastAsia="zh-CN" w:bidi="ar-SA"/>
              </w:rPr>
              <w:t>对</w:t>
            </w:r>
            <w:r>
              <w:rPr>
                <w:rFonts w:hint="eastAsia" w:ascii="宋体" w:hAnsi="宋体" w:eastAsia="宋体" w:cs="宋体"/>
                <w:color w:val="auto"/>
                <w:kern w:val="2"/>
                <w:sz w:val="21"/>
                <w:szCs w:val="20"/>
                <w:highlight w:val="none"/>
                <w:u w:val="none"/>
                <w:lang w:val="zh-TW" w:eastAsia="zh-TW" w:bidi="ar-SA"/>
              </w:rPr>
              <w:t>重点难点工序</w:t>
            </w:r>
            <w:r>
              <w:rPr>
                <w:rFonts w:hint="eastAsia" w:ascii="宋体" w:hAnsi="宋体" w:eastAsia="宋体" w:cs="宋体"/>
                <w:color w:val="auto"/>
                <w:kern w:val="2"/>
                <w:sz w:val="21"/>
                <w:szCs w:val="20"/>
                <w:highlight w:val="none"/>
                <w:u w:val="none"/>
                <w:lang w:val="en-US" w:eastAsia="zh-CN" w:bidi="ar-SA"/>
              </w:rPr>
              <w:t>可能</w:t>
            </w:r>
            <w:r>
              <w:rPr>
                <w:rFonts w:hint="eastAsia" w:ascii="宋体" w:hAnsi="宋体" w:eastAsia="宋体" w:cs="宋体"/>
                <w:color w:val="auto"/>
                <w:kern w:val="2"/>
                <w:sz w:val="21"/>
                <w:szCs w:val="20"/>
                <w:highlight w:val="none"/>
                <w:u w:val="none"/>
                <w:lang w:val="zh-TW" w:eastAsia="zh-TW" w:bidi="ar-SA"/>
              </w:rPr>
              <w:t>出现</w:t>
            </w:r>
            <w:r>
              <w:rPr>
                <w:rFonts w:hint="eastAsia" w:ascii="宋体" w:hAnsi="宋体" w:eastAsia="宋体" w:cs="宋体"/>
                <w:color w:val="auto"/>
                <w:kern w:val="2"/>
                <w:sz w:val="21"/>
                <w:szCs w:val="20"/>
                <w:highlight w:val="none"/>
                <w:u w:val="none"/>
                <w:lang w:val="en-US" w:eastAsia="zh-CN" w:bidi="ar-SA"/>
              </w:rPr>
              <w:t>得</w:t>
            </w:r>
            <w:r>
              <w:rPr>
                <w:rFonts w:hint="eastAsia" w:ascii="宋体" w:hAnsi="宋体" w:eastAsia="宋体" w:cs="宋体"/>
                <w:color w:val="auto"/>
                <w:kern w:val="2"/>
                <w:sz w:val="21"/>
                <w:szCs w:val="20"/>
                <w:highlight w:val="none"/>
                <w:u w:val="none"/>
                <w:lang w:val="zh-TW" w:eastAsia="zh-TW" w:bidi="ar-SA"/>
              </w:rPr>
              <w:t>问题</w:t>
            </w:r>
            <w:r>
              <w:rPr>
                <w:rFonts w:hint="eastAsia" w:ascii="宋体" w:hAnsi="宋体" w:eastAsia="宋体" w:cs="宋体"/>
                <w:color w:val="auto"/>
                <w:kern w:val="2"/>
                <w:sz w:val="21"/>
                <w:szCs w:val="20"/>
                <w:highlight w:val="none"/>
                <w:u w:val="none"/>
                <w:lang w:val="en-US" w:eastAsia="zh-CN" w:bidi="ar-SA"/>
              </w:rPr>
              <w:t>提供</w:t>
            </w:r>
            <w:r>
              <w:rPr>
                <w:rFonts w:hint="eastAsia" w:ascii="宋体" w:hAnsi="宋体" w:eastAsia="宋体" w:cs="宋体"/>
                <w:color w:val="auto"/>
                <w:kern w:val="2"/>
                <w:sz w:val="21"/>
                <w:szCs w:val="20"/>
                <w:highlight w:val="none"/>
                <w:u w:val="none"/>
                <w:lang w:val="zh-TW" w:eastAsia="zh-TW" w:bidi="ar-SA"/>
              </w:rPr>
              <w:t>解决方案</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en-US" w:eastAsia="zh-CN" w:bidi="ar-SA"/>
              </w:rPr>
              <w:t>对上述</w:t>
            </w:r>
            <w:r>
              <w:rPr>
                <w:rFonts w:hint="eastAsia" w:ascii="宋体" w:hAnsi="宋体" w:eastAsia="宋体" w:cs="宋体"/>
                <w:color w:val="auto"/>
                <w:kern w:val="2"/>
                <w:sz w:val="21"/>
                <w:szCs w:val="20"/>
                <w:highlight w:val="none"/>
                <w:u w:val="none"/>
                <w:lang w:val="zh-TW" w:eastAsia="zh-CN" w:bidi="ar-SA"/>
              </w:rPr>
              <w:t>内容</w:t>
            </w:r>
            <w:r>
              <w:rPr>
                <w:rFonts w:hint="eastAsia" w:ascii="宋体" w:hAnsi="宋体" w:eastAsia="宋体" w:cs="宋体"/>
                <w:color w:val="auto"/>
                <w:kern w:val="2"/>
                <w:sz w:val="21"/>
                <w:szCs w:val="20"/>
                <w:highlight w:val="none"/>
                <w:u w:val="none"/>
                <w:lang w:val="en-US" w:eastAsia="zh-CN" w:bidi="ar-SA"/>
              </w:rPr>
              <w:t>描述清楚、</w:t>
            </w:r>
            <w:r>
              <w:rPr>
                <w:rFonts w:hint="eastAsia" w:ascii="宋体" w:hAnsi="宋体" w:eastAsia="宋体" w:cs="宋体"/>
                <w:color w:val="auto"/>
                <w:kern w:val="2"/>
                <w:sz w:val="21"/>
                <w:szCs w:val="20"/>
                <w:highlight w:val="none"/>
                <w:u w:val="none"/>
                <w:lang w:val="zh-TW" w:eastAsia="zh-CN" w:bidi="ar-SA"/>
              </w:rPr>
              <w:t>完整、合理、可行</w:t>
            </w:r>
            <w:r>
              <w:rPr>
                <w:rFonts w:hint="eastAsia" w:ascii="宋体" w:hAnsi="宋体" w:eastAsia="宋体" w:cs="宋体"/>
                <w:color w:val="auto"/>
                <w:kern w:val="2"/>
                <w:sz w:val="21"/>
                <w:szCs w:val="20"/>
                <w:highlight w:val="none"/>
                <w:u w:val="none"/>
                <w:lang w:val="en-US" w:eastAsia="zh-CN" w:bidi="ar-SA"/>
              </w:rPr>
              <w:t>等情况进行综合评分，</w:t>
            </w:r>
            <w:r>
              <w:rPr>
                <w:rFonts w:hint="eastAsia" w:ascii="宋体" w:hAnsi="宋体" w:eastAsia="宋体" w:cs="宋体"/>
                <w:color w:val="auto"/>
                <w:kern w:val="2"/>
                <w:sz w:val="21"/>
                <w:szCs w:val="20"/>
                <w:highlight w:val="none"/>
                <w:u w:val="none"/>
                <w:lang w:val="zh-TW" w:eastAsia="zh-CN" w:bidi="ar-SA"/>
              </w:rPr>
              <w:t>优得</w:t>
            </w:r>
            <w:r>
              <w:rPr>
                <w:rFonts w:hint="eastAsia" w:ascii="宋体" w:hAnsi="宋体" w:eastAsia="宋体" w:cs="宋体"/>
                <w:color w:val="auto"/>
                <w:kern w:val="2"/>
                <w:sz w:val="21"/>
                <w:szCs w:val="20"/>
                <w:highlight w:val="none"/>
                <w:u w:val="none"/>
                <w:lang w:val="en-US" w:eastAsia="zh-CN" w:bidi="ar-SA"/>
              </w:rPr>
              <w:t>10</w:t>
            </w:r>
            <w:r>
              <w:rPr>
                <w:rFonts w:hint="eastAsia" w:ascii="宋体" w:hAnsi="宋体" w:eastAsia="宋体" w:cs="宋体"/>
                <w:color w:val="auto"/>
                <w:kern w:val="2"/>
                <w:sz w:val="21"/>
                <w:szCs w:val="20"/>
                <w:highlight w:val="none"/>
                <w:u w:val="none"/>
                <w:lang w:val="zh-TW" w:eastAsia="zh-CN" w:bidi="ar-SA"/>
              </w:rPr>
              <w:t>分、良得</w:t>
            </w:r>
            <w:r>
              <w:rPr>
                <w:rFonts w:hint="eastAsia" w:ascii="宋体" w:hAnsi="宋体" w:cs="宋体"/>
                <w:color w:val="auto"/>
                <w:kern w:val="2"/>
                <w:sz w:val="21"/>
                <w:szCs w:val="20"/>
                <w:highlight w:val="none"/>
                <w:u w:val="none"/>
                <w:lang w:val="en-US" w:eastAsia="zh-CN" w:bidi="ar-SA"/>
              </w:rPr>
              <w:t>7</w:t>
            </w:r>
            <w:r>
              <w:rPr>
                <w:rFonts w:hint="eastAsia" w:ascii="宋体" w:hAnsi="宋体" w:eastAsia="宋体" w:cs="宋体"/>
                <w:color w:val="auto"/>
                <w:kern w:val="2"/>
                <w:sz w:val="21"/>
                <w:szCs w:val="20"/>
                <w:highlight w:val="none"/>
                <w:u w:val="none"/>
                <w:lang w:val="zh-TW" w:eastAsia="zh-CN" w:bidi="ar-SA"/>
              </w:rPr>
              <w:t>分，</w:t>
            </w:r>
            <w:r>
              <w:rPr>
                <w:rFonts w:hint="eastAsia" w:ascii="宋体" w:hAnsi="宋体" w:eastAsia="宋体" w:cs="宋体"/>
                <w:color w:val="auto"/>
                <w:kern w:val="2"/>
                <w:sz w:val="21"/>
                <w:szCs w:val="20"/>
                <w:highlight w:val="none"/>
                <w:u w:val="none"/>
                <w:lang w:val="en-US" w:eastAsia="zh-CN" w:bidi="ar-SA"/>
              </w:rPr>
              <w:t>中得5分，一般得2分，无不得分。</w:t>
            </w:r>
          </w:p>
        </w:tc>
        <w:tc>
          <w:tcPr>
            <w:tcW w:w="1234" w:type="dxa"/>
            <w:noWrap w:val="0"/>
            <w:vAlign w:val="center"/>
          </w:tcPr>
          <w:p>
            <w:pPr>
              <w:adjustRightInd w:val="0"/>
              <w:snapToGrid w:val="0"/>
              <w:jc w:val="center"/>
              <w:rPr>
                <w:rFonts w:hint="eastAsia" w:ascii="宋体" w:hAnsi="宋体" w:eastAsia="宋体" w:cs="宋体"/>
                <w:kern w:val="2"/>
                <w:sz w:val="21"/>
                <w:szCs w:val="24"/>
                <w:highlight w:val="none"/>
                <w:lang w:val="en-US" w:eastAsia="zh-CN" w:bidi="ar-SA"/>
              </w:rPr>
            </w:pPr>
            <w:r>
              <w:rPr>
                <w:rFonts w:hint="eastAsia" w:ascii="宋体" w:hAnsi="宋体" w:eastAsia="宋体" w:cs="宋体"/>
                <w:highlight w:val="none"/>
                <w:lang w:val="en-US" w:eastAsia="zh-CN"/>
              </w:rPr>
              <w:t>0-</w:t>
            </w:r>
            <w:r>
              <w:rPr>
                <w:rFonts w:hint="eastAsia" w:ascii="宋体" w:hAnsi="宋体" w:cs="宋体"/>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Fonts w:hint="eastAsia" w:ascii="宋体" w:hAnsi="宋体" w:eastAsia="宋体" w:cs="宋体"/>
                <w:sz w:val="21"/>
                <w:szCs w:val="21"/>
                <w:highlight w:val="none"/>
                <w:lang w:val="zh-TW" w:eastAsia="zh-TW"/>
              </w:rPr>
            </w:pPr>
            <w:r>
              <w:rPr>
                <w:rFonts w:hint="eastAsia" w:ascii="宋体" w:hAnsi="宋体" w:eastAsia="宋体" w:cs="宋体"/>
                <w:sz w:val="21"/>
                <w:szCs w:val="21"/>
                <w:highlight w:val="none"/>
                <w:lang w:val="zh-TW" w:eastAsia="zh-TW"/>
              </w:rPr>
              <w:t>质量保证措施与创优计划</w:t>
            </w:r>
          </w:p>
          <w:p>
            <w:pPr>
              <w:adjustRightInd w:val="0"/>
              <w:snapToGrid w:val="0"/>
              <w:spacing w:line="0" w:lineRule="atLeast"/>
              <w:jc w:val="center"/>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TW" w:eastAsia="zh-CN"/>
              </w:rPr>
              <w:t>（</w:t>
            </w:r>
            <w:r>
              <w:rPr>
                <w:rFonts w:hint="eastAsia" w:ascii="宋体" w:hAnsi="宋体" w:eastAsia="宋体" w:cs="宋体"/>
                <w:sz w:val="21"/>
                <w:szCs w:val="21"/>
                <w:highlight w:val="none"/>
                <w:lang w:val="en-US" w:eastAsia="zh-CN"/>
              </w:rPr>
              <w:t>8分</w:t>
            </w:r>
            <w:r>
              <w:rPr>
                <w:rFonts w:hint="eastAsia" w:ascii="宋体" w:hAnsi="宋体" w:eastAsia="宋体" w:cs="宋体"/>
                <w:sz w:val="21"/>
                <w:szCs w:val="21"/>
                <w:highlight w:val="none"/>
                <w:lang w:val="zh-TW" w:eastAsia="zh-CN"/>
              </w:rPr>
              <w:t>）</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2"/>
                <w:sz w:val="21"/>
                <w:szCs w:val="20"/>
                <w:highlight w:val="none"/>
                <w:u w:val="none"/>
                <w:lang w:val="zh-CN" w:eastAsia="zh-CN" w:bidi="ar-SA"/>
              </w:rPr>
            </w:pPr>
            <w:r>
              <w:rPr>
                <w:rFonts w:hint="eastAsia" w:ascii="宋体" w:hAnsi="宋体" w:eastAsia="宋体" w:cs="宋体"/>
                <w:color w:val="auto"/>
                <w:kern w:val="2"/>
                <w:sz w:val="21"/>
                <w:szCs w:val="20"/>
                <w:highlight w:val="none"/>
                <w:u w:val="none"/>
                <w:lang w:val="en-US" w:eastAsia="zh-CN" w:bidi="ar-SA"/>
              </w:rPr>
              <w:t>供应商制定</w:t>
            </w:r>
            <w:r>
              <w:rPr>
                <w:rFonts w:hint="eastAsia" w:ascii="宋体" w:hAnsi="宋体" w:eastAsia="宋体" w:cs="宋体"/>
                <w:color w:val="auto"/>
                <w:kern w:val="2"/>
                <w:sz w:val="21"/>
                <w:szCs w:val="20"/>
                <w:highlight w:val="none"/>
                <w:u w:val="none"/>
                <w:lang w:val="zh-TW" w:eastAsia="zh-TW" w:bidi="ar-SA"/>
              </w:rPr>
              <w:t>质量保证措施与创优</w:t>
            </w:r>
            <w:r>
              <w:rPr>
                <w:rFonts w:hint="eastAsia" w:ascii="宋体" w:hAnsi="宋体" w:eastAsia="宋体" w:cs="宋体"/>
                <w:color w:val="auto"/>
                <w:kern w:val="2"/>
                <w:sz w:val="21"/>
                <w:szCs w:val="20"/>
                <w:highlight w:val="none"/>
                <w:u w:val="none"/>
                <w:lang w:val="zh-TW" w:eastAsia="zh-CN" w:bidi="ar-SA"/>
              </w:rPr>
              <w:t>计划，</w:t>
            </w:r>
            <w:r>
              <w:rPr>
                <w:rFonts w:hint="eastAsia" w:ascii="宋体" w:hAnsi="宋体" w:eastAsia="宋体" w:cs="宋体"/>
                <w:color w:val="auto"/>
                <w:kern w:val="2"/>
                <w:sz w:val="21"/>
                <w:szCs w:val="20"/>
                <w:highlight w:val="none"/>
                <w:u w:val="none"/>
                <w:lang w:val="en-US" w:eastAsia="zh-CN" w:bidi="ar-SA"/>
              </w:rPr>
              <w:t>包括但不限于</w:t>
            </w:r>
            <w:r>
              <w:rPr>
                <w:rFonts w:hint="eastAsia" w:ascii="宋体" w:hAnsi="宋体" w:eastAsia="宋体" w:cs="宋体"/>
                <w:color w:val="auto"/>
                <w:kern w:val="2"/>
                <w:sz w:val="21"/>
                <w:szCs w:val="20"/>
                <w:highlight w:val="none"/>
                <w:u w:val="none"/>
                <w:lang w:val="zh-TW" w:eastAsia="zh-TW" w:bidi="ar-SA"/>
              </w:rPr>
              <w:t>建立质量保证管理体系与确保质量的技术组织措施</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zh-TW" w:eastAsia="zh-TW" w:bidi="ar-SA"/>
              </w:rPr>
              <w:t>质量控制节点措施与主要部位的工程质量保证措施</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zh-TW" w:eastAsia="zh-TW" w:bidi="ar-SA"/>
              </w:rPr>
              <w:t>质量通病预防整治措施</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zh-TW" w:eastAsia="zh-TW" w:bidi="ar-SA"/>
              </w:rPr>
              <w:t>质量创优计划</w:t>
            </w:r>
            <w:r>
              <w:rPr>
                <w:rFonts w:hint="eastAsia" w:ascii="宋体" w:hAnsi="宋体" w:eastAsia="宋体" w:cs="宋体"/>
                <w:color w:val="auto"/>
                <w:kern w:val="2"/>
                <w:sz w:val="21"/>
                <w:szCs w:val="20"/>
                <w:highlight w:val="none"/>
                <w:u w:val="none"/>
                <w:lang w:val="en-US" w:eastAsia="zh-CN" w:bidi="ar-SA"/>
              </w:rPr>
              <w:t>等</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en-US" w:eastAsia="zh-CN" w:bidi="ar-SA"/>
              </w:rPr>
              <w:t>对上述</w:t>
            </w:r>
            <w:r>
              <w:rPr>
                <w:rFonts w:hint="eastAsia" w:ascii="宋体" w:hAnsi="宋体" w:eastAsia="宋体" w:cs="宋体"/>
                <w:color w:val="auto"/>
                <w:kern w:val="2"/>
                <w:sz w:val="21"/>
                <w:szCs w:val="20"/>
                <w:highlight w:val="none"/>
                <w:u w:val="none"/>
                <w:lang w:val="zh-TW" w:eastAsia="zh-CN" w:bidi="ar-SA"/>
              </w:rPr>
              <w:t>内容</w:t>
            </w:r>
            <w:r>
              <w:rPr>
                <w:rFonts w:hint="eastAsia" w:ascii="宋体" w:hAnsi="宋体" w:eastAsia="宋体" w:cs="宋体"/>
                <w:color w:val="auto"/>
                <w:kern w:val="2"/>
                <w:sz w:val="21"/>
                <w:szCs w:val="20"/>
                <w:highlight w:val="none"/>
                <w:u w:val="none"/>
                <w:lang w:val="en-US" w:eastAsia="zh-CN" w:bidi="ar-SA"/>
              </w:rPr>
              <w:t>描述清楚、</w:t>
            </w:r>
            <w:r>
              <w:rPr>
                <w:rFonts w:hint="eastAsia" w:ascii="宋体" w:hAnsi="宋体" w:eastAsia="宋体" w:cs="宋体"/>
                <w:color w:val="auto"/>
                <w:kern w:val="2"/>
                <w:sz w:val="21"/>
                <w:szCs w:val="20"/>
                <w:highlight w:val="none"/>
                <w:u w:val="none"/>
                <w:lang w:val="zh-TW" w:eastAsia="zh-CN" w:bidi="ar-SA"/>
              </w:rPr>
              <w:t>完整、合理、可行</w:t>
            </w:r>
            <w:r>
              <w:rPr>
                <w:rFonts w:hint="eastAsia" w:ascii="宋体" w:hAnsi="宋体" w:eastAsia="宋体" w:cs="宋体"/>
                <w:color w:val="auto"/>
                <w:kern w:val="2"/>
                <w:sz w:val="21"/>
                <w:szCs w:val="20"/>
                <w:highlight w:val="none"/>
                <w:u w:val="none"/>
                <w:lang w:val="en-US" w:eastAsia="zh-CN" w:bidi="ar-SA"/>
              </w:rPr>
              <w:t>等情况进行综合评分，</w:t>
            </w:r>
            <w:r>
              <w:rPr>
                <w:rFonts w:hint="eastAsia" w:ascii="宋体" w:hAnsi="宋体" w:eastAsia="宋体" w:cs="宋体"/>
                <w:color w:val="auto"/>
                <w:kern w:val="2"/>
                <w:sz w:val="21"/>
                <w:szCs w:val="20"/>
                <w:highlight w:val="none"/>
                <w:u w:val="none"/>
                <w:lang w:val="zh-TW" w:eastAsia="zh-CN" w:bidi="ar-SA"/>
              </w:rPr>
              <w:t>优得</w:t>
            </w:r>
            <w:r>
              <w:rPr>
                <w:rFonts w:hint="eastAsia" w:ascii="宋体" w:hAnsi="宋体" w:cs="宋体"/>
                <w:color w:val="auto"/>
                <w:kern w:val="2"/>
                <w:sz w:val="21"/>
                <w:szCs w:val="20"/>
                <w:highlight w:val="none"/>
                <w:u w:val="none"/>
                <w:lang w:val="en-US" w:eastAsia="zh-CN" w:bidi="ar-SA"/>
              </w:rPr>
              <w:t>8</w:t>
            </w:r>
            <w:r>
              <w:rPr>
                <w:rFonts w:hint="eastAsia" w:ascii="宋体" w:hAnsi="宋体" w:eastAsia="宋体" w:cs="宋体"/>
                <w:color w:val="auto"/>
                <w:kern w:val="2"/>
                <w:sz w:val="21"/>
                <w:szCs w:val="20"/>
                <w:highlight w:val="none"/>
                <w:u w:val="none"/>
                <w:lang w:val="zh-TW" w:eastAsia="zh-CN" w:bidi="ar-SA"/>
              </w:rPr>
              <w:t>分、良得</w:t>
            </w:r>
            <w:r>
              <w:rPr>
                <w:rFonts w:hint="eastAsia" w:ascii="宋体" w:hAnsi="宋体" w:cs="宋体"/>
                <w:color w:val="auto"/>
                <w:kern w:val="2"/>
                <w:sz w:val="21"/>
                <w:szCs w:val="20"/>
                <w:highlight w:val="none"/>
                <w:u w:val="none"/>
                <w:lang w:val="en-US" w:eastAsia="zh-CN" w:bidi="ar-SA"/>
              </w:rPr>
              <w:t>6</w:t>
            </w:r>
            <w:r>
              <w:rPr>
                <w:rFonts w:hint="eastAsia" w:ascii="宋体" w:hAnsi="宋体" w:eastAsia="宋体" w:cs="宋体"/>
                <w:color w:val="auto"/>
                <w:kern w:val="2"/>
                <w:sz w:val="21"/>
                <w:szCs w:val="20"/>
                <w:highlight w:val="none"/>
                <w:u w:val="none"/>
                <w:lang w:val="zh-TW" w:eastAsia="zh-CN" w:bidi="ar-SA"/>
              </w:rPr>
              <w:t>分，</w:t>
            </w:r>
            <w:r>
              <w:rPr>
                <w:rFonts w:hint="eastAsia" w:ascii="宋体" w:hAnsi="宋体" w:eastAsia="宋体" w:cs="宋体"/>
                <w:color w:val="auto"/>
                <w:kern w:val="2"/>
                <w:sz w:val="21"/>
                <w:szCs w:val="20"/>
                <w:highlight w:val="none"/>
                <w:u w:val="none"/>
                <w:lang w:val="en-US" w:eastAsia="zh-CN" w:bidi="ar-SA"/>
              </w:rPr>
              <w:t>中得</w:t>
            </w:r>
            <w:r>
              <w:rPr>
                <w:rFonts w:hint="eastAsia" w:ascii="宋体" w:hAnsi="宋体" w:cs="宋体"/>
                <w:color w:val="auto"/>
                <w:kern w:val="2"/>
                <w:sz w:val="21"/>
                <w:szCs w:val="20"/>
                <w:highlight w:val="none"/>
                <w:u w:val="none"/>
                <w:lang w:val="en-US" w:eastAsia="zh-CN" w:bidi="ar-SA"/>
              </w:rPr>
              <w:t>4</w:t>
            </w:r>
            <w:r>
              <w:rPr>
                <w:rFonts w:hint="eastAsia" w:ascii="宋体" w:hAnsi="宋体" w:eastAsia="宋体" w:cs="宋体"/>
                <w:color w:val="auto"/>
                <w:kern w:val="2"/>
                <w:sz w:val="21"/>
                <w:szCs w:val="20"/>
                <w:highlight w:val="none"/>
                <w:u w:val="none"/>
                <w:lang w:val="en-US" w:eastAsia="zh-CN" w:bidi="ar-SA"/>
              </w:rPr>
              <w:t>分，一般得2分，无不得分。</w:t>
            </w:r>
          </w:p>
        </w:tc>
        <w:tc>
          <w:tcPr>
            <w:tcW w:w="1234" w:type="dxa"/>
            <w:noWrap w:val="0"/>
            <w:vAlign w:val="center"/>
          </w:tcPr>
          <w:p>
            <w:pPr>
              <w:adjustRightInd w:val="0"/>
              <w:snapToGrid w:val="0"/>
              <w:jc w:val="center"/>
              <w:rPr>
                <w:rFonts w:hint="eastAsia" w:ascii="宋体" w:hAnsi="宋体" w:eastAsia="宋体" w:cs="宋体"/>
                <w:kern w:val="2"/>
                <w:sz w:val="21"/>
                <w:szCs w:val="24"/>
                <w:highlight w:val="none"/>
                <w:lang w:val="en-US" w:eastAsia="zh-CN" w:bidi="ar-SA"/>
              </w:rPr>
            </w:pPr>
            <w:r>
              <w:rPr>
                <w:rFonts w:hint="eastAsia" w:ascii="宋体" w:hAnsi="宋体" w:cs="宋体"/>
                <w:highlight w:val="no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Fonts w:hint="eastAsia" w:ascii="宋体" w:hAnsi="宋体" w:eastAsia="宋体" w:cs="宋体"/>
                <w:sz w:val="21"/>
                <w:szCs w:val="21"/>
                <w:highlight w:val="none"/>
                <w:lang w:val="zh-TW" w:eastAsia="zh-TW"/>
              </w:rPr>
            </w:pPr>
            <w:r>
              <w:rPr>
                <w:rFonts w:hint="eastAsia" w:ascii="宋体" w:hAnsi="宋体" w:eastAsia="宋体" w:cs="宋体"/>
                <w:sz w:val="21"/>
                <w:szCs w:val="21"/>
                <w:highlight w:val="none"/>
                <w:lang w:val="zh-TW" w:eastAsia="zh-TW"/>
              </w:rPr>
              <w:t>工期保证措施</w:t>
            </w:r>
          </w:p>
          <w:p>
            <w:pPr>
              <w:adjustRightInd w:val="0"/>
              <w:snapToGrid w:val="0"/>
              <w:spacing w:line="0" w:lineRule="atLeast"/>
              <w:jc w:val="center"/>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TW" w:eastAsia="zh-CN"/>
              </w:rPr>
              <w:t>（</w:t>
            </w:r>
            <w:r>
              <w:rPr>
                <w:rFonts w:hint="eastAsia" w:ascii="宋体" w:hAnsi="宋体" w:eastAsia="宋体" w:cs="宋体"/>
                <w:sz w:val="21"/>
                <w:szCs w:val="21"/>
                <w:highlight w:val="none"/>
                <w:lang w:val="en-US" w:eastAsia="zh-CN"/>
              </w:rPr>
              <w:t>6分</w:t>
            </w:r>
            <w:r>
              <w:rPr>
                <w:rFonts w:hint="eastAsia" w:ascii="宋体" w:hAnsi="宋体" w:eastAsia="宋体" w:cs="宋体"/>
                <w:sz w:val="21"/>
                <w:szCs w:val="21"/>
                <w:highlight w:val="none"/>
                <w:lang w:val="zh-TW" w:eastAsia="zh-CN"/>
              </w:rPr>
              <w:t>）</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2"/>
                <w:sz w:val="21"/>
                <w:szCs w:val="20"/>
                <w:highlight w:val="none"/>
                <w:u w:val="none"/>
                <w:lang w:val="zh-CN" w:eastAsia="zh-CN" w:bidi="ar-SA"/>
              </w:rPr>
            </w:pPr>
            <w:r>
              <w:rPr>
                <w:rFonts w:hint="eastAsia" w:ascii="宋体" w:hAnsi="宋体" w:eastAsia="宋体" w:cs="宋体"/>
                <w:color w:val="auto"/>
                <w:kern w:val="2"/>
                <w:sz w:val="21"/>
                <w:szCs w:val="20"/>
                <w:highlight w:val="none"/>
                <w:u w:val="none"/>
                <w:lang w:val="en-US" w:eastAsia="zh-CN" w:bidi="ar-SA"/>
              </w:rPr>
              <w:t>供应商制定</w:t>
            </w:r>
            <w:r>
              <w:rPr>
                <w:rFonts w:hint="eastAsia" w:ascii="宋体" w:hAnsi="宋体" w:eastAsia="宋体" w:cs="宋体"/>
                <w:color w:val="auto"/>
                <w:kern w:val="2"/>
                <w:sz w:val="21"/>
                <w:szCs w:val="20"/>
                <w:highlight w:val="none"/>
                <w:u w:val="none"/>
                <w:lang w:val="zh-TW" w:eastAsia="zh-TW" w:bidi="ar-SA"/>
              </w:rPr>
              <w:t>工期保证措施</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en-US" w:eastAsia="zh-CN" w:bidi="ar-SA"/>
              </w:rPr>
              <w:t>提供</w:t>
            </w:r>
            <w:r>
              <w:rPr>
                <w:rFonts w:hint="eastAsia" w:ascii="宋体" w:hAnsi="宋体" w:eastAsia="宋体" w:cs="宋体"/>
                <w:color w:val="auto"/>
                <w:kern w:val="2"/>
                <w:sz w:val="21"/>
                <w:szCs w:val="20"/>
                <w:highlight w:val="none"/>
                <w:u w:val="none"/>
                <w:lang w:val="zh-TW" w:eastAsia="zh-TW" w:bidi="ar-SA"/>
              </w:rPr>
              <w:t>详细工期安排计划及网络图或横道图</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zh-TW" w:eastAsia="zh-TW" w:bidi="ar-SA"/>
              </w:rPr>
              <w:t>人员、材料、设备分析表</w:t>
            </w:r>
            <w:r>
              <w:rPr>
                <w:rFonts w:hint="eastAsia" w:ascii="宋体" w:hAnsi="宋体" w:eastAsia="宋体" w:cs="宋体"/>
                <w:color w:val="auto"/>
                <w:kern w:val="2"/>
                <w:sz w:val="21"/>
                <w:szCs w:val="20"/>
                <w:highlight w:val="none"/>
                <w:u w:val="none"/>
                <w:lang w:val="en-US" w:eastAsia="zh-CN" w:bidi="ar-SA"/>
              </w:rPr>
              <w:t>以及</w:t>
            </w:r>
            <w:r>
              <w:rPr>
                <w:rFonts w:hint="eastAsia" w:ascii="宋体" w:hAnsi="宋体" w:eastAsia="宋体" w:cs="宋体"/>
                <w:color w:val="auto"/>
                <w:kern w:val="2"/>
                <w:sz w:val="21"/>
                <w:szCs w:val="20"/>
                <w:highlight w:val="none"/>
                <w:u w:val="none"/>
                <w:lang w:val="zh-TW" w:eastAsia="zh-TW" w:bidi="ar-SA"/>
              </w:rPr>
              <w:t>重点节点计划安排、里程碑计划</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en-US" w:eastAsia="zh-CN" w:bidi="ar-SA"/>
              </w:rPr>
              <w:t>对上述</w:t>
            </w:r>
            <w:r>
              <w:rPr>
                <w:rFonts w:hint="eastAsia" w:ascii="宋体" w:hAnsi="宋体" w:eastAsia="宋体" w:cs="宋体"/>
                <w:color w:val="auto"/>
                <w:kern w:val="2"/>
                <w:sz w:val="21"/>
                <w:szCs w:val="20"/>
                <w:highlight w:val="none"/>
                <w:u w:val="none"/>
                <w:lang w:val="zh-TW" w:eastAsia="zh-CN" w:bidi="ar-SA"/>
              </w:rPr>
              <w:t>内容</w:t>
            </w:r>
            <w:r>
              <w:rPr>
                <w:rFonts w:hint="eastAsia" w:ascii="宋体" w:hAnsi="宋体" w:eastAsia="宋体" w:cs="宋体"/>
                <w:color w:val="auto"/>
                <w:kern w:val="2"/>
                <w:sz w:val="21"/>
                <w:szCs w:val="20"/>
                <w:highlight w:val="none"/>
                <w:u w:val="none"/>
                <w:lang w:val="en-US" w:eastAsia="zh-CN" w:bidi="ar-SA"/>
              </w:rPr>
              <w:t>描述清楚、</w:t>
            </w:r>
            <w:r>
              <w:rPr>
                <w:rFonts w:hint="eastAsia" w:ascii="宋体" w:hAnsi="宋体" w:eastAsia="宋体" w:cs="宋体"/>
                <w:color w:val="auto"/>
                <w:kern w:val="2"/>
                <w:sz w:val="21"/>
                <w:szCs w:val="20"/>
                <w:highlight w:val="none"/>
                <w:u w:val="none"/>
                <w:lang w:val="zh-TW" w:eastAsia="zh-CN" w:bidi="ar-SA"/>
              </w:rPr>
              <w:t>完整、合理、可行</w:t>
            </w:r>
            <w:r>
              <w:rPr>
                <w:rFonts w:hint="eastAsia" w:ascii="宋体" w:hAnsi="宋体" w:eastAsia="宋体" w:cs="宋体"/>
                <w:color w:val="auto"/>
                <w:kern w:val="2"/>
                <w:sz w:val="21"/>
                <w:szCs w:val="20"/>
                <w:highlight w:val="none"/>
                <w:u w:val="none"/>
                <w:lang w:val="en-US" w:eastAsia="zh-CN" w:bidi="ar-SA"/>
              </w:rPr>
              <w:t>等情况进行综合评分，</w:t>
            </w:r>
            <w:r>
              <w:rPr>
                <w:rFonts w:hint="eastAsia" w:ascii="宋体" w:hAnsi="宋体" w:eastAsia="宋体" w:cs="宋体"/>
                <w:color w:val="auto"/>
                <w:kern w:val="2"/>
                <w:sz w:val="21"/>
                <w:szCs w:val="20"/>
                <w:highlight w:val="none"/>
                <w:u w:val="none"/>
                <w:lang w:val="zh-TW" w:eastAsia="zh-CN" w:bidi="ar-SA"/>
              </w:rPr>
              <w:t>优得</w:t>
            </w:r>
            <w:r>
              <w:rPr>
                <w:rFonts w:hint="eastAsia" w:ascii="宋体" w:hAnsi="宋体" w:cs="宋体"/>
                <w:color w:val="auto"/>
                <w:kern w:val="2"/>
                <w:sz w:val="21"/>
                <w:szCs w:val="20"/>
                <w:highlight w:val="none"/>
                <w:u w:val="none"/>
                <w:lang w:val="en-US" w:eastAsia="zh-CN" w:bidi="ar-SA"/>
              </w:rPr>
              <w:t>6</w:t>
            </w:r>
            <w:r>
              <w:rPr>
                <w:rFonts w:hint="eastAsia" w:ascii="宋体" w:hAnsi="宋体" w:eastAsia="宋体" w:cs="宋体"/>
                <w:color w:val="auto"/>
                <w:kern w:val="2"/>
                <w:sz w:val="21"/>
                <w:szCs w:val="20"/>
                <w:highlight w:val="none"/>
                <w:u w:val="none"/>
                <w:lang w:val="zh-TW" w:eastAsia="zh-CN" w:bidi="ar-SA"/>
              </w:rPr>
              <w:t>分、良得</w:t>
            </w:r>
            <w:r>
              <w:rPr>
                <w:rFonts w:hint="eastAsia" w:ascii="宋体" w:hAnsi="宋体" w:cs="宋体"/>
                <w:color w:val="auto"/>
                <w:kern w:val="2"/>
                <w:sz w:val="21"/>
                <w:szCs w:val="20"/>
                <w:highlight w:val="none"/>
                <w:u w:val="none"/>
                <w:lang w:val="en-US" w:eastAsia="zh-CN" w:bidi="ar-SA"/>
              </w:rPr>
              <w:t>4</w:t>
            </w:r>
            <w:r>
              <w:rPr>
                <w:rFonts w:hint="eastAsia" w:ascii="宋体" w:hAnsi="宋体" w:eastAsia="宋体" w:cs="宋体"/>
                <w:color w:val="auto"/>
                <w:kern w:val="2"/>
                <w:sz w:val="21"/>
                <w:szCs w:val="20"/>
                <w:highlight w:val="none"/>
                <w:u w:val="none"/>
                <w:lang w:val="zh-TW" w:eastAsia="zh-CN" w:bidi="ar-SA"/>
              </w:rPr>
              <w:t>分，</w:t>
            </w:r>
            <w:r>
              <w:rPr>
                <w:rFonts w:hint="eastAsia" w:ascii="宋体" w:hAnsi="宋体" w:eastAsia="宋体" w:cs="宋体"/>
                <w:color w:val="auto"/>
                <w:kern w:val="2"/>
                <w:sz w:val="21"/>
                <w:szCs w:val="20"/>
                <w:highlight w:val="none"/>
                <w:u w:val="none"/>
                <w:lang w:val="en-US" w:eastAsia="zh-CN" w:bidi="ar-SA"/>
              </w:rPr>
              <w:t>中得</w:t>
            </w:r>
            <w:r>
              <w:rPr>
                <w:rFonts w:hint="eastAsia" w:ascii="宋体" w:hAnsi="宋体" w:cs="宋体"/>
                <w:color w:val="auto"/>
                <w:kern w:val="2"/>
                <w:sz w:val="21"/>
                <w:szCs w:val="20"/>
                <w:highlight w:val="none"/>
                <w:u w:val="none"/>
                <w:lang w:val="en-US" w:eastAsia="zh-CN" w:bidi="ar-SA"/>
              </w:rPr>
              <w:t>2</w:t>
            </w:r>
            <w:r>
              <w:rPr>
                <w:rFonts w:hint="eastAsia" w:ascii="宋体" w:hAnsi="宋体" w:eastAsia="宋体" w:cs="宋体"/>
                <w:color w:val="auto"/>
                <w:kern w:val="2"/>
                <w:sz w:val="21"/>
                <w:szCs w:val="20"/>
                <w:highlight w:val="none"/>
                <w:u w:val="none"/>
                <w:lang w:val="en-US" w:eastAsia="zh-CN" w:bidi="ar-SA"/>
              </w:rPr>
              <w:t>分，</w:t>
            </w:r>
            <w:r>
              <w:rPr>
                <w:rFonts w:hint="eastAsia" w:ascii="宋体" w:hAnsi="宋体" w:eastAsia="宋体" w:cs="宋体"/>
                <w:color w:val="auto"/>
                <w:kern w:val="2"/>
                <w:sz w:val="21"/>
                <w:szCs w:val="20"/>
                <w:highlight w:val="none"/>
                <w:u w:val="none"/>
                <w:lang w:val="zh-TW" w:eastAsia="zh-CN" w:bidi="ar-SA"/>
              </w:rPr>
              <w:t>一般得</w:t>
            </w:r>
            <w:r>
              <w:rPr>
                <w:rFonts w:hint="eastAsia" w:ascii="宋体" w:hAnsi="宋体" w:cs="宋体"/>
                <w:color w:val="auto"/>
                <w:kern w:val="2"/>
                <w:sz w:val="21"/>
                <w:szCs w:val="20"/>
                <w:highlight w:val="none"/>
                <w:u w:val="none"/>
                <w:lang w:val="en-US" w:eastAsia="zh-CN" w:bidi="ar-SA"/>
              </w:rPr>
              <w:t>1</w:t>
            </w:r>
            <w:r>
              <w:rPr>
                <w:rFonts w:hint="eastAsia" w:ascii="宋体" w:hAnsi="宋体" w:eastAsia="宋体" w:cs="宋体"/>
                <w:color w:val="auto"/>
                <w:kern w:val="2"/>
                <w:sz w:val="21"/>
                <w:szCs w:val="20"/>
                <w:highlight w:val="none"/>
                <w:u w:val="none"/>
                <w:lang w:val="zh-TW" w:eastAsia="zh-CN" w:bidi="ar-SA"/>
              </w:rPr>
              <w:t>分，无不得分。</w:t>
            </w:r>
          </w:p>
        </w:tc>
        <w:tc>
          <w:tcPr>
            <w:tcW w:w="1234" w:type="dxa"/>
            <w:noWrap w:val="0"/>
            <w:vAlign w:val="center"/>
          </w:tcPr>
          <w:p>
            <w:pPr>
              <w:adjustRightInd w:val="0"/>
              <w:snapToGrid w:val="0"/>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Fonts w:hint="eastAsia" w:ascii="宋体" w:hAnsi="宋体" w:eastAsia="宋体" w:cs="宋体"/>
                <w:sz w:val="21"/>
                <w:szCs w:val="21"/>
                <w:highlight w:val="none"/>
                <w:lang w:val="zh-TW" w:eastAsia="zh-TW"/>
              </w:rPr>
            </w:pPr>
            <w:r>
              <w:rPr>
                <w:rFonts w:hint="eastAsia" w:ascii="宋体" w:hAnsi="宋体" w:eastAsia="宋体" w:cs="宋体"/>
                <w:sz w:val="21"/>
                <w:szCs w:val="21"/>
                <w:highlight w:val="none"/>
                <w:lang w:val="zh-TW" w:eastAsia="zh-TW"/>
              </w:rPr>
              <w:t>资源配备计划</w:t>
            </w:r>
          </w:p>
          <w:p>
            <w:pPr>
              <w:adjustRightInd w:val="0"/>
              <w:snapToGrid w:val="0"/>
              <w:spacing w:line="0" w:lineRule="atLeast"/>
              <w:jc w:val="center"/>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TW" w:eastAsia="zh-CN"/>
              </w:rPr>
              <w:t>（</w:t>
            </w:r>
            <w:r>
              <w:rPr>
                <w:rFonts w:hint="eastAsia" w:ascii="宋体" w:hAnsi="宋体" w:eastAsia="宋体" w:cs="宋体"/>
                <w:sz w:val="21"/>
                <w:szCs w:val="21"/>
                <w:highlight w:val="none"/>
                <w:lang w:val="en-US" w:eastAsia="zh-CN"/>
              </w:rPr>
              <w:t>6分</w:t>
            </w:r>
            <w:r>
              <w:rPr>
                <w:rFonts w:hint="eastAsia" w:ascii="宋体" w:hAnsi="宋体" w:eastAsia="宋体" w:cs="宋体"/>
                <w:sz w:val="21"/>
                <w:szCs w:val="21"/>
                <w:highlight w:val="none"/>
                <w:lang w:val="zh-TW" w:eastAsia="zh-CN"/>
              </w:rPr>
              <w:t>）</w:t>
            </w:r>
          </w:p>
        </w:tc>
        <w:tc>
          <w:tcPr>
            <w:tcW w:w="4469" w:type="dxa"/>
            <w:noWrap w:val="0"/>
            <w:vAlign w:val="center"/>
          </w:tcPr>
          <w:p>
            <w:pPr>
              <w:pStyle w:val="30"/>
              <w:numPr>
                <w:ilvl w:val="0"/>
                <w:numId w:val="0"/>
              </w:numPr>
              <w:spacing w:line="280" w:lineRule="exact"/>
              <w:ind w:left="0" w:leftChars="0" w:firstLine="0" w:firstLineChars="0"/>
              <w:jc w:val="left"/>
              <w:rPr>
                <w:rFonts w:hint="eastAsia" w:ascii="宋体" w:hAnsi="宋体" w:eastAsia="宋体" w:cs="宋体"/>
                <w:color w:val="auto"/>
                <w:kern w:val="2"/>
                <w:sz w:val="21"/>
                <w:szCs w:val="20"/>
                <w:highlight w:val="none"/>
                <w:u w:val="none" w:color="000000"/>
                <w:lang w:val="zh-CN" w:eastAsia="zh-CN" w:bidi="ar-SA"/>
              </w:rPr>
            </w:pPr>
            <w:r>
              <w:rPr>
                <w:rFonts w:hint="eastAsia" w:ascii="宋体" w:hAnsi="宋体" w:eastAsia="宋体" w:cs="宋体"/>
                <w:color w:val="auto"/>
                <w:kern w:val="2"/>
                <w:sz w:val="21"/>
                <w:szCs w:val="20"/>
                <w:highlight w:val="none"/>
                <w:u w:val="none"/>
                <w:lang w:val="en-US" w:eastAsia="zh-CN" w:bidi="ar-SA"/>
              </w:rPr>
              <w:t>供应商制定</w:t>
            </w:r>
            <w:r>
              <w:rPr>
                <w:rFonts w:hint="eastAsia" w:ascii="宋体" w:hAnsi="宋体" w:eastAsia="宋体" w:cs="宋体"/>
                <w:color w:val="auto"/>
                <w:kern w:val="2"/>
                <w:sz w:val="21"/>
                <w:szCs w:val="20"/>
                <w:highlight w:val="none"/>
                <w:u w:val="none"/>
                <w:lang w:val="zh-TW" w:eastAsia="zh-TW" w:bidi="ar-SA"/>
              </w:rPr>
              <w:t>资源配备计划</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en-US" w:eastAsia="zh-CN" w:bidi="ar-SA"/>
              </w:rPr>
              <w:t>提供</w:t>
            </w:r>
            <w:r>
              <w:rPr>
                <w:rFonts w:hint="eastAsia" w:ascii="宋体" w:hAnsi="宋体" w:eastAsia="宋体" w:cs="宋体"/>
                <w:color w:val="auto"/>
                <w:kern w:val="2"/>
                <w:sz w:val="21"/>
                <w:szCs w:val="20"/>
                <w:highlight w:val="none"/>
                <w:u w:val="none"/>
                <w:lang w:val="zh-TW" w:eastAsia="zh-TW" w:bidi="ar-SA"/>
              </w:rPr>
              <w:t>保障进度计划需要的主要施工机械、电子设备（主要设备品牌、型号、数量、性能）</w:t>
            </w:r>
            <w:r>
              <w:rPr>
                <w:rFonts w:hint="eastAsia" w:ascii="宋体" w:hAnsi="宋体" w:eastAsia="宋体" w:cs="宋体"/>
                <w:color w:val="auto"/>
                <w:kern w:val="2"/>
                <w:sz w:val="21"/>
                <w:szCs w:val="20"/>
                <w:highlight w:val="none"/>
                <w:u w:val="none"/>
                <w:lang w:val="zh-TW" w:eastAsia="zh-CN" w:bidi="ar-SA"/>
              </w:rPr>
              <w:t>，</w:t>
            </w:r>
            <w:r>
              <w:rPr>
                <w:rFonts w:hint="eastAsia" w:ascii="宋体" w:hAnsi="宋体" w:eastAsia="宋体" w:cs="宋体"/>
                <w:color w:val="auto"/>
                <w:kern w:val="2"/>
                <w:sz w:val="21"/>
                <w:szCs w:val="20"/>
                <w:highlight w:val="none"/>
                <w:u w:val="none"/>
                <w:lang w:val="en-US" w:eastAsia="zh-CN" w:bidi="ar-SA"/>
              </w:rPr>
              <w:t>提供</w:t>
            </w:r>
            <w:r>
              <w:rPr>
                <w:rFonts w:hint="eastAsia" w:ascii="宋体" w:hAnsi="宋体" w:eastAsia="宋体" w:cs="宋体"/>
                <w:color w:val="auto"/>
                <w:kern w:val="2"/>
                <w:sz w:val="21"/>
                <w:szCs w:val="20"/>
                <w:highlight w:val="none"/>
                <w:u w:val="none"/>
                <w:lang w:val="zh-TW" w:eastAsia="zh-TW" w:bidi="ar-SA"/>
              </w:rPr>
              <w:t>劳动力需求计划（包括工种等级、数量、进场时间）及保证措施；</w:t>
            </w:r>
            <w:r>
              <w:rPr>
                <w:rFonts w:hint="eastAsia" w:ascii="宋体" w:hAnsi="宋体" w:eastAsia="宋体" w:cs="宋体"/>
                <w:color w:val="auto"/>
                <w:kern w:val="2"/>
                <w:sz w:val="21"/>
                <w:szCs w:val="20"/>
                <w:highlight w:val="none"/>
                <w:u w:val="none"/>
                <w:lang w:val="en-US" w:eastAsia="zh-CN" w:bidi="ar-SA"/>
              </w:rPr>
              <w:t>提供</w:t>
            </w:r>
            <w:r>
              <w:rPr>
                <w:rFonts w:hint="eastAsia" w:ascii="宋体" w:hAnsi="宋体" w:eastAsia="宋体" w:cs="宋体"/>
                <w:color w:val="auto"/>
                <w:kern w:val="2"/>
                <w:sz w:val="21"/>
                <w:szCs w:val="20"/>
                <w:highlight w:val="none"/>
                <w:u w:val="none"/>
                <w:lang w:val="zh-TW" w:eastAsia="zh-TW" w:bidi="ar-SA"/>
              </w:rPr>
              <w:t>材料设备进场计划（主要材料数量及进场计划、材料（使用高峰）供应计划）及保证措施。</w:t>
            </w:r>
            <w:r>
              <w:rPr>
                <w:rFonts w:hint="eastAsia" w:ascii="宋体" w:hAnsi="宋体" w:eastAsia="宋体" w:cs="宋体"/>
                <w:color w:val="auto"/>
                <w:kern w:val="2"/>
                <w:sz w:val="21"/>
                <w:szCs w:val="20"/>
                <w:highlight w:val="none"/>
                <w:u w:val="none"/>
                <w:lang w:val="en-US" w:eastAsia="zh-CN" w:bidi="ar-SA"/>
              </w:rPr>
              <w:t>对上述</w:t>
            </w:r>
            <w:r>
              <w:rPr>
                <w:rFonts w:hint="eastAsia" w:ascii="宋体" w:hAnsi="宋体" w:eastAsia="宋体" w:cs="宋体"/>
                <w:color w:val="auto"/>
                <w:kern w:val="2"/>
                <w:sz w:val="21"/>
                <w:szCs w:val="20"/>
                <w:highlight w:val="none"/>
                <w:u w:val="none"/>
                <w:lang w:val="zh-TW" w:eastAsia="zh-CN" w:bidi="ar-SA"/>
              </w:rPr>
              <w:t>内容</w:t>
            </w:r>
            <w:r>
              <w:rPr>
                <w:rFonts w:hint="eastAsia" w:ascii="宋体" w:hAnsi="宋体" w:eastAsia="宋体" w:cs="宋体"/>
                <w:color w:val="auto"/>
                <w:kern w:val="2"/>
                <w:sz w:val="21"/>
                <w:szCs w:val="20"/>
                <w:highlight w:val="none"/>
                <w:u w:val="none"/>
                <w:lang w:val="en-US" w:eastAsia="zh-CN" w:bidi="ar-SA"/>
              </w:rPr>
              <w:t>描述清楚、</w:t>
            </w:r>
            <w:r>
              <w:rPr>
                <w:rFonts w:hint="eastAsia" w:ascii="宋体" w:hAnsi="宋体" w:eastAsia="宋体" w:cs="宋体"/>
                <w:color w:val="auto"/>
                <w:kern w:val="2"/>
                <w:sz w:val="21"/>
                <w:szCs w:val="20"/>
                <w:highlight w:val="none"/>
                <w:u w:val="none"/>
                <w:lang w:val="zh-TW" w:eastAsia="zh-CN" w:bidi="ar-SA"/>
              </w:rPr>
              <w:t>完整、合理、可行</w:t>
            </w:r>
            <w:r>
              <w:rPr>
                <w:rFonts w:hint="eastAsia" w:ascii="宋体" w:hAnsi="宋体" w:eastAsia="宋体" w:cs="宋体"/>
                <w:color w:val="auto"/>
                <w:kern w:val="2"/>
                <w:sz w:val="21"/>
                <w:szCs w:val="20"/>
                <w:highlight w:val="none"/>
                <w:u w:val="none"/>
                <w:lang w:val="en-US" w:eastAsia="zh-CN" w:bidi="ar-SA"/>
              </w:rPr>
              <w:t>等情况进行综合评分，</w:t>
            </w:r>
            <w:r>
              <w:rPr>
                <w:rFonts w:hint="eastAsia" w:ascii="宋体" w:hAnsi="宋体" w:eastAsia="宋体" w:cs="宋体"/>
                <w:color w:val="auto"/>
                <w:kern w:val="2"/>
                <w:sz w:val="21"/>
                <w:szCs w:val="20"/>
                <w:highlight w:val="none"/>
                <w:u w:val="none"/>
                <w:lang w:val="zh-TW" w:eastAsia="zh-CN" w:bidi="ar-SA"/>
              </w:rPr>
              <w:t>优得</w:t>
            </w:r>
            <w:r>
              <w:rPr>
                <w:rFonts w:hint="eastAsia" w:ascii="宋体" w:hAnsi="宋体" w:cs="宋体"/>
                <w:color w:val="auto"/>
                <w:kern w:val="2"/>
                <w:sz w:val="21"/>
                <w:szCs w:val="20"/>
                <w:highlight w:val="none"/>
                <w:u w:val="none"/>
                <w:lang w:val="en-US" w:eastAsia="zh-CN" w:bidi="ar-SA"/>
              </w:rPr>
              <w:t>6</w:t>
            </w:r>
            <w:r>
              <w:rPr>
                <w:rFonts w:hint="eastAsia" w:ascii="宋体" w:hAnsi="宋体" w:eastAsia="宋体" w:cs="宋体"/>
                <w:color w:val="auto"/>
                <w:kern w:val="2"/>
                <w:sz w:val="21"/>
                <w:szCs w:val="20"/>
                <w:highlight w:val="none"/>
                <w:u w:val="none"/>
                <w:lang w:val="zh-TW" w:eastAsia="zh-CN" w:bidi="ar-SA"/>
              </w:rPr>
              <w:t>分、良得</w:t>
            </w:r>
            <w:r>
              <w:rPr>
                <w:rFonts w:hint="eastAsia" w:ascii="宋体" w:hAnsi="宋体" w:cs="宋体"/>
                <w:color w:val="auto"/>
                <w:kern w:val="2"/>
                <w:sz w:val="21"/>
                <w:szCs w:val="20"/>
                <w:highlight w:val="none"/>
                <w:u w:val="none"/>
                <w:lang w:val="en-US" w:eastAsia="zh-CN" w:bidi="ar-SA"/>
              </w:rPr>
              <w:t>4</w:t>
            </w:r>
            <w:r>
              <w:rPr>
                <w:rFonts w:hint="eastAsia" w:ascii="宋体" w:hAnsi="宋体" w:eastAsia="宋体" w:cs="宋体"/>
                <w:color w:val="auto"/>
                <w:kern w:val="2"/>
                <w:sz w:val="21"/>
                <w:szCs w:val="20"/>
                <w:highlight w:val="none"/>
                <w:u w:val="none"/>
                <w:lang w:val="zh-TW" w:eastAsia="zh-CN" w:bidi="ar-SA"/>
              </w:rPr>
              <w:t>分，</w:t>
            </w:r>
            <w:r>
              <w:rPr>
                <w:rFonts w:hint="eastAsia" w:ascii="宋体" w:hAnsi="宋体" w:eastAsia="宋体" w:cs="宋体"/>
                <w:color w:val="auto"/>
                <w:kern w:val="2"/>
                <w:sz w:val="21"/>
                <w:szCs w:val="20"/>
                <w:highlight w:val="none"/>
                <w:u w:val="none"/>
                <w:lang w:val="en-US" w:eastAsia="zh-CN" w:bidi="ar-SA"/>
              </w:rPr>
              <w:t>中得</w:t>
            </w:r>
            <w:r>
              <w:rPr>
                <w:rFonts w:hint="eastAsia" w:ascii="宋体" w:hAnsi="宋体" w:cs="宋体"/>
                <w:color w:val="auto"/>
                <w:kern w:val="2"/>
                <w:sz w:val="21"/>
                <w:szCs w:val="20"/>
                <w:highlight w:val="none"/>
                <w:u w:val="none"/>
                <w:lang w:val="en-US" w:eastAsia="zh-CN" w:bidi="ar-SA"/>
              </w:rPr>
              <w:t>2</w:t>
            </w:r>
            <w:r>
              <w:rPr>
                <w:rFonts w:hint="eastAsia" w:ascii="宋体" w:hAnsi="宋体" w:eastAsia="宋体" w:cs="宋体"/>
                <w:color w:val="auto"/>
                <w:kern w:val="2"/>
                <w:sz w:val="21"/>
                <w:szCs w:val="20"/>
                <w:highlight w:val="none"/>
                <w:u w:val="none"/>
                <w:lang w:val="en-US" w:eastAsia="zh-CN" w:bidi="ar-SA"/>
              </w:rPr>
              <w:t>分，</w:t>
            </w:r>
            <w:r>
              <w:rPr>
                <w:rFonts w:hint="eastAsia" w:ascii="宋体" w:hAnsi="宋体" w:eastAsia="宋体" w:cs="宋体"/>
                <w:color w:val="auto"/>
                <w:kern w:val="2"/>
                <w:sz w:val="21"/>
                <w:szCs w:val="20"/>
                <w:highlight w:val="none"/>
                <w:u w:val="none"/>
                <w:lang w:val="zh-TW" w:eastAsia="zh-CN" w:bidi="ar-SA"/>
              </w:rPr>
              <w:t>一般得</w:t>
            </w:r>
            <w:r>
              <w:rPr>
                <w:rFonts w:hint="eastAsia" w:ascii="宋体" w:hAnsi="宋体" w:cs="宋体"/>
                <w:color w:val="auto"/>
                <w:kern w:val="2"/>
                <w:sz w:val="21"/>
                <w:szCs w:val="20"/>
                <w:highlight w:val="none"/>
                <w:u w:val="none"/>
                <w:lang w:val="en-US" w:eastAsia="zh-CN" w:bidi="ar-SA"/>
              </w:rPr>
              <w:t>1</w:t>
            </w:r>
            <w:r>
              <w:rPr>
                <w:rFonts w:hint="eastAsia" w:ascii="宋体" w:hAnsi="宋体" w:eastAsia="宋体" w:cs="宋体"/>
                <w:color w:val="auto"/>
                <w:kern w:val="2"/>
                <w:sz w:val="21"/>
                <w:szCs w:val="20"/>
                <w:highlight w:val="none"/>
                <w:u w:val="none"/>
                <w:lang w:val="zh-TW" w:eastAsia="zh-CN" w:bidi="ar-SA"/>
              </w:rPr>
              <w:t>分，无不得分。</w:t>
            </w:r>
          </w:p>
        </w:tc>
        <w:tc>
          <w:tcPr>
            <w:tcW w:w="1234" w:type="dxa"/>
            <w:noWrap w:val="0"/>
            <w:vAlign w:val="center"/>
          </w:tcPr>
          <w:p>
            <w:pPr>
              <w:adjustRightInd w:val="0"/>
              <w:snapToGrid w:val="0"/>
              <w:jc w:val="center"/>
              <w:rPr>
                <w:rFonts w:hint="eastAsia" w:ascii="宋体" w:hAnsi="宋体" w:eastAsia="宋体" w:cs="宋体"/>
                <w:kern w:val="2"/>
                <w:sz w:val="21"/>
                <w:szCs w:val="24"/>
                <w:highlight w:val="none"/>
                <w:lang w:val="zh-CN" w:eastAsia="zh-CN" w:bidi="ar-SA"/>
              </w:rPr>
            </w:pPr>
            <w:r>
              <w:rPr>
                <w:rFonts w:hint="eastAsia" w:ascii="宋体" w:hAnsi="宋体" w:cs="宋体"/>
                <w:kern w:val="2"/>
                <w:sz w:val="21"/>
                <w:szCs w:val="21"/>
                <w:highlight w:val="none"/>
                <w:lang w:val="en-US" w:eastAsia="zh-CN" w:bidi="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Fonts w:hint="eastAsia" w:ascii="宋体" w:hAnsi="宋体" w:eastAsia="宋体" w:cs="宋体"/>
                <w:sz w:val="21"/>
                <w:szCs w:val="21"/>
                <w:highlight w:val="none"/>
                <w:lang w:val="zh-TW" w:eastAsia="zh-TW"/>
              </w:rPr>
            </w:pPr>
            <w:r>
              <w:rPr>
                <w:rFonts w:hint="eastAsia" w:ascii="宋体" w:hAnsi="宋体" w:eastAsia="宋体" w:cs="宋体"/>
                <w:sz w:val="21"/>
                <w:szCs w:val="21"/>
                <w:highlight w:val="none"/>
                <w:lang w:val="zh-TW" w:eastAsia="zh-TW"/>
              </w:rPr>
              <w:t>施工安全生产措施、文明施工措施、环境保护措施</w:t>
            </w:r>
          </w:p>
          <w:p>
            <w:pPr>
              <w:adjustRightInd w:val="0"/>
              <w:snapToGrid w:val="0"/>
              <w:spacing w:line="0" w:lineRule="atLeast"/>
              <w:jc w:val="center"/>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TW" w:eastAsia="zh-CN"/>
              </w:rPr>
              <w:t>（</w:t>
            </w:r>
            <w:r>
              <w:rPr>
                <w:rFonts w:hint="eastAsia" w:ascii="宋体" w:hAnsi="宋体" w:eastAsia="宋体" w:cs="宋体"/>
                <w:sz w:val="21"/>
                <w:szCs w:val="21"/>
                <w:highlight w:val="none"/>
                <w:lang w:val="en-US" w:eastAsia="zh-CN"/>
              </w:rPr>
              <w:t>6分</w:t>
            </w:r>
            <w:r>
              <w:rPr>
                <w:rFonts w:hint="eastAsia" w:ascii="宋体" w:hAnsi="宋体" w:eastAsia="宋体" w:cs="宋体"/>
                <w:sz w:val="21"/>
                <w:szCs w:val="21"/>
                <w:highlight w:val="none"/>
                <w:lang w:val="zh-TW" w:eastAsia="zh-CN"/>
              </w:rPr>
              <w:t>）</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4"/>
                <w:highlight w:val="none"/>
                <w:lang w:val="zh-CN" w:eastAsia="zh-CN" w:bidi="ar-SA"/>
              </w:rPr>
            </w:pPr>
            <w:r>
              <w:rPr>
                <w:rFonts w:hint="eastAsia" w:ascii="宋体" w:hAnsi="宋体" w:eastAsia="宋体" w:cs="宋体"/>
                <w:highlight w:val="none"/>
                <w:lang w:val="en-US" w:eastAsia="zh-CN"/>
              </w:rPr>
              <w:t>供应商制定</w:t>
            </w:r>
            <w:r>
              <w:rPr>
                <w:rFonts w:hint="eastAsia" w:ascii="宋体" w:hAnsi="宋体" w:eastAsia="宋体" w:cs="宋体"/>
                <w:highlight w:val="none"/>
                <w:lang w:val="zh-TW" w:eastAsia="zh-TW"/>
              </w:rPr>
              <w:t>施工安全生产措施、文明施工措施、环境保护措施</w:t>
            </w:r>
            <w:r>
              <w:rPr>
                <w:rFonts w:hint="eastAsia" w:ascii="宋体" w:hAnsi="宋体" w:eastAsia="宋体" w:cs="宋体"/>
                <w:highlight w:val="none"/>
                <w:lang w:val="zh-TW" w:eastAsia="zh-CN"/>
              </w:rPr>
              <w:t>，</w:t>
            </w:r>
            <w:r>
              <w:rPr>
                <w:rFonts w:hint="eastAsia" w:ascii="宋体" w:hAnsi="宋体" w:eastAsia="宋体" w:cs="宋体"/>
                <w:highlight w:val="none"/>
                <w:lang w:val="en-US" w:eastAsia="zh-CN"/>
              </w:rPr>
              <w:t>提供</w:t>
            </w:r>
            <w:r>
              <w:rPr>
                <w:rFonts w:hint="eastAsia" w:ascii="宋体" w:hAnsi="宋体" w:eastAsia="宋体" w:cs="宋体"/>
                <w:highlight w:val="none"/>
                <w:lang w:val="zh-TW" w:eastAsia="zh-TW"/>
              </w:rPr>
              <w:t>施工安全、文明和环保措施计划（必须包含安全、文明管理组织机构树状图、树状图必须体现岗位职务）</w:t>
            </w:r>
            <w:r>
              <w:rPr>
                <w:rFonts w:hint="eastAsia" w:ascii="宋体" w:hAnsi="宋体" w:eastAsia="宋体" w:cs="宋体"/>
                <w:highlight w:val="none"/>
                <w:lang w:val="zh-TW" w:eastAsia="zh-CN"/>
              </w:rPr>
              <w:t>；</w:t>
            </w:r>
            <w:r>
              <w:rPr>
                <w:rFonts w:hint="eastAsia" w:ascii="宋体" w:hAnsi="宋体" w:eastAsia="宋体" w:cs="宋体"/>
                <w:highlight w:val="none"/>
                <w:lang w:val="en-US" w:eastAsia="zh-CN"/>
              </w:rPr>
              <w:t>提供</w:t>
            </w:r>
            <w:r>
              <w:rPr>
                <w:rFonts w:hint="eastAsia" w:ascii="宋体" w:hAnsi="宋体" w:eastAsia="宋体" w:cs="宋体"/>
                <w:highlight w:val="none"/>
                <w:lang w:val="zh-TW" w:eastAsia="zh-TW"/>
              </w:rPr>
              <w:t>创建安全质量标准化工地方案</w:t>
            </w:r>
            <w:r>
              <w:rPr>
                <w:rFonts w:hint="eastAsia" w:ascii="宋体" w:hAnsi="宋体" w:eastAsia="宋体" w:cs="宋体"/>
                <w:highlight w:val="none"/>
                <w:lang w:val="zh-TW" w:eastAsia="zh-CN"/>
              </w:rPr>
              <w:t>。</w:t>
            </w:r>
            <w:r>
              <w:rPr>
                <w:rFonts w:hint="eastAsia" w:ascii="宋体" w:hAnsi="宋体" w:eastAsia="宋体" w:cs="宋体"/>
                <w:highlight w:val="none"/>
                <w:lang w:val="en-US" w:eastAsia="zh-CN"/>
              </w:rPr>
              <w:t>对上述</w:t>
            </w:r>
            <w:r>
              <w:rPr>
                <w:rFonts w:hint="eastAsia" w:ascii="宋体" w:hAnsi="宋体" w:eastAsia="宋体" w:cs="宋体"/>
                <w:highlight w:val="none"/>
                <w:lang w:val="zh-TW" w:eastAsia="zh-CN"/>
              </w:rPr>
              <w:t>内容</w:t>
            </w:r>
            <w:r>
              <w:rPr>
                <w:rFonts w:hint="eastAsia" w:ascii="宋体" w:hAnsi="宋体" w:eastAsia="宋体" w:cs="宋体"/>
                <w:highlight w:val="none"/>
                <w:lang w:val="en-US" w:eastAsia="zh-CN"/>
              </w:rPr>
              <w:t>描述清楚、</w:t>
            </w:r>
            <w:r>
              <w:rPr>
                <w:rFonts w:hint="eastAsia" w:ascii="宋体" w:hAnsi="宋体" w:eastAsia="宋体" w:cs="宋体"/>
                <w:highlight w:val="none"/>
                <w:lang w:val="zh-TW" w:eastAsia="zh-CN"/>
              </w:rPr>
              <w:t>完整、合理、可行</w:t>
            </w:r>
            <w:r>
              <w:rPr>
                <w:rFonts w:hint="eastAsia" w:ascii="宋体" w:hAnsi="宋体" w:eastAsia="宋体" w:cs="宋体"/>
                <w:highlight w:val="none"/>
                <w:lang w:val="en-US" w:eastAsia="zh-CN"/>
              </w:rPr>
              <w:t>等情况进行综合评分，</w:t>
            </w:r>
            <w:r>
              <w:rPr>
                <w:rFonts w:hint="eastAsia" w:ascii="宋体" w:hAnsi="宋体" w:eastAsia="宋体" w:cs="宋体"/>
                <w:highlight w:val="none"/>
                <w:lang w:val="zh-TW" w:eastAsia="zh-CN"/>
              </w:rPr>
              <w:t>优得</w:t>
            </w:r>
            <w:r>
              <w:rPr>
                <w:rFonts w:hint="eastAsia" w:ascii="宋体" w:hAnsi="宋体" w:cs="宋体"/>
                <w:highlight w:val="none"/>
                <w:lang w:val="en-US" w:eastAsia="zh-CN"/>
              </w:rPr>
              <w:t>6</w:t>
            </w:r>
            <w:r>
              <w:rPr>
                <w:rFonts w:hint="eastAsia" w:ascii="宋体" w:hAnsi="宋体" w:eastAsia="宋体" w:cs="宋体"/>
                <w:highlight w:val="none"/>
                <w:lang w:val="zh-TW" w:eastAsia="zh-CN"/>
              </w:rPr>
              <w:t>分、良得</w:t>
            </w:r>
            <w:r>
              <w:rPr>
                <w:rFonts w:hint="eastAsia" w:ascii="宋体" w:hAnsi="宋体" w:cs="宋体"/>
                <w:highlight w:val="none"/>
                <w:lang w:val="en-US" w:eastAsia="zh-CN"/>
              </w:rPr>
              <w:t>5</w:t>
            </w:r>
            <w:r>
              <w:rPr>
                <w:rFonts w:hint="eastAsia" w:ascii="宋体" w:hAnsi="宋体" w:eastAsia="宋体" w:cs="宋体"/>
                <w:highlight w:val="none"/>
                <w:lang w:val="zh-TW" w:eastAsia="zh-CN"/>
              </w:rPr>
              <w:t>分，</w:t>
            </w:r>
            <w:r>
              <w:rPr>
                <w:rFonts w:hint="eastAsia" w:ascii="宋体" w:hAnsi="宋体" w:eastAsia="宋体" w:cs="宋体"/>
                <w:highlight w:val="none"/>
                <w:lang w:val="en-US" w:eastAsia="zh-CN"/>
              </w:rPr>
              <w:t>中得</w:t>
            </w:r>
            <w:r>
              <w:rPr>
                <w:rFonts w:hint="eastAsia" w:ascii="宋体" w:hAnsi="宋体" w:cs="宋体"/>
                <w:highlight w:val="none"/>
                <w:lang w:val="en-US" w:eastAsia="zh-CN"/>
              </w:rPr>
              <w:t>3</w:t>
            </w:r>
            <w:r>
              <w:rPr>
                <w:rFonts w:hint="eastAsia" w:ascii="宋体" w:hAnsi="宋体" w:eastAsia="宋体" w:cs="宋体"/>
                <w:highlight w:val="none"/>
                <w:lang w:val="en-US" w:eastAsia="zh-CN"/>
              </w:rPr>
              <w:t>分，</w:t>
            </w:r>
            <w:r>
              <w:rPr>
                <w:rFonts w:hint="eastAsia" w:ascii="宋体" w:hAnsi="宋体" w:eastAsia="宋体" w:cs="宋体"/>
                <w:highlight w:val="none"/>
                <w:lang w:val="zh-TW" w:eastAsia="zh-CN"/>
              </w:rPr>
              <w:t>一般得</w:t>
            </w:r>
            <w:r>
              <w:rPr>
                <w:rFonts w:hint="eastAsia" w:ascii="宋体" w:hAnsi="宋体" w:eastAsia="宋体" w:cs="宋体"/>
                <w:highlight w:val="none"/>
                <w:lang w:val="en-US" w:eastAsia="zh-CN"/>
              </w:rPr>
              <w:t>2</w:t>
            </w:r>
            <w:r>
              <w:rPr>
                <w:rFonts w:hint="eastAsia" w:ascii="宋体" w:hAnsi="宋体" w:eastAsia="宋体" w:cs="宋体"/>
                <w:highlight w:val="none"/>
                <w:lang w:val="zh-TW" w:eastAsia="zh-CN"/>
              </w:rPr>
              <w:t>分，无不得分。</w:t>
            </w:r>
          </w:p>
        </w:tc>
        <w:tc>
          <w:tcPr>
            <w:tcW w:w="1234" w:type="dxa"/>
            <w:noWrap w:val="0"/>
            <w:vAlign w:val="center"/>
          </w:tcPr>
          <w:p>
            <w:pPr>
              <w:adjustRightInd w:val="0"/>
              <w:snapToGrid w:val="0"/>
              <w:jc w:val="center"/>
              <w:rPr>
                <w:rFonts w:hint="eastAsia" w:ascii="宋体" w:hAnsi="宋体" w:eastAsia="宋体" w:cs="宋体"/>
                <w:kern w:val="2"/>
                <w:sz w:val="21"/>
                <w:szCs w:val="24"/>
                <w:highlight w:val="none"/>
                <w:lang w:val="en-US" w:eastAsia="zh-CN" w:bidi="ar-SA"/>
              </w:rPr>
            </w:pPr>
            <w:r>
              <w:rPr>
                <w:rFonts w:hint="eastAsia" w:ascii="宋体" w:hAnsi="宋体" w:cs="宋体"/>
                <w:kern w:val="2"/>
                <w:sz w:val="21"/>
                <w:szCs w:val="21"/>
                <w:highlight w:val="none"/>
                <w:lang w:val="en-US" w:eastAsia="zh-CN" w:bidi="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TW" w:eastAsia="zh-TW"/>
              </w:rPr>
              <w:t>施工现场总平面</w:t>
            </w:r>
            <w:r>
              <w:rPr>
                <w:rFonts w:hint="eastAsia" w:ascii="宋体" w:hAnsi="宋体" w:eastAsia="宋体" w:cs="宋体"/>
                <w:sz w:val="21"/>
                <w:szCs w:val="21"/>
                <w:highlight w:val="none"/>
                <w:lang w:val="zh-TW" w:eastAsia="zh-CN"/>
              </w:rPr>
              <w:t>布置（</w:t>
            </w:r>
            <w:r>
              <w:rPr>
                <w:rFonts w:hint="eastAsia" w:ascii="宋体" w:hAnsi="宋体" w:eastAsia="宋体" w:cs="宋体"/>
                <w:sz w:val="21"/>
                <w:szCs w:val="21"/>
                <w:highlight w:val="none"/>
                <w:lang w:val="en-US" w:eastAsia="zh-CN"/>
              </w:rPr>
              <w:t>6分</w:t>
            </w:r>
            <w:r>
              <w:rPr>
                <w:rFonts w:hint="eastAsia" w:ascii="宋体" w:hAnsi="宋体" w:eastAsia="宋体" w:cs="宋体"/>
                <w:sz w:val="21"/>
                <w:szCs w:val="21"/>
                <w:highlight w:val="none"/>
                <w:lang w:val="zh-TW" w:eastAsia="zh-CN"/>
              </w:rPr>
              <w:t>）</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1"/>
                <w:highlight w:val="none"/>
                <w:lang w:val="en-US" w:eastAsia="zh-CN" w:bidi="ar-SA"/>
              </w:rPr>
            </w:pPr>
            <w:r>
              <w:rPr>
                <w:rFonts w:hint="eastAsia" w:ascii="宋体" w:hAnsi="宋体" w:cs="宋体"/>
                <w:highlight w:val="none"/>
                <w:lang w:val="en-US" w:eastAsia="zh-CN"/>
              </w:rPr>
              <w:t>供应商制</w:t>
            </w:r>
            <w:r>
              <w:rPr>
                <w:rFonts w:hint="eastAsia" w:ascii="宋体" w:hAnsi="宋体" w:eastAsia="宋体" w:cs="宋体"/>
                <w:highlight w:val="none"/>
                <w:lang w:val="en-US" w:eastAsia="zh-CN"/>
              </w:rPr>
              <w:t>定</w:t>
            </w:r>
            <w:r>
              <w:rPr>
                <w:rFonts w:hint="eastAsia" w:ascii="宋体" w:hAnsi="宋体" w:eastAsia="宋体" w:cs="宋体"/>
                <w:highlight w:val="none"/>
                <w:lang w:val="zh-TW" w:eastAsia="zh-TW"/>
              </w:rPr>
              <w:t>施工现场总平面</w:t>
            </w:r>
            <w:r>
              <w:rPr>
                <w:rFonts w:hint="eastAsia" w:ascii="宋体" w:hAnsi="宋体" w:eastAsia="宋体" w:cs="宋体"/>
                <w:highlight w:val="none"/>
                <w:lang w:val="zh-TW" w:eastAsia="zh-CN"/>
              </w:rPr>
              <w:t>布置，</w:t>
            </w:r>
            <w:r>
              <w:rPr>
                <w:rFonts w:hint="eastAsia" w:ascii="宋体" w:hAnsi="宋体" w:eastAsia="宋体" w:cs="宋体"/>
                <w:highlight w:val="none"/>
                <w:lang w:val="en-US" w:eastAsia="zh-CN"/>
              </w:rPr>
              <w:t>提供</w:t>
            </w:r>
            <w:r>
              <w:rPr>
                <w:rStyle w:val="29"/>
                <w:rFonts w:hint="eastAsia" w:ascii="宋体" w:hAnsi="宋体" w:cs="宋体"/>
                <w:sz w:val="21"/>
                <w:szCs w:val="21"/>
                <w:highlight w:val="none"/>
                <w:lang w:val="zh-TW" w:eastAsia="zh-TW"/>
              </w:rPr>
              <w:t>施工现场总平面图</w:t>
            </w:r>
            <w:r>
              <w:rPr>
                <w:rStyle w:val="29"/>
                <w:rFonts w:hint="eastAsia" w:ascii="宋体" w:hAnsi="宋体" w:cs="宋体"/>
                <w:sz w:val="21"/>
                <w:szCs w:val="21"/>
                <w:highlight w:val="none"/>
                <w:lang w:val="zh-TW" w:eastAsia="zh-CN"/>
              </w:rPr>
              <w:t>。</w:t>
            </w:r>
            <w:r>
              <w:rPr>
                <w:rFonts w:hint="eastAsia" w:ascii="宋体" w:hAnsi="宋体" w:eastAsia="宋体" w:cs="宋体"/>
                <w:highlight w:val="none"/>
                <w:lang w:val="en-US" w:eastAsia="zh-CN"/>
              </w:rPr>
              <w:t>需体现</w:t>
            </w:r>
            <w:r>
              <w:rPr>
                <w:rStyle w:val="29"/>
                <w:rFonts w:hint="eastAsia" w:ascii="宋体" w:hAnsi="宋体" w:cs="宋体"/>
                <w:sz w:val="21"/>
                <w:szCs w:val="21"/>
                <w:highlight w:val="none"/>
                <w:lang w:val="zh-TW" w:eastAsia="zh-TW"/>
              </w:rPr>
              <w:t>工程施工现场的加工设施、存贮设施、办公和生活用房等的位置和面积</w:t>
            </w:r>
            <w:r>
              <w:rPr>
                <w:rStyle w:val="29"/>
                <w:rFonts w:hint="eastAsia" w:ascii="宋体" w:hAnsi="宋体" w:cs="宋体"/>
                <w:sz w:val="21"/>
                <w:szCs w:val="21"/>
                <w:highlight w:val="none"/>
                <w:lang w:val="zh-TW" w:eastAsia="zh-CN"/>
              </w:rPr>
              <w:t>；</w:t>
            </w:r>
            <w:r>
              <w:rPr>
                <w:rStyle w:val="29"/>
                <w:rFonts w:hint="eastAsia" w:ascii="宋体" w:hAnsi="宋体" w:cs="宋体"/>
                <w:sz w:val="21"/>
                <w:szCs w:val="21"/>
                <w:highlight w:val="none"/>
                <w:lang w:val="en-US" w:eastAsia="zh-CN"/>
              </w:rPr>
              <w:t>体现</w:t>
            </w:r>
            <w:r>
              <w:rPr>
                <w:rStyle w:val="29"/>
                <w:rFonts w:hint="eastAsia" w:ascii="宋体" w:hAnsi="宋体" w:cs="宋体"/>
                <w:sz w:val="21"/>
                <w:szCs w:val="21"/>
                <w:highlight w:val="none"/>
                <w:lang w:val="zh-TW" w:eastAsia="zh-TW"/>
              </w:rPr>
              <w:t>工程施工现场的垂直运输设施（可根据项目需要设定）、供电设施、供水(供热)设施、排水排污设施和临时施工道路等</w:t>
            </w:r>
            <w:r>
              <w:rPr>
                <w:rStyle w:val="29"/>
                <w:rFonts w:hint="eastAsia" w:ascii="宋体" w:hAnsi="宋体" w:cs="宋体"/>
                <w:sz w:val="21"/>
                <w:szCs w:val="21"/>
                <w:highlight w:val="none"/>
                <w:lang w:val="zh-TW" w:eastAsia="zh-CN"/>
              </w:rPr>
              <w:t>；</w:t>
            </w:r>
            <w:r>
              <w:rPr>
                <w:rStyle w:val="29"/>
                <w:rFonts w:hint="eastAsia" w:ascii="宋体" w:hAnsi="宋体" w:cs="宋体"/>
                <w:sz w:val="21"/>
                <w:szCs w:val="21"/>
                <w:highlight w:val="none"/>
                <w:lang w:val="en-US" w:eastAsia="zh-CN"/>
              </w:rPr>
              <w:t>体现</w:t>
            </w:r>
            <w:r>
              <w:rPr>
                <w:rStyle w:val="29"/>
                <w:rFonts w:hint="eastAsia" w:ascii="宋体" w:hAnsi="宋体" w:cs="宋体"/>
                <w:sz w:val="21"/>
                <w:szCs w:val="21"/>
                <w:highlight w:val="none"/>
                <w:lang w:val="zh-TW" w:eastAsia="zh-TW"/>
              </w:rPr>
              <w:t>施工现场必备的安全、消防、保卫和环境保护等设施</w:t>
            </w:r>
            <w:r>
              <w:rPr>
                <w:rStyle w:val="29"/>
                <w:rFonts w:hint="eastAsia" w:ascii="宋体" w:hAnsi="宋体" w:cs="宋体"/>
                <w:sz w:val="21"/>
                <w:szCs w:val="21"/>
                <w:highlight w:val="none"/>
                <w:lang w:val="zh-TW" w:eastAsia="zh-CN"/>
              </w:rPr>
              <w:t>。</w:t>
            </w:r>
            <w:r>
              <w:rPr>
                <w:rFonts w:hint="eastAsia" w:ascii="宋体" w:hAnsi="宋体" w:eastAsia="宋体" w:cs="宋体"/>
                <w:highlight w:val="none"/>
                <w:lang w:val="en-US" w:eastAsia="zh-CN"/>
              </w:rPr>
              <w:t>对上述</w:t>
            </w:r>
            <w:r>
              <w:rPr>
                <w:rFonts w:hint="eastAsia" w:ascii="宋体" w:hAnsi="宋体" w:eastAsia="宋体" w:cs="宋体"/>
                <w:highlight w:val="none"/>
                <w:lang w:val="zh-TW" w:eastAsia="zh-CN"/>
              </w:rPr>
              <w:t>内容</w:t>
            </w:r>
            <w:r>
              <w:rPr>
                <w:rFonts w:hint="eastAsia" w:ascii="宋体" w:hAnsi="宋体" w:eastAsia="宋体" w:cs="宋体"/>
                <w:highlight w:val="none"/>
                <w:lang w:val="en-US" w:eastAsia="zh-CN"/>
              </w:rPr>
              <w:t>描述清楚、</w:t>
            </w:r>
            <w:r>
              <w:rPr>
                <w:rFonts w:hint="eastAsia" w:ascii="宋体" w:hAnsi="宋体" w:eastAsia="宋体" w:cs="宋体"/>
                <w:highlight w:val="none"/>
                <w:lang w:val="zh-TW" w:eastAsia="zh-CN"/>
              </w:rPr>
              <w:t>完整、合理、可行</w:t>
            </w:r>
            <w:r>
              <w:rPr>
                <w:rFonts w:hint="eastAsia" w:ascii="宋体" w:hAnsi="宋体" w:eastAsia="宋体" w:cs="宋体"/>
                <w:highlight w:val="none"/>
                <w:lang w:val="en-US" w:eastAsia="zh-CN"/>
              </w:rPr>
              <w:t>等情况进行综合评分，</w:t>
            </w:r>
            <w:r>
              <w:rPr>
                <w:rFonts w:hint="eastAsia" w:ascii="宋体" w:hAnsi="宋体" w:eastAsia="宋体" w:cs="宋体"/>
                <w:highlight w:val="none"/>
                <w:lang w:val="zh-TW" w:eastAsia="zh-CN"/>
              </w:rPr>
              <w:t>优得</w:t>
            </w:r>
            <w:r>
              <w:rPr>
                <w:rFonts w:hint="eastAsia" w:ascii="宋体" w:hAnsi="宋体" w:cs="宋体"/>
                <w:highlight w:val="none"/>
                <w:lang w:val="en-US" w:eastAsia="zh-CN"/>
              </w:rPr>
              <w:t>6</w:t>
            </w:r>
            <w:r>
              <w:rPr>
                <w:rFonts w:hint="eastAsia" w:ascii="宋体" w:hAnsi="宋体" w:eastAsia="宋体" w:cs="宋体"/>
                <w:highlight w:val="none"/>
                <w:lang w:val="zh-TW" w:eastAsia="zh-CN"/>
              </w:rPr>
              <w:t>分、良得</w:t>
            </w:r>
            <w:r>
              <w:rPr>
                <w:rFonts w:hint="eastAsia" w:ascii="宋体" w:hAnsi="宋体" w:cs="宋体"/>
                <w:highlight w:val="none"/>
                <w:lang w:val="en-US" w:eastAsia="zh-CN"/>
              </w:rPr>
              <w:t>5</w:t>
            </w:r>
            <w:r>
              <w:rPr>
                <w:rFonts w:hint="eastAsia" w:ascii="宋体" w:hAnsi="宋体" w:eastAsia="宋体" w:cs="宋体"/>
                <w:highlight w:val="none"/>
                <w:lang w:val="zh-TW" w:eastAsia="zh-CN"/>
              </w:rPr>
              <w:t>分，</w:t>
            </w:r>
            <w:r>
              <w:rPr>
                <w:rFonts w:hint="eastAsia" w:ascii="宋体" w:hAnsi="宋体" w:eastAsia="宋体" w:cs="宋体"/>
                <w:highlight w:val="none"/>
                <w:lang w:val="en-US" w:eastAsia="zh-CN"/>
              </w:rPr>
              <w:t>中得</w:t>
            </w:r>
            <w:r>
              <w:rPr>
                <w:rFonts w:hint="eastAsia" w:ascii="宋体" w:hAnsi="宋体" w:cs="宋体"/>
                <w:highlight w:val="none"/>
                <w:lang w:val="en-US" w:eastAsia="zh-CN"/>
              </w:rPr>
              <w:t>3</w:t>
            </w:r>
            <w:r>
              <w:rPr>
                <w:rFonts w:hint="eastAsia" w:ascii="宋体" w:hAnsi="宋体" w:eastAsia="宋体" w:cs="宋体"/>
                <w:highlight w:val="none"/>
                <w:lang w:val="en-US" w:eastAsia="zh-CN"/>
              </w:rPr>
              <w:t>分，</w:t>
            </w:r>
            <w:r>
              <w:rPr>
                <w:rFonts w:hint="eastAsia" w:ascii="宋体" w:hAnsi="宋体" w:eastAsia="宋体" w:cs="宋体"/>
                <w:highlight w:val="none"/>
                <w:lang w:val="zh-TW" w:eastAsia="zh-CN"/>
              </w:rPr>
              <w:t>一般得</w:t>
            </w:r>
            <w:r>
              <w:rPr>
                <w:rFonts w:hint="eastAsia" w:ascii="宋体" w:hAnsi="宋体" w:eastAsia="宋体" w:cs="宋体"/>
                <w:highlight w:val="none"/>
                <w:lang w:val="en-US" w:eastAsia="zh-CN"/>
              </w:rPr>
              <w:t>2</w:t>
            </w:r>
            <w:r>
              <w:rPr>
                <w:rFonts w:hint="eastAsia" w:ascii="宋体" w:hAnsi="宋体" w:eastAsia="宋体" w:cs="宋体"/>
                <w:highlight w:val="none"/>
                <w:lang w:val="zh-TW" w:eastAsia="zh-CN"/>
              </w:rPr>
              <w:t>分，无不得分。</w:t>
            </w:r>
          </w:p>
        </w:tc>
        <w:tc>
          <w:tcPr>
            <w:tcW w:w="1234" w:type="dxa"/>
            <w:noWrap w:val="0"/>
            <w:vAlign w:val="center"/>
          </w:tcPr>
          <w:p>
            <w:pPr>
              <w:adjustRightInd w:val="0"/>
              <w:snapToGrid w:val="0"/>
              <w:jc w:val="center"/>
              <w:rPr>
                <w:rFonts w:hint="eastAsia" w:ascii="宋体" w:hAnsi="宋体" w:eastAsia="宋体" w:cs="宋体"/>
                <w:kern w:val="2"/>
                <w:sz w:val="21"/>
                <w:szCs w:val="24"/>
                <w:highlight w:val="none"/>
                <w:lang w:val="en-US" w:eastAsia="zh-CN" w:bidi="ar-SA"/>
              </w:rPr>
            </w:pPr>
            <w:r>
              <w:rPr>
                <w:rFonts w:hint="eastAsia" w:ascii="宋体" w:hAnsi="宋体" w:cs="宋体"/>
                <w:kern w:val="2"/>
                <w:sz w:val="21"/>
                <w:szCs w:val="21"/>
                <w:highlight w:val="none"/>
                <w:lang w:val="en-US" w:eastAsia="zh-CN" w:bidi="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78"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2.2.4</w:t>
            </w:r>
          </w:p>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094" w:type="dxa"/>
            <w:vMerge w:val="restart"/>
            <w:noWrap w:val="0"/>
            <w:vAlign w:val="center"/>
          </w:tcPr>
          <w:p>
            <w:pPr>
              <w:adjustRightInd w:val="0"/>
              <w:snapToGrid w:val="0"/>
              <w:spacing w:line="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商务</w:t>
            </w:r>
          </w:p>
          <w:p>
            <w:pPr>
              <w:adjustRightInd w:val="0"/>
              <w:snapToGrid w:val="0"/>
              <w:spacing w:line="0" w:lineRule="atLeas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部分</w:t>
            </w:r>
          </w:p>
          <w:p>
            <w:pPr>
              <w:jc w:val="center"/>
              <w:rPr>
                <w:rFonts w:hint="default" w:ascii="宋体" w:hAnsi="宋体" w:cs="宋体"/>
                <w:color w:val="auto"/>
                <w:szCs w:val="21"/>
                <w:highlight w:val="none"/>
                <w:lang w:val="en-US"/>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分）</w:t>
            </w:r>
            <w:r>
              <w:rPr>
                <w:rFonts w:hint="default" w:ascii="宋体" w:hAnsi="宋体" w:eastAsia="宋体" w:cs="宋体"/>
                <w:sz w:val="21"/>
                <w:szCs w:val="21"/>
                <w:highlight w:val="none"/>
                <w:lang w:val="en-US" w:eastAsia="zh-CN"/>
              </w:rPr>
              <w:t xml:space="preserve"> </w:t>
            </w:r>
          </w:p>
        </w:tc>
        <w:tc>
          <w:tcPr>
            <w:tcW w:w="2144" w:type="dxa"/>
            <w:noWrap w:val="0"/>
            <w:vAlign w:val="center"/>
          </w:tcPr>
          <w:p>
            <w:pPr>
              <w:adjustRightInd w:val="0"/>
              <w:snapToGrid w:val="0"/>
              <w:spacing w:line="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类似项目业绩</w:t>
            </w:r>
          </w:p>
          <w:p>
            <w:pPr>
              <w:adjustRightInd w:val="0"/>
              <w:snapToGrid w:val="0"/>
              <w:spacing w:line="0" w:lineRule="atLeast"/>
              <w:jc w:val="center"/>
              <w:rPr>
                <w:rFonts w:hint="eastAsia" w:ascii="宋体" w:hAnsi="宋体" w:cs="宋体"/>
                <w:color w:val="auto"/>
                <w:szCs w:val="21"/>
                <w:highlight w:val="none"/>
              </w:rPr>
            </w:pPr>
            <w:r>
              <w:rPr>
                <w:rFonts w:hint="eastAsia" w:ascii="宋体" w:hAnsi="宋体" w:eastAsia="宋体" w:cs="宋体"/>
                <w:sz w:val="21"/>
                <w:szCs w:val="21"/>
                <w:highlight w:val="none"/>
                <w:lang w:val="en-US" w:eastAsia="zh-CN"/>
              </w:rPr>
              <w:t>（5分）</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cs="宋体"/>
                <w:bCs/>
                <w:color w:val="auto"/>
                <w:szCs w:val="21"/>
                <w:highlight w:val="none"/>
                <w:lang w:val="zh-CN"/>
              </w:rPr>
            </w:pPr>
            <w:r>
              <w:rPr>
                <w:rFonts w:hint="eastAsia" w:ascii="宋体" w:hAnsi="宋体" w:eastAsia="宋体" w:cs="宋体"/>
                <w:sz w:val="21"/>
                <w:szCs w:val="21"/>
                <w:highlight w:val="none"/>
              </w:rPr>
              <w:t>响应文件提交截止之日前五年内（</w:t>
            </w:r>
            <w:r>
              <w:rPr>
                <w:rFonts w:hint="eastAsia" w:ascii="宋体" w:hAnsi="宋体" w:eastAsia="宋体" w:cs="宋体"/>
                <w:sz w:val="21"/>
                <w:szCs w:val="21"/>
                <w:highlight w:val="none"/>
                <w:lang w:val="en-US" w:eastAsia="zh-CN"/>
              </w:rPr>
              <w:t>2019年</w:t>
            </w:r>
            <w:r>
              <w:rPr>
                <w:rFonts w:hint="eastAsia" w:ascii="宋体" w:hAnsi="宋体" w:cs="宋体"/>
                <w:sz w:val="21"/>
                <w:szCs w:val="21"/>
                <w:highlight w:val="none"/>
                <w:lang w:val="en-US" w:eastAsia="zh-CN"/>
              </w:rPr>
              <w:t>至今</w:t>
            </w:r>
            <w:r>
              <w:rPr>
                <w:rFonts w:hint="eastAsia" w:ascii="宋体" w:hAnsi="宋体" w:eastAsia="宋体" w:cs="宋体"/>
                <w:sz w:val="21"/>
                <w:szCs w:val="21"/>
                <w:highlight w:val="none"/>
              </w:rPr>
              <w:t>）具有与本项目相类似的项目业绩，每</w:t>
            </w:r>
            <w:r>
              <w:rPr>
                <w:rFonts w:hint="eastAsia" w:ascii="宋体" w:hAnsi="宋体" w:eastAsia="宋体" w:cs="宋体"/>
                <w:sz w:val="21"/>
                <w:szCs w:val="21"/>
                <w:highlight w:val="none"/>
                <w:lang w:eastAsia="zh-CN"/>
              </w:rPr>
              <w:t>提供</w:t>
            </w:r>
            <w:r>
              <w:rPr>
                <w:rFonts w:hint="eastAsia" w:ascii="宋体" w:hAnsi="宋体" w:eastAsia="宋体" w:cs="宋体"/>
                <w:sz w:val="21"/>
                <w:szCs w:val="21"/>
                <w:highlight w:val="none"/>
              </w:rPr>
              <w:t>一项</w:t>
            </w:r>
            <w:r>
              <w:rPr>
                <w:rFonts w:hint="eastAsia" w:ascii="宋体" w:hAnsi="宋体" w:eastAsia="宋体" w:cs="宋体"/>
                <w:sz w:val="21"/>
                <w:szCs w:val="21"/>
                <w:highlight w:val="none"/>
                <w:lang w:val="en-US" w:eastAsia="zh-CN"/>
              </w:rPr>
              <w:t>得1分，满分5分。</w:t>
            </w:r>
            <w:r>
              <w:rPr>
                <w:rFonts w:hint="eastAsia" w:ascii="宋体" w:hAnsi="宋体" w:eastAsia="宋体" w:cs="宋体"/>
                <w:b/>
                <w:bCs/>
                <w:color w:val="000000"/>
                <w:sz w:val="21"/>
                <w:szCs w:val="21"/>
                <w:highlight w:val="none"/>
                <w:lang w:val="en-US" w:eastAsia="zh-CN"/>
              </w:rPr>
              <w:t>响应文件内附</w:t>
            </w:r>
            <w:r>
              <w:rPr>
                <w:rFonts w:hint="eastAsia" w:ascii="宋体" w:hAnsi="宋体" w:eastAsia="宋体" w:cs="宋体"/>
                <w:b/>
                <w:bCs/>
                <w:color w:val="000000"/>
                <w:sz w:val="21"/>
                <w:szCs w:val="21"/>
                <w:highlight w:val="none"/>
                <w:lang w:val="zh-CN"/>
              </w:rPr>
              <w:t>中标通知书</w:t>
            </w:r>
            <w:r>
              <w:rPr>
                <w:rFonts w:hint="eastAsia" w:ascii="宋体" w:hAnsi="宋体" w:cs="宋体"/>
                <w:b/>
                <w:bCs/>
                <w:color w:val="000000"/>
                <w:sz w:val="21"/>
                <w:szCs w:val="21"/>
                <w:highlight w:val="none"/>
                <w:lang w:val="zh-CN"/>
              </w:rPr>
              <w:t>（</w:t>
            </w:r>
            <w:r>
              <w:rPr>
                <w:rFonts w:hint="eastAsia" w:ascii="宋体" w:hAnsi="宋体" w:cs="宋体"/>
                <w:b/>
                <w:bCs/>
                <w:color w:val="000000"/>
                <w:sz w:val="21"/>
                <w:szCs w:val="21"/>
                <w:highlight w:val="none"/>
                <w:lang w:val="en-US" w:eastAsia="zh-CN"/>
              </w:rPr>
              <w:t>或</w:t>
            </w:r>
            <w:r>
              <w:rPr>
                <w:rFonts w:hint="eastAsia" w:ascii="宋体" w:hAnsi="宋体" w:eastAsia="宋体" w:cs="宋体"/>
                <w:b/>
                <w:bCs/>
                <w:color w:val="000000"/>
                <w:sz w:val="21"/>
                <w:szCs w:val="21"/>
                <w:highlight w:val="none"/>
                <w:lang w:val="zh-CN"/>
              </w:rPr>
              <w:t>合同协议书</w:t>
            </w:r>
            <w:r>
              <w:rPr>
                <w:rFonts w:hint="eastAsia" w:ascii="宋体" w:hAnsi="宋体" w:cs="宋体"/>
                <w:b/>
                <w:bCs/>
                <w:color w:val="000000"/>
                <w:sz w:val="21"/>
                <w:szCs w:val="21"/>
                <w:highlight w:val="none"/>
                <w:lang w:val="zh-CN"/>
              </w:rPr>
              <w:t>）</w:t>
            </w:r>
            <w:r>
              <w:rPr>
                <w:rFonts w:hint="eastAsia" w:ascii="宋体" w:hAnsi="宋体" w:cs="宋体"/>
                <w:b/>
                <w:bCs/>
                <w:color w:val="000000"/>
                <w:sz w:val="21"/>
                <w:szCs w:val="21"/>
                <w:highlight w:val="none"/>
                <w:lang w:val="en-US" w:eastAsia="zh-CN"/>
              </w:rPr>
              <w:t>及</w:t>
            </w:r>
            <w:r>
              <w:rPr>
                <w:rFonts w:hint="eastAsia" w:ascii="宋体" w:hAnsi="宋体" w:eastAsia="宋体" w:cs="宋体"/>
                <w:b/>
                <w:bCs/>
                <w:color w:val="000000"/>
                <w:sz w:val="21"/>
                <w:szCs w:val="21"/>
                <w:highlight w:val="none"/>
                <w:lang w:val="zh-CN"/>
              </w:rPr>
              <w:t>工程竣工验收证书</w:t>
            </w:r>
            <w:r>
              <w:rPr>
                <w:rFonts w:hint="eastAsia" w:ascii="宋体" w:hAnsi="宋体" w:eastAsia="宋体" w:cs="宋体"/>
                <w:b/>
                <w:bCs/>
                <w:color w:val="000000"/>
                <w:sz w:val="21"/>
                <w:szCs w:val="21"/>
                <w:highlight w:val="none"/>
              </w:rPr>
              <w:t>复印件</w:t>
            </w:r>
            <w:r>
              <w:rPr>
                <w:rFonts w:hint="eastAsia" w:ascii="宋体" w:hAnsi="宋体" w:eastAsia="宋体" w:cs="宋体"/>
                <w:b/>
                <w:bCs/>
                <w:color w:val="000000"/>
                <w:sz w:val="21"/>
                <w:szCs w:val="21"/>
                <w:highlight w:val="none"/>
                <w:lang w:val="en-US" w:eastAsia="zh-CN"/>
              </w:rPr>
              <w:t>加盖公章</w:t>
            </w:r>
            <w:r>
              <w:rPr>
                <w:rFonts w:hint="eastAsia" w:ascii="宋体" w:hAnsi="宋体" w:eastAsia="宋体" w:cs="宋体"/>
                <w:color w:val="000000"/>
                <w:sz w:val="21"/>
                <w:szCs w:val="21"/>
                <w:highlight w:val="none"/>
                <w:lang w:val="en-US" w:eastAsia="zh-CN"/>
              </w:rPr>
              <w:t>。</w:t>
            </w:r>
          </w:p>
        </w:tc>
        <w:tc>
          <w:tcPr>
            <w:tcW w:w="1234" w:type="dxa"/>
            <w:noWrap w:val="0"/>
            <w:vAlign w:val="center"/>
          </w:tcPr>
          <w:p>
            <w:pPr>
              <w:widowControl/>
              <w:adjustRightInd w:val="0"/>
              <w:snapToGrid w:val="0"/>
              <w:jc w:val="center"/>
              <w:rPr>
                <w:rFonts w:hint="eastAsia" w:ascii="宋体" w:hAnsi="宋体" w:cs="宋体"/>
                <w:bCs/>
                <w:color w:val="auto"/>
                <w:szCs w:val="21"/>
                <w:highlight w:val="none"/>
                <w:lang w:val="zh-CN"/>
              </w:rPr>
            </w:pPr>
            <w:r>
              <w:rPr>
                <w:rFonts w:hint="eastAsia" w:ascii="宋体" w:hAnsi="宋体" w:eastAsia="宋体" w:cs="宋体"/>
                <w:szCs w:val="21"/>
                <w:highlight w:val="none"/>
                <w:lang w:val="en-US" w:eastAsia="zh-CN"/>
              </w:rPr>
              <w:t>0-</w:t>
            </w:r>
            <w:r>
              <w:rPr>
                <w:rFonts w:hint="eastAsia" w:ascii="宋体" w:hAnsi="宋体" w:cs="宋体"/>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项目负责人业绩</w:t>
            </w:r>
          </w:p>
          <w:p>
            <w:pPr>
              <w:adjustRightInd w:val="0"/>
              <w:snapToGrid w:val="0"/>
              <w:spacing w:line="0" w:lineRule="atLeast"/>
              <w:jc w:val="center"/>
              <w:rPr>
                <w:rFonts w:hint="eastAsia" w:ascii="宋体" w:hAnsi="宋体" w:cs="宋体"/>
                <w:color w:val="auto"/>
                <w:szCs w:val="21"/>
                <w:highlight w:val="none"/>
              </w:rPr>
            </w:pPr>
            <w:r>
              <w:rPr>
                <w:rFonts w:hint="eastAsia" w:ascii="宋体" w:hAnsi="宋体" w:eastAsia="宋体" w:cs="宋体"/>
                <w:sz w:val="21"/>
                <w:szCs w:val="21"/>
                <w:highlight w:val="none"/>
                <w:lang w:val="en-US" w:eastAsia="zh-CN"/>
              </w:rPr>
              <w:t>（2分）</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cs="宋体"/>
                <w:bCs/>
                <w:color w:val="auto"/>
                <w:szCs w:val="21"/>
                <w:highlight w:val="none"/>
                <w:lang w:val="zh-CN"/>
              </w:rPr>
            </w:pPr>
            <w:r>
              <w:rPr>
                <w:rFonts w:hint="eastAsia" w:ascii="宋体" w:hAnsi="宋体" w:eastAsia="宋体" w:cs="宋体"/>
                <w:sz w:val="21"/>
                <w:szCs w:val="21"/>
                <w:highlight w:val="none"/>
              </w:rPr>
              <w:t>响应文件提交截止之日前五年内（</w:t>
            </w:r>
            <w:r>
              <w:rPr>
                <w:rFonts w:hint="eastAsia" w:ascii="宋体" w:hAnsi="宋体" w:cs="宋体"/>
                <w:sz w:val="21"/>
                <w:szCs w:val="21"/>
                <w:highlight w:val="none"/>
                <w:lang w:val="en-US" w:eastAsia="zh-CN"/>
              </w:rPr>
              <w:t>2019年</w:t>
            </w:r>
            <w:r>
              <w:rPr>
                <w:rFonts w:hint="eastAsia" w:ascii="宋体" w:hAnsi="宋体" w:eastAsia="宋体" w:cs="宋体"/>
                <w:sz w:val="21"/>
                <w:szCs w:val="21"/>
                <w:highlight w:val="none"/>
              </w:rPr>
              <w:t>至今）</w:t>
            </w:r>
            <w:r>
              <w:rPr>
                <w:rFonts w:hint="eastAsia" w:ascii="宋体" w:hAnsi="宋体" w:cs="宋体"/>
                <w:sz w:val="21"/>
                <w:szCs w:val="21"/>
                <w:highlight w:val="none"/>
                <w:lang w:val="en-US" w:eastAsia="zh-CN"/>
              </w:rPr>
              <w:t>以项目经理（项目负责人）身份</w:t>
            </w:r>
            <w:r>
              <w:rPr>
                <w:rFonts w:hint="eastAsia" w:ascii="宋体" w:hAnsi="宋体" w:eastAsia="宋体" w:cs="宋体"/>
                <w:sz w:val="21"/>
                <w:szCs w:val="21"/>
                <w:highlight w:val="none"/>
              </w:rPr>
              <w:t>承担过类似项目，每有一项</w:t>
            </w:r>
            <w:r>
              <w:rPr>
                <w:rFonts w:hint="eastAsia" w:ascii="宋体" w:hAnsi="宋体" w:eastAsia="宋体" w:cs="宋体"/>
                <w:sz w:val="21"/>
                <w:szCs w:val="21"/>
                <w:highlight w:val="none"/>
                <w:lang w:val="en-US" w:eastAsia="zh-CN"/>
              </w:rPr>
              <w:t>得</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val="en-US" w:eastAsia="zh-CN"/>
              </w:rPr>
              <w:t>满分</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w:t>
            </w:r>
            <w:r>
              <w:rPr>
                <w:rFonts w:hint="eastAsia" w:ascii="宋体" w:hAnsi="宋体" w:eastAsia="宋体" w:cs="宋体"/>
                <w:b/>
                <w:bCs/>
                <w:color w:val="000000"/>
                <w:sz w:val="21"/>
                <w:szCs w:val="21"/>
                <w:highlight w:val="none"/>
                <w:lang w:val="en-US" w:eastAsia="zh-CN"/>
              </w:rPr>
              <w:t>响应文件内附</w:t>
            </w:r>
            <w:r>
              <w:rPr>
                <w:rFonts w:hint="eastAsia" w:ascii="宋体" w:hAnsi="宋体" w:eastAsia="宋体" w:cs="宋体"/>
                <w:b/>
                <w:bCs/>
                <w:color w:val="000000"/>
                <w:sz w:val="21"/>
                <w:szCs w:val="21"/>
                <w:highlight w:val="none"/>
                <w:lang w:val="zh-CN"/>
              </w:rPr>
              <w:t>中标通知书</w:t>
            </w:r>
            <w:r>
              <w:rPr>
                <w:rFonts w:hint="eastAsia" w:ascii="宋体" w:hAnsi="宋体" w:cs="宋体"/>
                <w:b/>
                <w:bCs/>
                <w:color w:val="000000"/>
                <w:sz w:val="21"/>
                <w:szCs w:val="21"/>
                <w:highlight w:val="none"/>
                <w:lang w:val="zh-CN"/>
              </w:rPr>
              <w:t>（</w:t>
            </w:r>
            <w:r>
              <w:rPr>
                <w:rFonts w:hint="eastAsia" w:ascii="宋体" w:hAnsi="宋体" w:cs="宋体"/>
                <w:b/>
                <w:bCs/>
                <w:color w:val="000000"/>
                <w:sz w:val="21"/>
                <w:szCs w:val="21"/>
                <w:highlight w:val="none"/>
                <w:lang w:val="en-US" w:eastAsia="zh-CN"/>
              </w:rPr>
              <w:t>或</w:t>
            </w:r>
            <w:r>
              <w:rPr>
                <w:rFonts w:hint="eastAsia" w:ascii="宋体" w:hAnsi="宋体" w:eastAsia="宋体" w:cs="宋体"/>
                <w:b/>
                <w:bCs/>
                <w:color w:val="000000"/>
                <w:sz w:val="21"/>
                <w:szCs w:val="21"/>
                <w:highlight w:val="none"/>
                <w:lang w:val="zh-CN"/>
              </w:rPr>
              <w:t>合同协议书</w:t>
            </w:r>
            <w:r>
              <w:rPr>
                <w:rFonts w:hint="eastAsia" w:ascii="宋体" w:hAnsi="宋体" w:cs="宋体"/>
                <w:b/>
                <w:bCs/>
                <w:color w:val="000000"/>
                <w:sz w:val="21"/>
                <w:szCs w:val="21"/>
                <w:highlight w:val="none"/>
                <w:lang w:val="zh-CN"/>
              </w:rPr>
              <w:t>）</w:t>
            </w:r>
            <w:r>
              <w:rPr>
                <w:rFonts w:hint="eastAsia" w:ascii="宋体" w:hAnsi="宋体" w:cs="宋体"/>
                <w:b/>
                <w:bCs/>
                <w:color w:val="000000"/>
                <w:sz w:val="21"/>
                <w:szCs w:val="21"/>
                <w:highlight w:val="none"/>
                <w:lang w:val="en-US" w:eastAsia="zh-CN"/>
              </w:rPr>
              <w:t>及</w:t>
            </w:r>
            <w:r>
              <w:rPr>
                <w:rFonts w:hint="eastAsia" w:ascii="宋体" w:hAnsi="宋体" w:eastAsia="宋体" w:cs="宋体"/>
                <w:b/>
                <w:bCs/>
                <w:color w:val="000000"/>
                <w:sz w:val="21"/>
                <w:szCs w:val="21"/>
                <w:highlight w:val="none"/>
                <w:lang w:val="zh-CN"/>
              </w:rPr>
              <w:t>工程竣工验收证书</w:t>
            </w:r>
            <w:r>
              <w:rPr>
                <w:rFonts w:hint="eastAsia" w:ascii="宋体" w:hAnsi="宋体" w:eastAsia="宋体" w:cs="宋体"/>
                <w:b/>
                <w:bCs/>
                <w:color w:val="000000"/>
                <w:sz w:val="21"/>
                <w:szCs w:val="21"/>
                <w:highlight w:val="none"/>
              </w:rPr>
              <w:t>复印件</w:t>
            </w:r>
            <w:r>
              <w:rPr>
                <w:rFonts w:hint="eastAsia" w:ascii="宋体" w:hAnsi="宋体" w:eastAsia="宋体" w:cs="宋体"/>
                <w:b/>
                <w:bCs/>
                <w:color w:val="000000"/>
                <w:sz w:val="21"/>
                <w:szCs w:val="21"/>
                <w:highlight w:val="none"/>
                <w:lang w:val="en-US" w:eastAsia="zh-CN"/>
              </w:rPr>
              <w:t>加盖公章</w:t>
            </w:r>
            <w:r>
              <w:rPr>
                <w:rFonts w:hint="eastAsia" w:ascii="宋体" w:hAnsi="宋体" w:eastAsia="宋体" w:cs="宋体"/>
                <w:b/>
                <w:bCs w:val="0"/>
                <w:color w:val="000000"/>
                <w:sz w:val="21"/>
                <w:szCs w:val="21"/>
                <w:highlight w:val="none"/>
                <w:lang w:eastAsia="zh-CN"/>
              </w:rPr>
              <w:t>（</w:t>
            </w:r>
            <w:r>
              <w:rPr>
                <w:rFonts w:hint="eastAsia" w:ascii="宋体" w:hAnsi="宋体" w:eastAsia="宋体" w:cs="宋体"/>
                <w:b/>
                <w:bCs w:val="0"/>
                <w:color w:val="000000"/>
                <w:sz w:val="21"/>
                <w:szCs w:val="21"/>
                <w:highlight w:val="none"/>
              </w:rPr>
              <w:t>须体现</w:t>
            </w:r>
            <w:r>
              <w:rPr>
                <w:rFonts w:hint="eastAsia" w:ascii="宋体" w:hAnsi="宋体" w:cs="宋体"/>
                <w:b/>
                <w:bCs w:val="0"/>
                <w:color w:val="000000"/>
                <w:sz w:val="21"/>
                <w:szCs w:val="21"/>
                <w:highlight w:val="none"/>
                <w:lang w:val="en-US" w:eastAsia="zh-CN"/>
              </w:rPr>
              <w:t>其</w:t>
            </w:r>
            <w:r>
              <w:rPr>
                <w:rFonts w:hint="eastAsia" w:ascii="宋体" w:hAnsi="宋体" w:eastAsia="宋体" w:cs="宋体"/>
                <w:b/>
                <w:bCs w:val="0"/>
                <w:color w:val="000000"/>
                <w:sz w:val="21"/>
                <w:szCs w:val="21"/>
                <w:highlight w:val="none"/>
              </w:rPr>
              <w:t>姓名</w:t>
            </w:r>
            <w:r>
              <w:rPr>
                <w:rFonts w:hint="eastAsia" w:ascii="宋体" w:hAnsi="宋体" w:eastAsia="宋体" w:cs="宋体"/>
                <w:b/>
                <w:bCs w:val="0"/>
                <w:color w:val="000000"/>
                <w:sz w:val="21"/>
                <w:szCs w:val="21"/>
                <w:highlight w:val="none"/>
                <w:lang w:eastAsia="zh-CN"/>
              </w:rPr>
              <w:t>）。</w:t>
            </w:r>
          </w:p>
        </w:tc>
        <w:tc>
          <w:tcPr>
            <w:tcW w:w="1234" w:type="dxa"/>
            <w:noWrap w:val="0"/>
            <w:vAlign w:val="center"/>
          </w:tcPr>
          <w:p>
            <w:pPr>
              <w:adjustRightInd w:val="0"/>
              <w:snapToGrid w:val="0"/>
              <w:jc w:val="center"/>
              <w:rPr>
                <w:rFonts w:hint="eastAsia" w:ascii="宋体" w:hAnsi="宋体" w:cs="宋体"/>
                <w:bCs/>
                <w:color w:val="auto"/>
                <w:szCs w:val="21"/>
                <w:highlight w:val="none"/>
                <w:lang w:val="zh-CN"/>
              </w:rPr>
            </w:pPr>
            <w:r>
              <w:rPr>
                <w:rFonts w:hint="eastAsia" w:ascii="宋体" w:hAnsi="宋体" w:eastAsia="宋体" w:cs="宋体"/>
                <w:kern w:val="0"/>
                <w:highlight w:val="none"/>
                <w:lang w:val="en-US" w:eastAsia="zh-CN"/>
              </w:rPr>
              <w:t>0-</w:t>
            </w:r>
            <w:r>
              <w:rPr>
                <w:rFonts w:hint="eastAsia" w:ascii="宋体" w:hAnsi="宋体" w:cs="宋体"/>
                <w:kern w:val="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项目管理机构配置</w:t>
            </w:r>
          </w:p>
          <w:p>
            <w:pPr>
              <w:adjustRightInd w:val="0"/>
              <w:snapToGrid w:val="0"/>
              <w:spacing w:line="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分）</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拟派出的项目管理机构中具有</w:t>
            </w:r>
            <w:r>
              <w:rPr>
                <w:rFonts w:hint="eastAsia" w:ascii="宋体" w:hAnsi="宋体" w:eastAsia="宋体" w:cs="宋体"/>
                <w:sz w:val="21"/>
                <w:szCs w:val="21"/>
                <w:highlight w:val="none"/>
              </w:rPr>
              <w:t>施工员、质量员、安全员</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在此基础上每增加一名管理人员得</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满分</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b/>
                <w:bCs/>
                <w:color w:val="000000"/>
                <w:sz w:val="21"/>
                <w:szCs w:val="21"/>
                <w:highlight w:val="none"/>
                <w:lang w:val="en-US" w:eastAsia="zh-CN"/>
              </w:rPr>
              <w:t>响应文件</w:t>
            </w:r>
            <w:r>
              <w:rPr>
                <w:rFonts w:hint="eastAsia" w:ascii="宋体" w:hAnsi="宋体" w:eastAsia="宋体" w:cs="宋体"/>
                <w:b/>
                <w:bCs/>
                <w:sz w:val="21"/>
                <w:szCs w:val="21"/>
                <w:highlight w:val="none"/>
              </w:rPr>
              <w:t>内附岗位证或职称证复印件</w:t>
            </w:r>
            <w:r>
              <w:rPr>
                <w:rFonts w:hint="eastAsia" w:ascii="宋体" w:hAnsi="宋体" w:eastAsia="宋体" w:cs="宋体"/>
                <w:b/>
                <w:bCs/>
                <w:sz w:val="21"/>
                <w:szCs w:val="21"/>
                <w:highlight w:val="none"/>
                <w:lang w:val="en-US" w:eastAsia="zh-CN"/>
              </w:rPr>
              <w:t>加盖公章</w:t>
            </w:r>
            <w:r>
              <w:rPr>
                <w:rFonts w:hint="eastAsia" w:ascii="宋体" w:hAnsi="宋体" w:eastAsia="宋体" w:cs="宋体"/>
                <w:b/>
                <w:bCs/>
                <w:sz w:val="21"/>
                <w:szCs w:val="21"/>
                <w:highlight w:val="none"/>
              </w:rPr>
              <w:t>。</w:t>
            </w:r>
          </w:p>
        </w:tc>
        <w:tc>
          <w:tcPr>
            <w:tcW w:w="1234" w:type="dxa"/>
            <w:noWrap w:val="0"/>
            <w:vAlign w:val="center"/>
          </w:tcPr>
          <w:p>
            <w:pPr>
              <w:adjustRightInd w:val="0"/>
              <w:snapToGrid w:val="0"/>
              <w:jc w:val="center"/>
              <w:rPr>
                <w:rFonts w:hint="default" w:ascii="宋体" w:hAnsi="宋体" w:eastAsia="宋体" w:cs="宋体"/>
                <w:kern w:val="0"/>
                <w:highlight w:val="none"/>
                <w:lang w:val="en-US" w:eastAsia="zh-CN"/>
              </w:rPr>
            </w:pPr>
            <w:r>
              <w:rPr>
                <w:rFonts w:hint="eastAsia" w:ascii="宋体" w:hAnsi="宋体" w:eastAsia="宋体" w:cs="宋体"/>
                <w:highlight w:val="none"/>
                <w:lang w:val="en-US" w:eastAsia="zh-CN"/>
              </w:rPr>
              <w:t>0-</w:t>
            </w:r>
            <w:r>
              <w:rPr>
                <w:rFonts w:hint="eastAsia" w:ascii="宋体" w:hAnsi="宋体" w:cs="宋体"/>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Style w:val="29"/>
                <w:rFonts w:hint="eastAsia" w:ascii="宋体" w:hAnsi="宋体" w:cs="宋体"/>
                <w:sz w:val="21"/>
                <w:szCs w:val="21"/>
                <w:highlight w:val="none"/>
                <w:lang w:val="en-US" w:eastAsia="zh-CN"/>
              </w:rPr>
            </w:pPr>
            <w:r>
              <w:rPr>
                <w:rStyle w:val="29"/>
                <w:rFonts w:hint="eastAsia" w:ascii="宋体" w:hAnsi="宋体" w:cs="宋体"/>
                <w:sz w:val="21"/>
                <w:szCs w:val="21"/>
                <w:highlight w:val="none"/>
                <w:lang w:val="en-US" w:eastAsia="zh-CN"/>
              </w:rPr>
              <w:t>认证证书</w:t>
            </w:r>
          </w:p>
          <w:p>
            <w:pPr>
              <w:adjustRightInd w:val="0"/>
              <w:snapToGrid w:val="0"/>
              <w:spacing w:line="0" w:lineRule="atLeast"/>
              <w:jc w:val="center"/>
              <w:rPr>
                <w:rFonts w:hint="eastAsia" w:ascii="宋体" w:hAnsi="宋体" w:cs="宋体"/>
                <w:color w:val="auto"/>
                <w:szCs w:val="21"/>
                <w:highlight w:val="none"/>
              </w:rPr>
            </w:pPr>
            <w:r>
              <w:rPr>
                <w:rStyle w:val="29"/>
                <w:rFonts w:hint="eastAsia" w:ascii="宋体" w:hAnsi="宋体" w:eastAsia="宋体" w:cs="宋体"/>
                <w:sz w:val="21"/>
                <w:szCs w:val="21"/>
                <w:highlight w:val="none"/>
                <w:lang w:val="en-US" w:eastAsia="zh-CN"/>
              </w:rPr>
              <w:t>（3分）</w:t>
            </w:r>
          </w:p>
        </w:tc>
        <w:tc>
          <w:tcPr>
            <w:tcW w:w="4469" w:type="dxa"/>
            <w:noWrap w:val="0"/>
            <w:vAlign w:val="center"/>
          </w:tcPr>
          <w:p>
            <w:pPr>
              <w:pStyle w:val="30"/>
              <w:numPr>
                <w:ilvl w:val="0"/>
                <w:numId w:val="0"/>
              </w:numPr>
              <w:spacing w:line="280" w:lineRule="exact"/>
              <w:ind w:left="0" w:leftChars="0" w:firstLine="0" w:firstLineChars="0"/>
              <w:jc w:val="left"/>
              <w:rPr>
                <w:rFonts w:hint="eastAsia" w:ascii="宋体" w:hAnsi="宋体" w:cs="宋体"/>
                <w:bCs/>
                <w:color w:val="auto"/>
                <w:szCs w:val="21"/>
                <w:highlight w:val="none"/>
                <w:lang w:val="zh-CN"/>
              </w:rPr>
            </w:pPr>
            <w:r>
              <w:rPr>
                <w:rStyle w:val="29"/>
                <w:rFonts w:hint="eastAsia" w:ascii="宋体" w:hAnsi="宋体" w:cs="宋体"/>
                <w:color w:val="auto"/>
                <w:kern w:val="2"/>
                <w:sz w:val="21"/>
                <w:szCs w:val="21"/>
                <w:highlight w:val="none"/>
                <w:u w:val="none"/>
                <w:lang w:val="en-US" w:eastAsia="zh-CN" w:bidi="ar-SA"/>
              </w:rPr>
              <w:t>供应商具有在有效期内的</w:t>
            </w:r>
            <w:r>
              <w:rPr>
                <w:rStyle w:val="29"/>
                <w:rFonts w:hint="eastAsia" w:ascii="宋体" w:hAnsi="宋体" w:eastAsia="宋体" w:cs="宋体"/>
                <w:color w:val="auto"/>
                <w:kern w:val="2"/>
                <w:sz w:val="21"/>
                <w:szCs w:val="21"/>
                <w:highlight w:val="none"/>
                <w:u w:val="none"/>
                <w:lang w:val="zh-TW" w:eastAsia="zh-TW" w:bidi="ar-SA"/>
              </w:rPr>
              <w:t>质量管理体系认证</w:t>
            </w:r>
            <w:r>
              <w:rPr>
                <w:rStyle w:val="29"/>
                <w:rFonts w:hint="eastAsia" w:ascii="宋体" w:hAnsi="宋体" w:eastAsia="宋体" w:cs="宋体"/>
                <w:color w:val="auto"/>
                <w:kern w:val="2"/>
                <w:sz w:val="21"/>
                <w:szCs w:val="21"/>
                <w:highlight w:val="none"/>
                <w:u w:val="none"/>
                <w:lang w:val="en-US" w:eastAsia="zh-CN" w:bidi="ar-SA"/>
              </w:rPr>
              <w:t>证书</w:t>
            </w:r>
            <w:r>
              <w:rPr>
                <w:rStyle w:val="29"/>
                <w:rFonts w:hint="eastAsia" w:ascii="宋体" w:hAnsi="宋体" w:cs="宋体"/>
                <w:color w:val="auto"/>
                <w:kern w:val="2"/>
                <w:sz w:val="21"/>
                <w:szCs w:val="21"/>
                <w:highlight w:val="none"/>
                <w:u w:val="none"/>
                <w:lang w:val="en-US" w:eastAsia="zh-CN" w:bidi="ar-SA"/>
              </w:rPr>
              <w:t>、</w:t>
            </w:r>
            <w:r>
              <w:rPr>
                <w:rStyle w:val="29"/>
                <w:rFonts w:hint="eastAsia" w:ascii="宋体" w:hAnsi="宋体" w:eastAsia="宋体" w:cs="宋体"/>
                <w:color w:val="auto"/>
                <w:kern w:val="2"/>
                <w:sz w:val="21"/>
                <w:szCs w:val="21"/>
                <w:highlight w:val="none"/>
                <w:u w:val="none"/>
                <w:lang w:val="zh-TW" w:eastAsia="zh-TW" w:bidi="ar-SA"/>
              </w:rPr>
              <w:t>环境管理体系认证</w:t>
            </w:r>
            <w:r>
              <w:rPr>
                <w:rStyle w:val="29"/>
                <w:rFonts w:hint="eastAsia" w:ascii="宋体" w:hAnsi="宋体" w:eastAsia="宋体" w:cs="宋体"/>
                <w:color w:val="auto"/>
                <w:kern w:val="2"/>
                <w:sz w:val="21"/>
                <w:szCs w:val="21"/>
                <w:highlight w:val="none"/>
                <w:u w:val="none"/>
                <w:lang w:val="en-US" w:eastAsia="zh-CN" w:bidi="ar-SA"/>
              </w:rPr>
              <w:t>、</w:t>
            </w:r>
            <w:r>
              <w:rPr>
                <w:rStyle w:val="29"/>
                <w:rFonts w:hint="eastAsia" w:ascii="宋体" w:hAnsi="宋体" w:eastAsia="宋体" w:cs="宋体"/>
                <w:color w:val="auto"/>
                <w:kern w:val="2"/>
                <w:sz w:val="21"/>
                <w:szCs w:val="21"/>
                <w:highlight w:val="none"/>
                <w:u w:val="none"/>
                <w:lang w:val="zh-TW" w:eastAsia="zh-TW" w:bidi="ar-SA"/>
              </w:rPr>
              <w:t>职业健康安全管理体系</w:t>
            </w:r>
            <w:r>
              <w:rPr>
                <w:rStyle w:val="29"/>
                <w:rFonts w:hint="eastAsia" w:ascii="宋体" w:hAnsi="宋体" w:eastAsia="宋体" w:cs="宋体"/>
                <w:color w:val="auto"/>
                <w:kern w:val="2"/>
                <w:sz w:val="21"/>
                <w:szCs w:val="21"/>
                <w:highlight w:val="none"/>
                <w:u w:val="none"/>
                <w:lang w:val="en-US" w:eastAsia="zh-CN" w:bidi="ar-SA"/>
              </w:rPr>
              <w:t>证书，每有一项得1分，满分3分。</w:t>
            </w:r>
            <w:r>
              <w:rPr>
                <w:rFonts w:hint="eastAsia" w:ascii="宋体" w:hAnsi="宋体" w:eastAsia="宋体" w:cs="宋体"/>
                <w:b/>
                <w:bCs/>
                <w:color w:val="000000"/>
                <w:sz w:val="21"/>
                <w:szCs w:val="21"/>
                <w:highlight w:val="none"/>
                <w:lang w:val="en-US" w:eastAsia="zh-CN"/>
              </w:rPr>
              <w:t>响应文件</w:t>
            </w:r>
            <w:r>
              <w:rPr>
                <w:rStyle w:val="29"/>
                <w:rFonts w:hint="eastAsia" w:ascii="宋体" w:hAnsi="宋体" w:eastAsia="宋体" w:cs="宋体"/>
                <w:b/>
                <w:bCs/>
                <w:color w:val="auto"/>
                <w:kern w:val="2"/>
                <w:sz w:val="21"/>
                <w:szCs w:val="21"/>
                <w:highlight w:val="none"/>
                <w:u w:val="none"/>
                <w:lang w:val="en-US" w:eastAsia="zh-CN" w:bidi="ar-SA"/>
              </w:rPr>
              <w:t>内附证书复印件加盖公章。</w:t>
            </w:r>
          </w:p>
        </w:tc>
        <w:tc>
          <w:tcPr>
            <w:tcW w:w="1234" w:type="dxa"/>
            <w:noWrap w:val="0"/>
            <w:vAlign w:val="center"/>
          </w:tcPr>
          <w:p>
            <w:pPr>
              <w:widowControl/>
              <w:adjustRightInd w:val="0"/>
              <w:snapToGrid w:val="0"/>
              <w:spacing w:line="240" w:lineRule="auto"/>
              <w:jc w:val="center"/>
              <w:rPr>
                <w:rFonts w:hint="eastAsia" w:ascii="宋体" w:hAnsi="宋体" w:cs="宋体"/>
                <w:bCs/>
                <w:color w:val="auto"/>
                <w:szCs w:val="21"/>
                <w:highlight w:val="none"/>
                <w:lang w:val="zh-CN"/>
              </w:rPr>
            </w:pPr>
            <w:r>
              <w:rPr>
                <w:rFonts w:hint="eastAsia" w:ascii="宋体" w:hAnsi="宋体" w:cs="宋体"/>
                <w:kern w:val="2"/>
                <w:sz w:val="21"/>
                <w:szCs w:val="21"/>
                <w:highlight w:val="none"/>
                <w:lang w:val="en-US" w:eastAsia="zh-CN" w:bidi="ar-S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2.2.4</w:t>
            </w:r>
          </w:p>
          <w:p>
            <w:pP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094" w:type="dxa"/>
            <w:noWrap w:val="0"/>
            <w:vAlign w:val="center"/>
          </w:tcPr>
          <w:p>
            <w:pPr>
              <w:adjustRightInd w:val="0"/>
              <w:snapToGrid w:val="0"/>
              <w:spacing w:line="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报价部分</w:t>
            </w:r>
          </w:p>
          <w:p>
            <w:pPr>
              <w:adjustRightInd w:val="0"/>
              <w:snapToGrid w:val="0"/>
              <w:spacing w:line="0" w:lineRule="atLeast"/>
              <w:jc w:val="center"/>
              <w:rPr>
                <w:rFonts w:hint="eastAsia" w:ascii="宋体" w:hAnsi="宋体" w:cs="宋体"/>
                <w:color w:val="auto"/>
                <w:szCs w:val="21"/>
                <w:highlight w:val="none"/>
              </w:rPr>
            </w:pPr>
            <w:r>
              <w:rPr>
                <w:rFonts w:hint="eastAsia" w:ascii="宋体" w:hAnsi="宋体" w:eastAsia="宋体" w:cs="宋体"/>
                <w:sz w:val="21"/>
                <w:szCs w:val="21"/>
                <w:highlight w:val="none"/>
                <w:lang w:val="en-US" w:eastAsia="zh-CN"/>
              </w:rPr>
              <w:t>（30分）</w:t>
            </w:r>
          </w:p>
        </w:tc>
        <w:tc>
          <w:tcPr>
            <w:tcW w:w="2144" w:type="dxa"/>
            <w:noWrap w:val="0"/>
            <w:vAlign w:val="center"/>
          </w:tcPr>
          <w:p>
            <w:pPr>
              <w:adjustRightInd w:val="0"/>
              <w:snapToGrid w:val="0"/>
              <w:spacing w:line="0" w:lineRule="atLeas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报价得分</w:t>
            </w:r>
          </w:p>
          <w:p>
            <w:pPr>
              <w:adjustRightInd w:val="0"/>
              <w:snapToGrid w:val="0"/>
              <w:spacing w:line="0" w:lineRule="atLeast"/>
              <w:jc w:val="center"/>
              <w:rPr>
                <w:rFonts w:hint="eastAsia" w:ascii="宋体" w:hAnsi="宋体" w:cs="宋体"/>
                <w:color w:val="auto"/>
                <w:szCs w:val="21"/>
                <w:highlight w:val="none"/>
              </w:rPr>
            </w:pPr>
            <w:r>
              <w:rPr>
                <w:rFonts w:hint="eastAsia" w:ascii="宋体" w:hAnsi="宋体" w:eastAsia="宋体" w:cs="宋体"/>
                <w:sz w:val="21"/>
                <w:szCs w:val="21"/>
                <w:highlight w:val="none"/>
                <w:lang w:val="en-US" w:eastAsia="zh-CN"/>
              </w:rPr>
              <w:t>（30分）</w:t>
            </w:r>
          </w:p>
        </w:tc>
        <w:tc>
          <w:tcPr>
            <w:tcW w:w="4469" w:type="dxa"/>
            <w:noWrap w:val="0"/>
            <w:vAlign w:val="center"/>
          </w:tcPr>
          <w:p>
            <w:pPr>
              <w:adjustRightInd w:val="0"/>
              <w:snapToGrid w:val="0"/>
              <w:spacing w:line="0" w:lineRule="atLeast"/>
              <w:jc w:val="left"/>
              <w:rPr>
                <w:rFonts w:ascii="宋体" w:hAnsi="宋体" w:cs="宋体"/>
                <w:bCs/>
                <w:color w:val="auto"/>
                <w:szCs w:val="21"/>
                <w:highlight w:val="none"/>
              </w:rPr>
            </w:pPr>
            <w:r>
              <w:rPr>
                <w:rFonts w:hint="eastAsia" w:ascii="宋体" w:hAnsi="宋体" w:cs="宋体"/>
                <w:sz w:val="21"/>
                <w:szCs w:val="21"/>
                <w:highlight w:val="none"/>
                <w:lang w:val="en-US" w:eastAsia="zh-CN"/>
              </w:rPr>
              <w:t>供应商最后报价</w:t>
            </w:r>
            <w:r>
              <w:rPr>
                <w:rFonts w:hint="eastAsia" w:ascii="宋体" w:hAnsi="宋体" w:cs="宋体"/>
                <w:sz w:val="21"/>
                <w:szCs w:val="21"/>
                <w:highlight w:val="none"/>
              </w:rPr>
              <w:t>等于</w:t>
            </w:r>
            <w:r>
              <w:rPr>
                <w:rFonts w:hint="eastAsia" w:ascii="宋体" w:hAnsi="宋体" w:cs="宋体"/>
                <w:sz w:val="21"/>
                <w:szCs w:val="21"/>
                <w:highlight w:val="none"/>
                <w:lang w:val="en-US" w:eastAsia="zh-CN"/>
              </w:rPr>
              <w:t>磋商</w:t>
            </w:r>
            <w:r>
              <w:rPr>
                <w:rFonts w:hint="eastAsia" w:ascii="宋体" w:hAnsi="宋体" w:cs="宋体"/>
                <w:sz w:val="21"/>
                <w:szCs w:val="21"/>
                <w:highlight w:val="none"/>
              </w:rPr>
              <w:t>基准价时得满分。其他报价得分=（</w:t>
            </w:r>
            <w:r>
              <w:rPr>
                <w:rFonts w:hint="eastAsia" w:ascii="宋体" w:hAnsi="宋体" w:cs="宋体"/>
                <w:sz w:val="21"/>
                <w:szCs w:val="21"/>
                <w:highlight w:val="none"/>
                <w:lang w:val="en-US" w:eastAsia="zh-CN"/>
              </w:rPr>
              <w:t>磋商</w:t>
            </w:r>
            <w:r>
              <w:rPr>
                <w:rFonts w:hint="eastAsia" w:ascii="宋体" w:hAnsi="宋体" w:cs="宋体"/>
                <w:sz w:val="21"/>
                <w:szCs w:val="21"/>
                <w:highlight w:val="none"/>
              </w:rPr>
              <w:t>基准价/</w:t>
            </w:r>
            <w:r>
              <w:rPr>
                <w:rFonts w:hint="eastAsia" w:ascii="宋体" w:hAnsi="宋体" w:cs="宋体"/>
                <w:sz w:val="21"/>
                <w:szCs w:val="21"/>
                <w:highlight w:val="none"/>
                <w:lang w:val="en-US" w:eastAsia="zh-CN"/>
              </w:rPr>
              <w:t>最后报价</w:t>
            </w:r>
            <w:r>
              <w:rPr>
                <w:rFonts w:hint="eastAsia" w:ascii="宋体" w:hAnsi="宋体" w:cs="宋体"/>
                <w:sz w:val="21"/>
                <w:szCs w:val="21"/>
                <w:highlight w:val="none"/>
              </w:rPr>
              <w:t>）×</w:t>
            </w:r>
            <w:r>
              <w:rPr>
                <w:rFonts w:hint="eastAsia" w:ascii="宋体" w:hAnsi="宋体" w:cs="宋体"/>
                <w:sz w:val="21"/>
                <w:szCs w:val="21"/>
                <w:highlight w:val="none"/>
                <w:lang w:val="en-US" w:eastAsia="zh-CN"/>
              </w:rPr>
              <w:t>30</w:t>
            </w:r>
          </w:p>
        </w:tc>
        <w:tc>
          <w:tcPr>
            <w:tcW w:w="1234" w:type="dxa"/>
            <w:noWrap w:val="0"/>
            <w:vAlign w:val="center"/>
          </w:tcPr>
          <w:p>
            <w:pPr>
              <w:widowControl/>
              <w:adjustRightInd w:val="0"/>
              <w:snapToGrid w:val="0"/>
              <w:jc w:val="center"/>
              <w:rPr>
                <w:rFonts w:hint="eastAsia" w:ascii="宋体" w:hAnsi="宋体" w:cs="宋体"/>
                <w:bCs/>
                <w:color w:val="auto"/>
                <w:szCs w:val="21"/>
                <w:highlight w:val="none"/>
                <w:lang w:val="zh-CN"/>
              </w:rPr>
            </w:pPr>
            <w:r>
              <w:rPr>
                <w:rFonts w:hint="eastAsia" w:ascii="宋体" w:hAnsi="宋体" w:cs="宋体"/>
                <w:highlight w:val="none"/>
              </w:rPr>
              <w:t>0-</w:t>
            </w:r>
            <w:r>
              <w:rPr>
                <w:rFonts w:hint="eastAsia" w:ascii="宋体" w:hAnsi="宋体" w:cs="宋体"/>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78"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2.2.4</w:t>
            </w:r>
          </w:p>
          <w:p>
            <w:pPr>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094" w:type="dxa"/>
            <w:vMerge w:val="restart"/>
            <w:noWrap w:val="0"/>
            <w:vAlign w:val="center"/>
          </w:tcPr>
          <w:p>
            <w:pPr>
              <w:adjustRightInd w:val="0"/>
              <w:snapToGrid w:val="0"/>
              <w:spacing w:line="0" w:lineRule="atLeast"/>
              <w:jc w:val="center"/>
              <w:rPr>
                <w:rStyle w:val="29"/>
                <w:rFonts w:hint="eastAsia" w:ascii="宋体" w:hAnsi="宋体" w:eastAsia="宋体" w:cs="宋体"/>
                <w:sz w:val="21"/>
                <w:szCs w:val="21"/>
                <w:highlight w:val="none"/>
                <w:lang w:val="en-US" w:eastAsia="zh-CN"/>
              </w:rPr>
            </w:pPr>
            <w:r>
              <w:rPr>
                <w:rStyle w:val="29"/>
                <w:rFonts w:hint="eastAsia" w:ascii="宋体" w:hAnsi="宋体" w:eastAsia="宋体" w:cs="宋体"/>
                <w:sz w:val="21"/>
                <w:szCs w:val="21"/>
                <w:highlight w:val="none"/>
                <w:lang w:val="en-US" w:eastAsia="zh-CN"/>
              </w:rPr>
              <w:t>其他</w:t>
            </w:r>
          </w:p>
          <w:p>
            <w:pPr>
              <w:adjustRightInd w:val="0"/>
              <w:snapToGrid w:val="0"/>
              <w:spacing w:line="0" w:lineRule="atLeast"/>
              <w:jc w:val="center"/>
              <w:rPr>
                <w:rStyle w:val="29"/>
                <w:rFonts w:hint="eastAsia" w:ascii="宋体" w:hAnsi="宋体" w:eastAsia="宋体" w:cs="宋体"/>
                <w:sz w:val="21"/>
                <w:szCs w:val="21"/>
                <w:highlight w:val="none"/>
                <w:lang w:val="en-US" w:eastAsia="zh-CN"/>
              </w:rPr>
            </w:pPr>
            <w:r>
              <w:rPr>
                <w:rStyle w:val="29"/>
                <w:rFonts w:hint="eastAsia" w:ascii="宋体" w:hAnsi="宋体" w:eastAsia="宋体" w:cs="宋体"/>
                <w:sz w:val="21"/>
                <w:szCs w:val="21"/>
                <w:highlight w:val="none"/>
                <w:lang w:val="en-US" w:eastAsia="zh-CN"/>
              </w:rPr>
              <w:t>部分</w:t>
            </w:r>
          </w:p>
          <w:p>
            <w:pPr>
              <w:adjustRightInd w:val="0"/>
              <w:snapToGrid w:val="0"/>
              <w:spacing w:line="0" w:lineRule="atLeast"/>
              <w:jc w:val="center"/>
              <w:rPr>
                <w:rFonts w:hint="eastAsia" w:ascii="宋体" w:hAnsi="宋体" w:cs="宋体"/>
                <w:color w:val="auto"/>
                <w:szCs w:val="21"/>
                <w:highlight w:val="none"/>
              </w:rPr>
            </w:pPr>
            <w:r>
              <w:rPr>
                <w:rStyle w:val="29"/>
                <w:rFonts w:hint="eastAsia" w:ascii="宋体" w:hAnsi="宋体" w:eastAsia="宋体" w:cs="宋体"/>
                <w:sz w:val="21"/>
                <w:szCs w:val="21"/>
                <w:highlight w:val="none"/>
                <w:lang w:val="en-US" w:eastAsia="zh-CN"/>
              </w:rPr>
              <w:t>（</w:t>
            </w:r>
            <w:r>
              <w:rPr>
                <w:rStyle w:val="29"/>
                <w:rFonts w:hint="eastAsia" w:ascii="宋体" w:hAnsi="宋体" w:cs="宋体"/>
                <w:sz w:val="21"/>
                <w:szCs w:val="21"/>
                <w:highlight w:val="none"/>
                <w:lang w:val="en-US" w:eastAsia="zh-CN"/>
              </w:rPr>
              <w:t>5</w:t>
            </w:r>
            <w:r>
              <w:rPr>
                <w:rStyle w:val="29"/>
                <w:rFonts w:hint="eastAsia" w:ascii="宋体" w:hAnsi="宋体" w:eastAsia="宋体" w:cs="宋体"/>
                <w:sz w:val="21"/>
                <w:szCs w:val="21"/>
                <w:highlight w:val="none"/>
                <w:lang w:val="en-US" w:eastAsia="zh-CN"/>
              </w:rPr>
              <w:t>分）</w:t>
            </w:r>
          </w:p>
        </w:tc>
        <w:tc>
          <w:tcPr>
            <w:tcW w:w="2144" w:type="dxa"/>
            <w:noWrap w:val="0"/>
            <w:vAlign w:val="center"/>
          </w:tcPr>
          <w:p>
            <w:pPr>
              <w:adjustRightInd w:val="0"/>
              <w:snapToGrid w:val="0"/>
              <w:spacing w:line="0" w:lineRule="atLeast"/>
              <w:jc w:val="center"/>
              <w:rPr>
                <w:rStyle w:val="29"/>
                <w:rFonts w:hint="eastAsia" w:ascii="宋体" w:hAnsi="宋体" w:eastAsia="宋体" w:cs="宋体"/>
                <w:sz w:val="21"/>
                <w:szCs w:val="21"/>
                <w:highlight w:val="none"/>
                <w:lang w:val="en-US" w:eastAsia="zh-CN"/>
              </w:rPr>
            </w:pPr>
            <w:r>
              <w:rPr>
                <w:rStyle w:val="29"/>
                <w:rFonts w:hint="eastAsia" w:ascii="宋体" w:hAnsi="宋体" w:eastAsia="宋体" w:cs="宋体"/>
                <w:sz w:val="21"/>
                <w:szCs w:val="21"/>
                <w:highlight w:val="none"/>
                <w:lang w:val="en-US" w:eastAsia="zh-CN"/>
              </w:rPr>
              <w:t>优惠条件</w:t>
            </w:r>
          </w:p>
          <w:p>
            <w:pPr>
              <w:adjustRightInd w:val="0"/>
              <w:snapToGrid w:val="0"/>
              <w:spacing w:line="0" w:lineRule="atLeast"/>
              <w:jc w:val="center"/>
              <w:rPr>
                <w:rFonts w:hint="eastAsia" w:ascii="宋体" w:hAnsi="宋体" w:cs="宋体"/>
                <w:color w:val="auto"/>
                <w:szCs w:val="21"/>
                <w:highlight w:val="none"/>
              </w:rPr>
            </w:pPr>
            <w:r>
              <w:rPr>
                <w:rStyle w:val="29"/>
                <w:rFonts w:hint="eastAsia" w:ascii="宋体" w:hAnsi="宋体" w:eastAsia="宋体" w:cs="宋体"/>
                <w:sz w:val="21"/>
                <w:szCs w:val="21"/>
                <w:highlight w:val="none"/>
                <w:lang w:val="en-US" w:eastAsia="zh-CN"/>
              </w:rPr>
              <w:t>（</w:t>
            </w:r>
            <w:r>
              <w:rPr>
                <w:rStyle w:val="29"/>
                <w:rFonts w:hint="eastAsia" w:ascii="宋体" w:hAnsi="宋体" w:cs="宋体"/>
                <w:sz w:val="21"/>
                <w:szCs w:val="21"/>
                <w:highlight w:val="none"/>
                <w:lang w:val="en-US" w:eastAsia="zh-CN"/>
              </w:rPr>
              <w:t>3</w:t>
            </w:r>
            <w:r>
              <w:rPr>
                <w:rStyle w:val="29"/>
                <w:rFonts w:hint="eastAsia" w:ascii="宋体" w:hAnsi="宋体" w:eastAsia="宋体" w:cs="宋体"/>
                <w:sz w:val="21"/>
                <w:szCs w:val="21"/>
                <w:highlight w:val="none"/>
                <w:lang w:val="en-US" w:eastAsia="zh-CN"/>
              </w:rPr>
              <w:t>分）</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color w:val="auto"/>
                <w:highlight w:val="none"/>
                <w:lang w:val="en-US" w:eastAsia="zh-CN"/>
              </w:rPr>
            </w:pPr>
            <w:r>
              <w:rPr>
                <w:rFonts w:hint="eastAsia" w:ascii="宋体" w:hAnsi="宋体" w:eastAsia="宋体" w:cs="宋体"/>
                <w:sz w:val="21"/>
                <w:szCs w:val="21"/>
                <w:highlight w:val="none"/>
                <w:lang w:val="en-US" w:eastAsia="zh-CN"/>
              </w:rPr>
              <w:t>综合比较各供应商针对采购人</w:t>
            </w:r>
            <w:r>
              <w:rPr>
                <w:rFonts w:hint="eastAsia" w:ascii="宋体" w:hAnsi="宋体" w:eastAsia="宋体" w:cs="宋体"/>
                <w:sz w:val="21"/>
                <w:szCs w:val="21"/>
                <w:highlight w:val="none"/>
              </w:rPr>
              <w:t>提出</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lang w:val="en-US" w:eastAsia="zh-CN"/>
              </w:rPr>
              <w:t>实质性</w:t>
            </w:r>
            <w:r>
              <w:rPr>
                <w:rFonts w:hint="eastAsia" w:ascii="宋体" w:hAnsi="宋体" w:eastAsia="宋体" w:cs="宋体"/>
                <w:sz w:val="21"/>
                <w:szCs w:val="21"/>
                <w:highlight w:val="none"/>
              </w:rPr>
              <w:t>优惠条件，优得</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分，良得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分，一般得1分，无不得分</w:t>
            </w:r>
            <w:r>
              <w:rPr>
                <w:rFonts w:hint="eastAsia" w:ascii="宋体" w:hAnsi="宋体" w:eastAsia="宋体" w:cs="宋体"/>
                <w:sz w:val="21"/>
                <w:szCs w:val="21"/>
                <w:highlight w:val="none"/>
                <w:lang w:eastAsia="zh-CN"/>
              </w:rPr>
              <w:t>。</w:t>
            </w:r>
          </w:p>
        </w:tc>
        <w:tc>
          <w:tcPr>
            <w:tcW w:w="1234" w:type="dxa"/>
            <w:noWrap w:val="0"/>
            <w:vAlign w:val="center"/>
          </w:tcPr>
          <w:p>
            <w:pPr>
              <w:widowControl/>
              <w:adjustRightInd w:val="0"/>
              <w:snapToGrid w:val="0"/>
              <w:spacing w:line="240" w:lineRule="auto"/>
              <w:jc w:val="center"/>
              <w:rPr>
                <w:rFonts w:hint="default" w:ascii="宋体" w:hAnsi="宋体" w:cs="宋体"/>
                <w:bCs/>
                <w:color w:val="auto"/>
                <w:szCs w:val="21"/>
                <w:highlight w:val="none"/>
                <w:lang w:val="en-US"/>
              </w:rPr>
            </w:pPr>
            <w:r>
              <w:rPr>
                <w:rFonts w:hint="eastAsia" w:ascii="宋体" w:hAnsi="宋体" w:cs="宋体"/>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78" w:type="dxa"/>
            <w:vMerge w:val="continue"/>
            <w:noWrap w:val="0"/>
            <w:vAlign w:val="center"/>
          </w:tcPr>
          <w:p>
            <w:pPr>
              <w:jc w:val="center"/>
              <w:rPr>
                <w:rFonts w:hint="eastAsia" w:ascii="宋体" w:hAnsi="宋体" w:cs="宋体"/>
                <w:color w:val="auto"/>
                <w:szCs w:val="21"/>
                <w:highlight w:val="none"/>
              </w:rPr>
            </w:pPr>
          </w:p>
        </w:tc>
        <w:tc>
          <w:tcPr>
            <w:tcW w:w="1094" w:type="dxa"/>
            <w:vMerge w:val="continue"/>
            <w:noWrap w:val="0"/>
            <w:vAlign w:val="center"/>
          </w:tcPr>
          <w:p>
            <w:pPr>
              <w:adjustRightInd w:val="0"/>
              <w:snapToGrid w:val="0"/>
              <w:spacing w:line="0" w:lineRule="atLeast"/>
              <w:jc w:val="center"/>
              <w:rPr>
                <w:rFonts w:hint="eastAsia" w:ascii="宋体" w:hAnsi="宋体" w:cs="宋体"/>
                <w:color w:val="auto"/>
                <w:szCs w:val="21"/>
                <w:highlight w:val="none"/>
              </w:rPr>
            </w:pPr>
          </w:p>
        </w:tc>
        <w:tc>
          <w:tcPr>
            <w:tcW w:w="2144" w:type="dxa"/>
            <w:noWrap w:val="0"/>
            <w:vAlign w:val="center"/>
          </w:tcPr>
          <w:p>
            <w:pPr>
              <w:adjustRightInd w:val="0"/>
              <w:snapToGrid w:val="0"/>
              <w:spacing w:line="0" w:lineRule="atLeast"/>
              <w:jc w:val="center"/>
              <w:rPr>
                <w:rStyle w:val="29"/>
                <w:rFonts w:hint="eastAsia" w:ascii="宋体" w:hAnsi="宋体" w:eastAsia="宋体" w:cs="宋体"/>
                <w:sz w:val="21"/>
                <w:szCs w:val="21"/>
                <w:highlight w:val="none"/>
                <w:lang w:val="en-US" w:eastAsia="zh-CN"/>
              </w:rPr>
            </w:pPr>
            <w:r>
              <w:rPr>
                <w:rStyle w:val="29"/>
                <w:rFonts w:hint="eastAsia" w:ascii="宋体" w:hAnsi="宋体" w:eastAsia="宋体" w:cs="宋体"/>
                <w:sz w:val="21"/>
                <w:szCs w:val="21"/>
                <w:highlight w:val="none"/>
                <w:lang w:val="en-US" w:eastAsia="zh-CN"/>
              </w:rPr>
              <w:t>服务承诺</w:t>
            </w:r>
          </w:p>
          <w:p>
            <w:pPr>
              <w:adjustRightInd w:val="0"/>
              <w:snapToGrid w:val="0"/>
              <w:spacing w:line="0" w:lineRule="atLeast"/>
              <w:jc w:val="center"/>
              <w:rPr>
                <w:rFonts w:ascii="宋体" w:hAnsi="宋体" w:cs="宋体"/>
                <w:bCs/>
                <w:color w:val="auto"/>
                <w:szCs w:val="21"/>
                <w:highlight w:val="none"/>
              </w:rPr>
            </w:pPr>
            <w:r>
              <w:rPr>
                <w:rStyle w:val="29"/>
                <w:rFonts w:hint="eastAsia" w:ascii="宋体" w:hAnsi="宋体" w:eastAsia="宋体" w:cs="宋体"/>
                <w:sz w:val="21"/>
                <w:szCs w:val="21"/>
                <w:highlight w:val="none"/>
                <w:lang w:val="en-US" w:eastAsia="zh-CN"/>
              </w:rPr>
              <w:t>（2分）</w:t>
            </w:r>
          </w:p>
        </w:tc>
        <w:tc>
          <w:tcPr>
            <w:tcW w:w="4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cs="宋体"/>
                <w:bCs/>
                <w:color w:val="auto"/>
                <w:szCs w:val="21"/>
                <w:highlight w:val="none"/>
                <w:lang w:val="zh-CN"/>
              </w:rPr>
            </w:pPr>
            <w:r>
              <w:rPr>
                <w:rFonts w:hint="eastAsia" w:ascii="宋体" w:hAnsi="宋体" w:eastAsia="宋体" w:cs="宋体"/>
                <w:sz w:val="21"/>
                <w:szCs w:val="21"/>
                <w:highlight w:val="none"/>
                <w:lang w:val="en-US" w:eastAsia="zh-CN"/>
              </w:rPr>
              <w:t>综合比较各供应商针对采购人</w:t>
            </w:r>
            <w:r>
              <w:rPr>
                <w:rFonts w:hint="eastAsia" w:ascii="宋体" w:hAnsi="宋体" w:eastAsia="宋体" w:cs="宋体"/>
                <w:sz w:val="21"/>
                <w:szCs w:val="21"/>
                <w:highlight w:val="none"/>
              </w:rPr>
              <w:t>提出</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lang w:val="en-US" w:eastAsia="zh-CN"/>
              </w:rPr>
              <w:t>实质性服务承诺</w:t>
            </w:r>
            <w:r>
              <w:rPr>
                <w:rFonts w:hint="eastAsia" w:ascii="宋体" w:hAnsi="宋体" w:eastAsia="宋体" w:cs="宋体"/>
                <w:sz w:val="21"/>
                <w:szCs w:val="21"/>
                <w:highlight w:val="none"/>
              </w:rPr>
              <w:t>，优得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分，良得</w:t>
            </w:r>
            <w:r>
              <w:rPr>
                <w:rFonts w:hint="eastAsia" w:ascii="宋体" w:hAnsi="宋体" w:cs="宋体"/>
                <w:sz w:val="21"/>
                <w:szCs w:val="21"/>
                <w:highlight w:val="none"/>
                <w:lang w:val="en-US" w:eastAsia="zh-CN"/>
              </w:rPr>
              <w:t>1.5</w:t>
            </w:r>
            <w:r>
              <w:rPr>
                <w:rFonts w:hint="eastAsia" w:ascii="宋体" w:hAnsi="宋体" w:eastAsia="宋体" w:cs="宋体"/>
                <w:sz w:val="21"/>
                <w:szCs w:val="21"/>
                <w:highlight w:val="none"/>
              </w:rPr>
              <w:t>分，一般得1分，无不得分</w:t>
            </w:r>
            <w:r>
              <w:rPr>
                <w:rFonts w:hint="eastAsia" w:ascii="宋体" w:hAnsi="宋体" w:eastAsia="宋体" w:cs="宋体"/>
                <w:sz w:val="21"/>
                <w:szCs w:val="21"/>
                <w:highlight w:val="none"/>
                <w:lang w:eastAsia="zh-CN"/>
              </w:rPr>
              <w:t>。</w:t>
            </w:r>
          </w:p>
        </w:tc>
        <w:tc>
          <w:tcPr>
            <w:tcW w:w="1234" w:type="dxa"/>
            <w:noWrap w:val="0"/>
            <w:vAlign w:val="center"/>
          </w:tcPr>
          <w:p>
            <w:pPr>
              <w:widowControl/>
              <w:adjustRightInd w:val="0"/>
              <w:snapToGrid w:val="0"/>
              <w:spacing w:line="240" w:lineRule="auto"/>
              <w:jc w:val="center"/>
              <w:rPr>
                <w:rFonts w:hint="eastAsia" w:ascii="宋体" w:hAnsi="宋体" w:cs="宋体"/>
                <w:bCs/>
                <w:color w:val="auto"/>
                <w:szCs w:val="21"/>
                <w:highlight w:val="none"/>
                <w:lang w:val="zh-CN"/>
              </w:rPr>
            </w:pPr>
            <w:r>
              <w:rPr>
                <w:rFonts w:hint="eastAsia" w:ascii="宋体" w:hAnsi="宋体" w:cs="宋体"/>
                <w:kern w:val="2"/>
                <w:sz w:val="21"/>
                <w:highlight w:val="none"/>
                <w:lang w:val="en-US" w:eastAsia="zh-CN" w:bidi="ar-SA"/>
              </w:rPr>
              <w:t>0-2</w:t>
            </w:r>
          </w:p>
        </w:tc>
      </w:tr>
    </w:tbl>
    <w:p>
      <w:pPr>
        <w:rPr>
          <w:rFonts w:hint="eastAsia"/>
          <w:highlight w:val="none"/>
          <w:lang w:val="en-US" w:eastAsia="zh-CN"/>
        </w:rPr>
      </w:pPr>
      <w:r>
        <w:rPr>
          <w:rFonts w:hint="eastAsia"/>
          <w:highlight w:val="none"/>
          <w:lang w:val="en-US" w:eastAsia="zh-CN"/>
        </w:rPr>
        <w:br w:type="page"/>
      </w:r>
    </w:p>
    <w:p>
      <w:pPr>
        <w:widowControl/>
        <w:jc w:val="center"/>
        <w:rPr>
          <w:rFonts w:ascii="宋体" w:hAnsi="宋体" w:cs="宋体"/>
          <w:b/>
          <w:bCs/>
          <w:color w:val="auto"/>
          <w:sz w:val="36"/>
          <w:szCs w:val="36"/>
          <w:highlight w:val="none"/>
        </w:rPr>
      </w:pPr>
      <w:bookmarkStart w:id="51" w:name="_Toc504654782"/>
      <w:r>
        <w:rPr>
          <w:rFonts w:hint="eastAsia" w:ascii="宋体" w:hAnsi="宋体" w:cs="宋体"/>
          <w:b/>
          <w:color w:val="auto"/>
          <w:sz w:val="36"/>
          <w:szCs w:val="36"/>
          <w:highlight w:val="none"/>
        </w:rPr>
        <w:t>评标方法  正文部分</w:t>
      </w:r>
      <w:bookmarkEnd w:id="51"/>
    </w:p>
    <w:p>
      <w:pPr>
        <w:bidi w:val="0"/>
        <w:ind w:firstLine="420" w:firstLineChars="200"/>
        <w:rPr>
          <w:rFonts w:hint="eastAsia"/>
          <w:highlight w:val="none"/>
          <w:lang w:val="zh-CN"/>
        </w:rPr>
      </w:pPr>
      <w:bookmarkStart w:id="52" w:name="_Toc144974567"/>
      <w:bookmarkStart w:id="53" w:name="_Toc152042377"/>
      <w:bookmarkStart w:id="54" w:name="_Toc152045600"/>
      <w:bookmarkStart w:id="55" w:name="_Toc504654783"/>
      <w:bookmarkStart w:id="56" w:name="_Toc179632618"/>
      <w:r>
        <w:rPr>
          <w:rFonts w:hint="eastAsia"/>
          <w:highlight w:val="none"/>
          <w:lang w:val="zh-CN"/>
        </w:rPr>
        <w:t>1. 评审方法</w:t>
      </w:r>
      <w:bookmarkEnd w:id="52"/>
      <w:bookmarkEnd w:id="53"/>
      <w:bookmarkEnd w:id="54"/>
      <w:bookmarkEnd w:id="55"/>
      <w:bookmarkEnd w:id="56"/>
    </w:p>
    <w:p>
      <w:pPr>
        <w:tabs>
          <w:tab w:val="left" w:pos="770"/>
        </w:tabs>
        <w:spacing w:line="460" w:lineRule="exact"/>
        <w:ind w:firstLine="420" w:firstLineChars="200"/>
        <w:contextualSpacing/>
        <w:rPr>
          <w:rFonts w:hint="eastAsia" w:ascii="宋体"/>
          <w:color w:val="auto"/>
          <w:szCs w:val="21"/>
          <w:highlight w:val="none"/>
          <w:lang w:val="zh-CN"/>
        </w:rPr>
      </w:pPr>
      <w:bookmarkStart w:id="57" w:name="_Toc504654784"/>
      <w:bookmarkStart w:id="58" w:name="_Toc179632619"/>
      <w:bookmarkStart w:id="59" w:name="_Toc152045601"/>
      <w:bookmarkStart w:id="60" w:name="_Toc144974568"/>
      <w:bookmarkStart w:id="61" w:name="_Toc152042378"/>
      <w:r>
        <w:rPr>
          <w:rFonts w:hint="eastAsia" w:ascii="宋体"/>
          <w:color w:val="auto"/>
          <w:szCs w:val="21"/>
          <w:highlight w:val="none"/>
          <w:lang w:val="zh-CN"/>
        </w:rPr>
        <w:t>本次评审采用综合评估法。评审委员会对满足磋商文件实质性要求的磋商响应文件，按照本章2.2 款规定的评分标准进行打分，并按得分由高到低顺序推荐中标候选人，或根据采购人授权直接确定中标人，但磋商报价低于其成本的除外。综合评分相等时，以磋商报价低的优先；磋商报价也相等的，以技术得分高的优先；如果技术得分也相等，按照评标方法前附表的规定确定中标候选人顺序。</w:t>
      </w:r>
    </w:p>
    <w:p>
      <w:pPr>
        <w:bidi w:val="0"/>
        <w:ind w:firstLine="420" w:firstLineChars="200"/>
        <w:rPr>
          <w:rFonts w:hint="eastAsia" w:eastAsia="宋体"/>
          <w:highlight w:val="none"/>
          <w:lang w:val="zh-CN"/>
        </w:rPr>
      </w:pPr>
      <w:r>
        <w:rPr>
          <w:rFonts w:hint="eastAsia" w:eastAsia="宋体"/>
          <w:highlight w:val="none"/>
          <w:lang w:val="zh-CN"/>
        </w:rPr>
        <w:t>2. 评审标准</w:t>
      </w:r>
      <w:bookmarkEnd w:id="57"/>
      <w:bookmarkEnd w:id="58"/>
      <w:bookmarkEnd w:id="59"/>
      <w:bookmarkEnd w:id="60"/>
      <w:bookmarkEnd w:id="61"/>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2.1 初步评审标准</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 xml:space="preserve">2.1.1 </w:t>
      </w:r>
      <w:r>
        <w:rPr>
          <w:rFonts w:hint="eastAsia" w:ascii="宋体"/>
          <w:color w:val="auto"/>
          <w:szCs w:val="21"/>
          <w:highlight w:val="none"/>
        </w:rPr>
        <w:t>资格审查</w:t>
      </w:r>
      <w:r>
        <w:rPr>
          <w:rFonts w:hint="eastAsia" w:ascii="宋体"/>
          <w:color w:val="auto"/>
          <w:szCs w:val="21"/>
          <w:highlight w:val="none"/>
          <w:lang w:val="zh-CN"/>
        </w:rPr>
        <w:t>评审标准：见评标方法前附表。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 xml:space="preserve">2.1.2 </w:t>
      </w:r>
      <w:r>
        <w:rPr>
          <w:rFonts w:hint="eastAsia" w:ascii="宋体"/>
          <w:color w:val="auto"/>
          <w:szCs w:val="21"/>
          <w:highlight w:val="none"/>
          <w:lang w:val="en-US" w:eastAsia="zh-CN"/>
        </w:rPr>
        <w:t>符合</w:t>
      </w:r>
      <w:r>
        <w:rPr>
          <w:rFonts w:hint="eastAsia" w:ascii="宋体"/>
          <w:color w:val="auto"/>
          <w:szCs w:val="21"/>
          <w:highlight w:val="none"/>
        </w:rPr>
        <w:t>性审查</w:t>
      </w:r>
      <w:r>
        <w:rPr>
          <w:rFonts w:hint="eastAsia" w:ascii="宋体"/>
          <w:color w:val="auto"/>
          <w:szCs w:val="21"/>
          <w:highlight w:val="none"/>
          <w:lang w:val="zh-CN"/>
        </w:rPr>
        <w:t>评审标准：见评标方法前附表。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bookmarkStart w:id="62" w:name="_Toc179632621"/>
      <w:bookmarkStart w:id="63" w:name="_Toc504654786"/>
      <w:bookmarkStart w:id="64" w:name="_Toc504479301"/>
      <w:bookmarkStart w:id="65" w:name="_Toc504479753"/>
      <w:bookmarkStart w:id="66" w:name="_Toc144974570"/>
      <w:bookmarkStart w:id="67" w:name="_Toc152042380"/>
      <w:bookmarkStart w:id="68" w:name="_Toc152045603"/>
      <w:r>
        <w:rPr>
          <w:rFonts w:hint="eastAsia" w:ascii="宋体"/>
          <w:color w:val="auto"/>
          <w:szCs w:val="21"/>
          <w:highlight w:val="none"/>
          <w:lang w:val="zh-CN"/>
        </w:rPr>
        <w:t>2.2 分值构成与评分标准</w:t>
      </w:r>
      <w:bookmarkEnd w:id="62"/>
      <w:bookmarkEnd w:id="63"/>
      <w:bookmarkEnd w:id="64"/>
      <w:bookmarkEnd w:id="65"/>
      <w:bookmarkEnd w:id="66"/>
      <w:bookmarkEnd w:id="67"/>
      <w:bookmarkEnd w:id="68"/>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2.2.1 分值构成</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(l）施工组织设计：见评标方法前附表；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(2）项目管理机构：见评标方法前附表；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(3）磋商报价：见评标方法前附表；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(4）其他评分因素：见评标方法前附表。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2.2.2 评审基准价计算</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评审基准价计算方法：见评标方法前附表。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2.2.3 磋商报价的偏差率计算</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磋商报价的偏差率计算公式：见评标方法前附表。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2.2.4 评分标准</w:t>
      </w:r>
    </w:p>
    <w:p>
      <w:pPr>
        <w:tabs>
          <w:tab w:val="left" w:pos="770"/>
        </w:tabs>
        <w:spacing w:line="460" w:lineRule="exact"/>
        <w:ind w:firstLine="420" w:firstLineChars="200"/>
        <w:contextualSpacing/>
        <w:rPr>
          <w:rFonts w:hint="eastAsia" w:ascii="宋体"/>
          <w:color w:val="auto"/>
          <w:szCs w:val="21"/>
          <w:highlight w:val="none"/>
          <w:lang w:val="zh-CN"/>
        </w:rPr>
      </w:pPr>
      <w:bookmarkStart w:id="69" w:name="_Toc152042381"/>
      <w:bookmarkStart w:id="70" w:name="_Toc179632622"/>
      <w:bookmarkStart w:id="71" w:name="_Toc144974571"/>
      <w:bookmarkStart w:id="72" w:name="_Toc152045604"/>
      <w:r>
        <w:rPr>
          <w:rFonts w:hint="eastAsia" w:ascii="宋体"/>
          <w:color w:val="auto"/>
          <w:szCs w:val="21"/>
          <w:highlight w:val="none"/>
          <w:lang w:val="zh-CN"/>
        </w:rPr>
        <w:t>(1）施工组织设计评分标准：见评标方法前附表；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(2）项目管理机构评分标准：见评标方法前附表；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(3）磋商报价评分标准：见评标方法前附表；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(4）其他因素评分标准：见评标方法前附表。</w:t>
      </w:r>
    </w:p>
    <w:p>
      <w:pPr>
        <w:bidi w:val="0"/>
        <w:ind w:firstLine="420" w:firstLineChars="200"/>
        <w:rPr>
          <w:rFonts w:hint="eastAsia" w:eastAsia="宋体"/>
          <w:highlight w:val="none"/>
          <w:lang w:val="zh-CN"/>
        </w:rPr>
      </w:pPr>
      <w:bookmarkStart w:id="73" w:name="_Toc504654787"/>
      <w:r>
        <w:rPr>
          <w:rFonts w:hint="eastAsia" w:eastAsia="宋体"/>
          <w:highlight w:val="none"/>
          <w:lang w:val="zh-CN"/>
        </w:rPr>
        <w:t>3. 评审程序</w:t>
      </w:r>
      <w:bookmarkEnd w:id="69"/>
      <w:bookmarkEnd w:id="70"/>
      <w:bookmarkEnd w:id="71"/>
      <w:bookmarkEnd w:id="72"/>
      <w:bookmarkEnd w:id="73"/>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rPr>
        <w:t>1.</w:t>
      </w:r>
      <w:r>
        <w:rPr>
          <w:rFonts w:hint="eastAsia" w:ascii="宋体"/>
          <w:color w:val="auto"/>
          <w:szCs w:val="21"/>
          <w:highlight w:val="none"/>
          <w:lang w:val="zh-CN"/>
        </w:rPr>
        <w:t>组建磋商小组</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磋商小组根据采购内容的特点进行组建，并负责评审磋商工作。磋商小组的构成及抽取方式详见供应商须知前附表。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rPr>
        <w:t>2.</w:t>
      </w:r>
      <w:r>
        <w:rPr>
          <w:rFonts w:hint="eastAsia" w:ascii="宋体"/>
          <w:color w:val="auto"/>
          <w:szCs w:val="21"/>
          <w:highlight w:val="none"/>
          <w:lang w:val="zh-CN"/>
        </w:rPr>
        <w:t>磋商响应文件的初审与澄清</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磋商响应文件的初审分为资格</w:t>
      </w:r>
      <w:r>
        <w:rPr>
          <w:rFonts w:hint="eastAsia" w:ascii="宋体"/>
          <w:color w:val="auto"/>
          <w:szCs w:val="21"/>
          <w:highlight w:val="none"/>
        </w:rPr>
        <w:t>审查</w:t>
      </w:r>
      <w:r>
        <w:rPr>
          <w:rFonts w:hint="eastAsia" w:ascii="宋体"/>
          <w:color w:val="auto"/>
          <w:szCs w:val="21"/>
          <w:highlight w:val="none"/>
          <w:lang w:val="zh-CN"/>
        </w:rPr>
        <w:t>和响应性</w:t>
      </w:r>
      <w:r>
        <w:rPr>
          <w:rFonts w:hint="eastAsia" w:ascii="宋体"/>
          <w:color w:val="auto"/>
          <w:szCs w:val="21"/>
          <w:highlight w:val="none"/>
        </w:rPr>
        <w:t>审查</w:t>
      </w:r>
      <w:r>
        <w:rPr>
          <w:rFonts w:hint="eastAsia" w:ascii="宋体"/>
          <w:color w:val="auto"/>
          <w:szCs w:val="21"/>
          <w:highlight w:val="none"/>
          <w:lang w:val="zh-CN"/>
        </w:rPr>
        <w:t>。资格、响应性评审依据法律、法规和磋商文件的规定，对磋商响应文件中的资格证明、磋商保证金等进行审查，以确定供应商是否具备报价资格。评审标准详见《磋商评审细则》。</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3.磋商响应文件的澄清</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3.1在评审期间，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3.2澄清文件将作为磋商响应文件内容的一部分。</w:t>
      </w:r>
    </w:p>
    <w:p>
      <w:pPr>
        <w:bidi w:val="0"/>
        <w:ind w:firstLine="420" w:firstLineChars="200"/>
        <w:rPr>
          <w:rFonts w:hint="eastAsia" w:eastAsia="宋体"/>
          <w:highlight w:val="none"/>
          <w:lang w:val="zh-CN"/>
        </w:rPr>
      </w:pPr>
      <w:r>
        <w:rPr>
          <w:rFonts w:hint="eastAsia" w:eastAsia="宋体"/>
          <w:highlight w:val="none"/>
          <w:lang w:val="zh-CN"/>
        </w:rPr>
        <w:t>4.比较与评价</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4.1经审查合格的磋商响应文件。</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4.1.1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变动磋商文件中的其他内容。实质性变动的内容，须经采购人代表确认。</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4.1.2对磋商文件作出的实质性变动是磋商文件的有效组成部分，磋商小组将及时以书面形式同时通知所有参加磋商的供应商。</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4.1.3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4.1.4磋商结束后，磋商小组将要求所有实质性响应的供应商在规定时间内提交最后报价，提交最后报价的供应商不得少于3家。最后报价是供应商响应文件的有效组成部分。</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4.1.5已提交响应文件的供应商，在提交最后报价之前，可以根据磋商情况退出磋商。采购人、采购代理机构将退还退出磋商的供应商的磋商保证金。</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4.1.6经磋商确定最终采购需求和提交最后报价的供应商后，由磋商小组采用综合评分法对提交最后报价的供应商的响应文件和最后报价进行综合评分。</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4.2评审严格按照磋商文件的要求和条件进行。评审时将考虑以下因素：</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供应商能力；</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报价的合理性；</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 xml:space="preserve">方案实施能力； </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商务响应；</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技术响应。</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4.3本次评审将采用下列方法：</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详见评分标准。</w:t>
      </w:r>
    </w:p>
    <w:p>
      <w:pPr>
        <w:bidi w:val="0"/>
        <w:ind w:firstLine="420" w:firstLineChars="200"/>
        <w:rPr>
          <w:rFonts w:hint="eastAsia" w:eastAsia="宋体"/>
          <w:highlight w:val="none"/>
          <w:lang w:val="zh-CN"/>
        </w:rPr>
      </w:pPr>
      <w:r>
        <w:rPr>
          <w:rFonts w:hint="eastAsia" w:eastAsia="宋体"/>
          <w:highlight w:val="none"/>
          <w:lang w:val="zh-CN"/>
        </w:rPr>
        <w:t>5.评审过程及保密原则</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5.1磋商响应文件递交后，直接授予成交供应商合同止，凡与本次采购有关人员对属于审查、澄清、评价和比较报价的有关资料以及授标意向等，均不得向供应商或其他无关的人员透露。</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5.2在磋商评审期间，供应商试图影响采购单位和磋商小组的任何活动，将导致其报价被拒绝，并承担相应的法律责任。</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6.本项目采用综合评分法，评审标准详见附表《磋商评审细则》，评审时磋商小组将严格按照评审细则中的分值设置与评审因素进行量化打分。磋商文件中没有规定的评审标准不得作为评审依据。</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评审时，磋商小组各成员独立对每个有效响应的文件进行评价、打分，然后汇总每个供应商每项评分因素的得分。</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7.磋商小组根据综合评分情况，按照评审得分由高到低顺序推荐3名以上成交候选供应商，并编写评审报告。</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8.原则上推荐排名位于第一名的成交候选供应商为中标供应商。若排名第一的成交候选人放弃中标、因不可抗力提出不能履行合同或竞争性磋规定应当提交履约保证金而在规定的期限内未能提交的，采购人有权选择重新招标，或者采购人确定排名第二的成交候选人为中标人，以此类推。</w:t>
      </w:r>
    </w:p>
    <w:p>
      <w:pPr>
        <w:tabs>
          <w:tab w:val="left" w:pos="770"/>
        </w:tabs>
        <w:spacing w:line="460" w:lineRule="exact"/>
        <w:ind w:firstLine="420" w:firstLineChars="200"/>
        <w:contextualSpacing/>
        <w:rPr>
          <w:rFonts w:hint="eastAsia" w:ascii="宋体"/>
          <w:color w:val="auto"/>
          <w:szCs w:val="21"/>
          <w:highlight w:val="none"/>
          <w:lang w:val="zh-CN"/>
        </w:rPr>
      </w:pPr>
      <w:r>
        <w:rPr>
          <w:rFonts w:hint="eastAsia" w:ascii="宋体"/>
          <w:color w:val="auto"/>
          <w:szCs w:val="21"/>
          <w:highlight w:val="none"/>
          <w:lang w:val="zh-CN"/>
        </w:rPr>
        <w:t>9.磋商小组完成评审后，应当向采购人提交书面评审报告。</w:t>
      </w:r>
    </w:p>
    <w:p>
      <w:pPr>
        <w:adjustRightInd w:val="0"/>
        <w:snapToGrid w:val="0"/>
        <w:spacing w:line="360" w:lineRule="auto"/>
        <w:ind w:firstLine="420" w:firstLineChars="200"/>
        <w:rPr>
          <w:rFonts w:hint="eastAsia"/>
          <w:color w:val="auto"/>
          <w:highlight w:val="none"/>
          <w:lang w:val="zh-CN"/>
        </w:rPr>
      </w:pPr>
    </w:p>
    <w:p>
      <w:pPr>
        <w:rPr>
          <w:rFonts w:hint="eastAsia"/>
          <w:color w:val="auto"/>
          <w:highlight w:val="none"/>
        </w:rPr>
      </w:pPr>
      <w:r>
        <w:rPr>
          <w:rFonts w:hint="eastAsia"/>
          <w:color w:val="auto"/>
          <w:highlight w:val="none"/>
        </w:rPr>
        <w:br w:type="page"/>
      </w:r>
    </w:p>
    <w:p>
      <w:pPr>
        <w:autoSpaceDE w:val="0"/>
        <w:autoSpaceDN w:val="0"/>
        <w:adjustRightInd w:val="0"/>
        <w:spacing w:line="360" w:lineRule="auto"/>
        <w:jc w:val="center"/>
        <w:rPr>
          <w:rFonts w:hint="eastAsia" w:ascii="宋体" w:hAnsi="宋体" w:cs="宋体"/>
          <w:color w:val="auto"/>
          <w:szCs w:val="21"/>
          <w:highlight w:val="none"/>
          <w:shd w:val="clear" w:color="auto" w:fill="FFFFFF"/>
        </w:rPr>
      </w:pPr>
      <w:r>
        <w:rPr>
          <w:rFonts w:hint="eastAsia" w:ascii="宋体" w:hAnsi="宋体" w:cs="宋体"/>
          <w:b/>
          <w:color w:val="auto"/>
          <w:sz w:val="30"/>
          <w:szCs w:val="30"/>
          <w:highlight w:val="none"/>
        </w:rPr>
        <w:t>政府采购政策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一、促进中小企业发展政策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（一）政策依据</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财政部 工业和信息化部《政府采购促进中小企业发展管理办法》（财库﹝2020﹞46号）、财政部《关于进一步加大政府采购支持中小企业力度的通知》（财库﹝2022﹞19号）。</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（二）中小企业的认定</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1、在中华人民共和国境内依法设立，依据国务院批准的中小企业划分标准确定的中型企业、小型企业和微型企业，但与大企业的负责人为同一人，或者与大企业存在直接控股、管理关系的除外。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2、符合中小企业划分标准的个体工商户，在政府采购活动中视同中小企业。</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3、以联合体形式参加政府采购活动，联合体各方均为中小企业的，联合体视同中小企业。其中，联合体各方均为小微企业的，联合体视同小微企业。</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（三）中小企业需提供的证明材料</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中小企业参加政府采购活动，应当出具本采购文件规定的《中小企业声明函》，否则不得享受相关中小企业扶持政策。任何单位和个人不得要求供应商提供《中小企业声明函》之外的中小企业身份证明文件。</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（四）中小企业扶持政策享受情形</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在政府采购活动中，供应商提供的货物、工程或者服务符合下列情形的，享受相关中小企业扶持政策：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1、在货物采购项目中，货物由中小企业制造，即货物由中小企业生产且使用该中小企业商号或者注册商标；</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2、在工程采购项目中，工程由中小企业承建，即工程施工单位为中小企业；</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3、在服务采购项目中，服务由中小企业承接，即提供服务的人员为中小企业依照《中华人民共和国劳动合同法》订立劳动合同的从业人员。</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在货物采购项目中，供应商提供的货物既有中小企业制造货物，也有大型企业制造货物的，不享受中小企业扶持政策。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（五）中小企业扶持政策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对于非专门面向中小企业采购的采购包，应当对符合本章规定的小微企业报价给予10%-20%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4%-6%（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3、价格扣除比例或者价格分加分比例对小型企业和微型企业同等对待，不作区分。</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（六）合同分包要求</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1、享受扶持政策获得政府采购合同的，小微企业不得将合同分包给大中型企业，中型企业不得将合同分包给大型企业。</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对于专门面向中小企业采购的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（七）法律责任</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供应商按照本采购文件规定提供声明函内容不实的，属于提供虚假材料谋取中标、成交，依照《中华人民共和国政府采购法》等国家有关规定追究相应责任。</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二、支持监狱企业发展政策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（一）政策依据</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财政部 司法部《关于政府采购支持监狱企业发展有关问题的通知》（财库〔2014〕68号）。</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（二）监狱企业的认定</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（三）监狱企业需提供的证明材料</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监狱企业参加政府采购活动时，应当提供由省级以上监狱管理局、戒毒管理局（含新疆生产建设兵团）出具的属于监狱企业的证明文件。</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（四）监狱企业支持政策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在政府采购活动中，监狱企业视同小型、微型企业，享受政府采购促进中小企业发展的政府采购政策。向监狱企业采购的金额，计入面向中小企业采购的统计数据。监狱企业属于小型、微型企业的，不重复享受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三、支持残疾人福利性单位发展政策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（一）政策依据</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财政部 民政部 中国残疾人联合会《关于促进残疾人就业政府采购政策的通知》（财库[2017]141号）。</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（二）残疾人福利性单位的认定</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享受政府采购支持政策的残疾人福利性单位应当同时满足以下条件：</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1、安置的残疾人占本单位在职职工人数的比例不低于25%(含25%)，并且安置的残疾人人数不少于10人(含10人)；</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2、依法与安置的每位残疾人签订了一年以上(含一年)的劳动合同或服务协议；</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3、为安置的每位残疾人按月足额缴纳了基本养老保险、基本医疗保险、失业保险、工伤保险和生育保险等社会保险费；</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4、通过银行等金融机构向安置的每位残疾人，按月支付了不低于单位所在区县适用的经省级人民政府批准的月最低工资标准的工资；</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5、提供本单位制造的货物、承担的工程或者服务(以下简称产品)，或者提供其他残疾人福利性单位制造的货物(不包括使用非残疾人福利性单位注册商标的货物)。</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（三）残疾人福利性单位需提供的证明材料</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符合条件的残疾人福利性单位在参加政府采购活动时，应当出具本采购文件规定的《残疾人福利性单位声明函》，并对声明的真实性负责。</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（四）残疾人福利性单位支持政策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在政府采购活动中，残疾人福利性单位视同小型、微型企业，享受促进中小企业发展的政府采购政策。向残疾人福利性单位采购的金额，计入面向中小企业采购的统计数据。残疾人福利性单位属于小型、微型企业的，不重复享受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（五）法律责任</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供应商按照本采购文件规定提供声明函内容不实的，属于提供虚假材料谋取中标、成交，依照《中华人民共和国政府采购法》等国家有关规定追究相应责任。</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四、强制、优先采购节能产品、环境标志产品政策</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（一）政策依据</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1、财政部 发展改革委 生态环境部 市场监管总局《关于调整优化节能产品、环境标志产品政府采购执行机制的通知》（财库〔2019〕9号）。</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2、财政部 生态环境部《关于印发环境标志产品政府采购品目清单的通知》（财库〔2019〕18号）。</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3、财政部 发展改革委《关于印发节能产品政府采购品目清单的通知》（财库〔2019〕19号）。</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（二）节能产品、环境标志产品的品目</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政府采购节能产品、环境标志产品实施品目清单管理，详见《节能产品政府采购品目清单》、《环境标志产品政府采购品目清单》。</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（三）节能产品、环境标志产品需提供的证明材料</w:t>
      </w:r>
    </w:p>
    <w:p>
      <w:pPr>
        <w:autoSpaceDE w:val="0"/>
        <w:autoSpaceDN w:val="0"/>
        <w:adjustRightInd w:val="0"/>
        <w:spacing w:line="360" w:lineRule="auto"/>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采购人拟采购的产品属于品目清单范围的，供应商应当提供本采购文件规定的《节能产品、环境标志产品强制采购认证证书一览表》和《节能产品、环境标志产品优先采购认证证书一览表》，填写获得国家确定的认证机构出具的、处于有效期之内的节能产品、环境标志产品认证证书相关信息，并在相应表格后提供对应的认证证书扫描件。</w:t>
      </w:r>
    </w:p>
    <w:p>
      <w:pPr>
        <w:autoSpaceDE w:val="0"/>
        <w:autoSpaceDN w:val="0"/>
        <w:adjustRightIn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（四）节能产品、环境标志产品采购政策</w:t>
      </w:r>
    </w:p>
    <w:p>
      <w:pPr>
        <w:autoSpaceDE w:val="0"/>
        <w:autoSpaceDN w:val="0"/>
        <w:adjustRightIn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采购人拟采购的产品属于品目清单范围，且属于强制采购品目的，实行强制采购。本采购文件要求具有强制采购认证证书的产品，供应商必须在《节能产品、环境标志产品强制采购认证证书一览表》中，填写所投产品获得的、有效的认证证书相关信息，并提供对应的认证证书扫描件，否则投标、响应无效。</w:t>
      </w:r>
    </w:p>
    <w:p>
      <w:pPr>
        <w:autoSpaceDE w:val="0"/>
        <w:autoSpaceDN w:val="0"/>
        <w:adjustRightIn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采购人拟采购的产品属于品目清单范围，但不属于强制采购品目的，实行优先采购。供应商应当在《节能产品、环境标志产品优先采购认证证书一览表》中，填写所投产品获得的、有效的认证证书相关信息并提供对应的认证证书扫描件，优先采购的具体办法详见本采购文件。</w:t>
      </w:r>
    </w:p>
    <w:p>
      <w:pPr>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br w:type="page"/>
      </w:r>
    </w:p>
    <w:p>
      <w:pPr>
        <w:pStyle w:val="3"/>
        <w:jc w:val="center"/>
        <w:outlineLvl w:val="0"/>
        <w:rPr>
          <w:rFonts w:hint="eastAsia"/>
          <w:sz w:val="36"/>
          <w:szCs w:val="36"/>
          <w:highlight w:val="none"/>
        </w:rPr>
      </w:pPr>
      <w:bookmarkStart w:id="74" w:name="_Toc6672"/>
      <w:r>
        <w:rPr>
          <w:rFonts w:hint="eastAsia"/>
          <w:color w:val="auto"/>
          <w:sz w:val="36"/>
          <w:szCs w:val="36"/>
          <w:highlight w:val="none"/>
        </w:rPr>
        <w:t>第四章</w:t>
      </w:r>
      <w:r>
        <w:rPr>
          <w:color w:val="auto"/>
          <w:sz w:val="36"/>
          <w:szCs w:val="36"/>
          <w:highlight w:val="none"/>
        </w:rPr>
        <w:t xml:space="preserve">  </w:t>
      </w:r>
      <w:r>
        <w:rPr>
          <w:rFonts w:hint="eastAsia"/>
          <w:color w:val="auto"/>
          <w:sz w:val="36"/>
          <w:szCs w:val="36"/>
          <w:highlight w:val="none"/>
        </w:rPr>
        <w:t>合同条款及格式</w:t>
      </w:r>
      <w:bookmarkEnd w:id="74"/>
    </w:p>
    <w:p>
      <w:pPr>
        <w:jc w:val="left"/>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（GF—201</w:t>
      </w:r>
      <w:r>
        <w:rPr>
          <w:rFonts w:hint="eastAsia" w:ascii="Times New Roman" w:hAnsi="Times New Roman" w:eastAsia="仿宋_GB2312"/>
          <w:bCs/>
          <w:color w:val="000000"/>
          <w:sz w:val="32"/>
          <w:szCs w:val="32"/>
          <w:highlight w:val="none"/>
          <w:lang w:val="en-US" w:eastAsia="zh-CN"/>
        </w:rPr>
        <w:t>7</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0201</w:t>
      </w:r>
      <w:r>
        <w:rPr>
          <w:rFonts w:hint="eastAsia" w:ascii="Times New Roman" w:hAnsi="Times New Roman" w:eastAsia="仿宋_GB2312"/>
          <w:bCs/>
          <w:color w:val="000000"/>
          <w:sz w:val="32"/>
          <w:szCs w:val="32"/>
          <w:highlight w:val="none"/>
        </w:rPr>
        <w:t>）</w:t>
      </w:r>
    </w:p>
    <w:p>
      <w:pPr>
        <w:jc w:val="center"/>
        <w:rPr>
          <w:rFonts w:ascii="Times New Roman" w:hAnsi="Times New Roman" w:eastAsia="华文中宋"/>
          <w:b/>
          <w:color w:val="000000"/>
          <w:sz w:val="52"/>
          <w:szCs w:val="52"/>
          <w:highlight w:val="none"/>
        </w:rPr>
      </w:pPr>
    </w:p>
    <w:p>
      <w:pPr>
        <w:jc w:val="center"/>
        <w:rPr>
          <w:rFonts w:ascii="Times New Roman" w:hAnsi="Times New Roman" w:eastAsia="华文中宋"/>
          <w:b/>
          <w:color w:val="000000"/>
          <w:sz w:val="52"/>
          <w:szCs w:val="52"/>
          <w:highlight w:val="none"/>
        </w:rPr>
      </w:pPr>
    </w:p>
    <w:p>
      <w:pPr>
        <w:jc w:val="center"/>
        <w:rPr>
          <w:rFonts w:ascii="Times New Roman" w:hAnsi="Times New Roman" w:eastAsia="华文中宋"/>
          <w:b/>
          <w:color w:val="000000"/>
          <w:sz w:val="52"/>
          <w:szCs w:val="52"/>
          <w:highlight w:val="none"/>
        </w:rPr>
      </w:pPr>
    </w:p>
    <w:p>
      <w:pPr>
        <w:jc w:val="center"/>
        <w:rPr>
          <w:rFonts w:ascii="Times New Roman" w:hAnsi="Times New Roman" w:eastAsia="华文中宋"/>
          <w:b/>
          <w:color w:val="000000"/>
          <w:sz w:val="52"/>
          <w:szCs w:val="52"/>
          <w:highlight w:val="none"/>
        </w:rPr>
      </w:pPr>
    </w:p>
    <w:p>
      <w:pPr>
        <w:jc w:val="center"/>
        <w:rPr>
          <w:rFonts w:ascii="Times New Roman" w:hAnsi="Times New Roman" w:eastAsia="华文中宋"/>
          <w:b/>
          <w:color w:val="000000"/>
          <w:sz w:val="52"/>
          <w:szCs w:val="52"/>
          <w:highlight w:val="none"/>
        </w:rPr>
      </w:pPr>
      <w:r>
        <w:rPr>
          <w:rFonts w:ascii="Times New Roman" w:hAnsi="Times New Roman" w:eastAsia="华文中宋"/>
          <w:b/>
          <w:color w:val="000000"/>
          <w:sz w:val="72"/>
          <w:szCs w:val="52"/>
          <w:highlight w:val="none"/>
        </w:rPr>
        <w:t>建设工程施工合同</w:t>
      </w:r>
      <w:r>
        <w:rPr>
          <w:rFonts w:ascii="Times New Roman" w:hAnsi="Times New Roman" w:eastAsia="华文中宋"/>
          <w:b/>
          <w:color w:val="000000"/>
          <w:sz w:val="52"/>
          <w:szCs w:val="52"/>
          <w:highlight w:val="none"/>
        </w:rPr>
        <w:br w:type="textWrapping"/>
      </w:r>
      <w:r>
        <w:rPr>
          <w:rFonts w:ascii="Times New Roman" w:hAnsi="Times New Roman" w:eastAsia="华文中宋"/>
          <w:b/>
          <w:color w:val="000000"/>
          <w:sz w:val="52"/>
          <w:szCs w:val="52"/>
          <w:highlight w:val="none"/>
        </w:rPr>
        <w:t>（示范文本）</w:t>
      </w:r>
    </w:p>
    <w:p>
      <w:pPr>
        <w:jc w:val="center"/>
        <w:rPr>
          <w:rFonts w:ascii="Times New Roman" w:hAnsi="Times New Roman" w:eastAsia="华文中宋"/>
          <w:b/>
          <w:color w:val="000000"/>
          <w:sz w:val="52"/>
          <w:szCs w:val="52"/>
          <w:highlight w:val="none"/>
        </w:rPr>
      </w:pPr>
    </w:p>
    <w:p>
      <w:pPr>
        <w:jc w:val="center"/>
        <w:rPr>
          <w:rFonts w:ascii="Times New Roman" w:hAnsi="Times New Roman" w:eastAsia="黑体"/>
          <w:b/>
          <w:color w:val="000000"/>
          <w:sz w:val="72"/>
          <w:szCs w:val="72"/>
          <w:highlight w:val="none"/>
        </w:rPr>
      </w:pPr>
    </w:p>
    <w:p>
      <w:pPr>
        <w:jc w:val="center"/>
        <w:rPr>
          <w:rFonts w:ascii="Times New Roman" w:hAnsi="Times New Roman" w:eastAsia="楷体_GB2312"/>
          <w:b/>
          <w:color w:val="000000"/>
          <w:sz w:val="72"/>
          <w:szCs w:val="72"/>
          <w:highlight w:val="none"/>
        </w:rPr>
      </w:pPr>
    </w:p>
    <w:p>
      <w:pPr>
        <w:jc w:val="center"/>
        <w:rPr>
          <w:rFonts w:ascii="Times New Roman" w:hAnsi="Times New Roman" w:eastAsia="黑体"/>
          <w:b/>
          <w:color w:val="000000"/>
          <w:sz w:val="52"/>
          <w:szCs w:val="52"/>
          <w:highlight w:val="none"/>
        </w:rPr>
      </w:pPr>
    </w:p>
    <w:p>
      <w:pPr>
        <w:rPr>
          <w:rFonts w:ascii="Times New Roman" w:hAnsi="Times New Roman"/>
          <w:b/>
          <w:color w:val="000000"/>
          <w:sz w:val="28"/>
          <w:szCs w:val="28"/>
          <w:highlight w:val="none"/>
        </w:rPr>
      </w:pPr>
    </w:p>
    <w:p>
      <w:pPr>
        <w:rPr>
          <w:rFonts w:ascii="Times New Roman" w:hAnsi="Times New Roman"/>
          <w:b/>
          <w:color w:val="000000"/>
          <w:sz w:val="28"/>
          <w:szCs w:val="28"/>
          <w:highlight w:val="none"/>
        </w:rPr>
      </w:pPr>
    </w:p>
    <w:p>
      <w:pPr>
        <w:rPr>
          <w:rFonts w:ascii="Times New Roman" w:hAnsi="Times New Roman"/>
          <w:b/>
          <w:color w:val="000000"/>
          <w:sz w:val="28"/>
          <w:szCs w:val="28"/>
          <w:highlight w:val="none"/>
        </w:rPr>
      </w:pPr>
    </w:p>
    <w:p>
      <w:pPr>
        <w:rPr>
          <w:rFonts w:ascii="Times New Roman" w:hAnsi="Times New Roman"/>
          <w:b/>
          <w:color w:val="000000"/>
          <w:sz w:val="28"/>
          <w:szCs w:val="28"/>
          <w:highlight w:val="none"/>
        </w:rPr>
      </w:pPr>
    </w:p>
    <w:p>
      <w:pPr>
        <w:rPr>
          <w:rFonts w:ascii="Times New Roman" w:hAnsi="Times New Roman"/>
          <w:b/>
          <w:color w:val="000000"/>
          <w:sz w:val="28"/>
          <w:szCs w:val="28"/>
          <w:highlight w:val="none"/>
        </w:rPr>
      </w:pPr>
    </w:p>
    <w:p>
      <w:pPr>
        <w:ind w:right="2719" w:rightChars="1295" w:firstLine="2738" w:firstLineChars="1304"/>
        <w:jc w:val="distribute"/>
        <w:rPr>
          <w:rFonts w:ascii="Times New Roman" w:hAnsi="Times New Roman"/>
          <w:b/>
          <w:color w:val="000000"/>
          <w:sz w:val="32"/>
          <w:szCs w:val="28"/>
          <w:highlight w:val="none"/>
        </w:rPr>
      </w:pPr>
      <w:r>
        <w:rPr>
          <w:rFonts w:ascii="Times New Roman" w:hAnsi="Times New Roman"/>
          <w:highlight w:val="none"/>
        </w:rPr>
        <mc:AlternateContent>
          <mc:Choice Requires="wps">
            <w:drawing>
              <wp:anchor distT="0" distB="0" distL="114300" distR="114300" simplePos="0" relativeHeight="251660288"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jc w:val="cente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0288;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K47mL8EAgAADAQAAA4AAAAAAAAAAQAgAAAAJwEA&#10;AGRycy9lMm9Eb2MueG1sUEsFBgAAAAAGAAYAWQEAAJ0FAAAAAA==&#10;">
                <v:fill on="f" focussize="0,0"/>
                <v:stroke color="#FFFFFF" joinstyle="miter"/>
                <v:imagedata o:title=""/>
                <o:lock v:ext="edit" aspectratio="f"/>
                <v:textbox>
                  <w:txbxContent>
                    <w:p>
                      <w:pPr>
                        <w:jc w:val="center"/>
                        <w:rPr>
                          <w:rFonts w:hint="eastAsia"/>
                          <w:b/>
                          <w:bCs/>
                          <w:sz w:val="32"/>
                        </w:rPr>
                      </w:pPr>
                      <w:r>
                        <w:rPr>
                          <w:rFonts w:hint="eastAsia"/>
                          <w:b/>
                          <w:bCs/>
                          <w:sz w:val="32"/>
                        </w:rPr>
                        <w:t>制定</w:t>
                      </w:r>
                    </w:p>
                  </w:txbxContent>
                </v:textbox>
              </v:shape>
            </w:pict>
          </mc:Fallback>
        </mc:AlternateContent>
      </w:r>
      <w:r>
        <w:rPr>
          <w:rFonts w:ascii="Times New Roman" w:hAnsi="Times New Roman"/>
          <w:b/>
          <w:color w:val="000000"/>
          <w:sz w:val="32"/>
          <w:szCs w:val="28"/>
          <w:highlight w:val="none"/>
        </w:rPr>
        <w:t>住房城乡建设部</w:t>
      </w:r>
    </w:p>
    <w:p>
      <w:pPr>
        <w:ind w:right="2719" w:rightChars="1295" w:firstLine="2750" w:firstLineChars="856"/>
        <w:jc w:val="distribute"/>
        <w:rPr>
          <w:rFonts w:ascii="Times New Roman" w:hAnsi="Times New Roman"/>
          <w:b/>
          <w:color w:val="000000"/>
          <w:sz w:val="32"/>
          <w:szCs w:val="28"/>
          <w:highlight w:val="none"/>
        </w:rPr>
      </w:pPr>
      <w:r>
        <w:rPr>
          <w:rFonts w:ascii="Times New Roman" w:hAnsi="Times New Roman"/>
          <w:b/>
          <w:color w:val="000000"/>
          <w:sz w:val="32"/>
          <w:szCs w:val="28"/>
          <w:highlight w:val="none"/>
        </w:rPr>
        <w:t>国家工商行政管理总局</w:t>
      </w:r>
    </w:p>
    <w:p>
      <w:pPr>
        <w:rPr>
          <w:rFonts w:ascii="Times New Roman" w:hAnsi="Times New Roman"/>
          <w:b/>
          <w:color w:val="000000"/>
          <w:highlight w:val="none"/>
        </w:rPr>
      </w:pPr>
    </w:p>
    <w:p>
      <w:pPr>
        <w:pStyle w:val="31"/>
        <w:spacing w:before="0" w:after="0" w:line="240" w:lineRule="auto"/>
        <w:jc w:val="center"/>
        <w:outlineLvl w:val="9"/>
        <w:rPr>
          <w:rFonts w:hint="eastAsia" w:ascii="Times New Roman" w:hAnsi="Times New Roman" w:eastAsia="华文中宋"/>
          <w:highlight w:val="none"/>
          <w:lang w:val="zh-CN"/>
        </w:rPr>
      </w:pPr>
      <w:r>
        <w:rPr>
          <w:rFonts w:ascii="Times New Roman" w:hAnsi="Times New Roman"/>
          <w:b w:val="0"/>
          <w:color w:val="000000"/>
          <w:highlight w:val="none"/>
        </w:rPr>
        <w:br w:type="page"/>
      </w:r>
      <w:bookmarkStart w:id="75" w:name="_Toc296503025"/>
      <w:bookmarkStart w:id="76" w:name="_Toc296890982"/>
      <w:r>
        <w:rPr>
          <w:rFonts w:hint="eastAsia" w:ascii="Times New Roman" w:hAnsi="Times New Roman" w:eastAsia="华文中宋"/>
          <w:highlight w:val="none"/>
          <w:lang w:val="zh-CN"/>
        </w:rPr>
        <w:t>说  明</w:t>
      </w:r>
    </w:p>
    <w:p>
      <w:pPr>
        <w:ind w:firstLine="600" w:firstLineChars="200"/>
        <w:rPr>
          <w:rFonts w:ascii="仿宋_GB2312" w:eastAsia="仿宋_GB2312"/>
          <w:sz w:val="30"/>
          <w:szCs w:val="30"/>
          <w:highlight w:val="none"/>
        </w:rPr>
      </w:pPr>
      <w:r>
        <w:rPr>
          <w:rFonts w:hint="eastAsia" w:ascii="仿宋_GB2312" w:eastAsia="仿宋_GB2312"/>
          <w:sz w:val="30"/>
          <w:szCs w:val="30"/>
          <w:highlight w:val="none"/>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w:t>
      </w:r>
      <w:r>
        <w:rPr>
          <w:rFonts w:hint="eastAsia" w:ascii="仿宋_GB2312" w:eastAsia="仿宋_GB2312"/>
          <w:sz w:val="30"/>
          <w:szCs w:val="30"/>
          <w:highlight w:val="none"/>
          <w:lang w:val="en-US" w:eastAsia="zh-CN"/>
        </w:rPr>
        <w:t>2013</w:t>
      </w:r>
      <w:r>
        <w:rPr>
          <w:rFonts w:hint="eastAsia" w:ascii="仿宋_GB2312" w:eastAsia="仿宋_GB2312"/>
          <w:sz w:val="30"/>
          <w:szCs w:val="30"/>
          <w:highlight w:val="none"/>
        </w:rPr>
        <w:t>-0201）进行了修订，制定了《建设工程施工合同（示范文本）》（GF-201</w:t>
      </w:r>
      <w:r>
        <w:rPr>
          <w:rFonts w:hint="eastAsia" w:ascii="仿宋_GB2312" w:eastAsia="仿宋_GB2312"/>
          <w:sz w:val="30"/>
          <w:szCs w:val="30"/>
          <w:highlight w:val="none"/>
          <w:lang w:val="en-US" w:eastAsia="zh-CN"/>
        </w:rPr>
        <w:t>7</w:t>
      </w:r>
      <w:r>
        <w:rPr>
          <w:rFonts w:hint="eastAsia" w:ascii="仿宋_GB2312" w:eastAsia="仿宋_GB2312"/>
          <w:sz w:val="30"/>
          <w:szCs w:val="30"/>
          <w:highlight w:val="none"/>
        </w:rPr>
        <w:t>-0201）（以下简称《示范文本》）。为了便于合同当事人使用《示范文本》，现就有关问题说明如下：</w:t>
      </w:r>
    </w:p>
    <w:p>
      <w:pPr>
        <w:ind w:firstLine="600" w:firstLineChars="200"/>
        <w:outlineLvl w:val="9"/>
        <w:rPr>
          <w:rFonts w:hint="eastAsia" w:ascii="黑体" w:hAnsi="黑体" w:eastAsia="黑体"/>
          <w:bCs/>
          <w:sz w:val="30"/>
          <w:szCs w:val="30"/>
          <w:highlight w:val="none"/>
        </w:rPr>
      </w:pPr>
      <w:r>
        <w:rPr>
          <w:rFonts w:hint="eastAsia" w:ascii="黑体" w:hAnsi="黑体" w:eastAsia="黑体"/>
          <w:bCs/>
          <w:sz w:val="30"/>
          <w:szCs w:val="30"/>
          <w:highlight w:val="none"/>
        </w:rPr>
        <w:t>一、《示范文本》的组成</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《示范文本》由合同协议书、通用合同条款和专用合同条款三部分组成。</w:t>
      </w:r>
    </w:p>
    <w:p>
      <w:pPr>
        <w:ind w:firstLine="600" w:firstLineChars="200"/>
        <w:outlineLvl w:val="9"/>
        <w:rPr>
          <w:rFonts w:hint="eastAsia" w:ascii="仿宋_GB2312" w:eastAsia="仿宋_GB2312"/>
          <w:sz w:val="30"/>
          <w:szCs w:val="30"/>
          <w:highlight w:val="none"/>
        </w:rPr>
      </w:pPr>
      <w:r>
        <w:rPr>
          <w:rFonts w:hint="eastAsia" w:ascii="仿宋_GB2312" w:eastAsia="仿宋_GB2312"/>
          <w:sz w:val="30"/>
          <w:szCs w:val="30"/>
          <w:highlight w:val="none"/>
        </w:rPr>
        <w:t>（一）合同协议书</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ind w:firstLine="600" w:firstLineChars="200"/>
        <w:outlineLvl w:val="9"/>
        <w:rPr>
          <w:rFonts w:hint="eastAsia" w:ascii="仿宋_GB2312" w:eastAsia="仿宋_GB2312"/>
          <w:sz w:val="30"/>
          <w:szCs w:val="30"/>
          <w:highlight w:val="none"/>
        </w:rPr>
      </w:pPr>
      <w:r>
        <w:rPr>
          <w:rFonts w:hint="eastAsia" w:ascii="仿宋_GB2312" w:eastAsia="仿宋_GB2312"/>
          <w:sz w:val="30"/>
          <w:szCs w:val="30"/>
          <w:highlight w:val="none"/>
        </w:rPr>
        <w:t>（二）通用合同条款</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通用合同条款是合同当事人根据《中华人民共和国建筑法》、《中华人民共和国合同法》等法律法规的规定，就工程建设的实施及相关事项，对合同当事人的权利义务作出的原则性约定。</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ind w:firstLine="600" w:firstLineChars="200"/>
        <w:outlineLvl w:val="9"/>
        <w:rPr>
          <w:rFonts w:hint="eastAsia" w:ascii="仿宋_GB2312" w:eastAsia="仿宋_GB2312"/>
          <w:sz w:val="30"/>
          <w:szCs w:val="30"/>
          <w:highlight w:val="none"/>
        </w:rPr>
      </w:pPr>
      <w:r>
        <w:rPr>
          <w:rFonts w:hint="eastAsia" w:ascii="仿宋_GB2312" w:eastAsia="仿宋_GB2312"/>
          <w:sz w:val="30"/>
          <w:szCs w:val="30"/>
          <w:highlight w:val="none"/>
        </w:rPr>
        <w:t>（三）专用合同条款</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1</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专用合同条款的编号应与相应的通用合同条款的编号一致；</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合同当事人可以通过对专用合同条款的修改，满足具体建设工程的特殊要求，避免直接修改通用合同条款；</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3</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在专用合同条款中有横道线的地方，合同当事人可针对相应的通用合同条款进行细化、完善、补充、修改或另行约定；如无细化、完善、补充、修改或另行约定，则填写“无”或划“/”。</w:t>
      </w:r>
    </w:p>
    <w:p>
      <w:pPr>
        <w:ind w:firstLine="600" w:firstLineChars="200"/>
        <w:outlineLvl w:val="9"/>
        <w:rPr>
          <w:rFonts w:hint="eastAsia" w:ascii="仿宋_GB2312" w:eastAsia="仿宋_GB2312"/>
          <w:b/>
          <w:sz w:val="30"/>
          <w:szCs w:val="30"/>
          <w:highlight w:val="none"/>
        </w:rPr>
      </w:pPr>
      <w:r>
        <w:rPr>
          <w:rFonts w:hint="eastAsia" w:ascii="黑体" w:hAnsi="黑体" w:eastAsia="黑体"/>
          <w:bCs/>
          <w:sz w:val="30"/>
          <w:szCs w:val="30"/>
          <w:highlight w:val="none"/>
        </w:rPr>
        <w:t>二、《示范文本》的性质和适用范围</w:t>
      </w:r>
    </w:p>
    <w:p>
      <w:pPr>
        <w:ind w:firstLine="600" w:firstLineChars="200"/>
        <w:rPr>
          <w:rFonts w:ascii="仿宋_GB2312" w:eastAsia="仿宋_GB2312"/>
          <w:sz w:val="30"/>
          <w:szCs w:val="30"/>
          <w:highlight w:val="none"/>
        </w:rPr>
        <w:sectPr>
          <w:footerReference r:id="rId4" w:type="first"/>
          <w:footerReference r:id="rId3" w:type="default"/>
          <w:pgSz w:w="11906" w:h="16838"/>
          <w:pgMar w:top="1418" w:right="1555" w:bottom="1418" w:left="1531" w:header="851" w:footer="992" w:gutter="0"/>
          <w:pgNumType w:fmt="decimal" w:start="1"/>
          <w:cols w:space="720" w:num="1"/>
          <w:titlePg/>
          <w:docGrid w:type="lines" w:linePitch="312" w:charSpace="0"/>
        </w:sectPr>
      </w:pPr>
      <w:r>
        <w:rPr>
          <w:rFonts w:hint="eastAsia" w:ascii="仿宋_GB2312" w:eastAsia="仿宋_GB2312"/>
          <w:sz w:val="30"/>
          <w:szCs w:val="30"/>
          <w:highlight w:val="none"/>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pStyle w:val="31"/>
        <w:spacing w:before="120" w:after="120"/>
        <w:jc w:val="center"/>
        <w:rPr>
          <w:rFonts w:ascii="Times New Roman" w:hAnsi="Times New Roman" w:eastAsia="华文中宋"/>
          <w:highlight w:val="none"/>
        </w:rPr>
      </w:pPr>
      <w:r>
        <w:rPr>
          <w:rFonts w:ascii="Times New Roman" w:hAnsi="Times New Roman" w:eastAsia="华文中宋"/>
          <w:highlight w:val="none"/>
          <w:lang w:val="zh-CN"/>
        </w:rPr>
        <w:t>目</w:t>
      </w:r>
      <w:r>
        <w:rPr>
          <w:rFonts w:hint="eastAsia" w:ascii="Times New Roman" w:hAnsi="Times New Roman" w:eastAsia="华文中宋"/>
          <w:highlight w:val="none"/>
          <w:lang w:val="zh-CN"/>
        </w:rPr>
        <w:t xml:space="preserve">  </w:t>
      </w:r>
      <w:r>
        <w:rPr>
          <w:rFonts w:ascii="Times New Roman" w:hAnsi="Times New Roman" w:eastAsia="华文中宋"/>
          <w:highlight w:val="none"/>
          <w:lang w:val="zh-CN"/>
        </w:rPr>
        <w:t>录</w:t>
      </w:r>
    </w:p>
    <w:p>
      <w:pPr>
        <w:pStyle w:val="14"/>
        <w:tabs>
          <w:tab w:val="right" w:leader="dot" w:pos="8810"/>
        </w:tabs>
        <w:ind w:left="0" w:leftChars="0" w:firstLine="420" w:firstLineChars="150"/>
        <w:rPr>
          <w:rFonts w:ascii="Times New Roman" w:hAnsi="Times New Roman" w:eastAsia="仿宋_GB2312"/>
          <w:b/>
          <w:sz w:val="30"/>
          <w:szCs w:val="30"/>
          <w:highlight w:val="none"/>
        </w:rPr>
      </w:pP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TOC \o "1-5" \h \z \u </w:instrText>
      </w:r>
      <w:r>
        <w:rPr>
          <w:rFonts w:ascii="Times New Roman" w:hAnsi="Times New Roman" w:eastAsia="仿宋_GB2312"/>
          <w:sz w:val="28"/>
          <w:szCs w:val="28"/>
          <w:highlight w:val="none"/>
        </w:rPr>
        <w:fldChar w:fldCharType="separate"/>
      </w:r>
      <w:r>
        <w:rPr>
          <w:rFonts w:ascii="Times New Roman" w:hAnsi="Times New Roman" w:eastAsia="仿宋_GB2312"/>
          <w:sz w:val="30"/>
          <w:szCs w:val="30"/>
          <w:highlight w:val="none"/>
        </w:rPr>
        <w:fldChar w:fldCharType="begin"/>
      </w:r>
      <w:r>
        <w:rPr>
          <w:rStyle w:val="25"/>
          <w:rFonts w:ascii="Times New Roman" w:hAnsi="Times New Roman" w:eastAsia="仿宋_GB2312"/>
          <w:sz w:val="30"/>
          <w:szCs w:val="30"/>
          <w:highlight w:val="none"/>
        </w:rPr>
        <w:instrText xml:space="preserve"> </w:instrText>
      </w:r>
      <w:r>
        <w:rPr>
          <w:rFonts w:ascii="Times New Roman" w:hAnsi="Times New Roman" w:eastAsia="仿宋_GB2312"/>
          <w:sz w:val="30"/>
          <w:szCs w:val="30"/>
          <w:highlight w:val="none"/>
        </w:rPr>
        <w:instrText xml:space="preserve">HYPERLINK \l "_Toc351203480"</w:instrText>
      </w:r>
      <w:r>
        <w:rPr>
          <w:rStyle w:val="25"/>
          <w:rFonts w:ascii="Times New Roman" w:hAnsi="Times New Roman" w:eastAsia="仿宋_GB2312"/>
          <w:sz w:val="30"/>
          <w:szCs w:val="30"/>
          <w:highlight w:val="none"/>
        </w:rPr>
        <w:instrText xml:space="preserve"> </w:instrText>
      </w:r>
      <w:r>
        <w:rPr>
          <w:rFonts w:ascii="Times New Roman" w:hAnsi="Times New Roman" w:eastAsia="仿宋_GB2312"/>
          <w:sz w:val="30"/>
          <w:szCs w:val="30"/>
          <w:highlight w:val="none"/>
        </w:rPr>
        <w:fldChar w:fldCharType="separate"/>
      </w:r>
      <w:r>
        <w:rPr>
          <w:rStyle w:val="25"/>
          <w:rFonts w:ascii="Times New Roman" w:hAnsi="Times New Roman" w:eastAsia="仿宋_GB2312"/>
          <w:b/>
          <w:sz w:val="30"/>
          <w:szCs w:val="30"/>
          <w:highlight w:val="none"/>
        </w:rPr>
        <w:t>第一部分 合同协议书</w:t>
      </w:r>
      <w:r>
        <w:rPr>
          <w:rFonts w:ascii="Times New Roman" w:hAnsi="Times New Roman" w:eastAsia="仿宋_GB2312"/>
          <w:sz w:val="28"/>
          <w:szCs w:val="28"/>
          <w:highlight w:val="none"/>
        </w:rPr>
        <w:t>……………………</w:t>
      </w:r>
      <w:r>
        <w:rPr>
          <w:rFonts w:ascii="Times New Roman" w:hAnsi="Times New Roman" w:eastAsia="仿宋_GB2312"/>
          <w:spacing w:val="34"/>
          <w:sz w:val="28"/>
          <w:szCs w:val="28"/>
          <w:highlight w:val="none"/>
        </w:rPr>
        <w:t>…</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w:t>
      </w:r>
      <w:r>
        <w:rPr>
          <w:rFonts w:ascii="Times New Roman" w:hAnsi="Times New Roman" w:eastAsia="仿宋_GB2312"/>
          <w:sz w:val="30"/>
          <w:szCs w:val="30"/>
          <w:highlight w:val="none"/>
        </w:rPr>
        <w:fldChar w:fldCharType="begin"/>
      </w:r>
      <w:r>
        <w:rPr>
          <w:rFonts w:ascii="Times New Roman" w:hAnsi="Times New Roman" w:eastAsia="仿宋_GB2312"/>
          <w:sz w:val="30"/>
          <w:szCs w:val="30"/>
          <w:highlight w:val="none"/>
        </w:rPr>
        <w:instrText xml:space="preserve"> PAGEREF _Toc351203480 \h </w:instrText>
      </w:r>
      <w:r>
        <w:rPr>
          <w:rFonts w:ascii="Times New Roman" w:hAnsi="Times New Roman" w:eastAsia="仿宋_GB2312"/>
          <w:sz w:val="30"/>
          <w:szCs w:val="30"/>
          <w:highlight w:val="none"/>
        </w:rPr>
        <w:fldChar w:fldCharType="separate"/>
      </w:r>
      <w:r>
        <w:rPr>
          <w:rFonts w:ascii="Times New Roman" w:hAnsi="Times New Roman" w:eastAsia="仿宋_GB2312"/>
          <w:sz w:val="30"/>
          <w:szCs w:val="30"/>
          <w:highlight w:val="none"/>
        </w:rPr>
        <w:t>1</w:t>
      </w:r>
      <w:r>
        <w:rPr>
          <w:rFonts w:ascii="Times New Roman" w:hAnsi="Times New Roman" w:eastAsia="仿宋_GB2312"/>
          <w:sz w:val="30"/>
          <w:szCs w:val="30"/>
          <w:highlight w:val="none"/>
        </w:rPr>
        <w:fldChar w:fldCharType="end"/>
      </w:r>
      <w:r>
        <w:rPr>
          <w:rFonts w:ascii="Times New Roman" w:hAnsi="Times New Roman" w:eastAsia="仿宋_GB2312"/>
          <w:b/>
          <w:sz w:val="30"/>
          <w:szCs w:val="30"/>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"_Toc351203481"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一、工程概况</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w:t>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_Toc351203481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"_Toc351203482"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二、合同工期</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_Toc351203482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"_Toc351203483"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三、质量标准</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_Toc351203483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"_Toc351203484"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四、签约合同价与合同价格形式</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_Toc351203484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"_Toc351203485"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五、项目经理</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_Toc351203485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"_Toc351203486"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六、合同文件构成</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2</w:t>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"_Toc351203487"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七、承诺</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_Toc351203487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"_Toc351203488"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八、词语含义</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3</w:t>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"_Toc351203489"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九、签订时间</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_Toc351203489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"_Toc351203490"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十、签订地点</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"_Toc351203491"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十一、补充协议</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"_Toc351203492"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十二、合同生效</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"_Toc351203493"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十三、合同份数</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4"/>
        <w:tabs>
          <w:tab w:val="right" w:leader="dot" w:pos="8810"/>
        </w:tabs>
        <w:ind w:left="0" w:leftChars="0" w:firstLine="298" w:firstLineChars="99"/>
        <w:rPr>
          <w:rFonts w:ascii="Times New Roman" w:hAnsi="Times New Roman" w:eastAsia="仿宋_GB2312"/>
          <w:b/>
          <w:sz w:val="30"/>
          <w:szCs w:val="30"/>
          <w:highlight w:val="none"/>
        </w:rPr>
      </w:pPr>
      <w:r>
        <w:rPr>
          <w:rFonts w:ascii="Times New Roman" w:hAnsi="Times New Roman" w:eastAsia="仿宋_GB2312"/>
          <w:b/>
          <w:sz w:val="30"/>
          <w:szCs w:val="30"/>
          <w:highlight w:val="none"/>
        </w:rPr>
        <w:fldChar w:fldCharType="begin"/>
      </w:r>
      <w:r>
        <w:rPr>
          <w:rStyle w:val="25"/>
          <w:rFonts w:ascii="Times New Roman" w:hAnsi="Times New Roman" w:eastAsia="仿宋_GB2312"/>
          <w:b/>
          <w:sz w:val="30"/>
          <w:szCs w:val="30"/>
          <w:highlight w:val="none"/>
        </w:rPr>
        <w:instrText xml:space="preserve"> </w:instrText>
      </w:r>
      <w:r>
        <w:rPr>
          <w:rFonts w:ascii="Times New Roman" w:hAnsi="Times New Roman" w:eastAsia="仿宋_GB2312"/>
          <w:b/>
          <w:sz w:val="30"/>
          <w:szCs w:val="30"/>
          <w:highlight w:val="none"/>
        </w:rPr>
        <w:instrText xml:space="preserve">HYPERLINK \l "_Toc351203494"</w:instrText>
      </w:r>
      <w:r>
        <w:rPr>
          <w:rStyle w:val="25"/>
          <w:rFonts w:ascii="Times New Roman" w:hAnsi="Times New Roman" w:eastAsia="仿宋_GB2312"/>
          <w:b/>
          <w:sz w:val="30"/>
          <w:szCs w:val="30"/>
          <w:highlight w:val="none"/>
        </w:rPr>
        <w:instrText xml:space="preserve"> </w:instrText>
      </w:r>
      <w:r>
        <w:rPr>
          <w:rFonts w:ascii="Times New Roman" w:hAnsi="Times New Roman" w:eastAsia="仿宋_GB2312"/>
          <w:b/>
          <w:sz w:val="30"/>
          <w:szCs w:val="30"/>
          <w:highlight w:val="none"/>
        </w:rPr>
        <w:fldChar w:fldCharType="separate"/>
      </w:r>
      <w:r>
        <w:rPr>
          <w:rStyle w:val="25"/>
          <w:rFonts w:ascii="Times New Roman" w:hAnsi="Times New Roman" w:eastAsia="仿宋_GB2312"/>
          <w:b/>
          <w:sz w:val="30"/>
          <w:szCs w:val="30"/>
          <w:highlight w:val="none"/>
        </w:rPr>
        <w:t>第二部分 通用合同条款</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w:t>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w:t>
      </w:r>
      <w:r>
        <w:rPr>
          <w:rFonts w:ascii="Times New Roman" w:hAnsi="Times New Roman" w:eastAsia="仿宋_GB2312"/>
          <w:sz w:val="28"/>
          <w:szCs w:val="28"/>
          <w:highlight w:val="none"/>
        </w:rPr>
        <w:fldChar w:fldCharType="end"/>
      </w:r>
      <w:r>
        <w:rPr>
          <w:rFonts w:ascii="Times New Roman" w:hAnsi="Times New Roman" w:eastAsia="仿宋_GB2312"/>
          <w:b/>
          <w:sz w:val="30"/>
          <w:szCs w:val="30"/>
          <w:highlight w:val="none"/>
        </w:rPr>
        <w:fldChar w:fldCharType="end"/>
      </w:r>
    </w:p>
    <w:p>
      <w:pPr>
        <w:pStyle w:val="18"/>
        <w:ind w:firstLine="420" w:firstLineChars="15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"_Toc351203495"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 一般约定</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"_Toc351203496"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1.1词语定义与解释</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"_Toc351203497"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1.2语言文字</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"_Toc351203498"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1.3法律</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"_Toc351203499"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1.4 标准和规范</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_Toc351203499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1.5 合同文件的优先顺序</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1.6图纸和承包人文件</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1.7联络</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1.8严禁贿赂</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15</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1.9化石、文物</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15</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1.10交通运输</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1.11知识产权</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1.12保密</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1.13工程量清单错误的修正</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"_Toc351203509"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 发包人</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_Toc351203509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2.1 许可或批准</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2.2 发包人代表</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2.3 发包人人员</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2.4 施工现场、施工条件和基础资料的提供</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2.5 资金来源证明及支付担保</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2.6 支付合同价款</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2.7 组织竣工验收</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2.8 现场统一管理协议</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 承包人</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"_Toc351203519"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3.1 承包人的一般义务</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_Toc351203519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3.2 项目经理</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_Toc351203520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3.3 承包人人员</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_Toc351203521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3.4 承包人现场查勘</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_Toc351203522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27</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3.5 分包</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_Toc351203523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27</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3.6 工程照管与成品、半成品保护</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_Toc351203524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3.7 履约担保</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_Toc351203525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29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3.8 联合体</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_Toc351203526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4. 监理人</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30</w:t>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4.1监理人的一般规定</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30</w:t>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"_Toc351203529"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4.2监理人员</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_Toc351203529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4.3监理人的指示</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4.4 商定或确定</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5. 工程质量</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5.1质量要求</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5.2质量保证措施</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5.3 隐蔽工程检查</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5.4不合格工程的处理</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35</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5.5 质量争议检测</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6. 安全文明施工与环境保护</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"_Toc351203539"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6.1安全文明施工</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_Toc351203539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36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6.2 职业健康</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6.3 环境保护</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 工期和进度</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7.1施工组织设计</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7.2 施工进度计划</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7.3 开工</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7.4测量放线</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7.5工期延误</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45</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7.6 不利物质条件</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"_Toc351203549"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7.7异常恶劣的气候条件</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_Toc351203549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47</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7.8 暂停施工</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_Toc351203550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47</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7.9 提前竣工</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_Toc351203551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49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 材料与设备</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50</w:t>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8.1发包人供应材料与工程设备</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50</w:t>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8.2承包人采购材料与工程设备</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_Toc351203554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8.3材料与工程设备的接收与拒收</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_Toc351203555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8.4材料与工程设备的保管与使用</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_Toc351203556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8.5 禁止使用不合格的材料和工程设备</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_Toc351203557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8.6 样品</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_Toc351203558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"_Toc351203559"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8.7 材料与工程设备的替代</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_Toc351203559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8.8 施工设备和临时设施</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55</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8.9材料与设备专用</w:t>
      </w:r>
      <w:r>
        <w:rPr>
          <w:rStyle w:val="25"/>
          <w:rFonts w:hint="eastAsia" w:ascii="Times New Roman" w:hAnsi="Times New Roman" w:eastAsia="仿宋_GB2312"/>
          <w:sz w:val="28"/>
          <w:szCs w:val="28"/>
          <w:highlight w:val="none"/>
        </w:rPr>
        <w:t>要求</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9. 试验与检验</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9.1试验设备与试验人员</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9.2取样</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57</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9.3 材料、工程设备和工程的试验和检验</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57</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9.4 现场工艺试验</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 变更</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10.1变更的范围</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"_Toc351203569"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10.2 变更权</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_Toc351203569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10.3变更程序</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10.4变更估价</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59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10.5</w:t>
      </w:r>
      <w:r>
        <w:rPr>
          <w:rStyle w:val="25"/>
          <w:rFonts w:hint="eastAsia" w:ascii="Times New Roman" w:hAnsi="Times New Roman" w:eastAsia="仿宋_GB2312"/>
          <w:sz w:val="28"/>
          <w:szCs w:val="28"/>
          <w:highlight w:val="none"/>
        </w:rPr>
        <w:t xml:space="preserve"> </w:t>
      </w:r>
      <w:r>
        <w:rPr>
          <w:rStyle w:val="25"/>
          <w:rFonts w:ascii="Times New Roman" w:hAnsi="Times New Roman" w:eastAsia="仿宋_GB2312"/>
          <w:sz w:val="28"/>
          <w:szCs w:val="28"/>
          <w:highlight w:val="none"/>
        </w:rPr>
        <w:t>承包人的合理化建议</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10.6 变更引起的工期调整</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10.7</w:t>
      </w:r>
      <w:r>
        <w:rPr>
          <w:rStyle w:val="25"/>
          <w:rFonts w:hint="eastAsia" w:ascii="Times New Roman" w:hAnsi="Times New Roman" w:eastAsia="仿宋_GB2312"/>
          <w:sz w:val="28"/>
          <w:szCs w:val="28"/>
          <w:highlight w:val="none"/>
        </w:rPr>
        <w:t xml:space="preserve"> </w:t>
      </w:r>
      <w:r>
        <w:rPr>
          <w:rStyle w:val="25"/>
          <w:rFonts w:ascii="Times New Roman" w:hAnsi="Times New Roman" w:eastAsia="仿宋_GB2312"/>
          <w:sz w:val="28"/>
          <w:szCs w:val="28"/>
          <w:highlight w:val="none"/>
        </w:rPr>
        <w:t>暂估价</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10.8 暂列金额</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10.9 计日工</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11. 价格调整</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11.1 市场价格波动引起的调整</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"_Toc351203579"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11.2 法律变化引起的调整</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_Toc351203579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12. 合同价格、计量与支付</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_Toc351203580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12.1 合同价格形式</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_Toc351203581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12.2 预付款</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_Toc351203582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69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12.3 计量</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70</w:t>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12.4 工程进度款支付</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_Toc351203584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72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12.5 支付账户</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_Toc351203585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76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13. 验收和工程试车</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_Toc351203586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76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13.1 分部分项工程验收</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_Toc351203587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76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13.2竣工验收</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_Toc351203588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76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"_Toc351203589"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13.3工程试车</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_Toc351203589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79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13.4提前交付单位工程的验收</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13.5 施工期运行</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13.6 竣工退场</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14. 竣工结算</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14.1 竣工结算申请</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14.2 竣工</w:t>
      </w:r>
      <w:bookmarkStart w:id="77" w:name="_Hlt356058166"/>
      <w:bookmarkStart w:id="78" w:name="_Hlt356058165"/>
      <w:r>
        <w:rPr>
          <w:rStyle w:val="25"/>
          <w:rFonts w:ascii="Times New Roman" w:hAnsi="Times New Roman" w:eastAsia="仿宋_GB2312"/>
          <w:sz w:val="28"/>
          <w:szCs w:val="28"/>
          <w:highlight w:val="none"/>
        </w:rPr>
        <w:t>结</w:t>
      </w:r>
      <w:bookmarkEnd w:id="77"/>
      <w:bookmarkEnd w:id="78"/>
      <w:r>
        <w:rPr>
          <w:rStyle w:val="25"/>
          <w:rFonts w:ascii="Times New Roman" w:hAnsi="Times New Roman" w:eastAsia="仿宋_GB2312"/>
          <w:sz w:val="28"/>
          <w:szCs w:val="28"/>
          <w:highlight w:val="none"/>
        </w:rPr>
        <w:t>算审核</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14.3 甩项竣工协议</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14.4 最终结清</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85</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15. 缺陷责任与保修</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"_Toc351203599"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15.1 工程保修的原则</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_Toc351203599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15.2 缺</w:t>
      </w:r>
      <w:bookmarkStart w:id="79" w:name="_Hlt354658487"/>
      <w:bookmarkStart w:id="80" w:name="_Hlt354658488"/>
      <w:r>
        <w:rPr>
          <w:rStyle w:val="25"/>
          <w:rFonts w:ascii="Times New Roman" w:hAnsi="Times New Roman" w:eastAsia="仿宋_GB2312"/>
          <w:sz w:val="28"/>
          <w:szCs w:val="28"/>
          <w:highlight w:val="none"/>
        </w:rPr>
        <w:t>陷</w:t>
      </w:r>
      <w:bookmarkEnd w:id="79"/>
      <w:bookmarkEnd w:id="80"/>
      <w:r>
        <w:rPr>
          <w:rStyle w:val="25"/>
          <w:rFonts w:ascii="Times New Roman" w:hAnsi="Times New Roman" w:eastAsia="仿宋_GB2312"/>
          <w:sz w:val="28"/>
          <w:szCs w:val="28"/>
          <w:highlight w:val="none"/>
        </w:rPr>
        <w:t>责任期</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15.3 质量保证金</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87</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15.4 保修</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89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16. 违约</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16.1 发包人违约</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16.2 承包人违约</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16.3 第三人造成的违约</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95</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17. 不可抗力</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95</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17.1 不可抗力的确认</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95</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"_Toc351203609"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17.2 不可抗力的通知</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_Toc351203609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17.3 不可抗力后果的承担</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96</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17.4 因不可抗力解除合同</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97</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 保险</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18.1 工程保险</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_Toc351203613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18.2 工伤保险</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98</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18.3</w:t>
      </w:r>
      <w:r>
        <w:rPr>
          <w:rStyle w:val="25"/>
          <w:rFonts w:hint="eastAsia" w:ascii="Times New Roman" w:hAnsi="Times New Roman" w:eastAsia="仿宋_GB2312"/>
          <w:sz w:val="28"/>
          <w:szCs w:val="28"/>
          <w:highlight w:val="none"/>
        </w:rPr>
        <w:t xml:space="preserve"> </w:t>
      </w:r>
      <w:r>
        <w:rPr>
          <w:rStyle w:val="25"/>
          <w:rFonts w:ascii="Times New Roman" w:hAnsi="Times New Roman" w:eastAsia="仿宋_GB2312"/>
          <w:sz w:val="28"/>
          <w:szCs w:val="28"/>
          <w:highlight w:val="none"/>
        </w:rPr>
        <w:t>其他保险</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18.4</w:t>
      </w:r>
      <w:r>
        <w:rPr>
          <w:rStyle w:val="25"/>
          <w:rFonts w:hint="eastAsia" w:ascii="Times New Roman" w:hAnsi="Times New Roman" w:eastAsia="仿宋_GB2312"/>
          <w:sz w:val="28"/>
          <w:szCs w:val="28"/>
          <w:highlight w:val="none"/>
        </w:rPr>
        <w:t xml:space="preserve"> </w:t>
      </w:r>
      <w:r>
        <w:rPr>
          <w:rStyle w:val="25"/>
          <w:rFonts w:ascii="Times New Roman" w:hAnsi="Times New Roman" w:eastAsia="仿宋_GB2312"/>
          <w:sz w:val="28"/>
          <w:szCs w:val="28"/>
          <w:highlight w:val="none"/>
        </w:rPr>
        <w:t>持续保险</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18.5 保险凭证</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18.6 未按约定投保的补救</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99</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"_Toc351203619"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18.7 通知义务</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_Toc351203619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19. 索赔</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_Toc351203620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19.1</w:t>
      </w:r>
      <w:r>
        <w:rPr>
          <w:rStyle w:val="25"/>
          <w:rFonts w:hint="eastAsia" w:ascii="Times New Roman" w:hAnsi="Times New Roman" w:eastAsia="仿宋_GB2312"/>
          <w:sz w:val="28"/>
          <w:szCs w:val="28"/>
          <w:highlight w:val="none"/>
        </w:rPr>
        <w:t xml:space="preserve"> </w:t>
      </w:r>
      <w:r>
        <w:rPr>
          <w:rStyle w:val="25"/>
          <w:rFonts w:ascii="Times New Roman" w:hAnsi="Times New Roman" w:eastAsia="仿宋_GB2312"/>
          <w:sz w:val="28"/>
          <w:szCs w:val="28"/>
          <w:highlight w:val="none"/>
        </w:rPr>
        <w:t>承包人的索赔</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_Toc351203621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100</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19.2 对承包人索赔的处理</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_Toc351203622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101</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19.3</w:t>
      </w:r>
      <w:r>
        <w:rPr>
          <w:rStyle w:val="25"/>
          <w:rFonts w:hint="eastAsia" w:ascii="Times New Roman" w:hAnsi="Times New Roman" w:eastAsia="仿宋_GB2312"/>
          <w:sz w:val="28"/>
          <w:szCs w:val="28"/>
          <w:highlight w:val="none"/>
        </w:rPr>
        <w:t xml:space="preserve"> </w:t>
      </w:r>
      <w:r>
        <w:rPr>
          <w:rStyle w:val="25"/>
          <w:rFonts w:ascii="Times New Roman" w:hAnsi="Times New Roman" w:eastAsia="仿宋_GB2312"/>
          <w:sz w:val="28"/>
          <w:szCs w:val="28"/>
          <w:highlight w:val="none"/>
        </w:rPr>
        <w:t>发包人的索赔</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100</w:t>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19.4 对发包人索赔的处理</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_Toc351203624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19.5 提出索赔的期限</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_Toc351203625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102</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20. 争议解决</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_Toc351203626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20.1和解</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_Toc351203627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20.2调解</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_Toc351203628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"_Toc351203629"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20.3争议评审</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_Toc351203629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103</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"_Toc351203630"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20.4仲裁或诉讼</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_Toc351203630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3"/>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"_Toc351203631"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20.5争议解决条款效力</w:t>
      </w:r>
      <w:r>
        <w:rPr>
          <w:rFonts w:ascii="Times New Roman" w:hAnsi="Times New Roman" w:eastAsia="仿宋_GB2312"/>
          <w:sz w:val="28"/>
          <w:szCs w:val="28"/>
          <w:highlight w:val="none"/>
        </w:rPr>
        <w:tab/>
      </w:r>
      <w:r>
        <w:rPr>
          <w:rFonts w:ascii="Times New Roman" w:hAnsi="Times New Roman" w:eastAsia="仿宋_GB2312"/>
          <w:sz w:val="28"/>
          <w:szCs w:val="28"/>
          <w:highlight w:val="none"/>
        </w:rPr>
        <w:fldChar w:fldCharType="begin"/>
      </w:r>
      <w:r>
        <w:rPr>
          <w:rFonts w:ascii="Times New Roman" w:hAnsi="Times New Roman" w:eastAsia="仿宋_GB2312"/>
          <w:sz w:val="28"/>
          <w:szCs w:val="28"/>
          <w:highlight w:val="none"/>
        </w:rPr>
        <w:instrText xml:space="preserve"> PAGEREF _Toc351203631 \h </w:instrText>
      </w:r>
      <w:r>
        <w:rPr>
          <w:rFonts w:ascii="Times New Roman" w:hAnsi="Times New Roman" w:eastAsia="仿宋_GB2312"/>
          <w:sz w:val="28"/>
          <w:szCs w:val="28"/>
          <w:highlight w:val="none"/>
        </w:rPr>
        <w:fldChar w:fldCharType="separate"/>
      </w:r>
      <w:r>
        <w:rPr>
          <w:rFonts w:ascii="Times New Roman" w:hAnsi="Times New Roman" w:eastAsia="仿宋_GB2312"/>
          <w:sz w:val="28"/>
          <w:szCs w:val="28"/>
          <w:highlight w:val="none"/>
        </w:rPr>
        <w:t>104</w:t>
      </w:r>
      <w:r>
        <w:rPr>
          <w:rFonts w:ascii="Times New Roman" w:hAnsi="Times New Roman" w:eastAsia="仿宋_GB2312"/>
          <w:sz w:val="28"/>
          <w:szCs w:val="28"/>
          <w:highlight w:val="none"/>
        </w:rPr>
        <w:fldChar w:fldCharType="end"/>
      </w:r>
      <w:r>
        <w:rPr>
          <w:rFonts w:ascii="Times New Roman" w:hAnsi="Times New Roman" w:eastAsia="仿宋_GB2312"/>
          <w:sz w:val="28"/>
          <w:szCs w:val="28"/>
          <w:highlight w:val="none"/>
        </w:rPr>
        <w:fldChar w:fldCharType="end"/>
      </w:r>
    </w:p>
    <w:p>
      <w:pPr>
        <w:pStyle w:val="14"/>
        <w:tabs>
          <w:tab w:val="right" w:leader="dot" w:pos="8810"/>
        </w:tabs>
        <w:rPr>
          <w:rStyle w:val="25"/>
          <w:rFonts w:hint="eastAsia" w:ascii="Times New Roman" w:hAnsi="Times New Roman" w:eastAsia="仿宋_GB2312"/>
          <w:b/>
          <w:sz w:val="28"/>
          <w:szCs w:val="28"/>
          <w:highlight w:val="none"/>
        </w:rPr>
      </w:pPr>
    </w:p>
    <w:p>
      <w:pPr>
        <w:pStyle w:val="14"/>
        <w:tabs>
          <w:tab w:val="right" w:leader="dot" w:pos="8810"/>
        </w:tabs>
        <w:ind w:left="0" w:leftChars="0" w:firstLine="300" w:firstLineChars="100"/>
        <w:rPr>
          <w:rFonts w:ascii="Times New Roman" w:hAnsi="Times New Roman" w:eastAsia="仿宋_GB2312"/>
          <w:sz w:val="30"/>
          <w:szCs w:val="30"/>
          <w:highlight w:val="none"/>
        </w:rPr>
      </w:pPr>
      <w:r>
        <w:rPr>
          <w:rFonts w:ascii="Times New Roman" w:hAnsi="Times New Roman" w:eastAsia="仿宋_GB2312"/>
          <w:sz w:val="30"/>
          <w:szCs w:val="30"/>
          <w:highlight w:val="none"/>
        </w:rPr>
        <w:fldChar w:fldCharType="begin"/>
      </w:r>
      <w:r>
        <w:rPr>
          <w:rStyle w:val="25"/>
          <w:rFonts w:ascii="Times New Roman" w:hAnsi="Times New Roman" w:eastAsia="仿宋_GB2312"/>
          <w:sz w:val="30"/>
          <w:szCs w:val="30"/>
          <w:highlight w:val="none"/>
        </w:rPr>
        <w:instrText xml:space="preserve"> </w:instrText>
      </w:r>
      <w:r>
        <w:rPr>
          <w:rFonts w:ascii="Times New Roman" w:hAnsi="Times New Roman" w:eastAsia="仿宋_GB2312"/>
          <w:sz w:val="30"/>
          <w:szCs w:val="30"/>
          <w:highlight w:val="none"/>
        </w:rPr>
        <w:instrText xml:space="preserve">HYPERLINK \l "_Toc351203632"</w:instrText>
      </w:r>
      <w:r>
        <w:rPr>
          <w:rStyle w:val="25"/>
          <w:rFonts w:ascii="Times New Roman" w:hAnsi="Times New Roman" w:eastAsia="仿宋_GB2312"/>
          <w:sz w:val="30"/>
          <w:szCs w:val="30"/>
          <w:highlight w:val="none"/>
        </w:rPr>
        <w:instrText xml:space="preserve"> </w:instrText>
      </w:r>
      <w:r>
        <w:rPr>
          <w:rFonts w:ascii="Times New Roman" w:hAnsi="Times New Roman" w:eastAsia="仿宋_GB2312"/>
          <w:sz w:val="30"/>
          <w:szCs w:val="30"/>
          <w:highlight w:val="none"/>
        </w:rPr>
        <w:fldChar w:fldCharType="separate"/>
      </w:r>
      <w:r>
        <w:rPr>
          <w:rStyle w:val="25"/>
          <w:rFonts w:ascii="Times New Roman" w:hAnsi="Times New Roman" w:eastAsia="仿宋_GB2312"/>
          <w:b/>
          <w:sz w:val="30"/>
          <w:szCs w:val="30"/>
          <w:highlight w:val="none"/>
        </w:rPr>
        <w:t>第三部分 专用合同条款</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w:t>
      </w:r>
      <w:r>
        <w:rPr>
          <w:rFonts w:ascii="Times New Roman" w:hAnsi="Times New Roman" w:eastAsia="仿宋_GB2312"/>
          <w:sz w:val="30"/>
          <w:szCs w:val="30"/>
          <w:highlight w:val="none"/>
        </w:rPr>
        <w:fldChar w:fldCharType="end"/>
      </w:r>
      <w:r>
        <w:rPr>
          <w:rFonts w:hint="eastAsia" w:ascii="Times New Roman" w:hAnsi="Times New Roman" w:eastAsia="仿宋_GB2312"/>
          <w:sz w:val="30"/>
          <w:szCs w:val="30"/>
          <w:highlight w:val="none"/>
        </w:rPr>
        <w:t>104</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"_Toc351203633"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 一般约定</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04</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"_Toc351203634"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 发包人</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08</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"_Toc351203635"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3. 承包人</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09</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"_Toc351203636"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4. 监理人</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12</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"_Toc351203637"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5. 工程质量</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13</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"_Toc351203638"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6. 安全文明施工与环境保护</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14</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"_Toc351203639"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7. 工期和进度</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14</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8. 材料与设备</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16</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9. 试验与检验</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17</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10. 变更</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18</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"_Toc351203643"</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11. 价格调整</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19</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"_Toc351203644"</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12. 合同价格、计量与支付</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20</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"_Toc351203645"</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13.</w:t>
      </w:r>
      <w:r>
        <w:rPr>
          <w:rStyle w:val="25"/>
          <w:rFonts w:hint="eastAsia" w:ascii="Times New Roman" w:hAnsi="Times New Roman" w:eastAsia="仿宋_GB2312"/>
          <w:sz w:val="28"/>
          <w:szCs w:val="28"/>
          <w:highlight w:val="none"/>
        </w:rPr>
        <w:t xml:space="preserve"> </w:t>
      </w:r>
      <w:r>
        <w:rPr>
          <w:rStyle w:val="25"/>
          <w:rFonts w:ascii="Times New Roman" w:hAnsi="Times New Roman" w:eastAsia="仿宋_GB2312"/>
          <w:sz w:val="28"/>
          <w:szCs w:val="28"/>
          <w:highlight w:val="none"/>
        </w:rPr>
        <w:t>验收和工程试车</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23</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"_Toc351203646"</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14. 竣工结算</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24</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"_Toc351203647"</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15. 缺陷责任期与保修</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25</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"_Toc351203648"</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16. 违约</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26</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"_Toc351203649"</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17. 不可抗力</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28</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"_Toc351203650"</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18. 保险</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29</w:t>
      </w:r>
    </w:p>
    <w:p>
      <w:pPr>
        <w:pStyle w:val="18"/>
        <w:ind w:firstLine="280" w:firstLineChars="100"/>
        <w:rPr>
          <w:rFonts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"_Toc351203651"</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20. 争议解决</w:t>
      </w:r>
      <w:r>
        <w:rPr>
          <w:rFonts w:ascii="Times New Roman" w:hAnsi="Times New Roman" w:eastAsia="仿宋_GB2312"/>
          <w:sz w:val="28"/>
          <w:szCs w:val="28"/>
          <w:highlight w:val="none"/>
        </w:rPr>
        <w:tab/>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29</w:t>
      </w:r>
    </w:p>
    <w:p>
      <w:pPr>
        <w:pStyle w:val="18"/>
        <w:ind w:firstLine="280" w:firstLineChars="100"/>
        <w:rPr>
          <w:rFonts w:hint="eastAsia" w:ascii="Times New Roman" w:hAnsi="Times New Roman" w:eastAsia="仿宋_GB2312"/>
          <w:sz w:val="28"/>
          <w:szCs w:val="28"/>
          <w:highlight w:val="none"/>
        </w:rPr>
      </w:pPr>
      <w:r>
        <w:rPr>
          <w:rFonts w:ascii="Times New Roman" w:hAnsi="Times New Roman" w:eastAsia="仿宋_GB2312"/>
          <w:sz w:val="28"/>
          <w:szCs w:val="28"/>
          <w:highlight w:val="none"/>
        </w:rPr>
        <w:fldChar w:fldCharType="begin"/>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instrText xml:space="preserve">HYPERLINK \l "_Toc351203652"</w:instrText>
      </w:r>
      <w:r>
        <w:rPr>
          <w:rStyle w:val="25"/>
          <w:rFonts w:ascii="Times New Roman" w:hAnsi="Times New Roman" w:eastAsia="仿宋_GB2312"/>
          <w:sz w:val="28"/>
          <w:szCs w:val="28"/>
          <w:highlight w:val="none"/>
        </w:rPr>
        <w:instrText xml:space="preserve"> </w:instrText>
      </w:r>
      <w:r>
        <w:rPr>
          <w:rFonts w:ascii="Times New Roman" w:hAnsi="Times New Roman" w:eastAsia="仿宋_GB2312"/>
          <w:sz w:val="28"/>
          <w:szCs w:val="28"/>
          <w:highlight w:val="none"/>
        </w:rPr>
        <w:fldChar w:fldCharType="separate"/>
      </w:r>
      <w:r>
        <w:rPr>
          <w:rStyle w:val="25"/>
          <w:rFonts w:ascii="Times New Roman" w:hAnsi="Times New Roman" w:eastAsia="仿宋_GB2312"/>
          <w:sz w:val="28"/>
          <w:szCs w:val="28"/>
          <w:highlight w:val="none"/>
        </w:rPr>
        <w:t>附件</w:t>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fldChar w:fldCharType="end"/>
      </w:r>
      <w:r>
        <w:rPr>
          <w:rFonts w:hint="eastAsia" w:ascii="Times New Roman" w:hAnsi="Times New Roman" w:eastAsia="仿宋_GB2312"/>
          <w:sz w:val="28"/>
          <w:szCs w:val="28"/>
          <w:highlight w:val="none"/>
        </w:rPr>
        <w:t>31</w:t>
      </w:r>
    </w:p>
    <w:p>
      <w:pPr>
        <w:pStyle w:val="4"/>
        <w:jc w:val="center"/>
        <w:outlineLvl w:val="9"/>
        <w:rPr>
          <w:rFonts w:ascii="Times New Roman" w:hAnsi="Times New Roman" w:eastAsia="仿宋_GB2312"/>
          <w:sz w:val="28"/>
          <w:szCs w:val="28"/>
          <w:highlight w:val="none"/>
        </w:rPr>
        <w:sectPr>
          <w:footerReference r:id="rId5" w:type="first"/>
          <w:pgSz w:w="11906" w:h="16838"/>
          <w:pgMar w:top="1418" w:right="1555" w:bottom="1418" w:left="1531" w:header="851" w:footer="992" w:gutter="0"/>
          <w:pgNumType w:fmt="decimal"/>
          <w:cols w:space="720" w:num="1"/>
          <w:titlePg/>
          <w:docGrid w:type="lines" w:linePitch="312" w:charSpace="0"/>
        </w:sectPr>
      </w:pPr>
      <w:r>
        <w:rPr>
          <w:rFonts w:ascii="Times New Roman" w:hAnsi="Times New Roman" w:eastAsia="仿宋_GB2312"/>
          <w:sz w:val="28"/>
          <w:szCs w:val="28"/>
          <w:highlight w:val="none"/>
        </w:rPr>
        <w:fldChar w:fldCharType="end"/>
      </w:r>
      <w:bookmarkStart w:id="81" w:name="_Toc351203480"/>
    </w:p>
    <w:p>
      <w:pPr>
        <w:jc w:val="center"/>
        <w:outlineLvl w:val="9"/>
        <w:rPr>
          <w:rFonts w:ascii="Times New Roman" w:hAnsi="Times New Roman" w:eastAsia="华文中宋"/>
          <w:b w:val="0"/>
          <w:color w:val="000000"/>
          <w:sz w:val="44"/>
          <w:szCs w:val="44"/>
          <w:highlight w:val="none"/>
        </w:rPr>
      </w:pPr>
      <w:r>
        <w:rPr>
          <w:rFonts w:ascii="华文中宋" w:hAnsi="华文中宋" w:eastAsia="华文中宋"/>
          <w:sz w:val="44"/>
          <w:szCs w:val="44"/>
          <w:highlight w:val="none"/>
        </w:rPr>
        <w:t>第一部分 合同协议书</w:t>
      </w:r>
      <w:bookmarkEnd w:id="75"/>
      <w:bookmarkEnd w:id="76"/>
      <w:bookmarkEnd w:id="81"/>
    </w:p>
    <w:p>
      <w:pPr>
        <w:spacing w:line="360" w:lineRule="auto"/>
        <w:rPr>
          <w:rFonts w:ascii="Times New Roman" w:hAnsi="Times New Roman" w:eastAsia="仿宋_GB2312"/>
          <w:b/>
          <w:color w:val="000000"/>
          <w:sz w:val="30"/>
          <w:szCs w:val="30"/>
          <w:highlight w:val="none"/>
          <w:u w:val="single"/>
        </w:rPr>
      </w:pPr>
      <w:r>
        <w:rPr>
          <w:rFonts w:ascii="Times New Roman" w:hAnsi="Times New Roman" w:eastAsia="仿宋_GB2312"/>
          <w:b/>
          <w:color w:val="000000"/>
          <w:sz w:val="30"/>
          <w:szCs w:val="30"/>
          <w:highlight w:val="none"/>
        </w:rPr>
        <w:t>发包人（全称）：</w:t>
      </w:r>
      <w:r>
        <w:rPr>
          <w:rFonts w:ascii="Times New Roman" w:hAnsi="Times New Roman" w:eastAsia="仿宋_GB2312"/>
          <w:b/>
          <w:color w:val="000000"/>
          <w:sz w:val="30"/>
          <w:szCs w:val="30"/>
          <w:highlight w:val="none"/>
          <w:u w:val="single"/>
        </w:rPr>
        <w:t xml:space="preserve">      </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 xml:space="preserve">    </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 xml:space="preserve">   </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w:t>
      </w:r>
    </w:p>
    <w:p>
      <w:pPr>
        <w:spacing w:line="360" w:lineRule="auto"/>
        <w:rPr>
          <w:rFonts w:ascii="Times New Roman" w:hAnsi="Times New Roman" w:eastAsia="仿宋_GB2312"/>
          <w:b/>
          <w:color w:val="000000"/>
          <w:sz w:val="30"/>
          <w:szCs w:val="30"/>
          <w:highlight w:val="none"/>
          <w:u w:val="single"/>
        </w:rPr>
      </w:pPr>
      <w:r>
        <w:rPr>
          <w:rFonts w:ascii="Times New Roman" w:hAnsi="Times New Roman" w:eastAsia="仿宋_GB2312"/>
          <w:b/>
          <w:color w:val="000000"/>
          <w:sz w:val="30"/>
          <w:szCs w:val="30"/>
          <w:highlight w:val="none"/>
        </w:rPr>
        <w:t>承包人（全称）：</w:t>
      </w:r>
      <w:r>
        <w:rPr>
          <w:rFonts w:ascii="Times New Roman" w:hAnsi="Times New Roman" w:eastAsia="仿宋_GB2312"/>
          <w:b/>
          <w:color w:val="000000"/>
          <w:sz w:val="30"/>
          <w:szCs w:val="30"/>
          <w:highlight w:val="none"/>
          <w:u w:val="single"/>
        </w:rPr>
        <w:t xml:space="preserve">  </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 xml:space="preserve">       </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 xml:space="preserve">   </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 xml:space="preserve"> </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w:t>
      </w:r>
      <w:r>
        <w:rPr>
          <w:rFonts w:hint="eastAsia" w:ascii="Times New Roman" w:hAnsi="Times New Roman" w:eastAsia="仿宋_GB2312"/>
          <w:b/>
          <w:color w:val="000000"/>
          <w:sz w:val="30"/>
          <w:szCs w:val="30"/>
          <w:highlight w:val="none"/>
          <w:u w:val="single"/>
        </w:rPr>
        <w:t xml:space="preserve">  </w:t>
      </w:r>
      <w:r>
        <w:rPr>
          <w:rFonts w:ascii="Times New Roman" w:hAnsi="Times New Roman" w:eastAsia="仿宋_GB2312"/>
          <w:b/>
          <w:color w:val="000000"/>
          <w:sz w:val="30"/>
          <w:szCs w:val="30"/>
          <w:highlight w:val="none"/>
          <w:u w:val="single"/>
        </w:rPr>
        <w:t></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根据《中华人民共和国合同法》、《中华人民共和国建筑法》及有关法律规定，遵循平等、自愿、公平和诚实信用的原则，双方就</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工程施工及有关事项协商一致</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共同达成如下协议：</w:t>
      </w:r>
    </w:p>
    <w:p>
      <w:pPr>
        <w:spacing w:before="120" w:after="120" w:line="360" w:lineRule="auto"/>
        <w:outlineLvl w:val="9"/>
        <w:rPr>
          <w:rFonts w:ascii="Times New Roman" w:hAnsi="Times New Roman" w:eastAsia="黑体"/>
          <w:bCs w:val="0"/>
          <w:color w:val="000000"/>
          <w:sz w:val="32"/>
          <w:szCs w:val="32"/>
          <w:highlight w:val="none"/>
        </w:rPr>
      </w:pPr>
      <w:r>
        <w:rPr>
          <w:rFonts w:ascii="Times New Roman" w:hAnsi="Times New Roman" w:eastAsia="黑体"/>
          <w:bCs w:val="0"/>
          <w:color w:val="000000"/>
          <w:sz w:val="32"/>
          <w:szCs w:val="32"/>
          <w:highlight w:val="none"/>
        </w:rPr>
        <w:t xml:space="preserve">   </w:t>
      </w:r>
      <w:r>
        <w:rPr>
          <w:rFonts w:ascii="Times New Roman" w:hAnsi="Times New Roman" w:eastAsia="黑体"/>
          <w:b w:val="0"/>
          <w:color w:val="000000"/>
          <w:sz w:val="32"/>
          <w:szCs w:val="32"/>
          <w:highlight w:val="none"/>
        </w:rPr>
        <w:t xml:space="preserve"> </w:t>
      </w:r>
      <w:bookmarkStart w:id="82" w:name="_Toc351203481"/>
      <w:r>
        <w:rPr>
          <w:rFonts w:ascii="Times New Roman" w:hAnsi="Times New Roman" w:eastAsia="黑体"/>
          <w:b w:val="0"/>
          <w:color w:val="000000"/>
          <w:sz w:val="32"/>
          <w:szCs w:val="32"/>
          <w:highlight w:val="none"/>
        </w:rPr>
        <w:t>一、工程概况</w:t>
      </w:r>
      <w:bookmarkEnd w:id="82"/>
    </w:p>
    <w:p>
      <w:pPr>
        <w:spacing w:line="360" w:lineRule="auto"/>
        <w:ind w:firstLine="588" w:firstLineChars="196"/>
        <w:rPr>
          <w:rFonts w:ascii="Times New Roman" w:hAnsi="Times New Roman" w:eastAsia="仿宋_GB2312"/>
          <w:color w:val="000000"/>
          <w:sz w:val="30"/>
          <w:szCs w:val="30"/>
          <w:highlight w:val="none"/>
          <w:u w:val="single"/>
        </w:rPr>
      </w:pPr>
      <w:r>
        <w:rPr>
          <w:rFonts w:ascii="Times New Roman" w:hAnsi="Times New Roman" w:eastAsia="仿宋_GB2312"/>
          <w:bCs/>
          <w:color w:val="000000"/>
          <w:sz w:val="30"/>
          <w:szCs w:val="30"/>
          <w:highlight w:val="none"/>
        </w:rPr>
        <w:t>1.工程名称</w:t>
      </w:r>
      <w:r>
        <w:rPr>
          <w:rFonts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p>
    <w:p>
      <w:pPr>
        <w:spacing w:line="360" w:lineRule="auto"/>
        <w:ind w:firstLine="588" w:firstLineChars="196"/>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2.工程地点：</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p>
    <w:p>
      <w:pPr>
        <w:spacing w:line="360" w:lineRule="auto"/>
        <w:ind w:firstLine="588" w:firstLineChars="196"/>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3.工程立项批准文号：</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bCs/>
          <w:color w:val="000000"/>
          <w:sz w:val="30"/>
          <w:szCs w:val="30"/>
          <w:highlight w:val="none"/>
        </w:rPr>
        <w:t>。</w:t>
      </w:r>
    </w:p>
    <w:p>
      <w:pPr>
        <w:spacing w:line="360" w:lineRule="auto"/>
        <w:ind w:firstLine="588" w:firstLineChars="196"/>
        <w:rPr>
          <w:rFonts w:hint="eastAsia"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4.资金来源：</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bCs/>
          <w:color w:val="000000"/>
          <w:sz w:val="30"/>
          <w:szCs w:val="30"/>
          <w:highlight w:val="none"/>
        </w:rPr>
        <w:t>。</w:t>
      </w:r>
    </w:p>
    <w:p>
      <w:pPr>
        <w:spacing w:line="360" w:lineRule="auto"/>
        <w:ind w:firstLine="588" w:firstLineChars="196"/>
        <w:rPr>
          <w:rFonts w:hint="eastAsia" w:ascii="Times New Roman" w:hAnsi="Times New Roman" w:eastAsia="仿宋_GB2312"/>
          <w:bCs/>
          <w:color w:val="000000"/>
          <w:sz w:val="30"/>
          <w:szCs w:val="30"/>
          <w:highlight w:val="none"/>
        </w:rPr>
      </w:pPr>
      <w:r>
        <w:rPr>
          <w:rFonts w:hint="eastAsia" w:ascii="Times New Roman" w:hAnsi="Times New Roman" w:eastAsia="仿宋_GB2312"/>
          <w:bCs/>
          <w:color w:val="000000"/>
          <w:sz w:val="30"/>
          <w:szCs w:val="30"/>
          <w:highlight w:val="none"/>
        </w:rPr>
        <w:t>5.工程内容：</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bCs/>
          <w:color w:val="000000"/>
          <w:sz w:val="30"/>
          <w:szCs w:val="30"/>
          <w:highlight w:val="none"/>
        </w:rPr>
        <w:t>。</w:t>
      </w:r>
    </w:p>
    <w:p>
      <w:pPr>
        <w:spacing w:line="360" w:lineRule="auto"/>
        <w:ind w:firstLine="588" w:firstLineChars="196"/>
        <w:rPr>
          <w:rFonts w:ascii="Times New Roman" w:hAnsi="Times New Roman" w:eastAsia="仿宋_GB2312"/>
          <w:bCs/>
          <w:color w:val="000000"/>
          <w:sz w:val="30"/>
          <w:szCs w:val="30"/>
          <w:highlight w:val="none"/>
        </w:rPr>
      </w:pPr>
      <w:r>
        <w:rPr>
          <w:rFonts w:hint="eastAsia" w:ascii="Times New Roman" w:hAnsi="Times New Roman" w:eastAsia="仿宋_GB2312"/>
          <w:color w:val="000000"/>
          <w:sz w:val="30"/>
          <w:szCs w:val="32"/>
          <w:highlight w:val="none"/>
        </w:rPr>
        <w:t>群体工程应附《</w:t>
      </w:r>
      <w:r>
        <w:rPr>
          <w:rFonts w:ascii="Times New Roman" w:hAnsi="Times New Roman" w:eastAsia="仿宋_GB2312"/>
          <w:color w:val="000000"/>
          <w:sz w:val="30"/>
          <w:szCs w:val="32"/>
          <w:highlight w:val="none"/>
        </w:rPr>
        <w:t>承包人承揽工程项目一览表</w:t>
      </w:r>
      <w:r>
        <w:rPr>
          <w:rFonts w:hint="eastAsia" w:ascii="Times New Roman" w:hAnsi="Times New Roman" w:eastAsia="仿宋_GB2312"/>
          <w:color w:val="000000"/>
          <w:sz w:val="30"/>
          <w:szCs w:val="32"/>
          <w:highlight w:val="none"/>
        </w:rPr>
        <w:t>》（附件1）。</w:t>
      </w:r>
    </w:p>
    <w:p>
      <w:pPr>
        <w:spacing w:line="360" w:lineRule="auto"/>
        <w:ind w:firstLine="588" w:firstLineChars="196"/>
        <w:rPr>
          <w:rFonts w:ascii="Times New Roman" w:hAnsi="Times New Roman" w:eastAsia="仿宋_GB2312"/>
          <w:bCs/>
          <w:color w:val="000000"/>
          <w:sz w:val="30"/>
          <w:szCs w:val="30"/>
          <w:highlight w:val="none"/>
        </w:rPr>
      </w:pPr>
      <w:r>
        <w:rPr>
          <w:rFonts w:hint="eastAsia" w:ascii="Times New Roman" w:hAnsi="Times New Roman" w:eastAsia="仿宋_GB2312"/>
          <w:bCs/>
          <w:color w:val="000000"/>
          <w:sz w:val="30"/>
          <w:szCs w:val="30"/>
          <w:highlight w:val="none"/>
        </w:rPr>
        <w:t>6</w:t>
      </w:r>
      <w:r>
        <w:rPr>
          <w:rFonts w:ascii="Times New Roman" w:hAnsi="Times New Roman" w:eastAsia="仿宋_GB2312"/>
          <w:bCs/>
          <w:color w:val="000000"/>
          <w:sz w:val="30"/>
          <w:szCs w:val="30"/>
          <w:highlight w:val="none"/>
        </w:rPr>
        <w:t>.工程承包范围：</w:t>
      </w:r>
    </w:p>
    <w:p>
      <w:pPr>
        <w:spacing w:line="360" w:lineRule="auto"/>
        <w:ind w:firstLine="579" w:firstLineChars="193"/>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w:t>
      </w:r>
      <w:r>
        <w:rPr>
          <w:rFonts w:ascii="Times New Roman" w:hAnsi="Times New Roman" w:eastAsia="仿宋_GB2312"/>
          <w:color w:val="000000"/>
          <w:sz w:val="30"/>
          <w:szCs w:val="30"/>
          <w:highlight w:val="none"/>
        </w:rPr>
        <w:t>。</w:t>
      </w:r>
    </w:p>
    <w:p>
      <w:pPr>
        <w:pStyle w:val="6"/>
        <w:spacing w:before="120" w:after="120" w:line="360" w:lineRule="auto"/>
        <w:rPr>
          <w:rFonts w:ascii="Times New Roman" w:hAnsi="Times New Roman" w:eastAsia="黑体"/>
          <w:b w:val="0"/>
          <w:color w:val="000000"/>
          <w:sz w:val="32"/>
          <w:szCs w:val="32"/>
          <w:highlight w:val="none"/>
        </w:rPr>
      </w:pPr>
      <w:r>
        <w:rPr>
          <w:rFonts w:ascii="Times New Roman" w:hAnsi="Times New Roman" w:eastAsia="黑体"/>
          <w:b w:val="0"/>
          <w:color w:val="000000"/>
          <w:sz w:val="32"/>
          <w:szCs w:val="32"/>
          <w:highlight w:val="none"/>
        </w:rPr>
        <w:t xml:space="preserve">   </w:t>
      </w:r>
      <w:bookmarkStart w:id="83" w:name="_Toc351203482"/>
      <w:r>
        <w:rPr>
          <w:rFonts w:ascii="Times New Roman" w:hAnsi="Times New Roman" w:eastAsia="黑体"/>
          <w:b w:val="0"/>
          <w:color w:val="000000"/>
          <w:sz w:val="32"/>
          <w:szCs w:val="32"/>
          <w:highlight w:val="none"/>
        </w:rPr>
        <w:t>二、合同工期</w:t>
      </w:r>
      <w:bookmarkEnd w:id="83"/>
    </w:p>
    <w:p>
      <w:pPr>
        <w:spacing w:line="360" w:lineRule="auto"/>
        <w:ind w:firstLine="459"/>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计划开工日期：</w:t>
      </w:r>
      <w:r>
        <w:rPr>
          <w:rFonts w:ascii="Times New Roman" w:hAnsi="Times New Roman" w:eastAsia="仿宋_GB2312"/>
          <w:color w:val="000000"/>
          <w:sz w:val="30"/>
          <w:szCs w:val="30"/>
          <w:highlight w:val="none"/>
          <w:u w:val="single"/>
        </w:rPr>
        <w:t></w:t>
      </w:r>
      <w:r>
        <w:rPr>
          <w:rFonts w:ascii="Times New Roman" w:hAnsi="Times New Roman" w:eastAsia="仿宋_GB2312"/>
          <w:color w:val="000000"/>
          <w:sz w:val="30"/>
          <w:szCs w:val="30"/>
          <w:highlight w:val="none"/>
        </w:rPr>
        <w:t>年</w:t>
      </w:r>
      <w:r>
        <w:rPr>
          <w:rFonts w:ascii="Times New Roman" w:hAnsi="Times New Roman" w:eastAsia="仿宋_GB2312"/>
          <w:color w:val="000000"/>
          <w:sz w:val="30"/>
          <w:szCs w:val="30"/>
          <w:highlight w:val="none"/>
          <w:u w:val="single"/>
        </w:rPr>
        <w:t></w:t>
      </w:r>
      <w:r>
        <w:rPr>
          <w:rFonts w:ascii="Times New Roman" w:hAnsi="Times New Roman" w:eastAsia="仿宋_GB2312"/>
          <w:color w:val="000000"/>
          <w:sz w:val="30"/>
          <w:szCs w:val="30"/>
          <w:highlight w:val="none"/>
        </w:rPr>
        <w:t>月</w:t>
      </w:r>
      <w:r>
        <w:rPr>
          <w:rFonts w:ascii="Times New Roman" w:hAnsi="Times New Roman" w:eastAsia="仿宋_GB2312"/>
          <w:color w:val="000000"/>
          <w:sz w:val="30"/>
          <w:szCs w:val="30"/>
          <w:highlight w:val="none"/>
          <w:u w:val="single"/>
        </w:rPr>
        <w:t></w:t>
      </w:r>
      <w:r>
        <w:rPr>
          <w:rFonts w:ascii="Times New Roman" w:hAnsi="Times New Roman" w:eastAsia="仿宋_GB2312"/>
          <w:color w:val="000000"/>
          <w:sz w:val="30"/>
          <w:szCs w:val="30"/>
          <w:highlight w:val="none"/>
        </w:rPr>
        <w:t>日。</w:t>
      </w:r>
    </w:p>
    <w:p>
      <w:pPr>
        <w:spacing w:line="360" w:lineRule="auto"/>
        <w:ind w:firstLine="459"/>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计划竣工日期：</w:t>
      </w:r>
      <w:r>
        <w:rPr>
          <w:rFonts w:ascii="Times New Roman" w:hAnsi="Times New Roman" w:eastAsia="仿宋_GB2312"/>
          <w:color w:val="000000"/>
          <w:sz w:val="30"/>
          <w:szCs w:val="30"/>
          <w:highlight w:val="none"/>
          <w:u w:val="single"/>
        </w:rPr>
        <w:t></w:t>
      </w:r>
      <w:r>
        <w:rPr>
          <w:rFonts w:ascii="Times New Roman" w:hAnsi="Times New Roman" w:eastAsia="仿宋_GB2312"/>
          <w:color w:val="000000"/>
          <w:sz w:val="30"/>
          <w:szCs w:val="30"/>
          <w:highlight w:val="none"/>
        </w:rPr>
        <w:t>年</w:t>
      </w:r>
      <w:r>
        <w:rPr>
          <w:rFonts w:ascii="Times New Roman" w:hAnsi="Times New Roman" w:eastAsia="仿宋_GB2312"/>
          <w:color w:val="000000"/>
          <w:sz w:val="30"/>
          <w:szCs w:val="30"/>
          <w:highlight w:val="none"/>
          <w:u w:val="single"/>
        </w:rPr>
        <w:t></w:t>
      </w:r>
      <w:r>
        <w:rPr>
          <w:rFonts w:ascii="Times New Roman" w:hAnsi="Times New Roman" w:eastAsia="仿宋_GB2312"/>
          <w:color w:val="000000"/>
          <w:sz w:val="30"/>
          <w:szCs w:val="30"/>
          <w:highlight w:val="none"/>
        </w:rPr>
        <w:t>月</w:t>
      </w:r>
      <w:r>
        <w:rPr>
          <w:rFonts w:ascii="Times New Roman" w:hAnsi="Times New Roman" w:eastAsia="仿宋_GB2312"/>
          <w:color w:val="000000"/>
          <w:sz w:val="30"/>
          <w:szCs w:val="30"/>
          <w:highlight w:val="none"/>
          <w:u w:val="single"/>
        </w:rPr>
        <w:t></w:t>
      </w:r>
      <w:r>
        <w:rPr>
          <w:rFonts w:ascii="Times New Roman" w:hAnsi="Times New Roman" w:eastAsia="仿宋_GB2312"/>
          <w:color w:val="000000"/>
          <w:sz w:val="30"/>
          <w:szCs w:val="30"/>
          <w:highlight w:val="none"/>
        </w:rPr>
        <w:t>日。</w:t>
      </w:r>
    </w:p>
    <w:p>
      <w:pPr>
        <w:spacing w:line="360" w:lineRule="auto"/>
        <w:ind w:firstLine="459"/>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工期总日历天数：</w:t>
      </w:r>
      <w:r>
        <w:rPr>
          <w:rFonts w:ascii="Times New Roman" w:hAnsi="Times New Roman" w:eastAsia="仿宋_GB2312"/>
          <w:color w:val="000000"/>
          <w:sz w:val="30"/>
          <w:szCs w:val="30"/>
          <w:highlight w:val="none"/>
          <w:u w:val="single"/>
        </w:rPr>
        <w:t></w:t>
      </w:r>
      <w:r>
        <w:rPr>
          <w:rFonts w:ascii="Times New Roman" w:hAnsi="Times New Roman" w:eastAsia="仿宋_GB2312"/>
          <w:color w:val="000000"/>
          <w:sz w:val="30"/>
          <w:szCs w:val="30"/>
          <w:highlight w:val="none"/>
        </w:rPr>
        <w:t>天。工期总日历天数与根据前述计划开竣工日期计算的工期天数不一致的，以工期总日历天数为准。</w:t>
      </w:r>
    </w:p>
    <w:p>
      <w:pPr>
        <w:pStyle w:val="6"/>
        <w:spacing w:before="120" w:after="120" w:line="360" w:lineRule="auto"/>
        <w:rPr>
          <w:rFonts w:ascii="Times New Roman" w:hAnsi="Times New Roman" w:eastAsia="黑体"/>
          <w:bCs w:val="0"/>
          <w:color w:val="000000"/>
          <w:sz w:val="32"/>
          <w:szCs w:val="32"/>
          <w:highlight w:val="none"/>
        </w:rPr>
      </w:pPr>
      <w:r>
        <w:rPr>
          <w:rFonts w:ascii="Times New Roman" w:hAnsi="Times New Roman" w:eastAsia="黑体"/>
          <w:bCs w:val="0"/>
          <w:color w:val="000000"/>
          <w:sz w:val="32"/>
          <w:szCs w:val="32"/>
          <w:highlight w:val="none"/>
        </w:rPr>
        <w:t xml:space="preserve">    </w:t>
      </w:r>
      <w:bookmarkStart w:id="84" w:name="_Toc351203483"/>
      <w:r>
        <w:rPr>
          <w:rFonts w:ascii="Times New Roman" w:hAnsi="Times New Roman" w:eastAsia="黑体"/>
          <w:b w:val="0"/>
          <w:color w:val="000000"/>
          <w:sz w:val="32"/>
          <w:szCs w:val="32"/>
          <w:highlight w:val="none"/>
        </w:rPr>
        <w:t>三、质量标准</w:t>
      </w:r>
      <w:bookmarkEnd w:id="84"/>
    </w:p>
    <w:p>
      <w:pPr>
        <w:spacing w:line="360" w:lineRule="auto"/>
        <w:ind w:firstLine="459"/>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工程质量符合</w:t>
      </w:r>
      <w:r>
        <w:rPr>
          <w:rFonts w:ascii="Times New Roman" w:hAnsi="Times New Roman" w:eastAsia="仿宋_GB2312"/>
          <w:color w:val="000000"/>
          <w:sz w:val="30"/>
          <w:szCs w:val="30"/>
          <w:highlight w:val="none"/>
          <w:u w:val="single"/>
        </w:rPr>
        <w:t></w:t>
      </w:r>
      <w:r>
        <w:rPr>
          <w:rFonts w:ascii="Times New Roman" w:hAnsi="Times New Roman" w:eastAsia="仿宋_GB2312"/>
          <w:color w:val="000000"/>
          <w:sz w:val="30"/>
          <w:szCs w:val="30"/>
          <w:highlight w:val="none"/>
        </w:rPr>
        <w:t>标准。</w:t>
      </w:r>
    </w:p>
    <w:p>
      <w:pPr>
        <w:pStyle w:val="6"/>
        <w:spacing w:before="120" w:after="120" w:line="360" w:lineRule="auto"/>
        <w:rPr>
          <w:rFonts w:ascii="Times New Roman" w:hAnsi="Times New Roman" w:eastAsia="黑体"/>
          <w:bCs w:val="0"/>
          <w:color w:val="000000"/>
          <w:sz w:val="32"/>
          <w:szCs w:val="32"/>
          <w:highlight w:val="none"/>
        </w:rPr>
      </w:pPr>
      <w:r>
        <w:rPr>
          <w:rFonts w:ascii="Times New Roman" w:hAnsi="Times New Roman" w:eastAsia="黑体"/>
          <w:bCs w:val="0"/>
          <w:color w:val="000000"/>
          <w:sz w:val="32"/>
          <w:szCs w:val="32"/>
          <w:highlight w:val="none"/>
        </w:rPr>
        <w:t xml:space="preserve">   </w:t>
      </w:r>
      <w:r>
        <w:rPr>
          <w:rFonts w:ascii="Times New Roman" w:hAnsi="Times New Roman" w:eastAsia="黑体"/>
          <w:b w:val="0"/>
          <w:color w:val="000000"/>
          <w:sz w:val="32"/>
          <w:szCs w:val="32"/>
          <w:highlight w:val="none"/>
        </w:rPr>
        <w:t xml:space="preserve"> </w:t>
      </w:r>
      <w:bookmarkStart w:id="85" w:name="_Toc351203484"/>
      <w:r>
        <w:rPr>
          <w:rFonts w:ascii="Times New Roman" w:hAnsi="Times New Roman" w:eastAsia="黑体"/>
          <w:b w:val="0"/>
          <w:color w:val="000000"/>
          <w:sz w:val="32"/>
          <w:szCs w:val="32"/>
          <w:highlight w:val="none"/>
        </w:rPr>
        <w:t>四、签约合同价与合同价格形式</w:t>
      </w:r>
      <w:bookmarkEnd w:id="85"/>
      <w:r>
        <w:rPr>
          <w:rFonts w:ascii="Times New Roman" w:hAnsi="Times New Roman" w:eastAsia="黑体"/>
          <w:b w:val="0"/>
          <w:color w:val="000000"/>
          <w:sz w:val="32"/>
          <w:szCs w:val="32"/>
          <w:highlight w:val="none"/>
        </w:rPr>
        <w:tab/>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1.签约合同价为：</w:t>
      </w:r>
    </w:p>
    <w:p>
      <w:pPr>
        <w:spacing w:line="360" w:lineRule="auto"/>
        <w:ind w:firstLine="750" w:firstLineChars="25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人民币（大写）</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元)；</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其中：</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（1）安全文明施工费：</w:t>
      </w:r>
    </w:p>
    <w:p>
      <w:pPr>
        <w:spacing w:line="360" w:lineRule="auto"/>
        <w:ind w:firstLine="1350" w:firstLineChars="45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人民币（大写）</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元)；</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（2）材料和工程设备暂估价金额：</w:t>
      </w:r>
    </w:p>
    <w:p>
      <w:pPr>
        <w:spacing w:line="360" w:lineRule="auto"/>
        <w:ind w:firstLine="1350" w:firstLineChars="45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人民币（大写）</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元)；</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（3）专业工程暂估价金额：</w:t>
      </w:r>
    </w:p>
    <w:p>
      <w:pPr>
        <w:spacing w:line="360" w:lineRule="auto"/>
        <w:ind w:firstLine="1350" w:firstLineChars="45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人民币（大写）</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元)；</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（4）暂列金额：</w:t>
      </w:r>
    </w:p>
    <w:p>
      <w:pPr>
        <w:spacing w:line="360" w:lineRule="auto"/>
        <w:ind w:firstLine="1350" w:firstLineChars="45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人民币（大写）</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元)。</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2.合同价格形式：</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p>
    <w:p>
      <w:pPr>
        <w:pStyle w:val="6"/>
        <w:spacing w:before="120" w:after="120" w:line="360" w:lineRule="auto"/>
        <w:rPr>
          <w:rFonts w:ascii="Times New Roman" w:hAnsi="Times New Roman" w:eastAsia="黑体"/>
          <w:b w:val="0"/>
          <w:color w:val="000000"/>
          <w:sz w:val="32"/>
          <w:szCs w:val="32"/>
          <w:highlight w:val="none"/>
        </w:rPr>
      </w:pPr>
      <w:r>
        <w:rPr>
          <w:rFonts w:ascii="Times New Roman" w:hAnsi="Times New Roman" w:eastAsia="黑体"/>
          <w:bCs w:val="0"/>
          <w:color w:val="000000"/>
          <w:sz w:val="32"/>
          <w:szCs w:val="32"/>
          <w:highlight w:val="none"/>
        </w:rPr>
        <w:t xml:space="preserve">   </w:t>
      </w:r>
      <w:r>
        <w:rPr>
          <w:rFonts w:ascii="Times New Roman" w:hAnsi="Times New Roman" w:eastAsia="黑体"/>
          <w:b w:val="0"/>
          <w:color w:val="000000"/>
          <w:sz w:val="32"/>
          <w:szCs w:val="32"/>
          <w:highlight w:val="none"/>
        </w:rPr>
        <w:t xml:space="preserve"> </w:t>
      </w:r>
      <w:bookmarkStart w:id="86" w:name="_Toc351203485"/>
      <w:r>
        <w:rPr>
          <w:rFonts w:ascii="Times New Roman" w:hAnsi="Times New Roman" w:eastAsia="黑体"/>
          <w:b w:val="0"/>
          <w:color w:val="000000"/>
          <w:sz w:val="32"/>
          <w:szCs w:val="32"/>
          <w:highlight w:val="none"/>
        </w:rPr>
        <w:t>五、</w:t>
      </w:r>
      <w:bookmarkEnd w:id="86"/>
      <w:r>
        <w:rPr>
          <w:rFonts w:ascii="Times New Roman" w:hAnsi="Times New Roman" w:eastAsia="黑体"/>
          <w:b w:val="0"/>
          <w:color w:val="000000"/>
          <w:sz w:val="32"/>
          <w:szCs w:val="32"/>
          <w:highlight w:val="none"/>
        </w:rPr>
        <w:t>项目经理</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承包人项目经理：</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w:t>
      </w:r>
      <w:r>
        <w:rPr>
          <w:rFonts w:ascii="Times New Roman" w:hAnsi="Times New Roman" w:eastAsia="仿宋_GB2312"/>
          <w:color w:val="000000"/>
          <w:sz w:val="30"/>
          <w:szCs w:val="30"/>
          <w:highlight w:val="none"/>
        </w:rPr>
        <w:t>。</w:t>
      </w:r>
    </w:p>
    <w:p>
      <w:pPr>
        <w:pStyle w:val="6"/>
        <w:spacing w:before="120" w:after="120" w:line="360" w:lineRule="auto"/>
        <w:rPr>
          <w:rFonts w:ascii="Times New Roman" w:hAnsi="Times New Roman" w:eastAsia="黑体"/>
          <w:bCs w:val="0"/>
          <w:color w:val="000000"/>
          <w:sz w:val="32"/>
          <w:szCs w:val="32"/>
          <w:highlight w:val="none"/>
        </w:rPr>
      </w:pPr>
      <w:r>
        <w:rPr>
          <w:rFonts w:ascii="Times New Roman" w:hAnsi="Times New Roman" w:eastAsia="黑体"/>
          <w:bCs w:val="0"/>
          <w:color w:val="000000"/>
          <w:sz w:val="32"/>
          <w:szCs w:val="32"/>
          <w:highlight w:val="none"/>
        </w:rPr>
        <w:t xml:space="preserve">   </w:t>
      </w:r>
      <w:r>
        <w:rPr>
          <w:rFonts w:ascii="Times New Roman" w:hAnsi="Times New Roman" w:eastAsia="黑体"/>
          <w:b w:val="0"/>
          <w:color w:val="000000"/>
          <w:sz w:val="32"/>
          <w:szCs w:val="32"/>
          <w:highlight w:val="none"/>
        </w:rPr>
        <w:t xml:space="preserve"> </w:t>
      </w:r>
      <w:bookmarkStart w:id="87" w:name="_Toc351203486"/>
      <w:r>
        <w:rPr>
          <w:rFonts w:ascii="Times New Roman" w:hAnsi="Times New Roman" w:eastAsia="黑体"/>
          <w:b w:val="0"/>
          <w:color w:val="000000"/>
          <w:sz w:val="32"/>
          <w:szCs w:val="32"/>
          <w:highlight w:val="none"/>
        </w:rPr>
        <w:t>六、合同文件构成</w:t>
      </w:r>
      <w:bookmarkEnd w:id="87"/>
    </w:p>
    <w:p>
      <w:pPr>
        <w:spacing w:line="360" w:lineRule="auto"/>
        <w:ind w:firstLine="600" w:firstLineChars="200"/>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本协议书与下列文件一起构成合同文件：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（1）中标通知书（如果有）；</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xml:space="preserve">（2）投标函及其附录（如果有）； </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（3）专用合同条款及其附件；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（4）通用合同条款；</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（5）技术标准和要求；</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（6）图纸；</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（7）已标价工程量清单或预算书；</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（8）其他合同文件。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在合同订立及履行过程中形成的与合同有关的文件均构成合同文件组成部分。</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30"/>
          <w:szCs w:val="30"/>
          <w:highlight w:val="none"/>
        </w:rPr>
        <w:t>专用合同条款及其附件须经合同当事人签字或盖章。</w:t>
      </w:r>
    </w:p>
    <w:p>
      <w:pPr>
        <w:pStyle w:val="6"/>
        <w:spacing w:before="120" w:after="120" w:line="360" w:lineRule="auto"/>
        <w:rPr>
          <w:rFonts w:ascii="Times New Roman" w:hAnsi="Times New Roman" w:eastAsia="黑体"/>
          <w:b w:val="0"/>
          <w:bCs w:val="0"/>
          <w:color w:val="000000"/>
          <w:sz w:val="32"/>
          <w:szCs w:val="32"/>
          <w:highlight w:val="none"/>
        </w:rPr>
      </w:pPr>
      <w:r>
        <w:rPr>
          <w:rFonts w:ascii="Times New Roman" w:hAnsi="Times New Roman" w:eastAsia="黑体"/>
          <w:b w:val="0"/>
          <w:bCs w:val="0"/>
          <w:color w:val="000000"/>
          <w:sz w:val="32"/>
          <w:szCs w:val="32"/>
          <w:highlight w:val="none"/>
        </w:rPr>
        <w:t xml:space="preserve">   </w:t>
      </w:r>
      <w:r>
        <w:rPr>
          <w:rFonts w:ascii="Times New Roman" w:hAnsi="Times New Roman" w:eastAsia="黑体"/>
          <w:b w:val="0"/>
          <w:color w:val="000000"/>
          <w:sz w:val="32"/>
          <w:szCs w:val="32"/>
          <w:highlight w:val="none"/>
        </w:rPr>
        <w:t xml:space="preserve"> </w:t>
      </w:r>
      <w:bookmarkStart w:id="88" w:name="_Toc351203487"/>
      <w:r>
        <w:rPr>
          <w:rFonts w:ascii="Times New Roman" w:hAnsi="Times New Roman" w:eastAsia="黑体"/>
          <w:b w:val="0"/>
          <w:color w:val="000000"/>
          <w:sz w:val="32"/>
          <w:szCs w:val="32"/>
          <w:highlight w:val="none"/>
        </w:rPr>
        <w:t>七、承诺</w:t>
      </w:r>
      <w:bookmarkEnd w:id="88"/>
    </w:p>
    <w:p>
      <w:pPr>
        <w:spacing w:line="360" w:lineRule="auto"/>
        <w:ind w:firstLine="600" w:firstLineChars="200"/>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1.发包人承诺按照法律规定履行项目审批手续、筹集工程建设资金并按照合同约定的期限和方式支付合同价款。</w:t>
      </w:r>
    </w:p>
    <w:p>
      <w:pPr>
        <w:spacing w:line="360" w:lineRule="auto"/>
        <w:ind w:firstLine="600" w:firstLineChars="200"/>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600" w:firstLineChars="200"/>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3.发包人和承包人通过招投标形式签订合同的，双方理解并</w:t>
      </w:r>
      <w:r>
        <w:rPr>
          <w:rFonts w:hint="eastAsia" w:ascii="Times New Roman" w:hAnsi="Times New Roman" w:eastAsia="仿宋_GB2312"/>
          <w:bCs/>
          <w:color w:val="000000"/>
          <w:sz w:val="30"/>
          <w:szCs w:val="30"/>
          <w:highlight w:val="none"/>
        </w:rPr>
        <w:t>承诺</w:t>
      </w:r>
      <w:r>
        <w:rPr>
          <w:rFonts w:ascii="Times New Roman" w:hAnsi="Times New Roman" w:eastAsia="仿宋_GB2312"/>
          <w:bCs/>
          <w:color w:val="000000"/>
          <w:sz w:val="30"/>
          <w:szCs w:val="30"/>
          <w:highlight w:val="none"/>
        </w:rPr>
        <w:t>不再就同一工程另行签订与合同实质性内容相背离的协议。</w:t>
      </w:r>
    </w:p>
    <w:p>
      <w:pPr>
        <w:spacing w:line="360" w:lineRule="auto"/>
        <w:rPr>
          <w:rFonts w:ascii="Times New Roman" w:hAnsi="Times New Roman" w:eastAsia="黑体"/>
          <w:bCs/>
          <w:color w:val="000000"/>
          <w:sz w:val="32"/>
          <w:szCs w:val="32"/>
          <w:highlight w:val="none"/>
        </w:rPr>
      </w:pPr>
      <w:bookmarkStart w:id="89" w:name="_Toc351203488"/>
      <w:r>
        <w:rPr>
          <w:rFonts w:hint="eastAsia" w:ascii="Times New Roman" w:hAnsi="Times New Roman" w:eastAsia="黑体"/>
          <w:b/>
          <w:color w:val="000000"/>
          <w:sz w:val="32"/>
          <w:szCs w:val="32"/>
          <w:highlight w:val="none"/>
        </w:rPr>
        <w:t xml:space="preserve">    </w:t>
      </w:r>
      <w:r>
        <w:rPr>
          <w:rFonts w:ascii="Times New Roman" w:hAnsi="Times New Roman" w:eastAsia="黑体"/>
          <w:b/>
          <w:color w:val="000000"/>
          <w:sz w:val="32"/>
          <w:szCs w:val="32"/>
          <w:highlight w:val="none"/>
        </w:rPr>
        <w:t>八、词语含义</w:t>
      </w:r>
      <w:bookmarkEnd w:id="89"/>
    </w:p>
    <w:p>
      <w:pPr>
        <w:spacing w:line="360" w:lineRule="auto"/>
        <w:ind w:firstLine="600" w:firstLineChars="200"/>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本协议书中词语含义与第二部分通用合同条款中赋予的含义相同。</w:t>
      </w:r>
    </w:p>
    <w:p>
      <w:pPr>
        <w:pStyle w:val="6"/>
        <w:spacing w:before="120" w:after="120" w:line="360" w:lineRule="auto"/>
        <w:rPr>
          <w:rFonts w:ascii="Times New Roman" w:hAnsi="Times New Roman" w:eastAsia="黑体"/>
          <w:bCs w:val="0"/>
          <w:color w:val="000000"/>
          <w:sz w:val="32"/>
          <w:szCs w:val="32"/>
          <w:highlight w:val="none"/>
        </w:rPr>
      </w:pPr>
      <w:r>
        <w:rPr>
          <w:rFonts w:ascii="Times New Roman" w:hAnsi="Times New Roman" w:eastAsia="黑体"/>
          <w:bCs w:val="0"/>
          <w:color w:val="000000"/>
          <w:sz w:val="32"/>
          <w:szCs w:val="32"/>
          <w:highlight w:val="none"/>
        </w:rPr>
        <w:t xml:space="preserve">  </w:t>
      </w:r>
      <w:r>
        <w:rPr>
          <w:rFonts w:ascii="Times New Roman" w:hAnsi="Times New Roman" w:eastAsia="黑体"/>
          <w:b w:val="0"/>
          <w:color w:val="000000"/>
          <w:sz w:val="32"/>
          <w:szCs w:val="32"/>
          <w:highlight w:val="none"/>
        </w:rPr>
        <w:t xml:space="preserve">  </w:t>
      </w:r>
      <w:bookmarkStart w:id="90" w:name="_Toc351203489"/>
      <w:r>
        <w:rPr>
          <w:rFonts w:ascii="Times New Roman" w:hAnsi="Times New Roman" w:eastAsia="黑体"/>
          <w:b w:val="0"/>
          <w:color w:val="000000"/>
          <w:sz w:val="32"/>
          <w:szCs w:val="32"/>
          <w:highlight w:val="none"/>
        </w:rPr>
        <w:t>九、签订时间</w:t>
      </w:r>
      <w:bookmarkEnd w:id="90"/>
    </w:p>
    <w:p>
      <w:pPr>
        <w:spacing w:line="360" w:lineRule="auto"/>
        <w:ind w:firstLine="600" w:firstLineChars="200"/>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本合同于</w:t>
      </w:r>
      <w:r>
        <w:rPr>
          <w:rFonts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rPr>
        <w:t>年</w:t>
      </w:r>
      <w:r>
        <w:rPr>
          <w:rFonts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rPr>
        <w:t>月</w:t>
      </w:r>
      <w:r>
        <w:rPr>
          <w:rFonts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rPr>
        <w:t>日签订。</w:t>
      </w:r>
    </w:p>
    <w:p>
      <w:pPr>
        <w:pStyle w:val="6"/>
        <w:spacing w:before="120" w:after="120" w:line="360" w:lineRule="auto"/>
        <w:rPr>
          <w:rFonts w:ascii="Times New Roman" w:hAnsi="Times New Roman" w:eastAsia="黑体"/>
          <w:bCs w:val="0"/>
          <w:color w:val="000000"/>
          <w:sz w:val="32"/>
          <w:szCs w:val="32"/>
          <w:highlight w:val="none"/>
        </w:rPr>
      </w:pPr>
      <w:r>
        <w:rPr>
          <w:rFonts w:ascii="Times New Roman" w:hAnsi="Times New Roman" w:eastAsia="黑体"/>
          <w:bCs w:val="0"/>
          <w:color w:val="000000"/>
          <w:sz w:val="32"/>
          <w:szCs w:val="32"/>
          <w:highlight w:val="none"/>
        </w:rPr>
        <w:t xml:space="preserve">    </w:t>
      </w:r>
      <w:bookmarkStart w:id="91" w:name="_Toc351203490"/>
      <w:r>
        <w:rPr>
          <w:rFonts w:ascii="Times New Roman" w:hAnsi="Times New Roman" w:eastAsia="黑体"/>
          <w:b w:val="0"/>
          <w:color w:val="000000"/>
          <w:sz w:val="32"/>
          <w:szCs w:val="32"/>
          <w:highlight w:val="none"/>
        </w:rPr>
        <w:t>十、签订地点</w:t>
      </w:r>
      <w:bookmarkEnd w:id="91"/>
    </w:p>
    <w:p>
      <w:pPr>
        <w:spacing w:line="360" w:lineRule="auto"/>
        <w:ind w:firstLine="600" w:firstLineChars="200"/>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本合同在</w:t>
      </w:r>
      <w:r>
        <w:rPr>
          <w:rFonts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rPr>
        <w:t>签订。</w:t>
      </w:r>
    </w:p>
    <w:p>
      <w:pPr>
        <w:pStyle w:val="6"/>
        <w:spacing w:before="120" w:after="120" w:line="360" w:lineRule="auto"/>
        <w:rPr>
          <w:rFonts w:ascii="Times New Roman" w:hAnsi="Times New Roman" w:eastAsia="黑体"/>
          <w:bCs w:val="0"/>
          <w:color w:val="000000"/>
          <w:sz w:val="32"/>
          <w:szCs w:val="32"/>
          <w:highlight w:val="none"/>
        </w:rPr>
      </w:pPr>
      <w:r>
        <w:rPr>
          <w:rFonts w:ascii="Times New Roman" w:hAnsi="Times New Roman" w:eastAsia="黑体"/>
          <w:bCs w:val="0"/>
          <w:color w:val="000000"/>
          <w:sz w:val="32"/>
          <w:szCs w:val="32"/>
          <w:highlight w:val="none"/>
        </w:rPr>
        <w:t xml:space="preserve">    </w:t>
      </w:r>
      <w:bookmarkStart w:id="92" w:name="_Toc351203491"/>
      <w:r>
        <w:rPr>
          <w:rFonts w:ascii="Times New Roman" w:hAnsi="Times New Roman" w:eastAsia="黑体"/>
          <w:b w:val="0"/>
          <w:color w:val="000000"/>
          <w:sz w:val="32"/>
          <w:szCs w:val="32"/>
          <w:highlight w:val="none"/>
        </w:rPr>
        <w:t>十一、补充协议</w:t>
      </w:r>
      <w:bookmarkEnd w:id="92"/>
    </w:p>
    <w:p>
      <w:pPr>
        <w:spacing w:line="360" w:lineRule="auto"/>
        <w:ind w:firstLine="600" w:firstLineChars="200"/>
        <w:rPr>
          <w:rFonts w:ascii="Times New Roman" w:hAnsi="Times New Roman" w:eastAsia="仿宋_GB2312"/>
          <w:b/>
          <w:bCs/>
          <w:color w:val="000000"/>
          <w:sz w:val="30"/>
          <w:szCs w:val="30"/>
          <w:highlight w:val="none"/>
        </w:rPr>
      </w:pPr>
      <w:r>
        <w:rPr>
          <w:rFonts w:ascii="Times New Roman" w:hAnsi="Times New Roman" w:eastAsia="仿宋_GB2312"/>
          <w:bCs/>
          <w:color w:val="000000"/>
          <w:sz w:val="30"/>
          <w:szCs w:val="30"/>
          <w:highlight w:val="none"/>
        </w:rPr>
        <w:t>合同未尽事宜，合同当事人另行签订补充协议</w:t>
      </w:r>
      <w:r>
        <w:rPr>
          <w:rFonts w:hint="eastAsia" w:ascii="Times New Roman" w:hAnsi="Times New Roman" w:eastAsia="仿宋_GB2312"/>
          <w:bCs/>
          <w:color w:val="000000"/>
          <w:sz w:val="30"/>
          <w:szCs w:val="30"/>
          <w:highlight w:val="none"/>
        </w:rPr>
        <w:t>，</w:t>
      </w:r>
      <w:r>
        <w:rPr>
          <w:rFonts w:ascii="Times New Roman" w:hAnsi="Times New Roman" w:eastAsia="仿宋_GB2312"/>
          <w:bCs/>
          <w:color w:val="000000"/>
          <w:sz w:val="30"/>
          <w:szCs w:val="30"/>
          <w:highlight w:val="none"/>
        </w:rPr>
        <w:t>补充协议是合同的组成部分。</w:t>
      </w:r>
    </w:p>
    <w:p>
      <w:pPr>
        <w:pStyle w:val="6"/>
        <w:spacing w:before="120" w:after="120" w:line="360" w:lineRule="auto"/>
        <w:rPr>
          <w:rFonts w:ascii="Times New Roman" w:hAnsi="Times New Roman" w:eastAsia="黑体"/>
          <w:bCs w:val="0"/>
          <w:color w:val="000000"/>
          <w:sz w:val="32"/>
          <w:szCs w:val="32"/>
          <w:highlight w:val="none"/>
        </w:rPr>
      </w:pPr>
      <w:r>
        <w:rPr>
          <w:rFonts w:ascii="Times New Roman" w:hAnsi="Times New Roman" w:eastAsia="黑体"/>
          <w:bCs w:val="0"/>
          <w:color w:val="000000"/>
          <w:sz w:val="32"/>
          <w:szCs w:val="32"/>
          <w:highlight w:val="none"/>
        </w:rPr>
        <w:t xml:space="preserve">    </w:t>
      </w:r>
      <w:bookmarkStart w:id="93" w:name="_Toc351203492"/>
      <w:r>
        <w:rPr>
          <w:rFonts w:ascii="Times New Roman" w:hAnsi="Times New Roman" w:eastAsia="黑体"/>
          <w:b w:val="0"/>
          <w:color w:val="000000"/>
          <w:sz w:val="32"/>
          <w:szCs w:val="32"/>
          <w:highlight w:val="none"/>
        </w:rPr>
        <w:t>十二、合同生效</w:t>
      </w:r>
      <w:bookmarkEnd w:id="93"/>
    </w:p>
    <w:p>
      <w:pPr>
        <w:spacing w:line="360" w:lineRule="auto"/>
        <w:ind w:firstLine="600" w:firstLineChars="200"/>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本合同自</w:t>
      </w:r>
      <w:r>
        <w:rPr>
          <w:rFonts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rPr>
        <w:t>生效。</w:t>
      </w:r>
    </w:p>
    <w:p>
      <w:pPr>
        <w:pStyle w:val="6"/>
        <w:spacing w:before="120" w:after="120" w:line="360" w:lineRule="auto"/>
        <w:rPr>
          <w:rFonts w:ascii="Times New Roman" w:hAnsi="Times New Roman" w:eastAsia="黑体"/>
          <w:bCs w:val="0"/>
          <w:color w:val="000000"/>
          <w:sz w:val="32"/>
          <w:szCs w:val="32"/>
          <w:highlight w:val="none"/>
        </w:rPr>
      </w:pPr>
      <w:r>
        <w:rPr>
          <w:rFonts w:ascii="Times New Roman" w:hAnsi="Times New Roman" w:eastAsia="黑体"/>
          <w:bCs w:val="0"/>
          <w:color w:val="000000"/>
          <w:sz w:val="32"/>
          <w:szCs w:val="32"/>
          <w:highlight w:val="none"/>
        </w:rPr>
        <w:t xml:space="preserve">    </w:t>
      </w:r>
      <w:bookmarkStart w:id="94" w:name="_Toc351203493"/>
      <w:r>
        <w:rPr>
          <w:rFonts w:ascii="Times New Roman" w:hAnsi="Times New Roman" w:eastAsia="黑体"/>
          <w:b w:val="0"/>
          <w:color w:val="000000"/>
          <w:sz w:val="32"/>
          <w:szCs w:val="32"/>
          <w:highlight w:val="none"/>
        </w:rPr>
        <w:t>十三、合同份数</w:t>
      </w:r>
      <w:bookmarkEnd w:id="94"/>
    </w:p>
    <w:p>
      <w:pPr>
        <w:spacing w:line="360" w:lineRule="auto"/>
        <w:ind w:firstLine="600" w:firstLineChars="200"/>
        <w:rPr>
          <w:rFonts w:ascii="Times New Roman" w:hAnsi="Times New Roman" w:eastAsia="仿宋_GB2312"/>
          <w:bCs/>
          <w:color w:val="000000"/>
          <w:sz w:val="30"/>
          <w:szCs w:val="30"/>
          <w:highlight w:val="none"/>
        </w:rPr>
      </w:pPr>
      <w:r>
        <w:rPr>
          <w:rFonts w:ascii="Times New Roman" w:hAnsi="Times New Roman" w:eastAsia="仿宋_GB2312"/>
          <w:bCs/>
          <w:color w:val="000000"/>
          <w:sz w:val="30"/>
          <w:szCs w:val="30"/>
          <w:highlight w:val="none"/>
        </w:rPr>
        <w:t>本合同一式</w:t>
      </w:r>
      <w:r>
        <w:rPr>
          <w:rFonts w:ascii="Times New Roman" w:hAnsi="Times New Roman" w:eastAsia="仿宋_GB2312"/>
          <w:bCs/>
          <w:color w:val="000000"/>
          <w:sz w:val="30"/>
          <w:szCs w:val="30"/>
          <w:highlight w:val="none"/>
          <w:u w:val="single"/>
        </w:rPr>
        <w:t xml:space="preserve">  </w:t>
      </w:r>
      <w:r>
        <w:rPr>
          <w:rFonts w:hint="eastAsia"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rPr>
        <w:t>份，均具有同等法律效力，发包人执</w:t>
      </w:r>
      <w:r>
        <w:rPr>
          <w:rFonts w:ascii="Times New Roman" w:hAnsi="Times New Roman" w:eastAsia="仿宋_GB2312"/>
          <w:bCs/>
          <w:color w:val="000000"/>
          <w:sz w:val="30"/>
          <w:szCs w:val="30"/>
          <w:highlight w:val="none"/>
          <w:u w:val="single"/>
        </w:rPr>
        <w:t xml:space="preserve">  </w:t>
      </w:r>
      <w:r>
        <w:rPr>
          <w:rFonts w:hint="eastAsia"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rPr>
        <w:t>份，承包人执</w:t>
      </w:r>
      <w:r>
        <w:rPr>
          <w:rFonts w:ascii="Times New Roman" w:hAnsi="Times New Roman" w:eastAsia="仿宋_GB2312"/>
          <w:bCs/>
          <w:color w:val="000000"/>
          <w:sz w:val="30"/>
          <w:szCs w:val="30"/>
          <w:highlight w:val="none"/>
          <w:u w:val="single"/>
        </w:rPr>
        <w:t xml:space="preserve">  </w:t>
      </w:r>
      <w:r>
        <w:rPr>
          <w:rFonts w:hint="eastAsia"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u w:val="single"/>
        </w:rPr>
        <w:t xml:space="preserve"> </w:t>
      </w:r>
      <w:r>
        <w:rPr>
          <w:rFonts w:ascii="Times New Roman" w:hAnsi="Times New Roman" w:eastAsia="仿宋_GB2312"/>
          <w:bCs/>
          <w:color w:val="000000"/>
          <w:sz w:val="30"/>
          <w:szCs w:val="30"/>
          <w:highlight w:val="none"/>
        </w:rPr>
        <w:t>份。</w:t>
      </w:r>
    </w:p>
    <w:p>
      <w:pPr>
        <w:spacing w:line="360" w:lineRule="auto"/>
        <w:rPr>
          <w:rFonts w:hint="eastAsia" w:ascii="Times New Roman" w:hAnsi="Times New Roman" w:eastAsia="仿宋_GB2312"/>
          <w:bCs/>
          <w:color w:val="000000"/>
          <w:sz w:val="30"/>
          <w:szCs w:val="30"/>
          <w:highlight w:val="none"/>
        </w:rPr>
      </w:pPr>
    </w:p>
    <w:p>
      <w:pPr>
        <w:spacing w:line="360" w:lineRule="auto"/>
        <w:rPr>
          <w:rFonts w:hint="eastAsia" w:ascii="Times New Roman" w:hAnsi="Times New Roman" w:eastAsia="仿宋_GB2312"/>
          <w:bCs/>
          <w:color w:val="000000"/>
          <w:sz w:val="30"/>
          <w:szCs w:val="30"/>
          <w:highlight w:val="none"/>
        </w:rPr>
      </w:pPr>
    </w:p>
    <w:p>
      <w:pPr>
        <w:spacing w:line="360" w:lineRule="auto"/>
        <w:rPr>
          <w:rFonts w:hint="eastAsia" w:ascii="Times New Roman" w:hAnsi="Times New Roman" w:eastAsia="仿宋_GB2312"/>
          <w:bCs/>
          <w:color w:val="000000"/>
          <w:sz w:val="30"/>
          <w:szCs w:val="30"/>
          <w:highlight w:val="none"/>
        </w:rPr>
      </w:pPr>
    </w:p>
    <w:p>
      <w:pPr>
        <w:spacing w:line="360" w:lineRule="auto"/>
        <w:rPr>
          <w:rFonts w:hint="eastAsia" w:ascii="Times New Roman" w:hAnsi="Times New Roman" w:eastAsia="仿宋_GB2312"/>
          <w:bCs/>
          <w:color w:val="000000"/>
          <w:sz w:val="30"/>
          <w:szCs w:val="30"/>
          <w:highlight w:val="none"/>
        </w:rPr>
      </w:pPr>
    </w:p>
    <w:p>
      <w:pPr>
        <w:spacing w:line="360" w:lineRule="auto"/>
        <w:rPr>
          <w:rFonts w:hint="eastAsia" w:ascii="Times New Roman" w:hAnsi="Times New Roman" w:eastAsia="仿宋_GB2312"/>
          <w:bCs/>
          <w:color w:val="000000"/>
          <w:sz w:val="30"/>
          <w:szCs w:val="30"/>
          <w:highlight w:val="none"/>
        </w:rPr>
      </w:pPr>
    </w:p>
    <w:p>
      <w:pPr>
        <w:spacing w:line="360" w:lineRule="auto"/>
        <w:rPr>
          <w:rFonts w:hint="eastAsia" w:ascii="Times New Roman" w:hAnsi="Times New Roman" w:eastAsia="仿宋_GB2312"/>
          <w:bCs/>
          <w:color w:val="000000"/>
          <w:sz w:val="30"/>
          <w:szCs w:val="30"/>
          <w:highlight w:val="none"/>
        </w:rPr>
      </w:pPr>
    </w:p>
    <w:p>
      <w:pPr>
        <w:spacing w:line="360" w:lineRule="auto"/>
        <w:rPr>
          <w:rFonts w:hint="eastAsia" w:ascii="Times New Roman" w:hAnsi="Times New Roman" w:eastAsia="仿宋_GB2312"/>
          <w:bCs/>
          <w:color w:val="000000"/>
          <w:sz w:val="30"/>
          <w:szCs w:val="30"/>
          <w:highlight w:val="none"/>
        </w:rPr>
      </w:pPr>
    </w:p>
    <w:p>
      <w:pPr>
        <w:spacing w:line="360" w:lineRule="auto"/>
        <w:rPr>
          <w:rFonts w:hint="eastAsia" w:ascii="Times New Roman" w:hAnsi="Times New Roman" w:eastAsia="仿宋_GB2312"/>
          <w:color w:val="000000"/>
          <w:sz w:val="30"/>
          <w:szCs w:val="30"/>
          <w:highlight w:val="none"/>
        </w:rPr>
      </w:pPr>
    </w:p>
    <w:p>
      <w:pPr>
        <w:spacing w:line="360" w:lineRule="auto"/>
        <w:rPr>
          <w:rFonts w:hint="eastAsia"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发包人</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(公章)</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承包人</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(公章)</w:t>
      </w:r>
    </w:p>
    <w:p>
      <w:pPr>
        <w:spacing w:line="360" w:lineRule="auto"/>
        <w:rPr>
          <w:rFonts w:hint="eastAsia" w:ascii="Times New Roman" w:hAnsi="Times New Roman" w:eastAsia="仿宋_GB2312"/>
          <w:color w:val="000000"/>
          <w:sz w:val="30"/>
          <w:szCs w:val="30"/>
          <w:highlight w:val="none"/>
          <w:u w:val="single"/>
        </w:rPr>
      </w:pPr>
      <w:r>
        <w:rPr>
          <w:rFonts w:hint="eastAsia" w:ascii="Times New Roman" w:hAnsi="Times New Roman" w:eastAsia="仿宋_GB2312"/>
          <w:color w:val="000000"/>
          <w:sz w:val="30"/>
          <w:szCs w:val="30"/>
          <w:highlight w:val="none"/>
        </w:rPr>
        <w:t xml:space="preserve">                                 </w:t>
      </w:r>
    </w:p>
    <w:p>
      <w:pPr>
        <w:spacing w:line="360" w:lineRule="auto"/>
        <w:rPr>
          <w:rFonts w:hint="eastAsia"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法定代表人或其委托代理人：  法定代表人或其委托代理人：</w:t>
      </w:r>
    </w:p>
    <w:p>
      <w:pPr>
        <w:spacing w:line="360" w:lineRule="auto"/>
        <w:rPr>
          <w:rFonts w:hint="eastAsia"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（签字）                    （签字）</w:t>
      </w:r>
    </w:p>
    <w:p>
      <w:pPr>
        <w:spacing w:line="360" w:lineRule="auto"/>
        <w:rPr>
          <w:rFonts w:hint="eastAsia" w:ascii="Times New Roman" w:hAnsi="Times New Roman" w:eastAsia="仿宋_GB2312"/>
          <w:color w:val="000000"/>
          <w:sz w:val="30"/>
          <w:szCs w:val="30"/>
          <w:highlight w:val="none"/>
          <w:u w:val="single"/>
        </w:rPr>
      </w:pPr>
    </w:p>
    <w:p>
      <w:pPr>
        <w:tabs>
          <w:tab w:val="left" w:pos="4410"/>
        </w:tabs>
        <w:spacing w:line="360" w:lineRule="auto"/>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组织机构代码：</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hint="eastAsia" w:ascii="Times New Roman" w:hAnsi="Times New Roman" w:eastAsia="仿宋_GB2312"/>
          <w:color w:val="000000"/>
          <w:sz w:val="30"/>
          <w:szCs w:val="30"/>
          <w:highlight w:val="none"/>
        </w:rPr>
        <w:t xml:space="preserve"> 组织机构代码：</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地  址：</w:t>
      </w:r>
      <w:r>
        <w:rPr>
          <w:rFonts w:ascii="Times New Roman" w:hAnsi="Times New Roman" w:eastAsia="仿宋_GB2312"/>
          <w:color w:val="000000"/>
          <w:sz w:val="30"/>
          <w:szCs w:val="30"/>
          <w:highlight w:val="none"/>
          <w:u w:val="single"/>
        </w:rPr>
        <w:t xml:space="preserve"> 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地  址：</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邮政编码：</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邮政编码：</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法定代表人：</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法定代表人：</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委托代理人：</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委托代理人：</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电  话：</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电  话：</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传  真：</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传  真：</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电子信箱：</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电子信箱：</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开户银行：</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开户银行：</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账  号：</w:t>
      </w:r>
      <w:r>
        <w:rPr>
          <w:rFonts w:ascii="Times New Roman" w:hAnsi="Times New Roman" w:eastAsia="仿宋_GB2312"/>
          <w:color w:val="000000"/>
          <w:sz w:val="30"/>
          <w:szCs w:val="30"/>
          <w:highlight w:val="none"/>
          <w:u w:val="single"/>
        </w:rPr>
        <w:t xml:space="preserve"> 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账</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 xml:space="preserve"> 号：</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p>
    <w:p>
      <w:pPr>
        <w:jc w:val="center"/>
        <w:outlineLvl w:val="9"/>
        <w:rPr>
          <w:rFonts w:hint="eastAsia" w:ascii="华文中宋" w:hAnsi="华文中宋" w:eastAsia="华文中宋"/>
          <w:sz w:val="44"/>
          <w:szCs w:val="44"/>
          <w:highlight w:val="none"/>
        </w:rPr>
      </w:pPr>
      <w:r>
        <w:rPr>
          <w:rFonts w:eastAsia="仿宋_GB2312"/>
          <w:highlight w:val="none"/>
        </w:rPr>
        <w:br w:type="page"/>
      </w:r>
      <w:bookmarkStart w:id="95" w:name="_Toc351203494"/>
      <w:r>
        <w:rPr>
          <w:rFonts w:ascii="华文中宋" w:hAnsi="华文中宋" w:eastAsia="华文中宋"/>
          <w:sz w:val="44"/>
          <w:szCs w:val="44"/>
          <w:highlight w:val="none"/>
        </w:rPr>
        <w:t>第二部分 通用合同条款</w:t>
      </w:r>
      <w:bookmarkEnd w:id="95"/>
      <w:bookmarkStart w:id="96" w:name="_Toc337558727"/>
    </w:p>
    <w:p>
      <w:pPr>
        <w:spacing w:before="120" w:after="120" w:line="360" w:lineRule="auto"/>
        <w:outlineLvl w:val="9"/>
        <w:rPr>
          <w:rFonts w:ascii="Times New Roman" w:hAnsi="Times New Roman" w:eastAsia="黑体"/>
          <w:b w:val="0"/>
          <w:color w:val="000000"/>
          <w:sz w:val="32"/>
          <w:szCs w:val="32"/>
          <w:highlight w:val="none"/>
        </w:rPr>
      </w:pPr>
      <w:bookmarkStart w:id="97" w:name="_Toc351203495"/>
      <w:r>
        <w:rPr>
          <w:rFonts w:ascii="Times New Roman" w:hAnsi="Times New Roman" w:eastAsia="黑体"/>
          <w:b w:val="0"/>
          <w:color w:val="000000"/>
          <w:sz w:val="32"/>
          <w:szCs w:val="32"/>
          <w:highlight w:val="none"/>
        </w:rPr>
        <w:t>1.</w:t>
      </w:r>
      <w:bookmarkStart w:id="98" w:name="_Toc303538974"/>
      <w:bookmarkEnd w:id="98"/>
      <w:bookmarkStart w:id="99" w:name="_Toc303538973"/>
      <w:bookmarkEnd w:id="99"/>
      <w:bookmarkStart w:id="100" w:name="_Toc303538976"/>
      <w:bookmarkEnd w:id="100"/>
      <w:bookmarkStart w:id="101" w:name="_Toc303538975"/>
      <w:bookmarkEnd w:id="101"/>
      <w:bookmarkStart w:id="102" w:name="_Toc303538972"/>
      <w:bookmarkEnd w:id="102"/>
      <w:bookmarkStart w:id="103" w:name="_Toc296503027"/>
      <w:bookmarkStart w:id="104" w:name="_Toc296346528"/>
      <w:r>
        <w:rPr>
          <w:rFonts w:ascii="Times New Roman" w:hAnsi="Times New Roman" w:eastAsia="黑体"/>
          <w:b w:val="0"/>
          <w:color w:val="000000"/>
          <w:sz w:val="32"/>
          <w:szCs w:val="32"/>
          <w:highlight w:val="none"/>
        </w:rPr>
        <w:t xml:space="preserve"> 一般约定</w:t>
      </w:r>
      <w:bookmarkEnd w:id="96"/>
      <w:bookmarkEnd w:id="97"/>
      <w:bookmarkEnd w:id="103"/>
      <w:bookmarkEnd w:id="104"/>
    </w:p>
    <w:p>
      <w:pPr>
        <w:spacing w:before="120" w:after="120" w:line="360" w:lineRule="auto"/>
        <w:ind w:firstLine="600" w:firstLineChars="200"/>
        <w:outlineLvl w:val="9"/>
        <w:rPr>
          <w:rFonts w:ascii="Times New Roman" w:hAnsi="Times New Roman" w:eastAsia="黑体"/>
          <w:b w:val="0"/>
          <w:color w:val="000000"/>
          <w:sz w:val="30"/>
          <w:szCs w:val="32"/>
          <w:highlight w:val="none"/>
        </w:rPr>
      </w:pPr>
      <w:bookmarkStart w:id="105" w:name="_Toc296503028"/>
      <w:bookmarkStart w:id="106" w:name="_Toc337558728"/>
      <w:bookmarkStart w:id="107" w:name="_Toc296346529"/>
      <w:bookmarkStart w:id="108" w:name="_Toc351203496"/>
      <w:r>
        <w:rPr>
          <w:rFonts w:ascii="Times New Roman" w:hAnsi="Times New Roman" w:eastAsia="黑体"/>
          <w:b w:val="0"/>
          <w:color w:val="000000"/>
          <w:sz w:val="30"/>
          <w:szCs w:val="32"/>
          <w:highlight w:val="none"/>
        </w:rPr>
        <w:t>1.1词语定义</w:t>
      </w:r>
      <w:bookmarkEnd w:id="105"/>
      <w:bookmarkEnd w:id="106"/>
      <w:bookmarkEnd w:id="107"/>
      <w:r>
        <w:rPr>
          <w:rFonts w:ascii="Times New Roman" w:hAnsi="Times New Roman" w:eastAsia="黑体"/>
          <w:b w:val="0"/>
          <w:color w:val="000000"/>
          <w:sz w:val="30"/>
          <w:szCs w:val="32"/>
          <w:highlight w:val="none"/>
        </w:rPr>
        <w:t>与解释</w:t>
      </w:r>
      <w:bookmarkEnd w:id="108"/>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合同协议书、通用合同条款、专用合同条款中的下列词语具有本款所赋予的含义：</w:t>
      </w:r>
    </w:p>
    <w:p>
      <w:pPr>
        <w:autoSpaceDE w:val="0"/>
        <w:autoSpaceDN w:val="0"/>
        <w:adjustRightInd w:val="0"/>
        <w:spacing w:line="360" w:lineRule="auto"/>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    1.1.1 合同</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0"/>
          <w:highlight w:val="none"/>
        </w:rPr>
      </w:pPr>
      <w:r>
        <w:rPr>
          <w:rFonts w:ascii="Times New Roman" w:hAnsi="Times New Roman" w:eastAsia="仿宋_GB2312"/>
          <w:color w:val="000000"/>
          <w:kern w:val="0"/>
          <w:sz w:val="30"/>
          <w:szCs w:val="30"/>
          <w:highlight w:val="none"/>
        </w:rPr>
        <w:t>1.1.1.1 合同：是指根据法律规定和合同当事人约定具有约束力的文件，构成合同的文件包括合同协议书、中标通知书（如果有）、投标函及其附录（如果有）、专用合同条款</w:t>
      </w:r>
      <w:r>
        <w:rPr>
          <w:rFonts w:ascii="Times New Roman" w:hAnsi="Times New Roman" w:eastAsia="仿宋_GB2312"/>
          <w:color w:val="000000"/>
          <w:sz w:val="30"/>
          <w:szCs w:val="30"/>
          <w:highlight w:val="none"/>
        </w:rPr>
        <w:t>及其附件</w:t>
      </w:r>
      <w:r>
        <w:rPr>
          <w:rFonts w:ascii="Times New Roman" w:hAnsi="Times New Roman" w:eastAsia="仿宋_GB2312"/>
          <w:color w:val="000000"/>
          <w:kern w:val="0"/>
          <w:sz w:val="30"/>
          <w:szCs w:val="30"/>
          <w:highlight w:val="none"/>
        </w:rPr>
        <w:t>、通用合同条款、技术标准和要求、图纸、已标价工程量清单或预算书以及其他合同文件。</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1.1.1.2 合同协议书：是指构成合同的由发包人和承包人共同签署的称为“合同协议书”的书面文件</w:t>
      </w:r>
      <w:r>
        <w:rPr>
          <w:rFonts w:hint="eastAsia" w:ascii="Times New Roman" w:hAnsi="Times New Roman" w:eastAsia="仿宋_GB2312"/>
          <w:color w:val="000000"/>
          <w:kern w:val="0"/>
          <w:sz w:val="30"/>
          <w:szCs w:val="32"/>
          <w:highlight w:val="none"/>
        </w:rPr>
        <w:t>。</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1.1.1.3 中标通知书：是指构成合同的</w:t>
      </w:r>
      <w:r>
        <w:rPr>
          <w:rFonts w:hint="eastAsia" w:ascii="Times New Roman" w:hAnsi="Times New Roman" w:eastAsia="仿宋_GB2312"/>
          <w:color w:val="000000"/>
          <w:kern w:val="0"/>
          <w:sz w:val="30"/>
          <w:szCs w:val="32"/>
          <w:highlight w:val="none"/>
        </w:rPr>
        <w:t>由</w:t>
      </w:r>
      <w:r>
        <w:rPr>
          <w:rFonts w:ascii="Times New Roman" w:hAnsi="Times New Roman" w:eastAsia="仿宋_GB2312"/>
          <w:color w:val="000000"/>
          <w:kern w:val="0"/>
          <w:sz w:val="30"/>
          <w:szCs w:val="32"/>
          <w:highlight w:val="none"/>
        </w:rPr>
        <w:t>发包人通知承包人中标的书面文件。</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1.1.1.4 投标函：是指构成合同的由承包人填写并签署的用于投标的称为“投标函”的文件。</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1.1.1.5 投标函附录：是指构成合同的附在投标函后的称为“投标函附录”的文件。</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1.1.1.6 技术标准和要求：是指构成合同的施工应当遵守的或指导施工的国家、行业或地方的技术标准和要求，以及合同约定的技术标准和要求。</w:t>
      </w:r>
    </w:p>
    <w:p>
      <w:pPr>
        <w:spacing w:line="360" w:lineRule="auto"/>
        <w:ind w:firstLine="600" w:firstLineChars="200"/>
        <w:jc w:val="left"/>
        <w:outlineLvl w:val="9"/>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1.1.1.7 图纸：是指构成合同的图纸，包括由发包人按照合同约定提供或经发包人批准的设计文件、</w:t>
      </w:r>
      <w:r>
        <w:rPr>
          <w:rFonts w:hint="eastAsia" w:ascii="Times New Roman" w:hAnsi="Times New Roman" w:eastAsia="仿宋_GB2312"/>
          <w:color w:val="000000"/>
          <w:kern w:val="0"/>
          <w:sz w:val="30"/>
          <w:szCs w:val="32"/>
          <w:highlight w:val="none"/>
        </w:rPr>
        <w:t>施工图、</w:t>
      </w:r>
      <w:r>
        <w:rPr>
          <w:rFonts w:ascii="Times New Roman" w:hAnsi="Times New Roman" w:eastAsia="仿宋_GB2312"/>
          <w:color w:val="000000"/>
          <w:kern w:val="0"/>
          <w:sz w:val="30"/>
          <w:szCs w:val="32"/>
          <w:highlight w:val="none"/>
        </w:rPr>
        <w:t>鸟瞰图及模型等，</w:t>
      </w:r>
      <w:r>
        <w:rPr>
          <w:rFonts w:hint="eastAsia" w:ascii="Times New Roman" w:hAnsi="Times New Roman" w:eastAsia="仿宋_GB2312"/>
          <w:color w:val="000000"/>
          <w:kern w:val="0"/>
          <w:sz w:val="30"/>
          <w:szCs w:val="32"/>
          <w:highlight w:val="none"/>
        </w:rPr>
        <w:t>以及在合同履行过程中形成的图纸文件。图纸</w:t>
      </w:r>
      <w:r>
        <w:rPr>
          <w:rFonts w:ascii="Times New Roman" w:hAnsi="Times New Roman" w:eastAsia="仿宋_GB2312"/>
          <w:color w:val="000000"/>
          <w:kern w:val="0"/>
          <w:sz w:val="30"/>
          <w:szCs w:val="32"/>
          <w:highlight w:val="none"/>
        </w:rPr>
        <w:t>应当按照法律规定审查合格。</w:t>
      </w:r>
    </w:p>
    <w:p>
      <w:pPr>
        <w:autoSpaceDE w:val="0"/>
        <w:autoSpaceDN w:val="0"/>
        <w:adjustRightInd w:val="0"/>
        <w:spacing w:line="360" w:lineRule="auto"/>
        <w:ind w:firstLine="585" w:firstLineChars="195"/>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1.1.1.8 已标价工程量清单：是指构成合同的由承包人按照规定的格式和要求填写并标明价格的工程量清单，包括说明和表格。</w:t>
      </w:r>
    </w:p>
    <w:p>
      <w:pPr>
        <w:autoSpaceDE w:val="0"/>
        <w:autoSpaceDN w:val="0"/>
        <w:adjustRightInd w:val="0"/>
        <w:spacing w:line="360" w:lineRule="auto"/>
        <w:ind w:firstLine="585" w:firstLineChars="195"/>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1.1.1.9 预算书：是指构成合同的由承包人按照发包人规定的格式和要求编制的工程预算文件。</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    1.1.2 合同当事人及其他相关方</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1.1.2.1 合同当事人：是指发包人和（或）承包人。</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1.1.2.2 发包人：是指与承包人签订合同协议书的当事人及取得该当事人资格的合法继承人。</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1.1.2.3 承包人：是指与发包人签订合同协议书的，具有相应工程施工承包资质的当事人及取得该当事人资格的合法继承人。</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1.1.2.4 监理人：是指在专用合同条款中指明的，受发包人委托按照法律规定进行工程监督管理的法人或其他组织。</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1.1.2.5 设计人：是指在专用合同条款中指明的，受发包人委托负责工程设计并具备相应工程设计资质的法人或其他组织。</w:t>
      </w:r>
    </w:p>
    <w:p>
      <w:pPr>
        <w:spacing w:line="360" w:lineRule="auto"/>
        <w:ind w:firstLine="585" w:firstLineChars="195"/>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1.1.2.6 分包人：</w:t>
      </w:r>
      <w:bookmarkStart w:id="109" w:name="#go5"/>
      <w:bookmarkEnd w:id="109"/>
      <w:r>
        <w:rPr>
          <w:rFonts w:ascii="Times New Roman" w:hAnsi="Times New Roman" w:eastAsia="仿宋_GB2312"/>
          <w:color w:val="000000"/>
          <w:kern w:val="0"/>
          <w:sz w:val="30"/>
          <w:szCs w:val="32"/>
          <w:highlight w:val="none"/>
        </w:rPr>
        <w:t>是指</w:t>
      </w:r>
      <w:r>
        <w:rPr>
          <w:rFonts w:hint="eastAsia" w:ascii="Times New Roman" w:hAnsi="Times New Roman" w:eastAsia="仿宋_GB2312"/>
          <w:color w:val="000000"/>
          <w:kern w:val="0"/>
          <w:sz w:val="30"/>
          <w:szCs w:val="32"/>
          <w:highlight w:val="none"/>
        </w:rPr>
        <w:t>按照法律规定和</w:t>
      </w:r>
      <w:r>
        <w:rPr>
          <w:rFonts w:ascii="Times New Roman" w:hAnsi="Times New Roman" w:eastAsia="仿宋_GB2312"/>
          <w:color w:val="000000"/>
          <w:kern w:val="0"/>
          <w:sz w:val="30"/>
          <w:szCs w:val="32"/>
          <w:highlight w:val="none"/>
        </w:rPr>
        <w:t>合同约定，分包</w:t>
      </w:r>
      <w:r>
        <w:rPr>
          <w:rFonts w:hint="eastAsia" w:ascii="Times New Roman" w:hAnsi="Times New Roman" w:eastAsia="仿宋_GB2312"/>
          <w:color w:val="000000"/>
          <w:kern w:val="0"/>
          <w:sz w:val="30"/>
          <w:szCs w:val="32"/>
          <w:highlight w:val="none"/>
        </w:rPr>
        <w:t>部分</w:t>
      </w:r>
      <w:r>
        <w:rPr>
          <w:rFonts w:ascii="Times New Roman" w:hAnsi="Times New Roman" w:eastAsia="仿宋_GB2312"/>
          <w:color w:val="000000"/>
          <w:kern w:val="0"/>
          <w:sz w:val="30"/>
          <w:szCs w:val="32"/>
          <w:highlight w:val="none"/>
        </w:rPr>
        <w:t>工程</w:t>
      </w:r>
      <w:r>
        <w:rPr>
          <w:rFonts w:hint="eastAsia" w:ascii="Times New Roman" w:hAnsi="Times New Roman" w:eastAsia="仿宋_GB2312"/>
          <w:color w:val="000000"/>
          <w:kern w:val="0"/>
          <w:sz w:val="30"/>
          <w:szCs w:val="32"/>
          <w:highlight w:val="none"/>
        </w:rPr>
        <w:t>或工作</w:t>
      </w:r>
      <w:r>
        <w:rPr>
          <w:rFonts w:ascii="Times New Roman" w:hAnsi="Times New Roman" w:eastAsia="仿宋_GB2312"/>
          <w:color w:val="000000"/>
          <w:kern w:val="0"/>
          <w:sz w:val="30"/>
          <w:szCs w:val="32"/>
          <w:highlight w:val="none"/>
        </w:rPr>
        <w:t>，并与</w:t>
      </w:r>
      <w:r>
        <w:rPr>
          <w:rFonts w:hint="eastAsia" w:ascii="Times New Roman" w:hAnsi="Times New Roman" w:eastAsia="仿宋_GB2312"/>
          <w:color w:val="000000"/>
          <w:kern w:val="0"/>
          <w:sz w:val="30"/>
          <w:szCs w:val="32"/>
          <w:highlight w:val="none"/>
        </w:rPr>
        <w:t>承包人</w:t>
      </w:r>
      <w:r>
        <w:rPr>
          <w:rFonts w:ascii="Times New Roman" w:hAnsi="Times New Roman" w:eastAsia="仿宋_GB2312"/>
          <w:color w:val="000000"/>
          <w:kern w:val="0"/>
          <w:sz w:val="30"/>
          <w:szCs w:val="32"/>
          <w:highlight w:val="none"/>
        </w:rPr>
        <w:t>签订分包合同的具有相应资质的法人。</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1.1.2.7 发包人代表：是指由发包人任命并派驻施工现场在发包人授权范围内行使发包人权利的人。</w:t>
      </w:r>
    </w:p>
    <w:p>
      <w:pPr>
        <w:autoSpaceDE w:val="0"/>
        <w:autoSpaceDN w:val="0"/>
        <w:adjustRightInd w:val="0"/>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1.1.2.8 项目经理：是指由承包人任命并派驻施工现场，在承包人授权范围内负责合同履行，且按照法律规定具有相应资格的</w:t>
      </w:r>
      <w:r>
        <w:rPr>
          <w:rFonts w:hint="eastAsia" w:ascii="Times New Roman" w:hAnsi="Times New Roman" w:eastAsia="仿宋_GB2312"/>
          <w:color w:val="000000"/>
          <w:kern w:val="0"/>
          <w:sz w:val="30"/>
          <w:szCs w:val="32"/>
          <w:highlight w:val="none"/>
        </w:rPr>
        <w:t>项目负责</w:t>
      </w:r>
      <w:r>
        <w:rPr>
          <w:rFonts w:ascii="Times New Roman" w:hAnsi="Times New Roman" w:eastAsia="仿宋_GB2312"/>
          <w:color w:val="000000"/>
          <w:kern w:val="0"/>
          <w:sz w:val="30"/>
          <w:szCs w:val="32"/>
          <w:highlight w:val="none"/>
        </w:rPr>
        <w:t>人。</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1.1.2.9 总监理工程师：是指由监理人任命并派驻施工现场进行工程监理的总负责人。</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 工程和设备</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1.1.3.1 工程：是指与合同协议书中工程承包范围对应的永久工程和（或）临时工程。</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1.1.3.2 永久工程：是指按合同约定建造并移交给发包人的工程，包括工程设备。</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1.1.3.3 临时工程：是指为完成合同约定的永久工程所修建的各类临时性工程，不包括施工设备。</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1.1.3.4 单位工程：是指在</w:t>
      </w:r>
      <w:r>
        <w:rPr>
          <w:rFonts w:hint="eastAsia" w:ascii="Times New Roman" w:hAnsi="Times New Roman" w:eastAsia="仿宋_GB2312"/>
          <w:color w:val="000000"/>
          <w:kern w:val="0"/>
          <w:sz w:val="30"/>
          <w:szCs w:val="32"/>
          <w:highlight w:val="none"/>
        </w:rPr>
        <w:t>合同协议书</w:t>
      </w:r>
      <w:r>
        <w:rPr>
          <w:rFonts w:ascii="Times New Roman" w:hAnsi="Times New Roman" w:eastAsia="仿宋_GB2312"/>
          <w:color w:val="000000"/>
          <w:kern w:val="0"/>
          <w:sz w:val="30"/>
          <w:szCs w:val="32"/>
          <w:highlight w:val="none"/>
        </w:rPr>
        <w:t>中指明的，具备独立施工条件并能形成独立使用功能的永久工程。</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1.1.3.5 工程设备：是指构成永久工程的机电设备、金属结构设备、仪器及其他类似的设备和装置。</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1.1.3.6 施工设备：是指为完成合同约定的各项工作所需的设备、器具和其他物品，但不包括工程设备、临时工程和材料。</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1.1.3.7 施工现场：是指用于工程施工的场所，以及在专用合同条款中</w:t>
      </w:r>
      <w:r>
        <w:rPr>
          <w:rFonts w:hint="eastAsia" w:ascii="Times New Roman" w:hAnsi="Times New Roman" w:eastAsia="仿宋_GB2312"/>
          <w:color w:val="000000"/>
          <w:kern w:val="0"/>
          <w:sz w:val="30"/>
          <w:szCs w:val="32"/>
          <w:highlight w:val="none"/>
        </w:rPr>
        <w:t>指</w:t>
      </w:r>
      <w:r>
        <w:rPr>
          <w:rFonts w:ascii="Times New Roman" w:hAnsi="Times New Roman" w:eastAsia="仿宋_GB2312"/>
          <w:color w:val="000000"/>
          <w:kern w:val="0"/>
          <w:sz w:val="30"/>
          <w:szCs w:val="32"/>
          <w:highlight w:val="none"/>
        </w:rPr>
        <w:t>明作为施工场所组成部分的其他场所，包括永久占地和临时占地。</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1.1.3.8临时设施：是指为完成合同约定的各项工作所服务的临时性生产和生活设施。</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1.1.3.9 永久占地：是指专用合同条款中指明为实施工程需永久占用的土地。</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1.1.3.10 临时占地：是指专用合同条款中指明为实施工程需要临时占用的土地。</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1.1.4 日期和期限</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1.1.4.1 开工日期：包括计划开工日期和实际开工日期。计划开工日期是指合同协议书约定的开工日期；实际开工日期是指监理人按照第7.3.2项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开工通知</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约定发出的符合法律规定的开工通知中载明的开工日期。</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1.1.4.2 竣工日期：包括计划竣工日期和实际竣工日期。计划竣工日期是指合同协议书约定的竣工日期</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实际竣工日期按照第13.2.3项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竣工日期</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 xml:space="preserve">的约定确定。 </w:t>
      </w:r>
    </w:p>
    <w:p>
      <w:pPr>
        <w:spacing w:line="360" w:lineRule="auto"/>
        <w:ind w:firstLine="608" w:firstLineChars="203"/>
        <w:outlineLvl w:val="9"/>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1.1.4.3 工期：是指在合同协议书约定的承包人完成工程所需的期限，包括按照合同约定所作的</w:t>
      </w:r>
      <w:r>
        <w:rPr>
          <w:rFonts w:hint="eastAsia" w:ascii="Times New Roman" w:hAnsi="Times New Roman" w:eastAsia="仿宋_GB2312"/>
          <w:color w:val="000000"/>
          <w:kern w:val="0"/>
          <w:sz w:val="30"/>
          <w:szCs w:val="32"/>
          <w:highlight w:val="none"/>
        </w:rPr>
        <w:t>期限</w:t>
      </w:r>
      <w:r>
        <w:rPr>
          <w:rFonts w:ascii="Times New Roman" w:hAnsi="Times New Roman" w:eastAsia="仿宋_GB2312"/>
          <w:color w:val="000000"/>
          <w:kern w:val="0"/>
          <w:sz w:val="30"/>
          <w:szCs w:val="32"/>
          <w:highlight w:val="none"/>
        </w:rPr>
        <w:t>变更。</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1.1.4.4 缺陷责任期：是指承包人按照合同约定承担缺陷修复义务，且发包人</w:t>
      </w:r>
      <w:r>
        <w:rPr>
          <w:rFonts w:hint="eastAsia" w:ascii="Times New Roman" w:hAnsi="Times New Roman" w:eastAsia="仿宋_GB2312"/>
          <w:color w:val="000000"/>
          <w:kern w:val="0"/>
          <w:sz w:val="30"/>
          <w:szCs w:val="32"/>
          <w:highlight w:val="none"/>
        </w:rPr>
        <w:t>预</w:t>
      </w:r>
      <w:r>
        <w:rPr>
          <w:rFonts w:ascii="Times New Roman" w:hAnsi="Times New Roman" w:eastAsia="仿宋_GB2312"/>
          <w:color w:val="000000"/>
          <w:kern w:val="0"/>
          <w:sz w:val="30"/>
          <w:szCs w:val="32"/>
          <w:highlight w:val="none"/>
        </w:rPr>
        <w:t>留质量保证金</w:t>
      </w:r>
      <w:r>
        <w:rPr>
          <w:rFonts w:hint="eastAsia" w:ascii="Times New Roman" w:hAnsi="Times New Roman" w:eastAsia="仿宋_GB2312"/>
          <w:color w:val="000000"/>
          <w:kern w:val="0"/>
          <w:sz w:val="30"/>
          <w:szCs w:val="32"/>
          <w:highlight w:val="none"/>
          <w:lang w:eastAsia="zh-CN"/>
        </w:rPr>
        <w:t>（</w:t>
      </w:r>
      <w:r>
        <w:rPr>
          <w:rFonts w:hint="eastAsia" w:ascii="Times New Roman" w:hAnsi="Times New Roman" w:eastAsia="仿宋_GB2312"/>
          <w:color w:val="000000"/>
          <w:kern w:val="0"/>
          <w:sz w:val="30"/>
          <w:szCs w:val="32"/>
          <w:highlight w:val="none"/>
        </w:rPr>
        <w:t>已</w:t>
      </w:r>
      <w:r>
        <w:rPr>
          <w:rFonts w:ascii="Times New Roman" w:hAnsi="Times New Roman" w:eastAsia="仿宋_GB2312"/>
          <w:color w:val="000000"/>
          <w:kern w:val="0"/>
          <w:sz w:val="30"/>
          <w:szCs w:val="32"/>
          <w:highlight w:val="none"/>
        </w:rPr>
        <w:t>缴纳履约保证金的除外</w:t>
      </w:r>
      <w:r>
        <w:rPr>
          <w:rFonts w:hint="eastAsia" w:ascii="Times New Roman" w:hAnsi="Times New Roman" w:eastAsia="仿宋_GB2312"/>
          <w:color w:val="000000"/>
          <w:kern w:val="0"/>
          <w:sz w:val="30"/>
          <w:szCs w:val="32"/>
          <w:highlight w:val="none"/>
          <w:lang w:eastAsia="zh-CN"/>
        </w:rPr>
        <w:t>）</w:t>
      </w:r>
      <w:r>
        <w:rPr>
          <w:rFonts w:ascii="Times New Roman" w:hAnsi="Times New Roman" w:eastAsia="仿宋_GB2312"/>
          <w:color w:val="000000"/>
          <w:kern w:val="0"/>
          <w:sz w:val="30"/>
          <w:szCs w:val="32"/>
          <w:highlight w:val="none"/>
        </w:rPr>
        <w:t>的期限，</w:t>
      </w:r>
      <w:r>
        <w:rPr>
          <w:rFonts w:hint="eastAsia" w:ascii="Times New Roman" w:hAnsi="Times New Roman" w:eastAsia="仿宋_GB2312"/>
          <w:color w:val="000000"/>
          <w:kern w:val="0"/>
          <w:sz w:val="30"/>
          <w:szCs w:val="32"/>
          <w:highlight w:val="none"/>
        </w:rPr>
        <w:t>自</w:t>
      </w:r>
      <w:r>
        <w:rPr>
          <w:rFonts w:ascii="Times New Roman" w:hAnsi="Times New Roman" w:eastAsia="仿宋_GB2312"/>
          <w:color w:val="000000"/>
          <w:kern w:val="0"/>
          <w:sz w:val="30"/>
          <w:szCs w:val="32"/>
          <w:highlight w:val="none"/>
        </w:rPr>
        <w:t>工程</w:t>
      </w:r>
      <w:r>
        <w:rPr>
          <w:rFonts w:hint="eastAsia" w:ascii="Times New Roman" w:hAnsi="Times New Roman" w:eastAsia="仿宋_GB2312"/>
          <w:color w:val="000000"/>
          <w:kern w:val="0"/>
          <w:sz w:val="30"/>
          <w:szCs w:val="32"/>
          <w:highlight w:val="none"/>
        </w:rPr>
        <w:t>实际竣工日期</w:t>
      </w:r>
      <w:r>
        <w:rPr>
          <w:rFonts w:ascii="Times New Roman" w:hAnsi="Times New Roman" w:eastAsia="仿宋_GB2312"/>
          <w:color w:val="000000"/>
          <w:kern w:val="0"/>
          <w:sz w:val="30"/>
          <w:szCs w:val="32"/>
          <w:highlight w:val="none"/>
        </w:rPr>
        <w:t>起计算。</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1.1.4.5 保修期：是指承包人按照合同约定对工程承担保修责任的期限，从工程竣工验收合格之日起计算。</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1.1.4.6 基准日期：招标发包的工程以投标截止日前28天的日期为基准日</w:t>
      </w:r>
      <w:r>
        <w:rPr>
          <w:rFonts w:hint="eastAsia" w:ascii="Times New Roman" w:hAnsi="Times New Roman" w:eastAsia="仿宋_GB2312"/>
          <w:color w:val="000000"/>
          <w:kern w:val="0"/>
          <w:sz w:val="30"/>
          <w:szCs w:val="32"/>
          <w:highlight w:val="none"/>
        </w:rPr>
        <w:t>期</w:t>
      </w:r>
      <w:r>
        <w:rPr>
          <w:rFonts w:ascii="Times New Roman" w:hAnsi="Times New Roman" w:eastAsia="仿宋_GB2312"/>
          <w:color w:val="000000"/>
          <w:kern w:val="0"/>
          <w:sz w:val="30"/>
          <w:szCs w:val="32"/>
          <w:highlight w:val="none"/>
        </w:rPr>
        <w:t>，直接发包的工程以合同签订日前28天的日期为基准日</w:t>
      </w:r>
      <w:r>
        <w:rPr>
          <w:rFonts w:hint="eastAsia" w:ascii="Times New Roman" w:hAnsi="Times New Roman" w:eastAsia="仿宋_GB2312"/>
          <w:color w:val="000000"/>
          <w:kern w:val="0"/>
          <w:sz w:val="30"/>
          <w:szCs w:val="32"/>
          <w:highlight w:val="none"/>
        </w:rPr>
        <w:t>期</w:t>
      </w:r>
      <w:r>
        <w:rPr>
          <w:rFonts w:ascii="Times New Roman" w:hAnsi="Times New Roman" w:eastAsia="仿宋_GB2312"/>
          <w:color w:val="000000"/>
          <w:kern w:val="0"/>
          <w:sz w:val="30"/>
          <w:szCs w:val="32"/>
          <w:highlight w:val="none"/>
        </w:rPr>
        <w:t>。</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1.1.4.7 天：除特别指明外，均指日历天。合同中按天计算时间的，开始当天不计入，从次日开始计算，期限最后一天的截止时间为当天24:00时。</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1.1.5 合同价格和费用</w:t>
      </w:r>
    </w:p>
    <w:p>
      <w:pPr>
        <w:spacing w:line="360" w:lineRule="auto"/>
        <w:ind w:firstLine="600" w:firstLineChars="200"/>
        <w:jc w:val="left"/>
        <w:outlineLvl w:val="9"/>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1.1.5.1 签约合同价：是指</w:t>
      </w:r>
      <w:r>
        <w:rPr>
          <w:rFonts w:ascii="Times New Roman" w:hAnsi="Times New Roman" w:eastAsia="仿宋_GB2312"/>
          <w:color w:val="000000"/>
          <w:sz w:val="30"/>
          <w:szCs w:val="32"/>
          <w:highlight w:val="none"/>
        </w:rPr>
        <w:t>发包人和承包人在合同协议书中确定的总金额，包括安全文明施工费、暂估价及暂列金额等。</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1.1.5.2 合同价格：是指发包人用于支付承包人按照合同约定完成承包范围内全部工作的金额，包括合同履行过程中按合同约定</w:t>
      </w:r>
      <w:r>
        <w:rPr>
          <w:rFonts w:hint="eastAsia" w:ascii="Times New Roman" w:hAnsi="Times New Roman" w:eastAsia="仿宋_GB2312"/>
          <w:color w:val="000000"/>
          <w:kern w:val="0"/>
          <w:sz w:val="30"/>
          <w:szCs w:val="32"/>
          <w:highlight w:val="none"/>
        </w:rPr>
        <w:t>发生的价格变化。</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1.1.5.3 费用：是指为履行合同所发生的或将要发生的所有必需的开支，包括管理费和应分摊的其他费用，但不包括利润。</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1.1.5.4 暂估价：是指发包人在工程量清单或预算书中提供的用于支付必然发生但暂时不能确定价格的材料、工程设备的单价</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专业工程以及</w:t>
      </w:r>
      <w:r>
        <w:rPr>
          <w:rFonts w:hint="eastAsia" w:ascii="Times New Roman" w:hAnsi="Times New Roman" w:eastAsia="仿宋_GB2312"/>
          <w:color w:val="000000"/>
          <w:kern w:val="0"/>
          <w:sz w:val="30"/>
          <w:szCs w:val="32"/>
          <w:highlight w:val="none"/>
        </w:rPr>
        <w:t>服务工作</w:t>
      </w:r>
      <w:r>
        <w:rPr>
          <w:rFonts w:ascii="Times New Roman" w:hAnsi="Times New Roman" w:eastAsia="仿宋_GB2312"/>
          <w:color w:val="000000"/>
          <w:kern w:val="0"/>
          <w:sz w:val="30"/>
          <w:szCs w:val="32"/>
          <w:highlight w:val="none"/>
        </w:rPr>
        <w:t>的金额。</w:t>
      </w:r>
    </w:p>
    <w:p>
      <w:pPr>
        <w:spacing w:line="360" w:lineRule="auto"/>
        <w:ind w:firstLine="600" w:firstLineChars="200"/>
        <w:jc w:val="left"/>
        <w:outlineLvl w:val="9"/>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1.1.5.5 暂列金额：是指发包人在工程量清单或预算书中暂定并包括在合同价格中的一笔款项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1.1.5.6 计日工：是指合同履行过程中，承包人完成发包人提出的零星工作或需要采用计日工计价的变更工作时，按合同中约定的单价计价的一种方式。</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1.1.5.7 质量保证金</w:t>
      </w:r>
      <w:bookmarkStart w:id="110" w:name="#go2"/>
      <w:bookmarkEnd w:id="110"/>
      <w:r>
        <w:rPr>
          <w:rFonts w:ascii="Times New Roman" w:hAnsi="Times New Roman" w:eastAsia="仿宋_GB2312"/>
          <w:color w:val="000000"/>
          <w:kern w:val="0"/>
          <w:sz w:val="30"/>
          <w:szCs w:val="32"/>
          <w:highlight w:val="none"/>
        </w:rPr>
        <w:t>：是指按照第15.3款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质量保证金</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约定承包人用于保证其在缺陷责任期内履行缺陷修补义务的担保</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1.1.5.8 总价项目：是指在现行国家、行业以及地方的计量规则中无工程量计算规则，在已标价工程量清单或预算书中以总价或以费率形式计算的项目。</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1.1.6 其他</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1.1.6.1 书面形式：是指合同文件、信函、电报、传真等可以有形地表现所载内容的形式。</w:t>
      </w:r>
    </w:p>
    <w:p>
      <w:pPr>
        <w:pStyle w:val="7"/>
        <w:spacing w:before="120" w:after="120" w:line="360" w:lineRule="auto"/>
        <w:rPr>
          <w:rFonts w:ascii="Times New Roman" w:hAnsi="Times New Roman" w:eastAsia="黑体"/>
          <w:b w:val="0"/>
          <w:color w:val="000000"/>
          <w:sz w:val="30"/>
          <w:szCs w:val="32"/>
          <w:highlight w:val="none"/>
        </w:rPr>
      </w:pPr>
      <w:r>
        <w:rPr>
          <w:rFonts w:ascii="Times New Roman" w:hAnsi="Times New Roman" w:eastAsia="黑体"/>
          <w:b w:val="0"/>
          <w:color w:val="000000"/>
          <w:sz w:val="30"/>
          <w:szCs w:val="32"/>
          <w:highlight w:val="none"/>
        </w:rPr>
        <w:t xml:space="preserve">    </w:t>
      </w:r>
      <w:bookmarkStart w:id="111" w:name="_Toc351203497"/>
      <w:bookmarkStart w:id="112" w:name="_Toc337558729"/>
      <w:bookmarkStart w:id="113" w:name="_Toc296346530"/>
      <w:bookmarkStart w:id="114" w:name="_Toc296503029"/>
      <w:r>
        <w:rPr>
          <w:rFonts w:ascii="Times New Roman" w:hAnsi="Times New Roman" w:eastAsia="黑体"/>
          <w:b w:val="0"/>
          <w:color w:val="000000"/>
          <w:sz w:val="30"/>
          <w:szCs w:val="32"/>
          <w:highlight w:val="none"/>
        </w:rPr>
        <w:t>1.2语言文字</w:t>
      </w:r>
      <w:bookmarkEnd w:id="111"/>
      <w:bookmarkEnd w:id="112"/>
      <w:bookmarkEnd w:id="113"/>
      <w:bookmarkEnd w:id="114"/>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合同以中国的汉语简体文字编写、解释和说明。合同当事人在专用合同条款中约定使用两种以上语言时，汉语为优先解释和说明合同的语言。</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15" w:name="_Toc351203498"/>
      <w:bookmarkStart w:id="116" w:name="_Toc337558730"/>
      <w:bookmarkStart w:id="117" w:name="_Toc296503030"/>
      <w:bookmarkStart w:id="118" w:name="_Toc296346531"/>
      <w:r>
        <w:rPr>
          <w:rFonts w:ascii="Times New Roman" w:hAnsi="Times New Roman" w:eastAsia="黑体"/>
          <w:b w:val="0"/>
          <w:color w:val="000000"/>
          <w:sz w:val="30"/>
          <w:szCs w:val="32"/>
          <w:highlight w:val="none"/>
        </w:rPr>
        <w:t>1.3法律</w:t>
      </w:r>
      <w:bookmarkEnd w:id="115"/>
      <w:bookmarkEnd w:id="116"/>
      <w:bookmarkEnd w:id="117"/>
      <w:bookmarkEnd w:id="118"/>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合同当事人可以在专用合同条款中约定合同适用的其他规范性文件。</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19" w:name="_Toc351203499"/>
      <w:r>
        <w:rPr>
          <w:rFonts w:ascii="Times New Roman" w:hAnsi="Times New Roman" w:eastAsia="黑体"/>
          <w:b w:val="0"/>
          <w:color w:val="000000"/>
          <w:sz w:val="30"/>
          <w:szCs w:val="32"/>
          <w:highlight w:val="none"/>
        </w:rPr>
        <w:t>1.4 标准和规范</w:t>
      </w:r>
      <w:bookmarkEnd w:id="119"/>
    </w:p>
    <w:p>
      <w:pPr>
        <w:autoSpaceDE w:val="0"/>
        <w:autoSpaceDN w:val="0"/>
        <w:adjustRightInd w:val="0"/>
        <w:spacing w:line="360" w:lineRule="auto"/>
        <w:ind w:firstLine="64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1.4.1 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1.4.2 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1.4.3 发包人对工程的技术标准、功能要求高于或严于现行国家、行业或地方标准的，应当在专用合同条款中予以明确。除专用合同条款另有约定外，应视为</w:t>
      </w:r>
      <w:r>
        <w:rPr>
          <w:rFonts w:hint="eastAsia" w:ascii="Times New Roman" w:hAnsi="Times New Roman" w:eastAsia="仿宋_GB2312"/>
          <w:color w:val="000000"/>
          <w:kern w:val="0"/>
          <w:sz w:val="30"/>
          <w:szCs w:val="32"/>
          <w:highlight w:val="none"/>
        </w:rPr>
        <w:t>承包人</w:t>
      </w:r>
      <w:r>
        <w:rPr>
          <w:rFonts w:ascii="Times New Roman" w:hAnsi="Times New Roman" w:eastAsia="仿宋_GB2312"/>
          <w:color w:val="000000"/>
          <w:kern w:val="0"/>
          <w:sz w:val="30"/>
          <w:szCs w:val="32"/>
          <w:highlight w:val="none"/>
        </w:rPr>
        <w:t>在签订合同前已充分预见前述技术标准和功能要求的复杂程度，签约合同价中已包含由此产生的费用。</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20" w:name="_Toc351203500"/>
      <w:r>
        <w:rPr>
          <w:rFonts w:ascii="Times New Roman" w:hAnsi="Times New Roman" w:eastAsia="黑体"/>
          <w:b w:val="0"/>
          <w:color w:val="000000"/>
          <w:sz w:val="30"/>
          <w:szCs w:val="32"/>
          <w:highlight w:val="none"/>
        </w:rPr>
        <w:t>1</w:t>
      </w:r>
      <w:bookmarkStart w:id="121" w:name="_Toc296503031"/>
      <w:bookmarkStart w:id="122" w:name="_Toc337558731"/>
      <w:bookmarkStart w:id="123" w:name="_Toc296346532"/>
      <w:r>
        <w:rPr>
          <w:rFonts w:ascii="Times New Roman" w:hAnsi="Times New Roman" w:eastAsia="黑体"/>
          <w:b w:val="0"/>
          <w:color w:val="000000"/>
          <w:sz w:val="30"/>
          <w:szCs w:val="32"/>
          <w:highlight w:val="none"/>
        </w:rPr>
        <w:t>.5 合同文件的优先顺序</w:t>
      </w:r>
      <w:bookmarkEnd w:id="120"/>
    </w:p>
    <w:bookmarkEnd w:id="121"/>
    <w:bookmarkEnd w:id="122"/>
    <w:bookmarkEnd w:id="12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组成合同的各项文件应互相解释，互为说明。除专用合同条款另有约定外，解释合同文件的优先顺序如下：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（1）合同协议书；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（2）中标通知书（如果有）；</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（3）投标函及其附录（如果有）；</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（4）专用合同条款</w:t>
      </w:r>
      <w:r>
        <w:rPr>
          <w:rFonts w:ascii="Times New Roman" w:hAnsi="Times New Roman" w:eastAsia="仿宋_GB2312"/>
          <w:color w:val="000000"/>
          <w:sz w:val="30"/>
          <w:szCs w:val="32"/>
          <w:highlight w:val="none"/>
        </w:rPr>
        <w:t>及其附件</w:t>
      </w:r>
      <w:r>
        <w:rPr>
          <w:rFonts w:ascii="Times New Roman" w:hAnsi="Times New Roman" w:eastAsia="仿宋_GB2312"/>
          <w:color w:val="000000"/>
          <w:kern w:val="0"/>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（5）通用合同条款；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（6）技术标准和要求；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（7）图纸；</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（8）已标价工程量清单或预算书；</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（9）其他合同文件。</w:t>
      </w:r>
    </w:p>
    <w:p>
      <w:pPr>
        <w:spacing w:line="360" w:lineRule="auto"/>
        <w:ind w:firstLine="639" w:firstLineChars="213"/>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上述各项合同文件包括合同当事人就该项合同文件所作出的补充和修改，属于同一类内容的文件，应以最新签署的为准。</w:t>
      </w:r>
    </w:p>
    <w:p>
      <w:pPr>
        <w:spacing w:line="360" w:lineRule="auto"/>
        <w:ind w:firstLine="639" w:firstLineChars="213"/>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在合同订立及履行过程中形成的与合同有关的文件均构成合同文件组成部分，并根据其性质确定优先解释顺序。</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24" w:name="_Toc351203501"/>
      <w:r>
        <w:rPr>
          <w:rFonts w:ascii="Times New Roman" w:hAnsi="Times New Roman" w:eastAsia="黑体"/>
          <w:b w:val="0"/>
          <w:color w:val="000000"/>
          <w:sz w:val="30"/>
          <w:szCs w:val="32"/>
          <w:highlight w:val="none"/>
        </w:rPr>
        <w:t>1</w:t>
      </w:r>
      <w:bookmarkStart w:id="125" w:name="_Toc296503032"/>
      <w:bookmarkStart w:id="126" w:name="_Toc337558732"/>
      <w:bookmarkStart w:id="127" w:name="_Toc296346533"/>
      <w:r>
        <w:rPr>
          <w:rFonts w:ascii="Times New Roman" w:hAnsi="Times New Roman" w:eastAsia="黑体"/>
          <w:b w:val="0"/>
          <w:color w:val="000000"/>
          <w:sz w:val="30"/>
          <w:szCs w:val="32"/>
          <w:highlight w:val="none"/>
        </w:rPr>
        <w:t>.6图纸和承包人文件</w:t>
      </w:r>
      <w:bookmarkEnd w:id="124"/>
    </w:p>
    <w:bookmarkEnd w:id="125"/>
    <w:bookmarkEnd w:id="126"/>
    <w:bookmarkEnd w:id="127"/>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1.6.1 图纸的提供和交底</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发包人应按照专用合同条款约定的期限、数量和内容向承包人免费提供图纸，并组织承包人、监理人和设计人进行图纸会审和设计交底。发包人至迟不得晚于第7.3.2项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开工通知</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载明的开工日期前14天向承包人提供图纸。</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因发包人未按合同约定提供图纸导致承包人费用增加和（或）工期延误的，按照第7.5.1项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因发包人原因导致工期延误</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约定办理。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1.6.2 图纸的错误</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Times New Roman" w:hAnsi="Times New Roman" w:eastAsia="仿宋_GB2312"/>
          <w:color w:val="000000"/>
          <w:kern w:val="0"/>
          <w:sz w:val="30"/>
          <w:szCs w:val="32"/>
          <w:highlight w:val="none"/>
        </w:rPr>
        <w:t>合理时间是指发包人在收到监理人的报送通知后，尽其努力且不懈怠地完成图纸修改补充所需的时间。</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1.6.3 图纸的修改和补充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1.6.4 承包人文件</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承包人应按照专用合同条款的约定提供应当由其编制的与工程施工有关的文件，并按照专用合同条款约定的期限、数量和形式提交监理人，并由监理人报送发包人。</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1.6.5 图纸和承包人文件的保管</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除专用合同条款另有约定外，承包人应在施工现场另外保存一套完整的图纸和承包人文件，供发包人、监理人及有关人员进行工程检查时使用。</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28" w:name="_Toc351203502"/>
      <w:r>
        <w:rPr>
          <w:rFonts w:ascii="Times New Roman" w:hAnsi="Times New Roman" w:eastAsia="黑体"/>
          <w:b w:val="0"/>
          <w:color w:val="000000"/>
          <w:sz w:val="30"/>
          <w:szCs w:val="32"/>
          <w:highlight w:val="none"/>
        </w:rPr>
        <w:t>1</w:t>
      </w:r>
      <w:bookmarkStart w:id="129" w:name="_Toc337558733"/>
      <w:bookmarkStart w:id="130" w:name="_Toc296503033"/>
      <w:bookmarkStart w:id="131" w:name="_Toc296346534"/>
      <w:r>
        <w:rPr>
          <w:rFonts w:ascii="Times New Roman" w:hAnsi="Times New Roman" w:eastAsia="黑体"/>
          <w:b w:val="0"/>
          <w:color w:val="000000"/>
          <w:sz w:val="30"/>
          <w:szCs w:val="32"/>
          <w:highlight w:val="none"/>
        </w:rPr>
        <w:t>.7联络</w:t>
      </w:r>
      <w:bookmarkEnd w:id="128"/>
    </w:p>
    <w:bookmarkEnd w:id="129"/>
    <w:bookmarkEnd w:id="130"/>
    <w:bookmarkEnd w:id="13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auto"/>
        <w:ind w:firstLine="600" w:firstLineChars="200"/>
        <w:jc w:val="left"/>
        <w:rPr>
          <w:rFonts w:ascii="Times New Roman" w:hAnsi="Times New Roman" w:eastAsia="仿宋_GB2312"/>
          <w:color w:val="FF0000"/>
          <w:kern w:val="0"/>
          <w:sz w:val="30"/>
          <w:szCs w:val="32"/>
          <w:highlight w:val="none"/>
        </w:rPr>
      </w:pPr>
      <w:r>
        <w:rPr>
          <w:rFonts w:ascii="Times New Roman" w:hAnsi="Times New Roman" w:eastAsia="仿宋_GB2312"/>
          <w:color w:val="000000"/>
          <w:kern w:val="0"/>
          <w:sz w:val="30"/>
          <w:szCs w:val="32"/>
          <w:highlight w:val="none"/>
        </w:rPr>
        <w:t>1.7.3 发包人和承包人应当及时签收另一方送达至送达地点和指定接收人的来往信函。拒不签收的，由此增加的费用和（或）延误的工期由拒绝接收一方承担。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32" w:name="_Toc351203503"/>
      <w:r>
        <w:rPr>
          <w:rFonts w:ascii="Times New Roman" w:hAnsi="Times New Roman" w:eastAsia="黑体"/>
          <w:b w:val="0"/>
          <w:color w:val="000000"/>
          <w:sz w:val="30"/>
          <w:szCs w:val="32"/>
          <w:highlight w:val="none"/>
        </w:rPr>
        <w:t>1</w:t>
      </w:r>
      <w:bookmarkStart w:id="133" w:name="_Toc296503035"/>
      <w:bookmarkStart w:id="134" w:name="_Toc337558734"/>
      <w:bookmarkStart w:id="135" w:name="_Toc296346536"/>
      <w:r>
        <w:rPr>
          <w:rFonts w:ascii="Times New Roman" w:hAnsi="Times New Roman" w:eastAsia="黑体"/>
          <w:b w:val="0"/>
          <w:color w:val="000000"/>
          <w:sz w:val="30"/>
          <w:szCs w:val="32"/>
          <w:highlight w:val="none"/>
        </w:rPr>
        <w:t>.8严禁贿赂</w:t>
      </w:r>
      <w:bookmarkEnd w:id="132"/>
    </w:p>
    <w:bookmarkEnd w:id="133"/>
    <w:bookmarkEnd w:id="134"/>
    <w:bookmarkEnd w:id="13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36" w:name="_Toc351203504"/>
      <w:r>
        <w:rPr>
          <w:rFonts w:ascii="Times New Roman" w:hAnsi="Times New Roman" w:eastAsia="黑体"/>
          <w:b w:val="0"/>
          <w:color w:val="000000"/>
          <w:sz w:val="30"/>
          <w:szCs w:val="32"/>
          <w:highlight w:val="none"/>
        </w:rPr>
        <w:t>1</w:t>
      </w:r>
      <w:bookmarkStart w:id="137" w:name="_Toc296503036"/>
      <w:bookmarkStart w:id="138" w:name="_Toc337558735"/>
      <w:bookmarkStart w:id="139" w:name="_Toc296346537"/>
      <w:r>
        <w:rPr>
          <w:rFonts w:ascii="Times New Roman" w:hAnsi="Times New Roman" w:eastAsia="黑体"/>
          <w:b w:val="0"/>
          <w:color w:val="000000"/>
          <w:sz w:val="30"/>
          <w:szCs w:val="32"/>
          <w:highlight w:val="none"/>
        </w:rPr>
        <w:t>.9化石、文物</w:t>
      </w:r>
      <w:bookmarkEnd w:id="136"/>
    </w:p>
    <w:bookmarkEnd w:id="137"/>
    <w:bookmarkEnd w:id="138"/>
    <w:bookmarkEnd w:id="13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发包人、监理人和承包人应按有关政府行政管理部门要求采取妥善的保护措施，由此增加的费用和</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或）延误的工期由发包人承担。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承包人发现文物后不及时报告或隐瞒不报，致使文物丢失或损坏的，应赔偿损失，并承担相应的法律责任。</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40" w:name="_Toc351203505"/>
      <w:r>
        <w:rPr>
          <w:rFonts w:ascii="Times New Roman" w:hAnsi="Times New Roman" w:eastAsia="黑体"/>
          <w:b w:val="0"/>
          <w:color w:val="000000"/>
          <w:sz w:val="30"/>
          <w:szCs w:val="32"/>
          <w:highlight w:val="none"/>
        </w:rPr>
        <w:t>1</w:t>
      </w:r>
      <w:bookmarkStart w:id="141" w:name="_Toc337558736"/>
      <w:r>
        <w:rPr>
          <w:rFonts w:ascii="Times New Roman" w:hAnsi="Times New Roman" w:eastAsia="黑体"/>
          <w:b w:val="0"/>
          <w:color w:val="000000"/>
          <w:sz w:val="30"/>
          <w:szCs w:val="32"/>
          <w:highlight w:val="none"/>
        </w:rPr>
        <w:t>.10交通运输</w:t>
      </w:r>
      <w:bookmarkEnd w:id="140"/>
    </w:p>
    <w:bookmarkEnd w:id="141"/>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1.10.1</w:t>
      </w:r>
      <w:r>
        <w:rPr>
          <w:rFonts w:hint="eastAsia" w:ascii="Times New Roman" w:hAnsi="Times New Roman" w:eastAsia="仿宋_GB2312"/>
          <w:color w:val="000000"/>
          <w:kern w:val="0"/>
          <w:sz w:val="30"/>
          <w:szCs w:val="32"/>
          <w:highlight w:val="none"/>
        </w:rPr>
        <w:t xml:space="preserve"> </w:t>
      </w:r>
      <w:r>
        <w:rPr>
          <w:rFonts w:ascii="Times New Roman" w:hAnsi="Times New Roman" w:eastAsia="仿宋_GB2312"/>
          <w:color w:val="000000"/>
          <w:kern w:val="0"/>
          <w:sz w:val="30"/>
          <w:szCs w:val="32"/>
          <w:highlight w:val="none"/>
        </w:rPr>
        <w:t>出入现场的权利</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除专用合同条款另有约定外，发包人应根据施工需要，负责取得出入施工现场所需的</w:t>
      </w:r>
      <w:r>
        <w:rPr>
          <w:rFonts w:hint="eastAsia" w:ascii="Times New Roman" w:hAnsi="Times New Roman" w:eastAsia="仿宋_GB2312"/>
          <w:color w:val="000000"/>
          <w:kern w:val="0"/>
          <w:sz w:val="30"/>
          <w:szCs w:val="32"/>
          <w:highlight w:val="none"/>
        </w:rPr>
        <w:t>批准手续和</w:t>
      </w:r>
      <w:r>
        <w:rPr>
          <w:rFonts w:ascii="Times New Roman" w:hAnsi="Times New Roman" w:eastAsia="仿宋_GB2312"/>
          <w:color w:val="000000"/>
          <w:kern w:val="0"/>
          <w:sz w:val="30"/>
          <w:szCs w:val="32"/>
          <w:highlight w:val="none"/>
        </w:rPr>
        <w:t>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1.10.2</w:t>
      </w:r>
      <w:r>
        <w:rPr>
          <w:rFonts w:hint="eastAsia" w:ascii="Times New Roman" w:hAnsi="Times New Roman" w:eastAsia="仿宋_GB2312"/>
          <w:color w:val="000000"/>
          <w:kern w:val="0"/>
          <w:sz w:val="30"/>
          <w:szCs w:val="32"/>
          <w:highlight w:val="none"/>
        </w:rPr>
        <w:t xml:space="preserve"> </w:t>
      </w:r>
      <w:r>
        <w:rPr>
          <w:rFonts w:ascii="Times New Roman" w:hAnsi="Times New Roman" w:eastAsia="仿宋_GB2312"/>
          <w:color w:val="000000"/>
          <w:kern w:val="0"/>
          <w:sz w:val="30"/>
          <w:szCs w:val="32"/>
          <w:highlight w:val="none"/>
        </w:rPr>
        <w:t>场外交通</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1.10.3场内交通</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场外交通和场内交通的边界由合同当事人在专用合同条款中约定。</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1.10.4</w:t>
      </w:r>
      <w:r>
        <w:rPr>
          <w:rFonts w:hint="eastAsia" w:ascii="Times New Roman" w:hAnsi="Times New Roman" w:eastAsia="仿宋_GB2312"/>
          <w:color w:val="000000"/>
          <w:kern w:val="0"/>
          <w:sz w:val="30"/>
          <w:szCs w:val="32"/>
          <w:highlight w:val="none"/>
        </w:rPr>
        <w:t xml:space="preserve"> </w:t>
      </w:r>
      <w:r>
        <w:rPr>
          <w:rFonts w:ascii="Times New Roman" w:hAnsi="Times New Roman" w:eastAsia="仿宋_GB2312"/>
          <w:color w:val="000000"/>
          <w:kern w:val="0"/>
          <w:sz w:val="30"/>
          <w:szCs w:val="32"/>
          <w:highlight w:val="none"/>
        </w:rPr>
        <w:t>超大件和超重件的运输</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1.10.5</w:t>
      </w:r>
      <w:r>
        <w:rPr>
          <w:rFonts w:hint="eastAsia" w:ascii="Times New Roman" w:hAnsi="Times New Roman" w:eastAsia="仿宋_GB2312"/>
          <w:color w:val="000000"/>
          <w:kern w:val="0"/>
          <w:sz w:val="30"/>
          <w:szCs w:val="32"/>
          <w:highlight w:val="none"/>
        </w:rPr>
        <w:t xml:space="preserve"> </w:t>
      </w:r>
      <w:r>
        <w:rPr>
          <w:rFonts w:ascii="Times New Roman" w:hAnsi="Times New Roman" w:eastAsia="仿宋_GB2312"/>
          <w:color w:val="000000"/>
          <w:kern w:val="0"/>
          <w:sz w:val="30"/>
          <w:szCs w:val="32"/>
          <w:highlight w:val="none"/>
        </w:rPr>
        <w:t>道路和桥梁的损坏责任</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因承包人运输造成施工场地内外公共道路和桥梁损坏的，由承包人承担修复损坏的全部费用和可能引起的赔偿。</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1.10.6</w:t>
      </w:r>
      <w:r>
        <w:rPr>
          <w:rFonts w:hint="eastAsia" w:ascii="Times New Roman" w:hAnsi="Times New Roman" w:eastAsia="仿宋_GB2312"/>
          <w:color w:val="000000"/>
          <w:kern w:val="0"/>
          <w:sz w:val="30"/>
          <w:szCs w:val="32"/>
          <w:highlight w:val="none"/>
        </w:rPr>
        <w:t xml:space="preserve"> </w:t>
      </w:r>
      <w:r>
        <w:rPr>
          <w:rFonts w:ascii="Times New Roman" w:hAnsi="Times New Roman" w:eastAsia="仿宋_GB2312"/>
          <w:color w:val="000000"/>
          <w:kern w:val="0"/>
          <w:sz w:val="30"/>
          <w:szCs w:val="32"/>
          <w:highlight w:val="none"/>
        </w:rPr>
        <w:t>水路和航空运输</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本</w:t>
      </w:r>
      <w:r>
        <w:rPr>
          <w:rFonts w:hint="eastAsia" w:ascii="Times New Roman" w:hAnsi="Times New Roman" w:eastAsia="仿宋_GB2312"/>
          <w:color w:val="000000"/>
          <w:kern w:val="0"/>
          <w:sz w:val="30"/>
          <w:szCs w:val="32"/>
          <w:highlight w:val="none"/>
        </w:rPr>
        <w:t>款</w:t>
      </w:r>
      <w:r>
        <w:rPr>
          <w:rFonts w:ascii="Times New Roman" w:hAnsi="Times New Roman" w:eastAsia="仿宋_GB2312"/>
          <w:color w:val="000000"/>
          <w:kern w:val="0"/>
          <w:sz w:val="30"/>
          <w:szCs w:val="32"/>
          <w:highlight w:val="none"/>
        </w:rPr>
        <w:t>前述各</w:t>
      </w:r>
      <w:r>
        <w:rPr>
          <w:rFonts w:hint="eastAsia" w:ascii="Times New Roman" w:hAnsi="Times New Roman" w:eastAsia="仿宋_GB2312"/>
          <w:color w:val="000000"/>
          <w:kern w:val="0"/>
          <w:sz w:val="30"/>
          <w:szCs w:val="32"/>
          <w:highlight w:val="none"/>
        </w:rPr>
        <w:t>项</w:t>
      </w:r>
      <w:r>
        <w:rPr>
          <w:rFonts w:ascii="Times New Roman" w:hAnsi="Times New Roman" w:eastAsia="仿宋_GB2312"/>
          <w:color w:val="000000"/>
          <w:kern w:val="0"/>
          <w:sz w:val="30"/>
          <w:szCs w:val="32"/>
          <w:highlight w:val="none"/>
        </w:rPr>
        <w:t>的内容适用于水路运输和航空运输，其中“道路”一词的涵义包括河道、航线、船闸、机场、码头、堤防以及水路或航空运输中其他相似结构物；“车辆”一词的涵义包括船舶和飞机等。</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42" w:name="_Toc351203506"/>
      <w:r>
        <w:rPr>
          <w:rFonts w:ascii="Times New Roman" w:hAnsi="Times New Roman" w:eastAsia="黑体"/>
          <w:b w:val="0"/>
          <w:color w:val="000000"/>
          <w:sz w:val="30"/>
          <w:szCs w:val="32"/>
          <w:highlight w:val="none"/>
        </w:rPr>
        <w:t>1</w:t>
      </w:r>
      <w:bookmarkStart w:id="143" w:name="_Toc337558737"/>
      <w:bookmarkStart w:id="144" w:name="_Toc296346538"/>
      <w:bookmarkStart w:id="145" w:name="_Toc296503037"/>
      <w:r>
        <w:rPr>
          <w:rFonts w:ascii="Times New Roman" w:hAnsi="Times New Roman" w:eastAsia="黑体"/>
          <w:b w:val="0"/>
          <w:color w:val="000000"/>
          <w:sz w:val="30"/>
          <w:szCs w:val="32"/>
          <w:highlight w:val="none"/>
        </w:rPr>
        <w:t>.11知识产权</w:t>
      </w:r>
      <w:bookmarkEnd w:id="142"/>
      <w:r>
        <w:rPr>
          <w:rFonts w:ascii="Times New Roman" w:hAnsi="Times New Roman" w:eastAsia="黑体"/>
          <w:b w:val="0"/>
          <w:color w:val="000000"/>
          <w:sz w:val="30"/>
          <w:szCs w:val="32"/>
          <w:highlight w:val="none"/>
        </w:rPr>
        <w:t xml:space="preserve"> </w:t>
      </w:r>
      <w:bookmarkEnd w:id="143"/>
    </w:p>
    <w:bookmarkEnd w:id="144"/>
    <w:bookmarkEnd w:id="14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rFonts w:ascii="Times New Roman" w:hAnsi="Times New Roman"/>
          <w:sz w:val="30"/>
          <w:szCs w:val="24"/>
          <w:highlight w:val="none"/>
        </w:rPr>
      </w:pPr>
      <w:r>
        <w:rPr>
          <w:rFonts w:ascii="Times New Roman" w:hAnsi="Times New Roman" w:eastAsia="仿宋_GB2312"/>
          <w:color w:val="000000"/>
          <w:kern w:val="0"/>
          <w:sz w:val="30"/>
          <w:szCs w:val="32"/>
          <w:highlight w:val="none"/>
        </w:rPr>
        <w:t xml:space="preserve">    </w:t>
      </w:r>
      <w:r>
        <w:rPr>
          <w:rFonts w:ascii="Times New Roman" w:hAnsi="Times New Roman" w:eastAsia="仿宋_GB2312"/>
          <w:color w:val="000000"/>
          <w:sz w:val="30"/>
          <w:szCs w:val="32"/>
          <w:highlight w:val="none"/>
        </w:rPr>
        <w:t>1.11.4 除专用合同条款另有约定外，承包人在合同签订前和签订时已确定采用的专利、专有技术、技术秘密的使用费已包含在签约合同价中。</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46" w:name="_Toc351203507"/>
      <w:r>
        <w:rPr>
          <w:rFonts w:ascii="Times New Roman" w:hAnsi="Times New Roman" w:eastAsia="黑体"/>
          <w:b w:val="0"/>
          <w:color w:val="000000"/>
          <w:sz w:val="30"/>
          <w:szCs w:val="32"/>
          <w:highlight w:val="none"/>
        </w:rPr>
        <w:t>1</w:t>
      </w:r>
      <w:bookmarkStart w:id="147" w:name="_Toc337558738"/>
      <w:r>
        <w:rPr>
          <w:rFonts w:ascii="Times New Roman" w:hAnsi="Times New Roman" w:eastAsia="黑体"/>
          <w:b w:val="0"/>
          <w:color w:val="000000"/>
          <w:sz w:val="30"/>
          <w:szCs w:val="32"/>
          <w:highlight w:val="none"/>
        </w:rPr>
        <w:t>.12保密</w:t>
      </w:r>
      <w:bookmarkEnd w:id="146"/>
    </w:p>
    <w:bookmarkEnd w:id="14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除法律规定或合同另有约定外，未经承包人同意，发包人不得将承包人提供的技术秘密及声明需要保密的资料信息等商业秘密泄露给第三方。</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48" w:name="_Toc351203508"/>
      <w:r>
        <w:rPr>
          <w:rFonts w:ascii="Times New Roman" w:hAnsi="Times New Roman" w:eastAsia="黑体"/>
          <w:b w:val="0"/>
          <w:color w:val="000000"/>
          <w:sz w:val="30"/>
          <w:szCs w:val="32"/>
          <w:highlight w:val="none"/>
        </w:rPr>
        <w:t>1.13工程量清单错误的修正</w:t>
      </w:r>
      <w:bookmarkEnd w:id="148"/>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除专用合同条款另有约定外，</w:t>
      </w:r>
      <w:r>
        <w:rPr>
          <w:rFonts w:ascii="Times New Roman" w:hAnsi="Times New Roman" w:eastAsia="仿宋_GB2312"/>
          <w:color w:val="000000"/>
          <w:kern w:val="0"/>
          <w:sz w:val="30"/>
          <w:szCs w:val="32"/>
          <w:highlight w:val="none"/>
        </w:rPr>
        <w:t>发包人提供的工程量清单，应被认为是准确的和完整的。出现下列情形之一时，发包人应予以修正，并相应调整合同价格：</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（1）工程量清单存在缺项、漏项的；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（2）工程量清单偏差超出专用合同条款约定的工程量偏差范围的；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（3）未按照国家现行计量规范强制性规定计量的。</w:t>
      </w:r>
    </w:p>
    <w:p>
      <w:pPr>
        <w:pStyle w:val="6"/>
        <w:spacing w:before="120" w:after="120" w:line="360" w:lineRule="auto"/>
        <w:rPr>
          <w:rFonts w:ascii="Times New Roman" w:hAnsi="Times New Roman" w:eastAsia="黑体"/>
          <w:b w:val="0"/>
          <w:color w:val="000000"/>
          <w:sz w:val="32"/>
          <w:szCs w:val="32"/>
          <w:highlight w:val="none"/>
        </w:rPr>
      </w:pPr>
      <w:bookmarkStart w:id="149" w:name="_Toc351203509"/>
      <w:r>
        <w:rPr>
          <w:rFonts w:ascii="Times New Roman" w:hAnsi="Times New Roman" w:eastAsia="黑体"/>
          <w:b w:val="0"/>
          <w:color w:val="000000"/>
          <w:sz w:val="32"/>
          <w:szCs w:val="32"/>
          <w:highlight w:val="none"/>
        </w:rPr>
        <w:t>2</w:t>
      </w:r>
      <w:bookmarkStart w:id="150" w:name="_Toc337558739"/>
      <w:bookmarkStart w:id="151" w:name="_Toc296503038"/>
      <w:bookmarkStart w:id="152" w:name="_Toc296346539"/>
      <w:bookmarkStart w:id="153" w:name="OLE_LINK1"/>
      <w:bookmarkStart w:id="154" w:name="OLE_LINK2"/>
      <w:r>
        <w:rPr>
          <w:rFonts w:ascii="Times New Roman" w:hAnsi="Times New Roman" w:eastAsia="黑体"/>
          <w:b w:val="0"/>
          <w:color w:val="000000"/>
          <w:sz w:val="32"/>
          <w:szCs w:val="32"/>
          <w:highlight w:val="none"/>
        </w:rPr>
        <w:t>. 发包人</w:t>
      </w:r>
      <w:bookmarkEnd w:id="149"/>
    </w:p>
    <w:bookmarkEnd w:id="150"/>
    <w:bookmarkEnd w:id="151"/>
    <w:bookmarkEnd w:id="152"/>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55" w:name="_Toc351203510"/>
      <w:r>
        <w:rPr>
          <w:rFonts w:ascii="Times New Roman" w:hAnsi="Times New Roman" w:eastAsia="黑体"/>
          <w:b w:val="0"/>
          <w:color w:val="000000"/>
          <w:sz w:val="30"/>
          <w:szCs w:val="32"/>
          <w:highlight w:val="none"/>
        </w:rPr>
        <w:t>2</w:t>
      </w:r>
      <w:bookmarkStart w:id="156" w:name="_Toc296503039"/>
      <w:bookmarkStart w:id="157" w:name="_Toc296346540"/>
      <w:bookmarkStart w:id="158" w:name="_Toc337558740"/>
      <w:r>
        <w:rPr>
          <w:rFonts w:ascii="Times New Roman" w:hAnsi="Times New Roman" w:eastAsia="黑体"/>
          <w:b w:val="0"/>
          <w:color w:val="000000"/>
          <w:sz w:val="30"/>
          <w:szCs w:val="32"/>
          <w:highlight w:val="none"/>
        </w:rPr>
        <w:t>.1 许可或批准</w:t>
      </w:r>
      <w:bookmarkEnd w:id="155"/>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因发包人原因未能及时办理完毕前述许可、批准或备案，由发包人承担由此增加的费用和（或）延误的工期，并支付承包人合理的利润。</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59" w:name="_Toc351203511"/>
      <w:r>
        <w:rPr>
          <w:rFonts w:ascii="Times New Roman" w:hAnsi="Times New Roman" w:eastAsia="黑体"/>
          <w:b w:val="0"/>
          <w:color w:val="000000"/>
          <w:sz w:val="30"/>
          <w:szCs w:val="32"/>
          <w:highlight w:val="none"/>
        </w:rPr>
        <w:t>2.2 发包人代表</w:t>
      </w:r>
      <w:bookmarkEnd w:id="159"/>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ind w:firstLine="600" w:firstLineChars="200"/>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发包人代表不能按照合同约定履行其职责及义务，并导致合同无法继续正常履行的，承包人可以要求发包人撤换发包人代表。</w:t>
      </w:r>
    </w:p>
    <w:p>
      <w:pPr>
        <w:ind w:firstLine="600" w:firstLineChars="200"/>
        <w:rPr>
          <w:rFonts w:ascii="Times New Roman" w:hAnsi="Times New Roman"/>
          <w:sz w:val="30"/>
          <w:highlight w:val="none"/>
        </w:rPr>
      </w:pPr>
      <w:r>
        <w:rPr>
          <w:rFonts w:hint="eastAsia" w:ascii="Times New Roman" w:hAnsi="Times New Roman" w:eastAsia="仿宋_GB2312"/>
          <w:color w:val="000000"/>
          <w:kern w:val="0"/>
          <w:sz w:val="30"/>
          <w:szCs w:val="32"/>
          <w:highlight w:val="none"/>
        </w:rPr>
        <w:t>不属于法定必须监理的工程，监理人的职权可以由发包人代表或发包人指定的其他人员行使。</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60" w:name="_Toc351203512"/>
      <w:r>
        <w:rPr>
          <w:rFonts w:ascii="Times New Roman" w:hAnsi="Times New Roman" w:eastAsia="黑体"/>
          <w:b w:val="0"/>
          <w:color w:val="000000"/>
          <w:sz w:val="30"/>
          <w:szCs w:val="32"/>
          <w:highlight w:val="none"/>
        </w:rPr>
        <w:t>2.3 发包人人员</w:t>
      </w:r>
      <w:bookmarkEnd w:id="160"/>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发包人人员包括发包人代表及其他由发包人派驻施工现场的人员。</w:t>
      </w:r>
      <w:bookmarkEnd w:id="156"/>
      <w:bookmarkEnd w:id="157"/>
      <w:bookmarkEnd w:id="158"/>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61" w:name="_Toc351203513"/>
      <w:r>
        <w:rPr>
          <w:rFonts w:ascii="Times New Roman" w:hAnsi="Times New Roman" w:eastAsia="黑体"/>
          <w:b w:val="0"/>
          <w:color w:val="000000"/>
          <w:sz w:val="30"/>
          <w:szCs w:val="32"/>
          <w:highlight w:val="none"/>
        </w:rPr>
        <w:t>2</w:t>
      </w:r>
      <w:bookmarkStart w:id="162" w:name="_Toc296346541"/>
      <w:bookmarkStart w:id="163" w:name="_Toc296503040"/>
      <w:bookmarkStart w:id="164" w:name="_Toc337558741"/>
      <w:r>
        <w:rPr>
          <w:rFonts w:ascii="Times New Roman" w:hAnsi="Times New Roman" w:eastAsia="黑体"/>
          <w:b w:val="0"/>
          <w:color w:val="000000"/>
          <w:sz w:val="30"/>
          <w:szCs w:val="32"/>
          <w:highlight w:val="none"/>
        </w:rPr>
        <w:t>.4 施工现场、施工条件和基础资料的提供</w:t>
      </w:r>
      <w:bookmarkEnd w:id="161"/>
      <w:r>
        <w:rPr>
          <w:rFonts w:ascii="Times New Roman" w:hAnsi="Times New Roman" w:eastAsia="黑体"/>
          <w:b w:val="0"/>
          <w:color w:val="000000"/>
          <w:sz w:val="30"/>
          <w:szCs w:val="32"/>
          <w:highlight w:val="none"/>
        </w:rPr>
        <w:t xml:space="preserve"> </w:t>
      </w:r>
      <w:bookmarkEnd w:id="162"/>
      <w:bookmarkEnd w:id="163"/>
      <w:bookmarkEnd w:id="164"/>
      <w:r>
        <w:rPr>
          <w:rFonts w:ascii="Times New Roman" w:hAnsi="Times New Roman" w:eastAsia="黑体"/>
          <w:b w:val="0"/>
          <w:color w:val="000000"/>
          <w:sz w:val="30"/>
          <w:szCs w:val="32"/>
          <w:highlight w:val="none"/>
        </w:rPr>
        <w:t xml:space="preserve">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2.4.1 提供施工现场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w:t>
      </w:r>
      <w:bookmarkEnd w:id="153"/>
      <w:bookmarkEnd w:id="154"/>
      <w:r>
        <w:rPr>
          <w:rFonts w:ascii="Times New Roman" w:hAnsi="Times New Roman" w:eastAsia="仿宋_GB2312"/>
          <w:color w:val="000000"/>
          <w:kern w:val="0"/>
          <w:sz w:val="30"/>
          <w:szCs w:val="32"/>
          <w:highlight w:val="none"/>
        </w:rPr>
        <w:t>专用合同条款另有约定外，发包人应</w:t>
      </w:r>
      <w:r>
        <w:rPr>
          <w:rFonts w:hint="eastAsia" w:ascii="Times New Roman" w:hAnsi="Times New Roman" w:eastAsia="仿宋_GB2312"/>
          <w:color w:val="000000"/>
          <w:kern w:val="0"/>
          <w:sz w:val="30"/>
          <w:szCs w:val="32"/>
          <w:highlight w:val="none"/>
        </w:rPr>
        <w:t>最迟于</w:t>
      </w:r>
      <w:r>
        <w:rPr>
          <w:rFonts w:ascii="Times New Roman" w:hAnsi="Times New Roman" w:eastAsia="仿宋_GB2312"/>
          <w:color w:val="000000"/>
          <w:kern w:val="0"/>
          <w:sz w:val="30"/>
          <w:szCs w:val="32"/>
          <w:highlight w:val="none"/>
        </w:rPr>
        <w:t>开工日期7天前向承包人移交施工现场。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2.4.2 提供施工条件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除专用合同条款另有约定外，发包人应负责提供施工所需要的条件，包括：</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（1）将施工用水、电力、通讯线路等施工所必需的条件接至施工现场内；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（2）保证向承包人提供正常施工所需要的进入施工现场的交通条件；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（3）协调处理施工现场周围地下管线和邻近建筑物、构筑物、古树名木的保护工作，并承担相关费用；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（4）按照专用合同条款约定</w:t>
      </w:r>
      <w:r>
        <w:rPr>
          <w:rFonts w:hint="eastAsia" w:ascii="Times New Roman" w:hAnsi="Times New Roman" w:eastAsia="仿宋_GB2312"/>
          <w:color w:val="000000"/>
          <w:kern w:val="0"/>
          <w:sz w:val="30"/>
          <w:szCs w:val="32"/>
          <w:highlight w:val="none"/>
        </w:rPr>
        <w:t>应</w:t>
      </w:r>
      <w:r>
        <w:rPr>
          <w:rFonts w:ascii="Times New Roman" w:hAnsi="Times New Roman" w:eastAsia="仿宋_GB2312"/>
          <w:color w:val="000000"/>
          <w:kern w:val="0"/>
          <w:sz w:val="30"/>
          <w:szCs w:val="32"/>
          <w:highlight w:val="none"/>
        </w:rPr>
        <w:t>提供的其他设施和条件。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2.4.3 提供基础资料</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按照法律规定确需在开工后方能提供的基础资料，发包人应尽其努力及时地在相应工程施工前的合理期限内提供，合理期限应以不影响承包人的正常施工为限。</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2.4.4 逾期提供的责任</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因发包人原因未能按合同约定及时向承包人提供施工现场、施工条件、基础资料的，由发包人承担由此增加的费用和（或）延误的工期。</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65" w:name="_Toc351203514"/>
      <w:r>
        <w:rPr>
          <w:rFonts w:ascii="Times New Roman" w:hAnsi="Times New Roman" w:eastAsia="黑体"/>
          <w:b w:val="0"/>
          <w:color w:val="000000"/>
          <w:sz w:val="30"/>
          <w:szCs w:val="32"/>
          <w:highlight w:val="none"/>
        </w:rPr>
        <w:t>2</w:t>
      </w:r>
      <w:bookmarkStart w:id="166" w:name="_Toc337558745"/>
      <w:bookmarkStart w:id="167" w:name="_Toc296503042"/>
      <w:bookmarkStart w:id="168" w:name="_Toc296346543"/>
      <w:r>
        <w:rPr>
          <w:rFonts w:ascii="Times New Roman" w:hAnsi="Times New Roman" w:eastAsia="黑体"/>
          <w:b w:val="0"/>
          <w:color w:val="000000"/>
          <w:sz w:val="30"/>
          <w:szCs w:val="32"/>
          <w:highlight w:val="none"/>
        </w:rPr>
        <w:t>.5 资</w:t>
      </w:r>
      <w:bookmarkEnd w:id="166"/>
      <w:bookmarkEnd w:id="167"/>
      <w:bookmarkEnd w:id="168"/>
      <w:r>
        <w:rPr>
          <w:rFonts w:ascii="Times New Roman" w:hAnsi="Times New Roman" w:eastAsia="黑体"/>
          <w:b w:val="0"/>
          <w:color w:val="000000"/>
          <w:sz w:val="30"/>
          <w:szCs w:val="32"/>
          <w:highlight w:val="none"/>
        </w:rPr>
        <w:t>金来源证明及支付担保</w:t>
      </w:r>
      <w:bookmarkEnd w:id="165"/>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69" w:name="_Toc351203515"/>
      <w:r>
        <w:rPr>
          <w:rFonts w:ascii="Times New Roman" w:hAnsi="Times New Roman" w:eastAsia="黑体"/>
          <w:b w:val="0"/>
          <w:color w:val="000000"/>
          <w:sz w:val="30"/>
          <w:szCs w:val="32"/>
          <w:highlight w:val="none"/>
        </w:rPr>
        <w:t>2.6 支付合同价款</w:t>
      </w:r>
      <w:bookmarkEnd w:id="169"/>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发包人应按合同约定向承包人及时支付合同价款。</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70" w:name="_Toc351203516"/>
      <w:r>
        <w:rPr>
          <w:rFonts w:ascii="Times New Roman" w:hAnsi="Times New Roman" w:eastAsia="黑体"/>
          <w:b w:val="0"/>
          <w:color w:val="000000"/>
          <w:sz w:val="30"/>
          <w:szCs w:val="32"/>
          <w:highlight w:val="none"/>
        </w:rPr>
        <w:t>2.7 组织竣工验收</w:t>
      </w:r>
      <w:bookmarkEnd w:id="170"/>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发包人应按合同约定及时组织竣工验收。</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71" w:name="_Toc351203517"/>
      <w:r>
        <w:rPr>
          <w:rFonts w:ascii="Times New Roman" w:hAnsi="Times New Roman" w:eastAsia="黑体"/>
          <w:b w:val="0"/>
          <w:color w:val="000000"/>
          <w:sz w:val="30"/>
          <w:szCs w:val="32"/>
          <w:highlight w:val="none"/>
        </w:rPr>
        <w:t>2.8 现场统一管理协议</w:t>
      </w:r>
      <w:bookmarkEnd w:id="171"/>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发包人应与承包人、由发包人直接发包的专业工程的承包人签订施工现场统一管理协议，明确各方的权利义务。施工现场统一管理协议作为专用合同条款的附件。</w:t>
      </w:r>
    </w:p>
    <w:p>
      <w:pPr>
        <w:pStyle w:val="6"/>
        <w:spacing w:before="120" w:after="120" w:line="360" w:lineRule="auto"/>
        <w:rPr>
          <w:rFonts w:ascii="Times New Roman" w:hAnsi="Times New Roman" w:eastAsia="黑体"/>
          <w:b w:val="0"/>
          <w:color w:val="000000"/>
          <w:sz w:val="32"/>
          <w:szCs w:val="32"/>
          <w:highlight w:val="none"/>
        </w:rPr>
      </w:pPr>
      <w:bookmarkStart w:id="172" w:name="_Toc351203518"/>
      <w:r>
        <w:rPr>
          <w:rFonts w:ascii="Times New Roman" w:hAnsi="Times New Roman" w:eastAsia="黑体"/>
          <w:b w:val="0"/>
          <w:color w:val="000000"/>
          <w:sz w:val="32"/>
          <w:szCs w:val="32"/>
          <w:highlight w:val="none"/>
        </w:rPr>
        <w:t>3</w:t>
      </w:r>
      <w:bookmarkStart w:id="173" w:name="_Toc296503045"/>
      <w:bookmarkStart w:id="174" w:name="_Toc296346546"/>
      <w:bookmarkStart w:id="175" w:name="_Toc337558746"/>
      <w:r>
        <w:rPr>
          <w:rFonts w:ascii="Times New Roman" w:hAnsi="Times New Roman" w:eastAsia="黑体"/>
          <w:b w:val="0"/>
          <w:color w:val="000000"/>
          <w:sz w:val="32"/>
          <w:szCs w:val="32"/>
          <w:highlight w:val="none"/>
        </w:rPr>
        <w:t>. 承包人</w:t>
      </w:r>
      <w:bookmarkEnd w:id="172"/>
    </w:p>
    <w:bookmarkEnd w:id="173"/>
    <w:bookmarkEnd w:id="174"/>
    <w:bookmarkEnd w:id="175"/>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76" w:name="_Toc351203519"/>
      <w:r>
        <w:rPr>
          <w:rFonts w:ascii="Times New Roman" w:hAnsi="Times New Roman" w:eastAsia="黑体"/>
          <w:b w:val="0"/>
          <w:color w:val="000000"/>
          <w:sz w:val="30"/>
          <w:szCs w:val="32"/>
          <w:highlight w:val="none"/>
        </w:rPr>
        <w:t>3</w:t>
      </w:r>
      <w:bookmarkStart w:id="177" w:name="_Toc296346547"/>
      <w:bookmarkStart w:id="178" w:name="_Toc337558747"/>
      <w:bookmarkStart w:id="179" w:name="_Toc296503046"/>
      <w:r>
        <w:rPr>
          <w:rFonts w:ascii="Times New Roman" w:hAnsi="Times New Roman" w:eastAsia="黑体"/>
          <w:b w:val="0"/>
          <w:color w:val="000000"/>
          <w:sz w:val="30"/>
          <w:szCs w:val="32"/>
          <w:highlight w:val="none"/>
        </w:rPr>
        <w:t>.1 承包人的一般义务</w:t>
      </w:r>
      <w:bookmarkEnd w:id="176"/>
    </w:p>
    <w:bookmarkEnd w:id="177"/>
    <w:bookmarkEnd w:id="178"/>
    <w:bookmarkEnd w:id="17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承包人在履行合同过程中应遵守法律和工程建设标准规范，并履行以下义务：</w:t>
      </w:r>
    </w:p>
    <w:p>
      <w:pPr>
        <w:numPr>
          <w:ilvl w:val="0"/>
          <w:numId w:val="8"/>
        </w:num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办理法律规定</w:t>
      </w:r>
      <w:r>
        <w:rPr>
          <w:rFonts w:hint="eastAsia" w:ascii="Times New Roman" w:hAnsi="Times New Roman" w:eastAsia="仿宋_GB2312"/>
          <w:color w:val="000000"/>
          <w:kern w:val="0"/>
          <w:sz w:val="30"/>
          <w:szCs w:val="32"/>
          <w:highlight w:val="none"/>
        </w:rPr>
        <w:t>应</w:t>
      </w:r>
      <w:r>
        <w:rPr>
          <w:rFonts w:ascii="Times New Roman" w:hAnsi="Times New Roman" w:eastAsia="仿宋_GB2312"/>
          <w:color w:val="000000"/>
          <w:kern w:val="0"/>
          <w:sz w:val="30"/>
          <w:szCs w:val="32"/>
          <w:highlight w:val="none"/>
        </w:rPr>
        <w:t>由承包人办理的许可和批准，并将</w:t>
      </w:r>
      <w:r>
        <w:rPr>
          <w:rFonts w:hint="eastAsia" w:ascii="Times New Roman" w:hAnsi="Times New Roman" w:eastAsia="仿宋_GB2312"/>
          <w:color w:val="000000"/>
          <w:kern w:val="0"/>
          <w:sz w:val="30"/>
          <w:szCs w:val="32"/>
          <w:highlight w:val="none"/>
        </w:rPr>
        <w:t>办理</w:t>
      </w:r>
      <w:r>
        <w:rPr>
          <w:rFonts w:ascii="Times New Roman" w:hAnsi="Times New Roman" w:eastAsia="仿宋_GB2312"/>
          <w:color w:val="000000"/>
          <w:kern w:val="0"/>
          <w:sz w:val="30"/>
          <w:szCs w:val="32"/>
          <w:highlight w:val="none"/>
        </w:rPr>
        <w:t>结果书面报送发包人留存；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（2）按法律规定和合同约定完成工程，并在保修期内承担保修义务；</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（3）按法律规定和合同约定采取施工安全和环境保护措施，办理工伤保险，确保工程及人员、材料、设备和设施的安全；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（6）按照第6.3款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环境保护</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约定负责施工场地及其周边环境与生态的保护工作；</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（7）按第6.1款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安全文明施工</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约定采取施工安全措施，确保工程及其人员、材料、设备和设施的安全，防止因工程施工造成的人身伤害和财产损失；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w:t>
      </w:r>
      <w:r>
        <w:rPr>
          <w:rFonts w:hint="eastAsia" w:ascii="Times New Roman" w:hAnsi="Times New Roman" w:eastAsia="仿宋_GB2312"/>
          <w:color w:val="000000"/>
          <w:kern w:val="0"/>
          <w:sz w:val="30"/>
          <w:szCs w:val="32"/>
          <w:highlight w:val="none"/>
        </w:rPr>
        <w:t>将</w:t>
      </w:r>
      <w:r>
        <w:rPr>
          <w:rFonts w:ascii="Times New Roman" w:hAnsi="Times New Roman" w:eastAsia="仿宋_GB2312"/>
          <w:color w:val="000000"/>
          <w:kern w:val="0"/>
          <w:sz w:val="30"/>
          <w:szCs w:val="32"/>
          <w:highlight w:val="none"/>
        </w:rPr>
        <w:t>发包人按合同约定支付的各项价款专用于合同工程，且应及时支付其雇用人员工资，并及时向分包人支付合同价款；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（10）应履行的其他义务。</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80" w:name="_Toc351203520"/>
      <w:r>
        <w:rPr>
          <w:rFonts w:ascii="Times New Roman" w:hAnsi="Times New Roman" w:eastAsia="黑体"/>
          <w:b w:val="0"/>
          <w:color w:val="000000"/>
          <w:sz w:val="30"/>
          <w:szCs w:val="32"/>
          <w:highlight w:val="none"/>
        </w:rPr>
        <w:t>3</w:t>
      </w:r>
      <w:bookmarkStart w:id="181" w:name="_Toc296503047"/>
      <w:bookmarkStart w:id="182" w:name="_Toc296346548"/>
      <w:bookmarkStart w:id="183" w:name="_Toc337558748"/>
      <w:r>
        <w:rPr>
          <w:rFonts w:ascii="Times New Roman" w:hAnsi="Times New Roman" w:eastAsia="黑体"/>
          <w:b w:val="0"/>
          <w:color w:val="000000"/>
          <w:sz w:val="30"/>
          <w:szCs w:val="32"/>
          <w:highlight w:val="none"/>
        </w:rPr>
        <w:t xml:space="preserve">.2 </w:t>
      </w:r>
      <w:bookmarkEnd w:id="180"/>
      <w:r>
        <w:rPr>
          <w:rFonts w:ascii="Times New Roman" w:hAnsi="Times New Roman" w:eastAsia="黑体"/>
          <w:b w:val="0"/>
          <w:color w:val="000000"/>
          <w:sz w:val="30"/>
          <w:szCs w:val="32"/>
          <w:highlight w:val="none"/>
        </w:rPr>
        <w:t>项目经理</w:t>
      </w:r>
    </w:p>
    <w:bookmarkEnd w:id="181"/>
    <w:bookmarkEnd w:id="182"/>
    <w:bookmarkEnd w:id="18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承包人违反上述约定的，应按照专用合同条款的约定，承担违约责任。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3.2.2 项目经理按合同约定组织工程实施。在紧急情况下</w:t>
      </w:r>
      <w:r>
        <w:rPr>
          <w:rFonts w:hint="eastAsia" w:ascii="Times New Roman" w:hAnsi="Times New Roman" w:eastAsia="仿宋_GB2312"/>
          <w:color w:val="000000"/>
          <w:kern w:val="0"/>
          <w:sz w:val="30"/>
          <w:szCs w:val="32"/>
          <w:highlight w:val="none"/>
        </w:rPr>
        <w:t>为确保施工安全和人员安全</w:t>
      </w:r>
      <w:r>
        <w:rPr>
          <w:rFonts w:ascii="Times New Roman" w:hAnsi="Times New Roman" w:eastAsia="仿宋_GB2312"/>
          <w:color w:val="000000"/>
          <w:kern w:val="0"/>
          <w:sz w:val="30"/>
          <w:szCs w:val="32"/>
          <w:highlight w:val="none"/>
        </w:rPr>
        <w:t>，</w:t>
      </w:r>
      <w:r>
        <w:rPr>
          <w:rFonts w:hint="eastAsia" w:ascii="Times New Roman" w:hAnsi="Times New Roman" w:eastAsia="仿宋_GB2312"/>
          <w:color w:val="000000"/>
          <w:kern w:val="0"/>
          <w:sz w:val="30"/>
          <w:szCs w:val="32"/>
          <w:highlight w:val="none"/>
        </w:rPr>
        <w:t>在</w:t>
      </w:r>
      <w:r>
        <w:rPr>
          <w:rFonts w:ascii="Times New Roman" w:hAnsi="Times New Roman" w:eastAsia="仿宋_GB2312"/>
          <w:color w:val="000000"/>
          <w:kern w:val="0"/>
          <w:sz w:val="30"/>
          <w:szCs w:val="32"/>
          <w:highlight w:val="none"/>
        </w:rPr>
        <w:t>无法与发包人代表和总监理工程师</w:t>
      </w:r>
      <w:r>
        <w:rPr>
          <w:rFonts w:hint="eastAsia" w:ascii="Times New Roman" w:hAnsi="Times New Roman" w:eastAsia="仿宋_GB2312"/>
          <w:color w:val="000000"/>
          <w:kern w:val="0"/>
          <w:sz w:val="30"/>
          <w:szCs w:val="32"/>
          <w:highlight w:val="none"/>
        </w:rPr>
        <w:t>及时</w:t>
      </w:r>
      <w:r>
        <w:rPr>
          <w:rFonts w:ascii="Times New Roman" w:hAnsi="Times New Roman" w:eastAsia="仿宋_GB2312"/>
          <w:color w:val="000000"/>
          <w:kern w:val="0"/>
          <w:sz w:val="30"/>
          <w:szCs w:val="32"/>
          <w:highlight w:val="none"/>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Times New Roman" w:hAnsi="Times New Roman" w:eastAsia="仿宋_GB2312"/>
          <w:color w:val="000000"/>
          <w:kern w:val="0"/>
          <w:sz w:val="30"/>
          <w:szCs w:val="32"/>
          <w:highlight w:val="none"/>
        </w:rPr>
        <w:t>继</w:t>
      </w:r>
      <w:r>
        <w:rPr>
          <w:rFonts w:ascii="Times New Roman" w:hAnsi="Times New Roman" w:eastAsia="仿宋_GB2312"/>
          <w:color w:val="000000"/>
          <w:kern w:val="0"/>
          <w:sz w:val="30"/>
          <w:szCs w:val="32"/>
          <w:highlight w:val="none"/>
        </w:rPr>
        <w:t>任项目经理继续履行第3.2.1项约定的职责。承包人无正当理由拒绝更换项目经理的，应按照专用合同条款的约定承担违约责任。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3.2.5 项目经理因特殊情况授权其下属人员履行其某项工作职责的，该下属人员应具备履行相应职责的能力，并应提前7天将上述人员的姓名和授权范围书面通知监理人，并征得发包人书面同意。</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84" w:name="_Toc351203521"/>
      <w:r>
        <w:rPr>
          <w:rFonts w:ascii="Times New Roman" w:hAnsi="Times New Roman" w:eastAsia="黑体"/>
          <w:b w:val="0"/>
          <w:color w:val="000000"/>
          <w:sz w:val="30"/>
          <w:szCs w:val="32"/>
          <w:highlight w:val="none"/>
        </w:rPr>
        <w:t>3</w:t>
      </w:r>
      <w:bookmarkStart w:id="185" w:name="_Toc296346549"/>
      <w:bookmarkStart w:id="186" w:name="_Toc296503048"/>
      <w:bookmarkStart w:id="187" w:name="_Toc337558749"/>
      <w:r>
        <w:rPr>
          <w:rFonts w:ascii="Times New Roman" w:hAnsi="Times New Roman" w:eastAsia="黑体"/>
          <w:b w:val="0"/>
          <w:color w:val="000000"/>
          <w:sz w:val="30"/>
          <w:szCs w:val="32"/>
          <w:highlight w:val="none"/>
        </w:rPr>
        <w:t xml:space="preserve">.3 </w:t>
      </w:r>
      <w:bookmarkEnd w:id="185"/>
      <w:bookmarkEnd w:id="186"/>
      <w:r>
        <w:rPr>
          <w:rFonts w:ascii="Times New Roman" w:hAnsi="Times New Roman" w:eastAsia="黑体"/>
          <w:b w:val="0"/>
          <w:color w:val="000000"/>
          <w:sz w:val="30"/>
          <w:szCs w:val="32"/>
          <w:highlight w:val="none"/>
        </w:rPr>
        <w:t>承包人人员</w:t>
      </w:r>
      <w:bookmarkEnd w:id="184"/>
    </w:p>
    <w:bookmarkEnd w:id="18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Times New Roman" w:hAnsi="Times New Roman" w:eastAsia="仿宋_GB2312"/>
          <w:color w:val="000000"/>
          <w:kern w:val="0"/>
          <w:sz w:val="30"/>
          <w:szCs w:val="32"/>
          <w:highlight w:val="none"/>
        </w:rPr>
        <w:t>和</w:t>
      </w:r>
      <w:r>
        <w:rPr>
          <w:rFonts w:ascii="Times New Roman" w:hAnsi="Times New Roman" w:eastAsia="仿宋_GB2312"/>
          <w:color w:val="000000"/>
          <w:kern w:val="0"/>
          <w:sz w:val="30"/>
          <w:szCs w:val="32"/>
          <w:highlight w:val="none"/>
        </w:rPr>
        <w:t>缴纳社会保险的有效证明。</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3.3.2 承包人派驻到施工现场的主要施工管理人员应相对稳定。施工过程中</w:t>
      </w:r>
      <w:r>
        <w:rPr>
          <w:rFonts w:hint="eastAsia" w:ascii="Times New Roman" w:hAnsi="Times New Roman" w:eastAsia="仿宋_GB2312"/>
          <w:color w:val="000000"/>
          <w:kern w:val="0"/>
          <w:sz w:val="30"/>
          <w:szCs w:val="32"/>
          <w:highlight w:val="none"/>
        </w:rPr>
        <w:t>如有变动</w:t>
      </w:r>
      <w:r>
        <w:rPr>
          <w:rFonts w:ascii="Times New Roman" w:hAnsi="Times New Roman" w:eastAsia="仿宋_GB2312"/>
          <w:color w:val="000000"/>
          <w:kern w:val="0"/>
          <w:sz w:val="30"/>
          <w:szCs w:val="32"/>
          <w:highlight w:val="none"/>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特殊工种作业人员均应持有相应的资格证明，监理人可以随时检查。</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3.3.3 发包人对于承包人主要施工管理人员</w:t>
      </w:r>
      <w:r>
        <w:rPr>
          <w:rFonts w:hint="eastAsia" w:ascii="Times New Roman" w:hAnsi="Times New Roman" w:eastAsia="仿宋_GB2312"/>
          <w:color w:val="000000"/>
          <w:kern w:val="0"/>
          <w:sz w:val="30"/>
          <w:szCs w:val="32"/>
          <w:highlight w:val="none"/>
        </w:rPr>
        <w:t>的资格或能力</w:t>
      </w:r>
      <w:r>
        <w:rPr>
          <w:rFonts w:ascii="Times New Roman" w:hAnsi="Times New Roman" w:eastAsia="仿宋_GB2312"/>
          <w:color w:val="000000"/>
          <w:kern w:val="0"/>
          <w:sz w:val="30"/>
          <w:szCs w:val="32"/>
          <w:highlight w:val="none"/>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3.3.5 承包人擅自更换主要施工管理人员，或前述人员未经监理人或发包人同意擅自离开施工现场的，应按照专用合同条款约定承担违约责任。</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88" w:name="_Toc351203522"/>
      <w:r>
        <w:rPr>
          <w:rFonts w:ascii="Times New Roman" w:hAnsi="Times New Roman" w:eastAsia="黑体"/>
          <w:b w:val="0"/>
          <w:color w:val="000000"/>
          <w:sz w:val="30"/>
          <w:szCs w:val="32"/>
          <w:highlight w:val="none"/>
        </w:rPr>
        <w:t>3</w:t>
      </w:r>
      <w:bookmarkStart w:id="189" w:name="_Toc296346551"/>
      <w:bookmarkStart w:id="190" w:name="_Toc296503050"/>
      <w:bookmarkStart w:id="191" w:name="_Toc337558750"/>
      <w:r>
        <w:rPr>
          <w:rFonts w:ascii="Times New Roman" w:hAnsi="Times New Roman" w:eastAsia="黑体"/>
          <w:b w:val="0"/>
          <w:color w:val="000000"/>
          <w:sz w:val="30"/>
          <w:szCs w:val="32"/>
          <w:highlight w:val="none"/>
        </w:rPr>
        <w:t>.4 承包人现场查勘</w:t>
      </w:r>
      <w:bookmarkEnd w:id="188"/>
    </w:p>
    <w:bookmarkEnd w:id="189"/>
    <w:bookmarkEnd w:id="190"/>
    <w:bookmarkEnd w:id="191"/>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承包人应对基于发包人按照第2.4.3项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提供基础资料</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提交的基础资料所做出的解释和推断负责，但因基础资料存在错误、遗漏导致承包人解释或推断失实的，由发包人承担责任。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spacing w:before="120" w:after="120" w:line="360" w:lineRule="auto"/>
        <w:ind w:firstLine="600" w:firstLineChars="200"/>
        <w:rPr>
          <w:rFonts w:hint="eastAsia" w:ascii="Times New Roman" w:hAnsi="Times New Roman" w:eastAsia="黑体"/>
          <w:b w:val="0"/>
          <w:color w:val="000000"/>
          <w:sz w:val="30"/>
          <w:szCs w:val="32"/>
          <w:highlight w:val="none"/>
        </w:rPr>
      </w:pPr>
      <w:bookmarkStart w:id="192" w:name="_Toc351203523"/>
      <w:r>
        <w:rPr>
          <w:rFonts w:ascii="Times New Roman" w:hAnsi="Times New Roman" w:eastAsia="黑体"/>
          <w:b w:val="0"/>
          <w:color w:val="000000"/>
          <w:sz w:val="30"/>
          <w:szCs w:val="32"/>
          <w:highlight w:val="none"/>
        </w:rPr>
        <w:t>3</w:t>
      </w:r>
      <w:bookmarkStart w:id="193" w:name="_Toc296503051"/>
      <w:bookmarkStart w:id="194" w:name="_Toc337558751"/>
      <w:bookmarkStart w:id="195" w:name="_Toc296346552"/>
      <w:r>
        <w:rPr>
          <w:rFonts w:ascii="Times New Roman" w:hAnsi="Times New Roman" w:eastAsia="黑体"/>
          <w:b w:val="0"/>
          <w:color w:val="000000"/>
          <w:sz w:val="30"/>
          <w:szCs w:val="32"/>
          <w:highlight w:val="none"/>
        </w:rPr>
        <w:t>.5 分包</w:t>
      </w:r>
      <w:bookmarkEnd w:id="192"/>
    </w:p>
    <w:bookmarkEnd w:id="193"/>
    <w:bookmarkEnd w:id="194"/>
    <w:bookmarkEnd w:id="195"/>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3.5.1 分包的一般约定</w:t>
      </w:r>
    </w:p>
    <w:p>
      <w:pPr>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承包人不得以劳务分包的名义转包或违法分包工程。</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3.5.2 分包的确定</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承包人应按专用合同条款的约定进行分包，确定分包人。已标价工程量清单或预算书中给定暂估价的专业工程，按照第10.7款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暂估价</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3.5.3 分包管理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承包人应向监理人提交分包人的主要施工管理人员表，并对分包人的施工人员进行实名制管理，包括但不限于进出场管理、登记造册以及各种证照的办理。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3.5.4 分包合同价款</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（1）除本项第（2）目约定的情况或专用合同条款另有约定外，分包合同价款由承包人与分包人结算，未经承包人同意，发包人不得向分包人支付分包工程价款；</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（2）生效法律文书要求发包人向分包人支付分包合同价款的，发包人有权从应付承包人工程款中扣除该部分款项。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3.5.5 分包合同权益的转让</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96" w:name="_Toc351203524"/>
    </w:p>
    <w:p>
      <w:pPr>
        <w:pStyle w:val="7"/>
        <w:spacing w:before="120" w:after="120" w:line="360" w:lineRule="auto"/>
        <w:ind w:firstLine="600" w:firstLineChars="200"/>
        <w:rPr>
          <w:rFonts w:ascii="Times New Roman" w:hAnsi="Times New Roman" w:eastAsia="黑体"/>
          <w:b w:val="0"/>
          <w:color w:val="000000"/>
          <w:sz w:val="30"/>
          <w:szCs w:val="32"/>
          <w:highlight w:val="none"/>
        </w:rPr>
      </w:pPr>
      <w:r>
        <w:rPr>
          <w:rFonts w:ascii="Times New Roman" w:hAnsi="Times New Roman" w:eastAsia="黑体"/>
          <w:b w:val="0"/>
          <w:color w:val="000000"/>
          <w:sz w:val="30"/>
          <w:szCs w:val="32"/>
          <w:highlight w:val="none"/>
        </w:rPr>
        <w:t>3.6 工程照管与成品、半成品保护</w:t>
      </w:r>
      <w:bookmarkEnd w:id="196"/>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（1）除专用合同条款另有约定外，自发包人向承包人移交施工现场之日起，承包人应负责照管工程及工程相关的材料、工程设备，直到颁发工程接收证书之日止。</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w:t>
      </w:r>
      <w:r>
        <w:rPr>
          <w:rFonts w:hint="eastAsia" w:ascii="Times New Roman" w:hAnsi="Times New Roman" w:eastAsia="仿宋_GB2312"/>
          <w:color w:val="000000"/>
          <w:kern w:val="0"/>
          <w:sz w:val="30"/>
          <w:szCs w:val="32"/>
          <w:highlight w:val="none"/>
        </w:rPr>
        <w:t>2</w:t>
      </w:r>
      <w:r>
        <w:rPr>
          <w:rFonts w:ascii="Times New Roman" w:hAnsi="Times New Roman" w:eastAsia="仿宋_GB2312"/>
          <w:color w:val="000000"/>
          <w:kern w:val="0"/>
          <w:sz w:val="30"/>
          <w:szCs w:val="32"/>
          <w:highlight w:val="none"/>
        </w:rPr>
        <w:t>）在承包人负责照管期间，因承包人原因造成工程、材料、工程设备损坏的，由承包人负责修复或更换，并承担由此增加的费用和（或）延误的工期。</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w:t>
      </w:r>
      <w:r>
        <w:rPr>
          <w:rFonts w:hint="eastAsia" w:ascii="Times New Roman" w:hAnsi="Times New Roman" w:eastAsia="仿宋_GB2312"/>
          <w:color w:val="000000"/>
          <w:kern w:val="0"/>
          <w:sz w:val="30"/>
          <w:szCs w:val="32"/>
          <w:highlight w:val="none"/>
        </w:rPr>
        <w:t>3</w:t>
      </w:r>
      <w:r>
        <w:rPr>
          <w:rFonts w:ascii="Times New Roman" w:hAnsi="Times New Roman" w:eastAsia="仿宋_GB2312"/>
          <w:color w:val="000000"/>
          <w:kern w:val="0"/>
          <w:sz w:val="30"/>
          <w:szCs w:val="32"/>
          <w:highlight w:val="none"/>
        </w:rPr>
        <w:t>）对合同内分期完成的成品和半成品，在工程接收证书颁发前，由承包人承担保护责任。因承包人原因造成成品或半成品损坏的，由承包人负责修复或更换，并承担由此增加的费用和（或）延误的工期。</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197" w:name="_Toc351203525"/>
      <w:r>
        <w:rPr>
          <w:rFonts w:ascii="Times New Roman" w:hAnsi="Times New Roman" w:eastAsia="黑体"/>
          <w:b w:val="0"/>
          <w:color w:val="000000"/>
          <w:sz w:val="30"/>
          <w:szCs w:val="32"/>
          <w:highlight w:val="none"/>
        </w:rPr>
        <w:t>3</w:t>
      </w:r>
      <w:bookmarkStart w:id="198" w:name="_Toc296346553"/>
      <w:bookmarkStart w:id="199" w:name="_Toc337558752"/>
      <w:bookmarkStart w:id="200" w:name="_Toc296503052"/>
      <w:r>
        <w:rPr>
          <w:rFonts w:ascii="Times New Roman" w:hAnsi="Times New Roman" w:eastAsia="黑体"/>
          <w:b w:val="0"/>
          <w:color w:val="000000"/>
          <w:sz w:val="30"/>
          <w:szCs w:val="32"/>
          <w:highlight w:val="none"/>
        </w:rPr>
        <w:t>.7 履约担保</w:t>
      </w:r>
      <w:bookmarkEnd w:id="197"/>
    </w:p>
    <w:bookmarkEnd w:id="198"/>
    <w:bookmarkEnd w:id="199"/>
    <w:bookmarkEnd w:id="200"/>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发包人需要承包人提供履约担保的，由合同当事人在专用合同条款中约定履约担保的方式、金额及期限等。</w:t>
      </w:r>
      <w:r>
        <w:rPr>
          <w:rFonts w:ascii="Times New Roman" w:hAnsi="Times New Roman" w:eastAsia="仿宋_GB2312"/>
          <w:color w:val="000000"/>
          <w:kern w:val="0"/>
          <w:sz w:val="30"/>
          <w:szCs w:val="32"/>
          <w:highlight w:val="none"/>
        </w:rPr>
        <w:t>履约担保可以采用银行保函或担保公司担保等形式，具体由合同当事人在专用合同条款中约定。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因承包人原因导致工期延长的，继续提供履约担保所增加的费用由承包人承担；非因承包人原因导致工期延长的，继续提供履约担保所增加的费用由发包人承担。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01" w:name="_Toc351203526"/>
      <w:r>
        <w:rPr>
          <w:rFonts w:ascii="Times New Roman" w:hAnsi="Times New Roman" w:eastAsia="黑体"/>
          <w:b w:val="0"/>
          <w:color w:val="000000"/>
          <w:sz w:val="30"/>
          <w:szCs w:val="32"/>
          <w:highlight w:val="none"/>
        </w:rPr>
        <w:t>3.8 联合体</w:t>
      </w:r>
      <w:bookmarkEnd w:id="201"/>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3.8.1 联合体各方应共同与发包人签订合同协议书。联合体各方应为履行合同</w:t>
      </w:r>
      <w:r>
        <w:rPr>
          <w:rFonts w:hint="eastAsia" w:ascii="Times New Roman" w:hAnsi="Times New Roman" w:eastAsia="仿宋_GB2312"/>
          <w:color w:val="000000"/>
          <w:kern w:val="0"/>
          <w:sz w:val="30"/>
          <w:szCs w:val="32"/>
          <w:highlight w:val="none"/>
        </w:rPr>
        <w:t>向发包人</w:t>
      </w:r>
      <w:r>
        <w:rPr>
          <w:rFonts w:ascii="Times New Roman" w:hAnsi="Times New Roman" w:eastAsia="仿宋_GB2312"/>
          <w:color w:val="000000"/>
          <w:kern w:val="0"/>
          <w:sz w:val="30"/>
          <w:szCs w:val="32"/>
          <w:highlight w:val="none"/>
        </w:rPr>
        <w:t>承担连带责任。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3.8.2 联合体协议经发包人确认后作为合同附件。在履行合同过程中，未经发包人同意，不得修改联合体协议。</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3.8.3 联合体牵头人负责与发包人和监理人联系，并接受指示，负责组织联合体各成员全面履行合同。</w:t>
      </w:r>
    </w:p>
    <w:p>
      <w:pPr>
        <w:pStyle w:val="6"/>
        <w:spacing w:before="120" w:after="120" w:line="360" w:lineRule="auto"/>
        <w:rPr>
          <w:rFonts w:ascii="Times New Roman" w:hAnsi="Times New Roman" w:eastAsia="黑体"/>
          <w:b w:val="0"/>
          <w:color w:val="000000"/>
          <w:sz w:val="32"/>
          <w:szCs w:val="32"/>
          <w:highlight w:val="none"/>
        </w:rPr>
      </w:pPr>
      <w:bookmarkStart w:id="202" w:name="_Toc351203527"/>
      <w:r>
        <w:rPr>
          <w:rFonts w:ascii="Times New Roman" w:hAnsi="Times New Roman" w:eastAsia="黑体"/>
          <w:b w:val="0"/>
          <w:color w:val="000000"/>
          <w:sz w:val="32"/>
          <w:szCs w:val="32"/>
          <w:highlight w:val="none"/>
        </w:rPr>
        <w:t>4</w:t>
      </w:r>
      <w:bookmarkStart w:id="203" w:name="_Toc296503053"/>
      <w:bookmarkStart w:id="204" w:name="_Toc296346554"/>
      <w:bookmarkStart w:id="205" w:name="_Toc337558753"/>
      <w:r>
        <w:rPr>
          <w:rFonts w:ascii="Times New Roman" w:hAnsi="Times New Roman" w:eastAsia="黑体"/>
          <w:b w:val="0"/>
          <w:color w:val="000000"/>
          <w:sz w:val="32"/>
          <w:szCs w:val="32"/>
          <w:highlight w:val="none"/>
        </w:rPr>
        <w:t>. 监</w:t>
      </w:r>
      <w:bookmarkEnd w:id="203"/>
      <w:bookmarkEnd w:id="204"/>
      <w:r>
        <w:rPr>
          <w:rFonts w:ascii="Times New Roman" w:hAnsi="Times New Roman" w:eastAsia="黑体"/>
          <w:b w:val="0"/>
          <w:color w:val="000000"/>
          <w:sz w:val="32"/>
          <w:szCs w:val="32"/>
          <w:highlight w:val="none"/>
        </w:rPr>
        <w:t>理人</w:t>
      </w:r>
      <w:bookmarkEnd w:id="202"/>
    </w:p>
    <w:bookmarkEnd w:id="205"/>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06" w:name="_Toc351203528"/>
      <w:r>
        <w:rPr>
          <w:rFonts w:ascii="Times New Roman" w:hAnsi="Times New Roman" w:eastAsia="黑体"/>
          <w:b w:val="0"/>
          <w:color w:val="000000"/>
          <w:sz w:val="30"/>
          <w:szCs w:val="32"/>
          <w:highlight w:val="none"/>
        </w:rPr>
        <w:t>4</w:t>
      </w:r>
      <w:bookmarkStart w:id="207" w:name="_Toc337558754"/>
      <w:bookmarkStart w:id="208" w:name="_Toc296503054"/>
      <w:bookmarkStart w:id="209" w:name="_Toc296346555"/>
      <w:r>
        <w:rPr>
          <w:rFonts w:ascii="Times New Roman" w:hAnsi="Times New Roman" w:eastAsia="黑体"/>
          <w:b w:val="0"/>
          <w:color w:val="000000"/>
          <w:sz w:val="30"/>
          <w:szCs w:val="32"/>
          <w:highlight w:val="none"/>
        </w:rPr>
        <w:t>.1监理人的一般规定</w:t>
      </w:r>
      <w:bookmarkEnd w:id="206"/>
    </w:p>
    <w:bookmarkEnd w:id="207"/>
    <w:bookmarkEnd w:id="208"/>
    <w:bookmarkEnd w:id="20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除专用合同条款另有约定外，监理人在施工现场的办公场所、生活场所由承包人提供，所发生的费用由发包人承担。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10" w:name="_Toc351203529"/>
      <w:r>
        <w:rPr>
          <w:rFonts w:ascii="Times New Roman" w:hAnsi="Times New Roman" w:eastAsia="黑体"/>
          <w:b w:val="0"/>
          <w:color w:val="000000"/>
          <w:sz w:val="30"/>
          <w:szCs w:val="32"/>
          <w:highlight w:val="none"/>
        </w:rPr>
        <w:t>4</w:t>
      </w:r>
      <w:bookmarkStart w:id="211" w:name="_Toc337558755"/>
      <w:r>
        <w:rPr>
          <w:rFonts w:ascii="Times New Roman" w:hAnsi="Times New Roman" w:eastAsia="黑体"/>
          <w:b w:val="0"/>
          <w:color w:val="000000"/>
          <w:sz w:val="30"/>
          <w:szCs w:val="32"/>
          <w:highlight w:val="none"/>
        </w:rPr>
        <w:t>.2监理人员</w:t>
      </w:r>
      <w:bookmarkEnd w:id="210"/>
    </w:p>
    <w:bookmarkEnd w:id="21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12" w:name="_Toc351203530"/>
      <w:r>
        <w:rPr>
          <w:rFonts w:ascii="Times New Roman" w:hAnsi="Times New Roman" w:eastAsia="黑体"/>
          <w:b w:val="0"/>
          <w:color w:val="000000"/>
          <w:sz w:val="30"/>
          <w:szCs w:val="32"/>
          <w:highlight w:val="none"/>
        </w:rPr>
        <w:t>4</w:t>
      </w:r>
      <w:bookmarkStart w:id="213" w:name="_Toc296503055"/>
      <w:bookmarkStart w:id="214" w:name="_Toc296346556"/>
      <w:bookmarkStart w:id="215" w:name="_Toc337558756"/>
      <w:r>
        <w:rPr>
          <w:rFonts w:ascii="Times New Roman" w:hAnsi="Times New Roman" w:eastAsia="黑体"/>
          <w:b w:val="0"/>
          <w:color w:val="000000"/>
          <w:sz w:val="30"/>
          <w:szCs w:val="32"/>
          <w:highlight w:val="none"/>
        </w:rPr>
        <w:t>.3</w:t>
      </w:r>
      <w:bookmarkEnd w:id="213"/>
      <w:bookmarkEnd w:id="214"/>
      <w:r>
        <w:rPr>
          <w:rFonts w:ascii="Times New Roman" w:hAnsi="Times New Roman" w:eastAsia="黑体"/>
          <w:b w:val="0"/>
          <w:color w:val="000000"/>
          <w:sz w:val="30"/>
          <w:szCs w:val="32"/>
          <w:highlight w:val="none"/>
        </w:rPr>
        <w:t>监理人的指</w:t>
      </w:r>
      <w:bookmarkEnd w:id="215"/>
      <w:r>
        <w:rPr>
          <w:rFonts w:ascii="Times New Roman" w:hAnsi="Times New Roman" w:eastAsia="黑体"/>
          <w:b w:val="0"/>
          <w:color w:val="000000"/>
          <w:sz w:val="30"/>
          <w:szCs w:val="32"/>
          <w:highlight w:val="none"/>
        </w:rPr>
        <w:t>示</w:t>
      </w:r>
      <w:bookmarkEnd w:id="212"/>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Times New Roman" w:hAnsi="Times New Roman" w:eastAsia="仿宋_GB2312"/>
          <w:color w:val="000000"/>
          <w:kern w:val="0"/>
          <w:sz w:val="30"/>
          <w:szCs w:val="32"/>
          <w:highlight w:val="none"/>
        </w:rPr>
        <w:t>相应</w:t>
      </w:r>
      <w:r>
        <w:rPr>
          <w:rFonts w:ascii="Times New Roman" w:hAnsi="Times New Roman" w:eastAsia="仿宋_GB2312"/>
          <w:color w:val="000000"/>
          <w:kern w:val="0"/>
          <w:sz w:val="30"/>
          <w:szCs w:val="32"/>
          <w:highlight w:val="none"/>
        </w:rPr>
        <w:t>责任。除专用合同条款另有约定外，总监理工程师不应将第4.4款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约定应由总监理工程师作出确定的权力授权或委托给其他监理人员。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监理人对承包人的任何工作、工程或其采用的材料和工程设备未在约定的或合理期限内提出意见的，视为批准，但不免除或减轻承包人对该工作、工程、材料、工程设备等应承担的责任和义务。</w:t>
      </w:r>
    </w:p>
    <w:p>
      <w:pPr>
        <w:pStyle w:val="6"/>
        <w:spacing w:before="120" w:after="120" w:line="360" w:lineRule="auto"/>
        <w:ind w:firstLine="600" w:firstLineChars="200"/>
        <w:rPr>
          <w:rFonts w:hint="eastAsia" w:ascii="Times New Roman" w:hAnsi="Times New Roman" w:eastAsia="黑体"/>
          <w:b w:val="0"/>
          <w:color w:val="000000"/>
          <w:sz w:val="32"/>
          <w:szCs w:val="32"/>
          <w:highlight w:val="none"/>
        </w:rPr>
      </w:pPr>
      <w:bookmarkStart w:id="216" w:name="_Toc351203531"/>
      <w:r>
        <w:rPr>
          <w:rFonts w:ascii="Times New Roman" w:hAnsi="Times New Roman" w:eastAsia="黑体"/>
          <w:b w:val="0"/>
          <w:color w:val="000000"/>
          <w:sz w:val="30"/>
          <w:szCs w:val="32"/>
          <w:highlight w:val="none"/>
        </w:rPr>
        <w:t>4</w:t>
      </w:r>
      <w:bookmarkStart w:id="217" w:name="_Toc296503057"/>
      <w:bookmarkStart w:id="218" w:name="_Toc296346558"/>
      <w:bookmarkStart w:id="219" w:name="_Toc337558757"/>
      <w:r>
        <w:rPr>
          <w:rFonts w:ascii="Times New Roman" w:hAnsi="Times New Roman" w:eastAsia="黑体"/>
          <w:b w:val="0"/>
          <w:color w:val="000000"/>
          <w:sz w:val="30"/>
          <w:szCs w:val="32"/>
          <w:highlight w:val="none"/>
        </w:rPr>
        <w:t>.4 商定或确定</w:t>
      </w:r>
      <w:bookmarkEnd w:id="216"/>
    </w:p>
    <w:bookmarkEnd w:id="217"/>
    <w:bookmarkEnd w:id="218"/>
    <w:bookmarkEnd w:id="21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w:t>
      </w:r>
      <w:r>
        <w:rPr>
          <w:rFonts w:hint="eastAsia" w:ascii="Times New Roman" w:hAnsi="Times New Roman" w:eastAsia="仿宋_GB2312"/>
          <w:color w:val="000000"/>
          <w:kern w:val="0"/>
          <w:sz w:val="30"/>
          <w:szCs w:val="32"/>
          <w:highlight w:val="none"/>
        </w:rPr>
        <w:t>当事人</w:t>
      </w:r>
      <w:r>
        <w:rPr>
          <w:rFonts w:ascii="Times New Roman" w:hAnsi="Times New Roman" w:eastAsia="仿宋_GB2312"/>
          <w:color w:val="000000"/>
          <w:kern w:val="0"/>
          <w:sz w:val="30"/>
          <w:szCs w:val="32"/>
          <w:highlight w:val="none"/>
        </w:rPr>
        <w:t>进行</w:t>
      </w:r>
      <w:r>
        <w:rPr>
          <w:rFonts w:hint="eastAsia" w:ascii="Times New Roman" w:hAnsi="Times New Roman" w:eastAsia="仿宋_GB2312"/>
          <w:color w:val="000000"/>
          <w:kern w:val="0"/>
          <w:sz w:val="30"/>
          <w:szCs w:val="32"/>
          <w:highlight w:val="none"/>
        </w:rPr>
        <w:t>商定</w:t>
      </w:r>
      <w:r>
        <w:rPr>
          <w:rFonts w:ascii="Times New Roman" w:hAnsi="Times New Roman" w:eastAsia="仿宋_GB2312"/>
          <w:color w:val="000000"/>
          <w:kern w:val="0"/>
          <w:sz w:val="30"/>
          <w:szCs w:val="32"/>
          <w:highlight w:val="none"/>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约定处理。争议解决前，合同当事人暂按总监理工程师的确定执行；争议解决后，争议解决的结果与总监理工程师的确定不一致的，按照争议解决的结果执行，由此造成的损失由责任人承担。</w:t>
      </w:r>
    </w:p>
    <w:p>
      <w:pPr>
        <w:pStyle w:val="6"/>
        <w:spacing w:before="120" w:after="120" w:line="360" w:lineRule="auto"/>
        <w:rPr>
          <w:rFonts w:ascii="Times New Roman" w:hAnsi="Times New Roman" w:eastAsia="黑体"/>
          <w:b w:val="0"/>
          <w:color w:val="000000"/>
          <w:sz w:val="30"/>
          <w:szCs w:val="32"/>
          <w:highlight w:val="none"/>
        </w:rPr>
      </w:pPr>
      <w:bookmarkStart w:id="220" w:name="_Toc351203532"/>
      <w:r>
        <w:rPr>
          <w:rFonts w:ascii="Times New Roman" w:hAnsi="Times New Roman" w:eastAsia="黑体"/>
          <w:b w:val="0"/>
          <w:color w:val="000000"/>
          <w:sz w:val="32"/>
          <w:szCs w:val="32"/>
          <w:highlight w:val="none"/>
        </w:rPr>
        <w:t>5</w:t>
      </w:r>
      <w:bookmarkStart w:id="221" w:name="_Toc337558758"/>
      <w:r>
        <w:rPr>
          <w:rFonts w:ascii="Times New Roman" w:hAnsi="Times New Roman" w:eastAsia="黑体"/>
          <w:b w:val="0"/>
          <w:color w:val="000000"/>
          <w:sz w:val="32"/>
          <w:szCs w:val="32"/>
          <w:highlight w:val="none"/>
        </w:rPr>
        <w:t>. 工程质量</w:t>
      </w:r>
      <w:bookmarkEnd w:id="220"/>
    </w:p>
    <w:bookmarkEnd w:id="221"/>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22" w:name="_Toc351203533"/>
      <w:r>
        <w:rPr>
          <w:rFonts w:ascii="Times New Roman" w:hAnsi="Times New Roman" w:eastAsia="黑体"/>
          <w:b w:val="0"/>
          <w:color w:val="000000"/>
          <w:sz w:val="30"/>
          <w:szCs w:val="32"/>
          <w:highlight w:val="none"/>
        </w:rPr>
        <w:t>5</w:t>
      </w:r>
      <w:bookmarkStart w:id="223" w:name="_Toc337558759"/>
      <w:r>
        <w:rPr>
          <w:rFonts w:ascii="Times New Roman" w:hAnsi="Times New Roman" w:eastAsia="黑体"/>
          <w:b w:val="0"/>
          <w:color w:val="000000"/>
          <w:sz w:val="30"/>
          <w:szCs w:val="32"/>
          <w:highlight w:val="none"/>
        </w:rPr>
        <w:t>.1质量要求</w:t>
      </w:r>
      <w:bookmarkEnd w:id="222"/>
    </w:p>
    <w:bookmarkEnd w:id="22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5.1.2 因发包人原因造成工程质量未达到合同约定标准的，由发包人承担由此增加的费用和（或）延误的工期，并支付承包人合理的利润。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5.1.3 因承包人原因造成工程质量未达到合同约定标准的，发包人有权要求承包人返工直至工程质量达到合同约定的标准为止，并由承包人承担由此增加的费用和（或）延误的工期。</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24" w:name="_Toc351203534"/>
      <w:r>
        <w:rPr>
          <w:rFonts w:ascii="Times New Roman" w:hAnsi="Times New Roman" w:eastAsia="黑体"/>
          <w:b w:val="0"/>
          <w:color w:val="000000"/>
          <w:sz w:val="30"/>
          <w:szCs w:val="32"/>
          <w:highlight w:val="none"/>
        </w:rPr>
        <w:t>5</w:t>
      </w:r>
      <w:bookmarkStart w:id="225" w:name="_Toc337558760"/>
      <w:r>
        <w:rPr>
          <w:rFonts w:ascii="Times New Roman" w:hAnsi="Times New Roman" w:eastAsia="黑体"/>
          <w:b w:val="0"/>
          <w:color w:val="000000"/>
          <w:sz w:val="30"/>
          <w:szCs w:val="32"/>
          <w:highlight w:val="none"/>
        </w:rPr>
        <w:t>.2质量保证措施</w:t>
      </w:r>
      <w:bookmarkEnd w:id="224"/>
    </w:p>
    <w:bookmarkEnd w:id="225"/>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highlight w:val="none"/>
        </w:rPr>
      </w:pPr>
      <w:bookmarkStart w:id="226" w:name="_Toc5214"/>
      <w:bookmarkStart w:id="227" w:name="_Toc26977"/>
      <w:r>
        <w:rPr>
          <w:rFonts w:ascii="Times New Roman" w:hAnsi="Times New Roman" w:eastAsia="仿宋_GB2312"/>
          <w:color w:val="000000"/>
          <w:kern w:val="0"/>
          <w:sz w:val="30"/>
          <w:szCs w:val="32"/>
          <w:highlight w:val="none"/>
        </w:rPr>
        <w:t>5.2.1 发包人的质量管理</w:t>
      </w:r>
      <w:bookmarkEnd w:id="226"/>
      <w:bookmarkEnd w:id="227"/>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发包人应按照法律规定及合同约定完成与工程质量有关的各项工作。</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5.2.2 承包人的质量管理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承包人按照第7.1款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施工组织设计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承包人应对施工人员进行质量教育和技术培训，定期考核施工人员的劳动技能，严格执行施工规范和操作规程。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highlight w:val="none"/>
        </w:rPr>
      </w:pPr>
      <w:bookmarkStart w:id="228" w:name="_Toc21795"/>
      <w:bookmarkStart w:id="229" w:name="_Toc26434"/>
      <w:r>
        <w:rPr>
          <w:rFonts w:ascii="Times New Roman" w:hAnsi="Times New Roman" w:eastAsia="仿宋_GB2312"/>
          <w:color w:val="000000"/>
          <w:kern w:val="0"/>
          <w:sz w:val="30"/>
          <w:szCs w:val="32"/>
          <w:highlight w:val="none"/>
        </w:rPr>
        <w:t>5.2.3 监理人的质量检查和检验</w:t>
      </w:r>
      <w:bookmarkEnd w:id="228"/>
      <w:bookmarkEnd w:id="229"/>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30" w:name="_Toc351203535"/>
      <w:r>
        <w:rPr>
          <w:rFonts w:ascii="Times New Roman" w:hAnsi="Times New Roman" w:eastAsia="黑体"/>
          <w:b w:val="0"/>
          <w:color w:val="000000"/>
          <w:sz w:val="30"/>
          <w:szCs w:val="32"/>
          <w:highlight w:val="none"/>
        </w:rPr>
        <w:t>5</w:t>
      </w:r>
      <w:bookmarkStart w:id="231" w:name="_Toc337558761"/>
      <w:r>
        <w:rPr>
          <w:rFonts w:ascii="Times New Roman" w:hAnsi="Times New Roman" w:eastAsia="黑体"/>
          <w:b w:val="0"/>
          <w:color w:val="000000"/>
          <w:sz w:val="30"/>
          <w:szCs w:val="32"/>
          <w:highlight w:val="none"/>
        </w:rPr>
        <w:t>.3 隐蔽工程检查</w:t>
      </w:r>
      <w:bookmarkEnd w:id="230"/>
    </w:p>
    <w:bookmarkEnd w:id="231"/>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5.3.1承包人自检</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承包人应当对工程隐蔽部位进行自检，并经自检确认是否具备覆盖条件。</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5.3.2检查程序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除专用合同条款另有约定外，工程隐蔽部位经承包人自检确认具备覆盖条件的，承包人应在</w:t>
      </w:r>
      <w:r>
        <w:rPr>
          <w:rFonts w:hint="eastAsia" w:ascii="Times New Roman" w:hAnsi="Times New Roman" w:eastAsia="仿宋_GB2312"/>
          <w:color w:val="000000"/>
          <w:kern w:val="0"/>
          <w:sz w:val="30"/>
          <w:szCs w:val="32"/>
          <w:highlight w:val="none"/>
        </w:rPr>
        <w:t>共同</w:t>
      </w:r>
      <w:r>
        <w:rPr>
          <w:rFonts w:ascii="Times New Roman" w:hAnsi="Times New Roman" w:eastAsia="仿宋_GB2312"/>
          <w:color w:val="000000"/>
          <w:kern w:val="0"/>
          <w:sz w:val="30"/>
          <w:szCs w:val="32"/>
          <w:highlight w:val="none"/>
        </w:rPr>
        <w:t>检查前48小时书面通知监理人检查，通知中应载明隐蔽检查的内容、时间和地点，并应附有自检记录和必要的检查资料。</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重新检查</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的约定重新检查。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5.3.3 重新检查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5.3.4 承包人私自覆盖</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承包人未通知监理人到场检查，私自将工程隐蔽部位覆盖的，监理人有权指示承包人钻孔探测或揭开检查，无论工程隐蔽部位质量是否合格，由此增加的费用和（或）延误的工期均由承包人承担。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32" w:name="_Toc351203536"/>
      <w:r>
        <w:rPr>
          <w:rFonts w:ascii="Times New Roman" w:hAnsi="Times New Roman" w:eastAsia="黑体"/>
          <w:b w:val="0"/>
          <w:color w:val="000000"/>
          <w:sz w:val="30"/>
          <w:szCs w:val="32"/>
          <w:highlight w:val="none"/>
        </w:rPr>
        <w:t>5</w:t>
      </w:r>
      <w:bookmarkStart w:id="233" w:name="_Toc337558762"/>
      <w:r>
        <w:rPr>
          <w:rFonts w:ascii="Times New Roman" w:hAnsi="Times New Roman" w:eastAsia="黑体"/>
          <w:b w:val="0"/>
          <w:color w:val="000000"/>
          <w:sz w:val="30"/>
          <w:szCs w:val="32"/>
          <w:highlight w:val="none"/>
        </w:rPr>
        <w:t>.4不合格工程的处理</w:t>
      </w:r>
      <w:bookmarkEnd w:id="232"/>
    </w:p>
    <w:bookmarkEnd w:id="233"/>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拒绝接收全部或部分工程</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 xml:space="preserve">约定执行。 </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5.4.2 因发包人原因造成工程不合格的，由此增加的费用和（或）延误的工期由发包人承担，并支付承包人合理的利润。</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34" w:name="_Toc351203537"/>
      <w:r>
        <w:rPr>
          <w:rFonts w:ascii="Times New Roman" w:hAnsi="Times New Roman" w:eastAsia="黑体"/>
          <w:b w:val="0"/>
          <w:color w:val="000000"/>
          <w:sz w:val="30"/>
          <w:szCs w:val="32"/>
          <w:highlight w:val="none"/>
        </w:rPr>
        <w:t>5.5 质量争议检测</w:t>
      </w:r>
      <w:bookmarkEnd w:id="234"/>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合同当事人对工程质量有争议的，由双方协商确定的工程质量检测机构鉴定，由此产生的费用及因此造成的损失，由责任方承担。</w:t>
      </w:r>
    </w:p>
    <w:p>
      <w:pPr>
        <w:autoSpaceDE w:val="0"/>
        <w:autoSpaceDN w:val="0"/>
        <w:adjustRightInd w:val="0"/>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合同当事人均有责任的，由双方根据其责任分别承担。合同当事人无法达成一致的，按照第4.4款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执行。</w:t>
      </w:r>
    </w:p>
    <w:p>
      <w:pPr>
        <w:pStyle w:val="6"/>
        <w:spacing w:before="120" w:after="120" w:line="360" w:lineRule="auto"/>
        <w:rPr>
          <w:rFonts w:ascii="Times New Roman" w:hAnsi="Times New Roman" w:eastAsia="黑体"/>
          <w:b w:val="0"/>
          <w:color w:val="000000"/>
          <w:sz w:val="32"/>
          <w:szCs w:val="32"/>
          <w:highlight w:val="none"/>
        </w:rPr>
      </w:pPr>
      <w:bookmarkStart w:id="235" w:name="_Toc351203538"/>
      <w:r>
        <w:rPr>
          <w:rFonts w:ascii="Times New Roman" w:hAnsi="Times New Roman" w:eastAsia="黑体"/>
          <w:b w:val="0"/>
          <w:color w:val="000000"/>
          <w:sz w:val="32"/>
          <w:szCs w:val="32"/>
          <w:highlight w:val="none"/>
        </w:rPr>
        <w:t>6</w:t>
      </w:r>
      <w:bookmarkStart w:id="236" w:name="_Toc337558763"/>
      <w:r>
        <w:rPr>
          <w:rFonts w:ascii="Times New Roman" w:hAnsi="Times New Roman" w:eastAsia="黑体"/>
          <w:b w:val="0"/>
          <w:color w:val="000000"/>
          <w:sz w:val="32"/>
          <w:szCs w:val="32"/>
          <w:highlight w:val="none"/>
        </w:rPr>
        <w:t>. 安全文明施工与环境保护</w:t>
      </w:r>
      <w:bookmarkEnd w:id="235"/>
    </w:p>
    <w:bookmarkEnd w:id="236"/>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37" w:name="_Toc351203539"/>
      <w:r>
        <w:rPr>
          <w:rFonts w:ascii="Times New Roman" w:hAnsi="Times New Roman" w:eastAsia="黑体"/>
          <w:b w:val="0"/>
          <w:color w:val="000000"/>
          <w:sz w:val="30"/>
          <w:szCs w:val="32"/>
          <w:highlight w:val="none"/>
        </w:rPr>
        <w:t>6</w:t>
      </w:r>
      <w:bookmarkStart w:id="238" w:name="_Toc337558764"/>
      <w:r>
        <w:rPr>
          <w:rFonts w:ascii="Times New Roman" w:hAnsi="Times New Roman" w:eastAsia="黑体"/>
          <w:b w:val="0"/>
          <w:color w:val="000000"/>
          <w:sz w:val="30"/>
          <w:szCs w:val="32"/>
          <w:highlight w:val="none"/>
        </w:rPr>
        <w:t>.1安全文明施工</w:t>
      </w:r>
      <w:bookmarkEnd w:id="237"/>
    </w:p>
    <w:bookmarkEnd w:id="238"/>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6.1.1安全生产要求</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在施工过程中，如遇到突发的地质变动、事先未知的地下施工障碍等影响施工安全的紧急情况，</w:t>
      </w:r>
      <w:r>
        <w:rPr>
          <w:rFonts w:hint="eastAsia" w:ascii="Times New Roman" w:hAnsi="Times New Roman" w:eastAsia="仿宋_GB2312"/>
          <w:color w:val="000000"/>
          <w:sz w:val="30"/>
          <w:szCs w:val="32"/>
          <w:highlight w:val="none"/>
        </w:rPr>
        <w:t>承包人应及时报告监理人和发包人，</w:t>
      </w:r>
      <w:r>
        <w:rPr>
          <w:rFonts w:ascii="Times New Roman" w:hAnsi="Times New Roman" w:eastAsia="仿宋_GB2312"/>
          <w:color w:val="000000"/>
          <w:sz w:val="30"/>
          <w:szCs w:val="32"/>
          <w:highlight w:val="none"/>
        </w:rPr>
        <w:t>发包人应当及时下令停工并报</w:t>
      </w:r>
      <w:r>
        <w:rPr>
          <w:rFonts w:ascii="Times New Roman" w:hAnsi="Times New Roman" w:eastAsia="仿宋_GB2312"/>
          <w:color w:val="000000"/>
          <w:kern w:val="0"/>
          <w:sz w:val="30"/>
          <w:szCs w:val="32"/>
          <w:highlight w:val="none"/>
        </w:rPr>
        <w:t>政府有关行政管理部门</w:t>
      </w:r>
      <w:r>
        <w:rPr>
          <w:rFonts w:ascii="Times New Roman" w:hAnsi="Times New Roman" w:eastAsia="仿宋_GB2312"/>
          <w:color w:val="000000"/>
          <w:sz w:val="30"/>
          <w:szCs w:val="32"/>
          <w:highlight w:val="none"/>
        </w:rPr>
        <w:t>采取应急措施。</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因安全生产需要暂停施工的，按照第7.8款</w:t>
      </w:r>
      <w:r>
        <w:rPr>
          <w:rFonts w:hint="eastAsia" w:ascii="Times New Roman" w:hAnsi="Times New Roman" w:eastAsia="仿宋_GB2312"/>
          <w:color w:val="000000"/>
          <w:sz w:val="30"/>
          <w:szCs w:val="32"/>
          <w:highlight w:val="none"/>
        </w:rPr>
        <w:t>〔</w:t>
      </w:r>
      <w:r>
        <w:rPr>
          <w:rFonts w:ascii="Times New Roman" w:hAnsi="Times New Roman" w:eastAsia="仿宋_GB2312"/>
          <w:color w:val="000000"/>
          <w:sz w:val="30"/>
          <w:szCs w:val="32"/>
          <w:highlight w:val="none"/>
        </w:rPr>
        <w:t>暂停施工</w:t>
      </w:r>
      <w:r>
        <w:rPr>
          <w:rFonts w:hint="eastAsia" w:ascii="Times New Roman" w:hAnsi="Times New Roman" w:eastAsia="仿宋_GB2312"/>
          <w:color w:val="000000"/>
          <w:sz w:val="30"/>
          <w:szCs w:val="32"/>
          <w:highlight w:val="none"/>
        </w:rPr>
        <w:t>〕</w:t>
      </w:r>
      <w:r>
        <w:rPr>
          <w:rFonts w:ascii="Times New Roman" w:hAnsi="Times New Roman" w:eastAsia="仿宋_GB2312"/>
          <w:color w:val="000000"/>
          <w:sz w:val="30"/>
          <w:szCs w:val="32"/>
          <w:highlight w:val="none"/>
        </w:rPr>
        <w:t>的约定执行。</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6.1.2 安全生产保证措施</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承包人应当按照有关</w:t>
      </w:r>
      <w:r>
        <w:rPr>
          <w:rFonts w:ascii="Times New Roman" w:hAnsi="Times New Roman" w:eastAsia="仿宋_GB2312"/>
          <w:color w:val="000000"/>
          <w:kern w:val="0"/>
          <w:sz w:val="30"/>
          <w:szCs w:val="32"/>
          <w:highlight w:val="none"/>
        </w:rPr>
        <w:t>规定编制安全技术措施或者专项施工方案，</w:t>
      </w:r>
      <w:r>
        <w:rPr>
          <w:rFonts w:ascii="Times New Roman" w:hAnsi="Times New Roman" w:eastAsia="仿宋_GB2312"/>
          <w:color w:val="000000"/>
          <w:sz w:val="30"/>
          <w:szCs w:val="32"/>
          <w:highlight w:val="none"/>
        </w:rPr>
        <w:t>建立安全生产责任制度、治安保卫制度及安全生产教育培训制度，并</w:t>
      </w:r>
      <w:r>
        <w:rPr>
          <w:rFonts w:ascii="Times New Roman" w:hAnsi="Times New Roman" w:eastAsia="仿宋_GB2312"/>
          <w:color w:val="000000"/>
          <w:kern w:val="0"/>
          <w:sz w:val="30"/>
          <w:szCs w:val="32"/>
          <w:highlight w:val="none"/>
        </w:rPr>
        <w:t>按安全生产法律规定及合同约定履行安全职责，</w:t>
      </w:r>
      <w:r>
        <w:rPr>
          <w:rFonts w:hint="eastAsia" w:ascii="Times New Roman" w:hAnsi="Times New Roman" w:eastAsia="仿宋_GB2312"/>
          <w:color w:val="000000"/>
          <w:kern w:val="0"/>
          <w:sz w:val="30"/>
          <w:szCs w:val="32"/>
          <w:highlight w:val="none"/>
        </w:rPr>
        <w:t>如实</w:t>
      </w:r>
      <w:r>
        <w:rPr>
          <w:rFonts w:ascii="Times New Roman" w:hAnsi="Times New Roman" w:eastAsia="仿宋_GB2312"/>
          <w:color w:val="000000"/>
          <w:sz w:val="30"/>
          <w:szCs w:val="32"/>
          <w:highlight w:val="none"/>
        </w:rPr>
        <w:t>编制工程安全生产的有关记录，</w:t>
      </w:r>
      <w:r>
        <w:rPr>
          <w:rFonts w:ascii="Times New Roman" w:hAnsi="Times New Roman" w:eastAsia="仿宋_GB2312"/>
          <w:color w:val="000000"/>
          <w:kern w:val="0"/>
          <w:sz w:val="30"/>
          <w:szCs w:val="32"/>
          <w:highlight w:val="none"/>
        </w:rPr>
        <w:t>接受发包人、监理人及政府安全监督部门的检查与监督。</w:t>
      </w:r>
    </w:p>
    <w:p>
      <w:pPr>
        <w:spacing w:line="360" w:lineRule="auto"/>
        <w:ind w:firstLine="600" w:firstLineChars="200"/>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6.1.3特别安全生产事项</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需单独编制危险性较大分部分项专项工程施工方案的，及要求进行专家论证的超过一定规模的危险性较大的分部分项工程，承包人应及时编制和组织论证。</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6.1.4 治安保卫</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除专用合同条款另有约定外，发包人应与当地公安部门协商，在现场建立治安管理机构或联防组织，统一管理施工场地的治安保卫事项，履行合同工程的治安保卫职责。</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发包人和承包人除应协助现场治安管理机构或联防组织维护施工场地的社会治安外，还应做好包括生活区在内的各自管辖区的治安保卫工作。</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Times New Roman" w:hAnsi="Times New Roman" w:eastAsia="仿宋_GB2312"/>
          <w:color w:val="000000"/>
          <w:sz w:val="30"/>
          <w:szCs w:val="32"/>
          <w:highlight w:val="none"/>
        </w:rPr>
        <w:t>和</w:t>
      </w:r>
      <w:r>
        <w:rPr>
          <w:rFonts w:ascii="Times New Roman" w:hAnsi="Times New Roman" w:eastAsia="仿宋_GB2312"/>
          <w:color w:val="000000"/>
          <w:sz w:val="30"/>
          <w:szCs w:val="32"/>
          <w:highlight w:val="none"/>
        </w:rPr>
        <w:t>财产损失。</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6.1.5 文明施工</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承包人在工程施工期间，应当采取措施保持施工现场平整，物料堆放整齐。工程所在地有关政府行政管理部门有特殊要求的，按照其要求执行。</w:t>
      </w:r>
      <w:r>
        <w:rPr>
          <w:rFonts w:hint="eastAsia" w:ascii="Times New Roman" w:hAnsi="Times New Roman" w:eastAsia="仿宋_GB2312"/>
          <w:color w:val="000000"/>
          <w:kern w:val="0"/>
          <w:sz w:val="30"/>
          <w:szCs w:val="32"/>
          <w:highlight w:val="none"/>
        </w:rPr>
        <w:t>合同当事人对文明施工有其他要求的，可以在专用合同条款中明确。</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6.1.6 安全文明施工费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发包人违约的情形</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6.1.7 紧急情况</w:t>
      </w:r>
      <w:r>
        <w:rPr>
          <w:rFonts w:hint="eastAsia" w:ascii="Times New Roman" w:hAnsi="Times New Roman" w:eastAsia="仿宋_GB2312"/>
          <w:color w:val="000000"/>
          <w:kern w:val="0"/>
          <w:sz w:val="30"/>
          <w:szCs w:val="32"/>
          <w:highlight w:val="none"/>
        </w:rPr>
        <w:t>处理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6.1.8 事故处理</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6.1.9 安全生产责任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6.1.9.1 发包人的安全责任</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发包人应负责赔偿以下各种情况造成</w:t>
      </w:r>
      <w:r>
        <w:rPr>
          <w:rFonts w:hint="eastAsia" w:ascii="Times New Roman" w:hAnsi="Times New Roman" w:eastAsia="仿宋_GB2312"/>
          <w:color w:val="000000"/>
          <w:sz w:val="30"/>
          <w:szCs w:val="32"/>
          <w:highlight w:val="none"/>
        </w:rPr>
        <w:t>的</w:t>
      </w:r>
      <w:r>
        <w:rPr>
          <w:rFonts w:ascii="Times New Roman" w:hAnsi="Times New Roman" w:eastAsia="仿宋_GB2312"/>
          <w:color w:val="000000"/>
          <w:sz w:val="30"/>
          <w:szCs w:val="32"/>
          <w:highlight w:val="none"/>
        </w:rPr>
        <w:t>损失：</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（1）工程或工程的任何部分对土地的占用所造成的第三者财产损失；</w:t>
      </w:r>
    </w:p>
    <w:p>
      <w:pPr>
        <w:spacing w:line="360" w:lineRule="auto"/>
        <w:ind w:firstLine="600" w:firstLineChars="200"/>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（2）由于发包人原因在施工场地及其毗邻地带造成的第三者人身伤亡和财产损失</w:t>
      </w:r>
      <w:r>
        <w:rPr>
          <w:rFonts w:hint="eastAsia" w:ascii="Times New Roman" w:hAnsi="Times New Roman" w:eastAsia="仿宋_GB2312"/>
          <w:color w:val="000000"/>
          <w:sz w:val="30"/>
          <w:szCs w:val="32"/>
          <w:highlight w:val="none"/>
        </w:rPr>
        <w:t>；</w:t>
      </w:r>
    </w:p>
    <w:p>
      <w:pPr>
        <w:spacing w:line="360" w:lineRule="auto"/>
        <w:ind w:firstLine="600" w:firstLineChars="200"/>
        <w:rPr>
          <w:rFonts w:hint="eastAsia"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rPr>
        <w:t>（3）由于发包人原因对承包人、监理人造成的人员人身伤亡和财产损失；</w:t>
      </w:r>
    </w:p>
    <w:p>
      <w:pPr>
        <w:spacing w:line="360" w:lineRule="auto"/>
        <w:ind w:firstLine="600" w:firstLineChars="200"/>
        <w:rPr>
          <w:rFonts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rPr>
        <w:t>（4）由于发包人原因造成的发包人自身人员的人身伤害以及财产损失。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6.1.9.2 承包人的安全责任</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由于承包人原因在施工场地内及其毗邻地带造成的</w:t>
      </w:r>
      <w:r>
        <w:rPr>
          <w:rFonts w:hint="eastAsia" w:ascii="Times New Roman" w:hAnsi="Times New Roman" w:eastAsia="仿宋_GB2312"/>
          <w:color w:val="000000"/>
          <w:sz w:val="30"/>
          <w:szCs w:val="32"/>
          <w:highlight w:val="none"/>
        </w:rPr>
        <w:t>发包人、监理人以及</w:t>
      </w:r>
      <w:r>
        <w:rPr>
          <w:rFonts w:ascii="Times New Roman" w:hAnsi="Times New Roman" w:eastAsia="仿宋_GB2312"/>
          <w:color w:val="000000"/>
          <w:sz w:val="30"/>
          <w:szCs w:val="32"/>
          <w:highlight w:val="none"/>
        </w:rPr>
        <w:t>第三者人员伤亡和财产损失，由承包人负责赔偿。</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39" w:name="_Toc351203540"/>
      <w:r>
        <w:rPr>
          <w:rFonts w:ascii="Times New Roman" w:hAnsi="Times New Roman" w:eastAsia="黑体"/>
          <w:b w:val="0"/>
          <w:color w:val="000000"/>
          <w:sz w:val="30"/>
          <w:szCs w:val="32"/>
          <w:highlight w:val="none"/>
        </w:rPr>
        <w:t>6</w:t>
      </w:r>
      <w:bookmarkStart w:id="240" w:name="_Toc337558765"/>
      <w:r>
        <w:rPr>
          <w:rFonts w:ascii="Times New Roman" w:hAnsi="Times New Roman" w:eastAsia="黑体"/>
          <w:b w:val="0"/>
          <w:color w:val="000000"/>
          <w:sz w:val="30"/>
          <w:szCs w:val="32"/>
          <w:highlight w:val="none"/>
        </w:rPr>
        <w:t>.2 职业健康</w:t>
      </w:r>
      <w:bookmarkEnd w:id="239"/>
    </w:p>
    <w:bookmarkEnd w:id="24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6.2.1 劳动保护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w:t>
      </w:r>
      <w:r>
        <w:rPr>
          <w:rFonts w:hint="eastAsia" w:ascii="Times New Roman" w:hAnsi="Times New Roman" w:eastAsia="仿宋_GB2312"/>
          <w:color w:val="000000"/>
          <w:kern w:val="0"/>
          <w:sz w:val="30"/>
          <w:szCs w:val="32"/>
          <w:highlight w:val="none"/>
        </w:rPr>
        <w:t>法律</w:t>
      </w:r>
      <w:r>
        <w:rPr>
          <w:rFonts w:ascii="Times New Roman" w:hAnsi="Times New Roman" w:eastAsia="仿宋_GB2312"/>
          <w:color w:val="000000"/>
          <w:kern w:val="0"/>
          <w:sz w:val="30"/>
          <w:szCs w:val="32"/>
          <w:highlight w:val="none"/>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6.2.2 生活条件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41" w:name="_Toc351203541"/>
      <w:r>
        <w:rPr>
          <w:rFonts w:ascii="Times New Roman" w:hAnsi="Times New Roman" w:eastAsia="黑体"/>
          <w:b w:val="0"/>
          <w:color w:val="000000"/>
          <w:sz w:val="30"/>
          <w:szCs w:val="32"/>
          <w:highlight w:val="none"/>
        </w:rPr>
        <w:t>6</w:t>
      </w:r>
      <w:bookmarkStart w:id="242" w:name="_Toc337558766"/>
      <w:r>
        <w:rPr>
          <w:rFonts w:ascii="Times New Roman" w:hAnsi="Times New Roman" w:eastAsia="黑体"/>
          <w:b w:val="0"/>
          <w:color w:val="000000"/>
          <w:sz w:val="30"/>
          <w:szCs w:val="32"/>
          <w:highlight w:val="none"/>
        </w:rPr>
        <w:t>.3 环境保护</w:t>
      </w:r>
      <w:bookmarkEnd w:id="241"/>
    </w:p>
    <w:bookmarkEnd w:id="24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承包人应当承担因其原因引起的环境污染侵权损害赔偿责任，因上述环境污染引起纠纷而导致暂停施工的，由此增加的费用和（或）延误的工期由承包人承担。</w:t>
      </w:r>
    </w:p>
    <w:p>
      <w:pPr>
        <w:pStyle w:val="6"/>
        <w:spacing w:before="120" w:after="120" w:line="360" w:lineRule="auto"/>
        <w:rPr>
          <w:rFonts w:ascii="Times New Roman" w:hAnsi="Times New Roman" w:eastAsia="黑体"/>
          <w:b w:val="0"/>
          <w:color w:val="000000"/>
          <w:sz w:val="32"/>
          <w:szCs w:val="32"/>
          <w:highlight w:val="none"/>
        </w:rPr>
      </w:pPr>
      <w:bookmarkStart w:id="243" w:name="_Toc351203542"/>
      <w:r>
        <w:rPr>
          <w:rFonts w:ascii="Times New Roman" w:hAnsi="Times New Roman" w:eastAsia="黑体"/>
          <w:b w:val="0"/>
          <w:color w:val="000000"/>
          <w:sz w:val="32"/>
          <w:szCs w:val="32"/>
          <w:highlight w:val="none"/>
        </w:rPr>
        <w:t>7</w:t>
      </w:r>
      <w:bookmarkStart w:id="244" w:name="_Toc337558767"/>
      <w:r>
        <w:rPr>
          <w:rFonts w:ascii="Times New Roman" w:hAnsi="Times New Roman" w:eastAsia="黑体"/>
          <w:b w:val="0"/>
          <w:color w:val="000000"/>
          <w:sz w:val="32"/>
          <w:szCs w:val="32"/>
          <w:highlight w:val="none"/>
        </w:rPr>
        <w:t>. 工期和进度</w:t>
      </w:r>
      <w:bookmarkEnd w:id="243"/>
    </w:p>
    <w:bookmarkEnd w:id="244"/>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45" w:name="_Toc351203543"/>
      <w:r>
        <w:rPr>
          <w:rFonts w:ascii="Times New Roman" w:hAnsi="Times New Roman" w:eastAsia="黑体"/>
          <w:b w:val="0"/>
          <w:color w:val="000000"/>
          <w:sz w:val="30"/>
          <w:szCs w:val="32"/>
          <w:highlight w:val="none"/>
        </w:rPr>
        <w:t>7</w:t>
      </w:r>
      <w:bookmarkStart w:id="246" w:name="_Toc337558768"/>
      <w:bookmarkStart w:id="247" w:name="_Toc296503066"/>
      <w:bookmarkStart w:id="248" w:name="_Toc296346567"/>
      <w:r>
        <w:rPr>
          <w:rFonts w:ascii="Times New Roman" w:hAnsi="Times New Roman" w:eastAsia="黑体"/>
          <w:b w:val="0"/>
          <w:color w:val="000000"/>
          <w:sz w:val="30"/>
          <w:szCs w:val="32"/>
          <w:highlight w:val="none"/>
        </w:rPr>
        <w:t>.1施工组织设计</w:t>
      </w:r>
      <w:bookmarkEnd w:id="245"/>
    </w:p>
    <w:bookmarkEnd w:id="24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sz w:val="30"/>
          <w:szCs w:val="32"/>
          <w:highlight w:val="none"/>
        </w:rPr>
        <w:t>7.1.1</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kern w:val="0"/>
          <w:sz w:val="30"/>
          <w:szCs w:val="32"/>
          <w:highlight w:val="none"/>
        </w:rPr>
        <w:t>施工组织设计的内容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施工组织设计应包含以下内容：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（1）施工方案；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（2）施工现场平面布置图；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（3）施工进度计划和保证措施；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（4）劳动力及材料供应计划；</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（5）施工机械设备的选用；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（6）质量保证体系及措施；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（7）安全生产、文明施工措施；</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（8）环境保护、成本控制措施</w:t>
      </w:r>
      <w:r>
        <w:rPr>
          <w:rFonts w:hint="eastAsia" w:ascii="Times New Roman" w:hAnsi="Times New Roman" w:eastAsia="仿宋_GB2312"/>
          <w:color w:val="000000"/>
          <w:kern w:val="0"/>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（9）合同当事人约定的其他内容</w:t>
      </w:r>
      <w:r>
        <w:rPr>
          <w:rFonts w:ascii="Times New Roman" w:hAnsi="Times New Roman" w:eastAsia="仿宋_GB2312"/>
          <w:color w:val="000000"/>
          <w:kern w:val="0"/>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sz w:val="30"/>
          <w:szCs w:val="32"/>
          <w:highlight w:val="none"/>
        </w:rPr>
        <w:t>7.1.2</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kern w:val="0"/>
          <w:sz w:val="30"/>
          <w:szCs w:val="32"/>
          <w:highlight w:val="none"/>
        </w:rPr>
        <w:t>施工组织设计的提交和修改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除专用合同条款另有约定外，承包人应在合同签订后14天内，但至迟不得晚于第7.3.2项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开工通知</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载明的开工日期前7天，向监理人提交详细的施工组织设计，并由监理人报送发包人。</w:t>
      </w:r>
      <w:r>
        <w:rPr>
          <w:rFonts w:hint="eastAsia" w:ascii="Times New Roman" w:hAnsi="Times New Roman" w:eastAsia="仿宋_GB2312"/>
          <w:color w:val="000000"/>
          <w:kern w:val="0"/>
          <w:sz w:val="30"/>
          <w:szCs w:val="32"/>
          <w:highlight w:val="none"/>
        </w:rPr>
        <w:t>除专用合同条款另有约定外，发包人和监理人应在监理人收到施工组织设计后7天内确认或提出修改意见</w:t>
      </w:r>
      <w:r>
        <w:rPr>
          <w:rFonts w:ascii="Times New Roman" w:hAnsi="Times New Roman" w:eastAsia="仿宋_GB2312"/>
          <w:color w:val="000000"/>
          <w:kern w:val="0"/>
          <w:sz w:val="30"/>
          <w:szCs w:val="32"/>
          <w:highlight w:val="none"/>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施工进度计划的编制和修改按照第7.2款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施工进度计划</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执行。</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49" w:name="_Toc351203544"/>
      <w:r>
        <w:rPr>
          <w:rFonts w:ascii="Times New Roman" w:hAnsi="Times New Roman" w:eastAsia="黑体"/>
          <w:b w:val="0"/>
          <w:color w:val="000000"/>
          <w:sz w:val="30"/>
          <w:szCs w:val="32"/>
          <w:highlight w:val="none"/>
        </w:rPr>
        <w:t>7</w:t>
      </w:r>
      <w:bookmarkStart w:id="250" w:name="_Toc337558769"/>
      <w:r>
        <w:rPr>
          <w:rFonts w:ascii="Times New Roman" w:hAnsi="Times New Roman" w:eastAsia="黑体"/>
          <w:b w:val="0"/>
          <w:color w:val="000000"/>
          <w:sz w:val="30"/>
          <w:szCs w:val="32"/>
          <w:highlight w:val="none"/>
        </w:rPr>
        <w:t>.2 施工进度计划</w:t>
      </w:r>
      <w:bookmarkEnd w:id="249"/>
    </w:p>
    <w:bookmarkEnd w:id="25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7.2.1 施工进度计划的编制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承包人应按照第7.1款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施工组织设计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7.2.2 施工进度计划的修订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51" w:name="_Toc351203545"/>
      <w:r>
        <w:rPr>
          <w:rFonts w:ascii="Times New Roman" w:hAnsi="Times New Roman" w:eastAsia="黑体"/>
          <w:b w:val="0"/>
          <w:color w:val="000000"/>
          <w:sz w:val="30"/>
          <w:szCs w:val="32"/>
          <w:highlight w:val="none"/>
        </w:rPr>
        <w:t>7</w:t>
      </w:r>
      <w:bookmarkStart w:id="252" w:name="_Toc337558770"/>
      <w:r>
        <w:rPr>
          <w:rFonts w:ascii="Times New Roman" w:hAnsi="Times New Roman" w:eastAsia="黑体"/>
          <w:b w:val="0"/>
          <w:color w:val="000000"/>
          <w:sz w:val="30"/>
          <w:szCs w:val="32"/>
          <w:highlight w:val="none"/>
        </w:rPr>
        <w:t>.3 开工</w:t>
      </w:r>
      <w:bookmarkEnd w:id="251"/>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7.3.1 开工准备</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除专用合同条款另有约定外，承包人应按照第7.1款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施工组织设计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除专用合同条款另有约定外，合同当事人应按约定完成开工准备工作。</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7.3.2 开工通知</w:t>
      </w:r>
    </w:p>
    <w:bookmarkEnd w:id="25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53" w:name="_Toc351203546"/>
      <w:r>
        <w:rPr>
          <w:rFonts w:ascii="Times New Roman" w:hAnsi="Times New Roman" w:eastAsia="黑体"/>
          <w:b w:val="0"/>
          <w:color w:val="000000"/>
          <w:sz w:val="30"/>
          <w:szCs w:val="32"/>
          <w:highlight w:val="none"/>
        </w:rPr>
        <w:t>7.4测量放线</w:t>
      </w:r>
      <w:bookmarkEnd w:id="253"/>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7.4.1 除专用合同条款另有约定外，发包人应在至迟不得晚于第7.3.2项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开工通知</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施工过程中对施工现场内水准点等测量标志物的保护工作由承包人负责。</w:t>
      </w:r>
      <w:bookmarkStart w:id="254" w:name="_Toc351203547"/>
    </w:p>
    <w:p>
      <w:pPr>
        <w:pStyle w:val="7"/>
        <w:spacing w:before="120" w:after="120" w:line="360" w:lineRule="auto"/>
        <w:ind w:firstLine="600" w:firstLineChars="200"/>
        <w:rPr>
          <w:rFonts w:ascii="Times New Roman" w:hAnsi="Times New Roman" w:eastAsia="黑体"/>
          <w:b w:val="0"/>
          <w:color w:val="000000"/>
          <w:sz w:val="30"/>
          <w:szCs w:val="32"/>
          <w:highlight w:val="none"/>
        </w:rPr>
      </w:pPr>
      <w:r>
        <w:rPr>
          <w:rFonts w:ascii="Times New Roman" w:hAnsi="Times New Roman" w:eastAsia="黑体"/>
          <w:b w:val="0"/>
          <w:color w:val="000000"/>
          <w:sz w:val="30"/>
          <w:szCs w:val="32"/>
          <w:highlight w:val="none"/>
        </w:rPr>
        <w:t>7</w:t>
      </w:r>
      <w:bookmarkEnd w:id="247"/>
      <w:bookmarkEnd w:id="248"/>
      <w:bookmarkStart w:id="255" w:name="_Toc337558772"/>
      <w:bookmarkStart w:id="256" w:name="_Toc296346574"/>
      <w:bookmarkStart w:id="257" w:name="_Toc296503073"/>
      <w:r>
        <w:rPr>
          <w:rFonts w:ascii="Times New Roman" w:hAnsi="Times New Roman" w:eastAsia="黑体"/>
          <w:b w:val="0"/>
          <w:color w:val="000000"/>
          <w:sz w:val="30"/>
          <w:szCs w:val="32"/>
          <w:highlight w:val="none"/>
        </w:rPr>
        <w:t>.5</w:t>
      </w:r>
      <w:r>
        <w:rPr>
          <w:rFonts w:hint="eastAsia" w:ascii="Times New Roman" w:hAnsi="Times New Roman" w:eastAsia="黑体"/>
          <w:b w:val="0"/>
          <w:color w:val="000000"/>
          <w:sz w:val="30"/>
          <w:szCs w:val="32"/>
          <w:highlight w:val="none"/>
        </w:rPr>
        <w:t xml:space="preserve"> </w:t>
      </w:r>
      <w:r>
        <w:rPr>
          <w:rFonts w:ascii="Times New Roman" w:hAnsi="Times New Roman" w:eastAsia="黑体"/>
          <w:b w:val="0"/>
          <w:color w:val="000000"/>
          <w:sz w:val="30"/>
          <w:szCs w:val="32"/>
          <w:highlight w:val="none"/>
        </w:rPr>
        <w:t>工期延误</w:t>
      </w:r>
      <w:bookmarkEnd w:id="254"/>
    </w:p>
    <w:bookmarkEnd w:id="255"/>
    <w:bookmarkEnd w:id="256"/>
    <w:bookmarkEnd w:id="257"/>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7.5.1 因发包人原因导致工期延误</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在合同履行过程中，因下列情况导致工期延误和（或）费用增加的，由发包人承担由此延误的工期和（或）增加的费用，且发包人应支付承包人合理的利润： </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（1）发包人未能按合同约定提供图纸或所提供图纸不符合合同约定的；</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（2）发包人未能按合同约定提供施工现场、施工条件、基础资料、许可、批准等开工条件的；</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（3）发包人提供的测量基准点、基准线和水准点及其书面资料存在错误或疏漏的；</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（4）发包人未能在计划开工日期之日起7天内同意下达开工通知的；</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（5）发包人未能按合同约定日期支付工程预付款、进度款或竣工结算款的；</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（6）监理人未按合同约定发出指示、批准等文件的；</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（7）专用合同条款中约定的其他情形。</w:t>
      </w:r>
    </w:p>
    <w:p>
      <w:pPr>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施工进度计划的修订</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执行。</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7.5.2 因承包人原因导致工期延误</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bookmarkStart w:id="258" w:name="_Toc296346577"/>
      <w:bookmarkStart w:id="259" w:name="_Toc296503076"/>
      <w:r>
        <w:rPr>
          <w:rFonts w:ascii="Times New Roman" w:hAnsi="Times New Roman" w:eastAsia="仿宋_GB2312"/>
          <w:color w:val="000000"/>
          <w:kern w:val="0"/>
          <w:sz w:val="30"/>
          <w:szCs w:val="32"/>
          <w:highlight w:val="none"/>
        </w:rPr>
        <w:t>因</w:t>
      </w:r>
      <w:bookmarkEnd w:id="258"/>
      <w:bookmarkEnd w:id="259"/>
      <w:r>
        <w:rPr>
          <w:rFonts w:ascii="Times New Roman" w:hAnsi="Times New Roman" w:eastAsia="仿宋_GB2312"/>
          <w:color w:val="000000"/>
          <w:kern w:val="0"/>
          <w:sz w:val="30"/>
          <w:szCs w:val="32"/>
          <w:highlight w:val="none"/>
        </w:rPr>
        <w:t>承包人原因造成工期延误的，可以在专用合同条款中约定逾期竣工违约金的计算方法和逾期竣工违约金的上限。承包人支付逾期竣工违约金后，不免除承包人继续完成工程及修补缺陷的义务。</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60" w:name="_Toc351203548"/>
      <w:r>
        <w:rPr>
          <w:rFonts w:ascii="Times New Roman" w:hAnsi="Times New Roman" w:eastAsia="黑体"/>
          <w:b w:val="0"/>
          <w:color w:val="000000"/>
          <w:sz w:val="30"/>
          <w:szCs w:val="32"/>
          <w:highlight w:val="none"/>
        </w:rPr>
        <w:t>7</w:t>
      </w:r>
      <w:bookmarkStart w:id="261" w:name="_Toc296346575"/>
      <w:bookmarkStart w:id="262" w:name="_Toc337558773"/>
      <w:bookmarkStart w:id="263" w:name="_Toc296503074"/>
      <w:bookmarkStart w:id="264" w:name="_Toc296503077"/>
      <w:bookmarkStart w:id="265" w:name="_Toc296346578"/>
      <w:r>
        <w:rPr>
          <w:rFonts w:ascii="Times New Roman" w:hAnsi="Times New Roman" w:eastAsia="黑体"/>
          <w:b w:val="0"/>
          <w:color w:val="000000"/>
          <w:sz w:val="30"/>
          <w:szCs w:val="32"/>
          <w:highlight w:val="none"/>
        </w:rPr>
        <w:t>.6 不利物质条件</w:t>
      </w:r>
      <w:bookmarkEnd w:id="260"/>
    </w:p>
    <w:bookmarkEnd w:id="261"/>
    <w:bookmarkEnd w:id="262"/>
    <w:bookmarkEnd w:id="26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变更</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约定执行。承包人因采取合理措施而增加的费用和（或）延误的工期由发包人承担。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66" w:name="_Toc351203549"/>
      <w:r>
        <w:rPr>
          <w:rFonts w:ascii="Times New Roman" w:hAnsi="Times New Roman" w:eastAsia="黑体"/>
          <w:b w:val="0"/>
          <w:color w:val="000000"/>
          <w:sz w:val="30"/>
          <w:szCs w:val="32"/>
          <w:highlight w:val="none"/>
        </w:rPr>
        <w:t>7</w:t>
      </w:r>
      <w:bookmarkStart w:id="267" w:name="_Toc296503075"/>
      <w:bookmarkStart w:id="268" w:name="_Toc337558774"/>
      <w:bookmarkStart w:id="269" w:name="_Toc296346576"/>
      <w:r>
        <w:rPr>
          <w:rFonts w:ascii="Times New Roman" w:hAnsi="Times New Roman" w:eastAsia="黑体"/>
          <w:b w:val="0"/>
          <w:color w:val="000000"/>
          <w:sz w:val="30"/>
          <w:szCs w:val="32"/>
          <w:highlight w:val="none"/>
        </w:rPr>
        <w:t>.7</w:t>
      </w:r>
      <w:r>
        <w:rPr>
          <w:rFonts w:hint="eastAsia" w:ascii="Times New Roman" w:hAnsi="Times New Roman" w:eastAsia="黑体"/>
          <w:b w:val="0"/>
          <w:color w:val="000000"/>
          <w:sz w:val="30"/>
          <w:szCs w:val="32"/>
          <w:highlight w:val="none"/>
        </w:rPr>
        <w:t xml:space="preserve"> </w:t>
      </w:r>
      <w:r>
        <w:rPr>
          <w:rFonts w:ascii="Times New Roman" w:hAnsi="Times New Roman" w:eastAsia="黑体"/>
          <w:b w:val="0"/>
          <w:color w:val="000000"/>
          <w:sz w:val="30"/>
          <w:szCs w:val="32"/>
          <w:highlight w:val="none"/>
        </w:rPr>
        <w:t>异常恶劣的气候条件</w:t>
      </w:r>
      <w:bookmarkEnd w:id="266"/>
    </w:p>
    <w:bookmarkEnd w:id="267"/>
    <w:bookmarkEnd w:id="268"/>
    <w:bookmarkEnd w:id="26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承包人应采取克服异常恶劣的气候条件的合理措施继续施工，并及时通知发包人和监理人。监理人经发包人同意后应当及时发出指示，指示构成变更的，按第10条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变更</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约定办理。承包人因采取合理措施而增加的费用和（或）延误的工期由发包人承担。</w:t>
      </w:r>
      <w:bookmarkStart w:id="270" w:name="_Toc351203550"/>
    </w:p>
    <w:p>
      <w:pPr>
        <w:autoSpaceDE w:val="0"/>
        <w:autoSpaceDN w:val="0"/>
        <w:adjustRightInd w:val="0"/>
        <w:spacing w:line="360" w:lineRule="auto"/>
        <w:ind w:firstLine="600" w:firstLineChars="200"/>
        <w:jc w:val="left"/>
        <w:outlineLvl w:val="0"/>
        <w:rPr>
          <w:rFonts w:ascii="Times New Roman" w:hAnsi="Times New Roman" w:eastAsia="黑体"/>
          <w:bCs/>
          <w:color w:val="000000"/>
          <w:sz w:val="30"/>
          <w:szCs w:val="32"/>
          <w:highlight w:val="none"/>
        </w:rPr>
      </w:pPr>
      <w:bookmarkStart w:id="271" w:name="_Toc629"/>
      <w:bookmarkStart w:id="272" w:name="_Toc1764"/>
      <w:r>
        <w:rPr>
          <w:rFonts w:ascii="Times New Roman" w:hAnsi="Times New Roman" w:eastAsia="黑体"/>
          <w:bCs/>
          <w:color w:val="000000"/>
          <w:sz w:val="30"/>
          <w:szCs w:val="32"/>
          <w:highlight w:val="none"/>
        </w:rPr>
        <w:t>7</w:t>
      </w:r>
      <w:bookmarkStart w:id="273" w:name="_Toc337558775"/>
      <w:r>
        <w:rPr>
          <w:rFonts w:ascii="Times New Roman" w:hAnsi="Times New Roman" w:eastAsia="黑体"/>
          <w:bCs/>
          <w:color w:val="000000"/>
          <w:sz w:val="30"/>
          <w:szCs w:val="32"/>
          <w:highlight w:val="none"/>
        </w:rPr>
        <w:t>.8</w:t>
      </w:r>
      <w:r>
        <w:rPr>
          <w:rFonts w:hint="eastAsia" w:ascii="Times New Roman" w:hAnsi="Times New Roman" w:eastAsia="黑体"/>
          <w:bCs/>
          <w:color w:val="000000"/>
          <w:sz w:val="30"/>
          <w:szCs w:val="32"/>
          <w:highlight w:val="none"/>
        </w:rPr>
        <w:t xml:space="preserve"> </w:t>
      </w:r>
      <w:r>
        <w:rPr>
          <w:rFonts w:ascii="Times New Roman" w:hAnsi="Times New Roman" w:eastAsia="黑体"/>
          <w:bCs/>
          <w:color w:val="000000"/>
          <w:sz w:val="30"/>
          <w:szCs w:val="32"/>
          <w:highlight w:val="none"/>
        </w:rPr>
        <w:t>暂停施工</w:t>
      </w:r>
      <w:bookmarkEnd w:id="270"/>
      <w:bookmarkEnd w:id="271"/>
      <w:bookmarkEnd w:id="272"/>
    </w:p>
    <w:bookmarkEnd w:id="264"/>
    <w:bookmarkEnd w:id="265"/>
    <w:bookmarkEnd w:id="273"/>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7.8.1发包人原因引起的暂停施工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因发包人原因引起暂停施工的，监理人经发包人同意后，应及时下达暂停施工指示。情况紧急且监理人未及时下达暂停施工指示的，按照第7.8.4项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紧急情况下的暂停施工</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执行。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因发包人原因引起的暂停施工，发包人应承担由此增加的费用和（或）延误的工期，</w:t>
      </w:r>
      <w:r>
        <w:rPr>
          <w:rFonts w:ascii="Times New Roman" w:hAnsi="Times New Roman" w:eastAsia="仿宋_GB2312"/>
          <w:kern w:val="0"/>
          <w:sz w:val="30"/>
          <w:szCs w:val="32"/>
          <w:highlight w:val="none"/>
        </w:rPr>
        <w:t>并支付承包人</w:t>
      </w:r>
      <w:r>
        <w:rPr>
          <w:rFonts w:ascii="Times New Roman" w:hAnsi="Times New Roman" w:eastAsia="仿宋_GB2312"/>
          <w:color w:val="000000"/>
          <w:kern w:val="0"/>
          <w:sz w:val="30"/>
          <w:szCs w:val="32"/>
          <w:highlight w:val="none"/>
        </w:rPr>
        <w:t>合理的利润。</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7.8.2 承包人原因引起的暂停施工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因承包人原因引起的暂停施工，承包人应承担由此增加的费用和（或）延误的工期，且承包人在收到监理人复工指示后</w:t>
      </w:r>
      <w:r>
        <w:rPr>
          <w:rFonts w:hint="eastAsia" w:ascii="Times New Roman" w:hAnsi="Times New Roman" w:eastAsia="仿宋_GB2312"/>
          <w:color w:val="000000"/>
          <w:kern w:val="0"/>
          <w:sz w:val="30"/>
          <w:szCs w:val="32"/>
          <w:highlight w:val="none"/>
        </w:rPr>
        <w:t>84</w:t>
      </w:r>
      <w:r>
        <w:rPr>
          <w:rFonts w:ascii="Times New Roman" w:hAnsi="Times New Roman" w:eastAsia="仿宋_GB2312"/>
          <w:color w:val="000000"/>
          <w:kern w:val="0"/>
          <w:sz w:val="30"/>
          <w:szCs w:val="32"/>
          <w:highlight w:val="none"/>
        </w:rPr>
        <w:t>天内仍未复工的，视为第16.2.1项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承包人违约的情形</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第（7）目约定的承包人无法继续履行合同的情形。</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7.8.3 指示暂停施工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监理人认为有必要时，并经发包人批准后，可向承包人作出暂停施工的指示，承包人应按监理人指示暂停施工。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7.8.4 紧急情况下的暂停施工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约定处理。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7.8.5 暂停施工后的复工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承包人无故拖延和拒绝复工的，承包人承担由此增加的费用和（或）延误的工期；因发包人原因无法按时复工的，按照第7.5.1项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因发包人原因导致工期延误</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约定办理。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7.8.6 暂停施工持续56天以上</w:t>
      </w:r>
    </w:p>
    <w:p>
      <w:pPr>
        <w:spacing w:line="360" w:lineRule="auto"/>
        <w:ind w:firstLine="585" w:firstLineChars="195"/>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监理人发出暂停施工指示后56天内未向承包人发出复工通知，除该项停工属于第7.8.2项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承包人原因引起的暂停施工</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及第17条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不可抗力</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变更的范围</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第（2）项的可取消工作。</w:t>
      </w:r>
    </w:p>
    <w:p>
      <w:pPr>
        <w:spacing w:line="360" w:lineRule="auto"/>
        <w:ind w:firstLine="585" w:firstLineChars="195"/>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暂停施工持续</w:t>
      </w:r>
      <w:r>
        <w:rPr>
          <w:rFonts w:hint="eastAsia" w:ascii="Times New Roman" w:hAnsi="Times New Roman" w:eastAsia="仿宋_GB2312"/>
          <w:color w:val="000000"/>
          <w:kern w:val="0"/>
          <w:sz w:val="30"/>
          <w:szCs w:val="32"/>
          <w:highlight w:val="none"/>
        </w:rPr>
        <w:t>84</w:t>
      </w:r>
      <w:r>
        <w:rPr>
          <w:rFonts w:ascii="Times New Roman" w:hAnsi="Times New Roman" w:eastAsia="仿宋_GB2312"/>
          <w:color w:val="000000"/>
          <w:kern w:val="0"/>
          <w:sz w:val="30"/>
          <w:szCs w:val="32"/>
          <w:highlight w:val="none"/>
        </w:rPr>
        <w:t>天以上不复工的，且不属于第7.8.2项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承包人原因引起的暂停施工</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及第17条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不可抗力</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约定的情形，并影响到整个工程以及合同目的实现的，承包人有权提出价格调整要求，或者解除合同。解除合同的，按照第16.1.3项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因发包人违约解除合同</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执行。</w:t>
      </w:r>
    </w:p>
    <w:p>
      <w:pPr>
        <w:spacing w:line="360" w:lineRule="auto"/>
        <w:ind w:left="16" w:firstLine="585" w:firstLineChars="195"/>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7.8.7 暂停施工期间的工程照管</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暂停施工期间，承包人应负责妥善照管工程并提供安全保障，由此增加的费用由责任方承担。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7.8.8 暂停施工的措施</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暂停施工期间，发包人和承包人均应采取必要的措施确保工程质量及安全，防止因暂停施工扩大损失。</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74" w:name="_Toc351203551"/>
      <w:r>
        <w:rPr>
          <w:rFonts w:ascii="Times New Roman" w:hAnsi="Times New Roman" w:eastAsia="黑体"/>
          <w:b w:val="0"/>
          <w:color w:val="000000"/>
          <w:sz w:val="30"/>
          <w:szCs w:val="32"/>
          <w:highlight w:val="none"/>
        </w:rPr>
        <w:t>7.9提前竣工</w:t>
      </w:r>
      <w:bookmarkEnd w:id="274"/>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Times New Roman" w:hAnsi="Times New Roman" w:eastAsia="仿宋_GB2312"/>
          <w:color w:val="000000"/>
          <w:kern w:val="0"/>
          <w:sz w:val="30"/>
          <w:szCs w:val="32"/>
          <w:highlight w:val="none"/>
        </w:rPr>
        <w:t>承包人认为提前竣工指示无法执行的，应向监理人和发包人提出书面异议，发包人和监理人应在收到异议后7天内予以答复。任何情况下，发包人不得压缩合理工期。</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7.9.2 发包人要求承包人提前竣工，或承包人提出提前竣工的建议能够给发包人带来效益的，合同当事人可以在专用合同条款中约定提前竣工的奖励。</w:t>
      </w:r>
    </w:p>
    <w:p>
      <w:pPr>
        <w:pStyle w:val="6"/>
        <w:spacing w:before="120" w:after="120" w:line="360" w:lineRule="auto"/>
        <w:rPr>
          <w:rFonts w:ascii="Times New Roman" w:hAnsi="Times New Roman" w:eastAsia="黑体"/>
          <w:b w:val="0"/>
          <w:color w:val="000000"/>
          <w:sz w:val="32"/>
          <w:szCs w:val="32"/>
          <w:highlight w:val="none"/>
        </w:rPr>
      </w:pPr>
      <w:bookmarkStart w:id="275" w:name="_Toc351203552"/>
      <w:r>
        <w:rPr>
          <w:rFonts w:ascii="Times New Roman" w:hAnsi="Times New Roman" w:eastAsia="黑体"/>
          <w:b w:val="0"/>
          <w:color w:val="000000"/>
          <w:sz w:val="32"/>
          <w:szCs w:val="32"/>
          <w:highlight w:val="none"/>
        </w:rPr>
        <w:t>8</w:t>
      </w:r>
      <w:bookmarkStart w:id="276" w:name="_Toc296503058"/>
      <w:bookmarkStart w:id="277" w:name="_Toc296346559"/>
      <w:bookmarkStart w:id="278" w:name="_Toc337558776"/>
      <w:r>
        <w:rPr>
          <w:rFonts w:ascii="Times New Roman" w:hAnsi="Times New Roman" w:eastAsia="黑体"/>
          <w:b w:val="0"/>
          <w:color w:val="000000"/>
          <w:sz w:val="32"/>
          <w:szCs w:val="32"/>
          <w:highlight w:val="none"/>
        </w:rPr>
        <w:t>. 材料与设备</w:t>
      </w:r>
      <w:bookmarkEnd w:id="275"/>
    </w:p>
    <w:bookmarkEnd w:id="276"/>
    <w:bookmarkEnd w:id="277"/>
    <w:bookmarkEnd w:id="278"/>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79" w:name="_Toc351203553"/>
      <w:r>
        <w:rPr>
          <w:rFonts w:ascii="Times New Roman" w:hAnsi="Times New Roman" w:eastAsia="黑体"/>
          <w:b w:val="0"/>
          <w:color w:val="000000"/>
          <w:sz w:val="30"/>
          <w:szCs w:val="32"/>
          <w:highlight w:val="none"/>
        </w:rPr>
        <w:t>8</w:t>
      </w:r>
      <w:bookmarkStart w:id="280" w:name="_Toc337558777"/>
      <w:bookmarkStart w:id="281" w:name="_Toc296503059"/>
      <w:bookmarkStart w:id="282" w:name="_Toc296346560"/>
      <w:bookmarkStart w:id="283" w:name="_Toc468936960"/>
      <w:r>
        <w:rPr>
          <w:rFonts w:ascii="Times New Roman" w:hAnsi="Times New Roman" w:eastAsia="黑体"/>
          <w:b w:val="0"/>
          <w:color w:val="000000"/>
          <w:sz w:val="30"/>
          <w:szCs w:val="32"/>
          <w:highlight w:val="none"/>
        </w:rPr>
        <w:t>.1发包人供应材料与工程设备</w:t>
      </w:r>
      <w:bookmarkEnd w:id="279"/>
    </w:p>
    <w:bookmarkEnd w:id="280"/>
    <w:bookmarkEnd w:id="281"/>
    <w:bookmarkEnd w:id="28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承包人应提前30天通过监理人以书面形式通知发包人供应材料与工程设备进场。承包人按照第7.2.2项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施工进度计划的修订</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约定修订施工进度计划时，需同时提交经修订后的发包人供应材料与工程设备的进场计划。</w:t>
      </w:r>
    </w:p>
    <w:p>
      <w:pPr>
        <w:pStyle w:val="7"/>
        <w:spacing w:before="120" w:after="120" w:line="360" w:lineRule="auto"/>
        <w:ind w:firstLine="600" w:firstLineChars="200"/>
        <w:rPr>
          <w:rFonts w:ascii="Times New Roman" w:hAnsi="Times New Roman" w:eastAsia="仿宋_GB2312"/>
          <w:color w:val="000000"/>
          <w:sz w:val="30"/>
          <w:szCs w:val="32"/>
          <w:highlight w:val="none"/>
        </w:rPr>
      </w:pPr>
      <w:bookmarkStart w:id="284" w:name="_Toc351203554"/>
      <w:r>
        <w:rPr>
          <w:rFonts w:ascii="Times New Roman" w:hAnsi="Times New Roman" w:eastAsia="黑体"/>
          <w:b w:val="0"/>
          <w:color w:val="000000"/>
          <w:sz w:val="30"/>
          <w:szCs w:val="32"/>
          <w:highlight w:val="none"/>
        </w:rPr>
        <w:t>8</w:t>
      </w:r>
      <w:bookmarkStart w:id="285" w:name="_Toc296346561"/>
      <w:bookmarkStart w:id="286" w:name="_Toc296503060"/>
      <w:bookmarkStart w:id="287" w:name="_Toc337558778"/>
      <w:r>
        <w:rPr>
          <w:rFonts w:ascii="Times New Roman" w:hAnsi="Times New Roman" w:eastAsia="黑体"/>
          <w:b w:val="0"/>
          <w:color w:val="000000"/>
          <w:sz w:val="30"/>
          <w:szCs w:val="32"/>
          <w:highlight w:val="none"/>
        </w:rPr>
        <w:t>.2承包人采购材料与工程设备</w:t>
      </w:r>
      <w:bookmarkEnd w:id="284"/>
    </w:p>
    <w:bookmarkEnd w:id="285"/>
    <w:bookmarkEnd w:id="286"/>
    <w:bookmarkEnd w:id="28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Times New Roman" w:hAnsi="Times New Roman" w:eastAsia="仿宋_GB2312"/>
          <w:color w:val="000000"/>
          <w:kern w:val="0"/>
          <w:sz w:val="30"/>
          <w:szCs w:val="32"/>
          <w:highlight w:val="none"/>
        </w:rPr>
        <w:t>相应责任</w:t>
      </w:r>
      <w:r>
        <w:rPr>
          <w:rFonts w:ascii="Times New Roman" w:hAnsi="Times New Roman" w:eastAsia="仿宋_GB2312"/>
          <w:color w:val="000000"/>
          <w:kern w:val="0"/>
          <w:sz w:val="30"/>
          <w:szCs w:val="32"/>
          <w:highlight w:val="none"/>
        </w:rPr>
        <w:t>。</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88" w:name="_Toc351203555"/>
      <w:r>
        <w:rPr>
          <w:rFonts w:ascii="Times New Roman" w:hAnsi="Times New Roman" w:eastAsia="黑体"/>
          <w:b w:val="0"/>
          <w:color w:val="000000"/>
          <w:sz w:val="30"/>
          <w:szCs w:val="32"/>
          <w:highlight w:val="none"/>
        </w:rPr>
        <w:t>8</w:t>
      </w:r>
      <w:bookmarkStart w:id="289" w:name="_Toc337558779"/>
      <w:bookmarkStart w:id="290" w:name="_Toc296346562"/>
      <w:bookmarkStart w:id="291" w:name="_Toc296503061"/>
      <w:r>
        <w:rPr>
          <w:rFonts w:ascii="Times New Roman" w:hAnsi="Times New Roman" w:eastAsia="黑体"/>
          <w:b w:val="0"/>
          <w:color w:val="000000"/>
          <w:sz w:val="30"/>
          <w:szCs w:val="32"/>
          <w:highlight w:val="none"/>
        </w:rPr>
        <w:t>.3材料与工程设备的接收与拒收</w:t>
      </w:r>
      <w:bookmarkEnd w:id="288"/>
    </w:p>
    <w:bookmarkEnd w:id="289"/>
    <w:bookmarkEnd w:id="290"/>
    <w:bookmarkEnd w:id="29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发包人提供的材料和工程设备的规格、数量或质量不符合合同约定的，或因发包人原因导致交货日期延误或交货地点变更等情况的，按照第16.1款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发包人违约</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约定办理。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8.3.2 承包人采购的材料和工程设备，应保证产品质量合格，承包人应在材料和工程设备到货前24小时通知监理人检验。承</w:t>
      </w:r>
      <w:bookmarkStart w:id="292" w:name="_Toc250655469"/>
      <w:r>
        <w:rPr>
          <w:rFonts w:ascii="Times New Roman" w:hAnsi="Times New Roman" w:eastAsia="仿宋_GB2312"/>
          <w:color w:val="000000"/>
          <w:kern w:val="0"/>
          <w:sz w:val="30"/>
          <w:szCs w:val="32"/>
          <w:highlight w:val="none"/>
        </w:rPr>
        <w:t>包人进行永久设备、材料的制造和生产的，应符合相关质量标准，并向监理人提交材料的样本以及有关资料，并应在使用该材料或工程设备之前获得监理人同意。</w:t>
      </w:r>
    </w:p>
    <w:bookmarkEnd w:id="292"/>
    <w:p>
      <w:pPr>
        <w:autoSpaceDE w:val="0"/>
        <w:autoSpaceDN w:val="0"/>
        <w:adjustRightInd w:val="0"/>
        <w:spacing w:line="360" w:lineRule="auto"/>
        <w:ind w:firstLine="450" w:firstLineChars="15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93" w:name="_Toc351203556"/>
      <w:r>
        <w:rPr>
          <w:rFonts w:ascii="Times New Roman" w:hAnsi="Times New Roman" w:eastAsia="黑体"/>
          <w:b w:val="0"/>
          <w:color w:val="000000"/>
          <w:sz w:val="30"/>
          <w:szCs w:val="32"/>
          <w:highlight w:val="none"/>
        </w:rPr>
        <w:t>8</w:t>
      </w:r>
      <w:bookmarkStart w:id="294" w:name="_Toc296346563"/>
      <w:bookmarkStart w:id="295" w:name="_Toc337558780"/>
      <w:bookmarkStart w:id="296" w:name="_Toc296503062"/>
      <w:r>
        <w:rPr>
          <w:rFonts w:ascii="Times New Roman" w:hAnsi="Times New Roman" w:eastAsia="黑体"/>
          <w:b w:val="0"/>
          <w:color w:val="000000"/>
          <w:sz w:val="30"/>
          <w:szCs w:val="32"/>
          <w:highlight w:val="none"/>
        </w:rPr>
        <w:t>.4材料与工程设备的保管与使用</w:t>
      </w:r>
      <w:bookmarkEnd w:id="293"/>
    </w:p>
    <w:bookmarkEnd w:id="294"/>
    <w:bookmarkEnd w:id="295"/>
    <w:bookmarkEnd w:id="29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8.4.1 发包人供应</w:t>
      </w:r>
      <w:r>
        <w:rPr>
          <w:rFonts w:ascii="Times New Roman" w:hAnsi="Times New Roman" w:eastAsia="仿宋_GB2312"/>
          <w:color w:val="000000"/>
          <w:sz w:val="30"/>
          <w:szCs w:val="32"/>
          <w:highlight w:val="none"/>
        </w:rPr>
        <w:t>材料与</w:t>
      </w:r>
      <w:r>
        <w:rPr>
          <w:rFonts w:ascii="Times New Roman" w:hAnsi="Times New Roman" w:eastAsia="仿宋_GB2312"/>
          <w:color w:val="000000"/>
          <w:kern w:val="0"/>
          <w:sz w:val="30"/>
          <w:szCs w:val="32"/>
          <w:highlight w:val="none"/>
        </w:rPr>
        <w:t>工程</w:t>
      </w:r>
      <w:r>
        <w:rPr>
          <w:rFonts w:ascii="Times New Roman" w:hAnsi="Times New Roman" w:eastAsia="仿宋_GB2312"/>
          <w:color w:val="000000"/>
          <w:sz w:val="30"/>
          <w:szCs w:val="32"/>
          <w:highlight w:val="none"/>
        </w:rPr>
        <w:t>设备的保管与使用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发包人供应的材料和工程设备使用前，由承包人负责检验，检验费用由发包人承担，不合格的不得使用。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8.4.2 承包人采购</w:t>
      </w:r>
      <w:r>
        <w:rPr>
          <w:rFonts w:ascii="Times New Roman" w:hAnsi="Times New Roman" w:eastAsia="仿宋_GB2312"/>
          <w:color w:val="000000"/>
          <w:sz w:val="30"/>
          <w:szCs w:val="32"/>
          <w:highlight w:val="none"/>
        </w:rPr>
        <w:t>材料与</w:t>
      </w:r>
      <w:r>
        <w:rPr>
          <w:rFonts w:ascii="Times New Roman" w:hAnsi="Times New Roman" w:eastAsia="仿宋_GB2312"/>
          <w:color w:val="000000"/>
          <w:kern w:val="0"/>
          <w:sz w:val="30"/>
          <w:szCs w:val="32"/>
          <w:highlight w:val="none"/>
        </w:rPr>
        <w:t>工程</w:t>
      </w:r>
      <w:r>
        <w:rPr>
          <w:rFonts w:ascii="Times New Roman" w:hAnsi="Times New Roman" w:eastAsia="仿宋_GB2312"/>
          <w:color w:val="000000"/>
          <w:sz w:val="30"/>
          <w:szCs w:val="32"/>
          <w:highlight w:val="none"/>
        </w:rPr>
        <w:t>设备的保管与使用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发包人或监理人发现承包人使用不符合设计或有关标准要求的材料和工程设备时，有权要求承包人进行修复、拆除或重新采购，由此增加的费用和（或）延误的工期，由承包人承担。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97" w:name="_Toc351203557"/>
      <w:r>
        <w:rPr>
          <w:rFonts w:ascii="Times New Roman" w:hAnsi="Times New Roman" w:eastAsia="黑体"/>
          <w:b w:val="0"/>
          <w:color w:val="000000"/>
          <w:sz w:val="30"/>
          <w:szCs w:val="32"/>
          <w:highlight w:val="none"/>
        </w:rPr>
        <w:t>8.5禁止使用不合格的材料和工程设备</w:t>
      </w:r>
      <w:bookmarkEnd w:id="297"/>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8.5.3 发包人提供的材料或工程设备不符合合同要求的，承包人有权拒绝，并可要求发包人更换，由此增加的费用和（或）延误的工期由发包人承担</w:t>
      </w:r>
      <w:r>
        <w:rPr>
          <w:rFonts w:hint="eastAsia" w:ascii="Times New Roman" w:hAnsi="Times New Roman" w:eastAsia="仿宋_GB2312"/>
          <w:color w:val="000000"/>
          <w:kern w:val="0"/>
          <w:sz w:val="30"/>
          <w:szCs w:val="32"/>
          <w:highlight w:val="none"/>
        </w:rPr>
        <w:t>，并支付承包人合理的利润</w:t>
      </w:r>
      <w:r>
        <w:rPr>
          <w:rFonts w:ascii="Times New Roman" w:hAnsi="Times New Roman" w:eastAsia="仿宋_GB2312"/>
          <w:color w:val="000000"/>
          <w:kern w:val="0"/>
          <w:sz w:val="30"/>
          <w:szCs w:val="32"/>
          <w:highlight w:val="none"/>
        </w:rPr>
        <w:t>。</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98" w:name="_Toc351203558"/>
      <w:r>
        <w:rPr>
          <w:rFonts w:ascii="Times New Roman" w:hAnsi="Times New Roman" w:eastAsia="黑体"/>
          <w:b w:val="0"/>
          <w:color w:val="000000"/>
          <w:sz w:val="30"/>
          <w:szCs w:val="32"/>
          <w:highlight w:val="none"/>
        </w:rPr>
        <w:t>8.6 样品</w:t>
      </w:r>
      <w:bookmarkEnd w:id="298"/>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8.6.1</w:t>
      </w:r>
      <w:r>
        <w:rPr>
          <w:rFonts w:ascii="Times New Roman" w:hAnsi="Times New Roman" w:eastAsia="仿宋_GB2312"/>
          <w:color w:val="000000"/>
          <w:kern w:val="0"/>
          <w:sz w:val="30"/>
          <w:szCs w:val="32"/>
          <w:highlight w:val="none"/>
        </w:rPr>
        <w:tab/>
      </w:r>
      <w:r>
        <w:rPr>
          <w:rFonts w:ascii="Times New Roman" w:hAnsi="Times New Roman" w:eastAsia="仿宋_GB2312"/>
          <w:color w:val="000000"/>
          <w:kern w:val="0"/>
          <w:sz w:val="30"/>
          <w:szCs w:val="32"/>
          <w:highlight w:val="none"/>
        </w:rPr>
        <w:t>样品的报送</w:t>
      </w:r>
      <w:r>
        <w:rPr>
          <w:rFonts w:hint="eastAsia" w:ascii="Times New Roman" w:hAnsi="Times New Roman" w:eastAsia="仿宋_GB2312"/>
          <w:color w:val="000000"/>
          <w:kern w:val="0"/>
          <w:sz w:val="30"/>
          <w:szCs w:val="32"/>
          <w:highlight w:val="none"/>
        </w:rPr>
        <w:t>与封存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（3）经发包人和监理人审批确认的样品</w:t>
      </w:r>
      <w:r>
        <w:rPr>
          <w:rFonts w:hint="eastAsia" w:ascii="Times New Roman" w:hAnsi="Times New Roman" w:eastAsia="仿宋_GB2312"/>
          <w:color w:val="000000"/>
          <w:kern w:val="0"/>
          <w:sz w:val="30"/>
          <w:szCs w:val="32"/>
          <w:highlight w:val="none"/>
        </w:rPr>
        <w:t>应按约定的方法封样，封存的样品</w:t>
      </w:r>
      <w:r>
        <w:rPr>
          <w:rFonts w:ascii="Times New Roman" w:hAnsi="Times New Roman" w:eastAsia="仿宋_GB2312"/>
          <w:color w:val="000000"/>
          <w:kern w:val="0"/>
          <w:sz w:val="30"/>
          <w:szCs w:val="32"/>
          <w:highlight w:val="none"/>
        </w:rPr>
        <w:t>作为检验工程相关部分的标准之一。承包人在施工过程中不得使用与样品不符的材料或工程设备。</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（4）发包人和监理人对样品的审批确认仅为确认相关材料或工程设备的特征或用途，不得被理解为对合同的修改或改变，也并不减轻或免除承包人任何的责任和义务。</w:t>
      </w:r>
      <w:r>
        <w:rPr>
          <w:rFonts w:hint="eastAsia" w:ascii="Times New Roman" w:hAnsi="Times New Roman" w:eastAsia="仿宋_GB2312"/>
          <w:color w:val="000000"/>
          <w:kern w:val="0"/>
          <w:sz w:val="30"/>
          <w:szCs w:val="32"/>
          <w:highlight w:val="none"/>
        </w:rPr>
        <w:t>如果封存的样品修改或改变了合同约定，合同当事人应当以书面协议予以确认。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8.6.2 样品的保管</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经批准的样品应由监理人负责封存于现场，承包人应在现场为保存样品提供适当和固定的场所并保持适当和良好的存储环境条件。</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299" w:name="_Toc351203559"/>
      <w:r>
        <w:rPr>
          <w:rFonts w:ascii="Times New Roman" w:hAnsi="Times New Roman" w:eastAsia="黑体"/>
          <w:b w:val="0"/>
          <w:color w:val="000000"/>
          <w:sz w:val="30"/>
          <w:szCs w:val="32"/>
          <w:highlight w:val="none"/>
        </w:rPr>
        <w:t>8.7材料与工程设备的替代</w:t>
      </w:r>
      <w:bookmarkEnd w:id="299"/>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8.7.1 出现下列情况需要使用替代材料和工程设备的，承包人应按照第8.7.2项约定的程序执行：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（1）基准日</w:t>
      </w:r>
      <w:r>
        <w:rPr>
          <w:rFonts w:hint="eastAsia" w:ascii="Times New Roman" w:hAnsi="Times New Roman" w:eastAsia="仿宋_GB2312"/>
          <w:color w:val="000000"/>
          <w:kern w:val="0"/>
          <w:sz w:val="30"/>
          <w:szCs w:val="32"/>
          <w:highlight w:val="none"/>
        </w:rPr>
        <w:t>期</w:t>
      </w:r>
      <w:r>
        <w:rPr>
          <w:rFonts w:ascii="Times New Roman" w:hAnsi="Times New Roman" w:eastAsia="仿宋_GB2312"/>
          <w:color w:val="000000"/>
          <w:kern w:val="0"/>
          <w:sz w:val="30"/>
          <w:szCs w:val="32"/>
          <w:highlight w:val="none"/>
        </w:rPr>
        <w:t>后生效的法律规定禁止使用的；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（2）发包人要求使用替代品的；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（3）因其他原因必须使用替代品的。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8.7.2 承包人应在使用替代材料和工程设备28天前书面通知监理人，并附下列文件：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（1）被替代的材料和工程设备的名称、数量、规格、型号、品牌、性能、价格及其他相关资料；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（2）替代品的名称、数量、规格、型号、品牌、性能、价格及其他相关资料；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（3）替代品与被替代产品之间的差异以及使用替代品可能对工程产生的影响；</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（4）替代品与被替代产品的价格差异；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（5）使用替代品的理由和原因说明；</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（6）监理人要求的其他文件。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8.7.3 发包人认可使用替代材料和工程设备的，替代材料和工程设备的价格，按照已标价工程量清单或预算书相同项目的价格认定；无相同项目的，参考相似项目价格认定；</w:t>
      </w:r>
      <w:r>
        <w:rPr>
          <w:rFonts w:hint="eastAsia" w:ascii="Times New Roman" w:hAnsi="Times New Roman" w:eastAsia="仿宋_GB2312"/>
          <w:color w:val="000000"/>
          <w:kern w:val="0"/>
          <w:sz w:val="30"/>
          <w:szCs w:val="32"/>
          <w:highlight w:val="none"/>
        </w:rPr>
        <w:t>既无</w:t>
      </w:r>
      <w:r>
        <w:rPr>
          <w:rFonts w:ascii="Times New Roman" w:hAnsi="Times New Roman" w:eastAsia="仿宋_GB2312"/>
          <w:color w:val="000000"/>
          <w:kern w:val="0"/>
          <w:sz w:val="30"/>
          <w:szCs w:val="32"/>
          <w:highlight w:val="none"/>
        </w:rPr>
        <w:t>相同项目</w:t>
      </w:r>
      <w:r>
        <w:rPr>
          <w:rFonts w:hint="eastAsia" w:ascii="Times New Roman" w:hAnsi="Times New Roman" w:eastAsia="仿宋_GB2312"/>
          <w:color w:val="000000"/>
          <w:kern w:val="0"/>
          <w:sz w:val="30"/>
          <w:szCs w:val="32"/>
          <w:highlight w:val="none"/>
        </w:rPr>
        <w:t>也</w:t>
      </w:r>
      <w:r>
        <w:rPr>
          <w:rFonts w:ascii="Times New Roman" w:hAnsi="Times New Roman" w:eastAsia="仿宋_GB2312"/>
          <w:color w:val="000000"/>
          <w:kern w:val="0"/>
          <w:sz w:val="30"/>
          <w:szCs w:val="32"/>
          <w:highlight w:val="none"/>
        </w:rPr>
        <w:t>无相似项目的，</w:t>
      </w:r>
      <w:r>
        <w:rPr>
          <w:rFonts w:hint="eastAsia" w:ascii="Times New Roman" w:hAnsi="Times New Roman" w:eastAsia="仿宋_GB2312"/>
          <w:color w:val="000000"/>
          <w:kern w:val="0"/>
          <w:sz w:val="30"/>
          <w:szCs w:val="32"/>
          <w:highlight w:val="none"/>
        </w:rPr>
        <w:t>按照合理的成本与利润构成的原则，</w:t>
      </w:r>
      <w:r>
        <w:rPr>
          <w:rFonts w:ascii="Times New Roman" w:hAnsi="Times New Roman" w:eastAsia="仿宋_GB2312"/>
          <w:color w:val="000000"/>
          <w:kern w:val="0"/>
          <w:sz w:val="30"/>
          <w:szCs w:val="32"/>
          <w:highlight w:val="none"/>
        </w:rPr>
        <w:t>由合同当事人按照第4.4款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确定价格。</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00" w:name="_Toc351203560"/>
      <w:r>
        <w:rPr>
          <w:rFonts w:ascii="Times New Roman" w:hAnsi="Times New Roman" w:eastAsia="黑体"/>
          <w:b w:val="0"/>
          <w:color w:val="000000"/>
          <w:sz w:val="30"/>
          <w:szCs w:val="32"/>
          <w:highlight w:val="none"/>
        </w:rPr>
        <w:t>8.8施工设备和临时设施</w:t>
      </w:r>
      <w:bookmarkEnd w:id="300"/>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8.8.1 承包人提供的施工设备和临时设施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8.8.2发包人提供的施工设备和临时设施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发包人提供的施工设备或临时设施在专用合同条款中约定。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8.8.3要求承包人增加或更换施工设备</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承包人使用的施工设备不能满足合同进度计划和（或）质量要求时，监理人有权要求承包人增加或更换施工设备，承包人应及时增加或更换，由此增加的费用和（或）延误的工期由承包人承担。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01" w:name="_Toc351203561"/>
      <w:r>
        <w:rPr>
          <w:rFonts w:ascii="Times New Roman" w:hAnsi="Times New Roman" w:eastAsia="黑体"/>
          <w:b w:val="0"/>
          <w:color w:val="000000"/>
          <w:sz w:val="30"/>
          <w:szCs w:val="32"/>
          <w:highlight w:val="none"/>
        </w:rPr>
        <w:t>8</w:t>
      </w:r>
      <w:bookmarkStart w:id="302" w:name="_Toc296503063"/>
      <w:bookmarkStart w:id="303" w:name="_Toc337558781"/>
      <w:bookmarkStart w:id="304" w:name="_Toc296346564"/>
      <w:r>
        <w:rPr>
          <w:rFonts w:ascii="Times New Roman" w:hAnsi="Times New Roman" w:eastAsia="黑体"/>
          <w:b w:val="0"/>
          <w:color w:val="000000"/>
          <w:sz w:val="30"/>
          <w:szCs w:val="32"/>
          <w:highlight w:val="none"/>
        </w:rPr>
        <w:t>.9材料与设备专用</w:t>
      </w:r>
      <w:bookmarkEnd w:id="301"/>
      <w:r>
        <w:rPr>
          <w:rFonts w:hint="eastAsia" w:ascii="Times New Roman" w:hAnsi="Times New Roman" w:eastAsia="黑体"/>
          <w:b w:val="0"/>
          <w:color w:val="000000"/>
          <w:sz w:val="30"/>
          <w:szCs w:val="32"/>
          <w:highlight w:val="none"/>
        </w:rPr>
        <w:t>要求</w:t>
      </w:r>
    </w:p>
    <w:bookmarkEnd w:id="302"/>
    <w:bookmarkEnd w:id="303"/>
    <w:bookmarkEnd w:id="304"/>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承包人运入施工现场的材料、工程设备、施工设备以及在施工场地建设的临时设施，包括备品备件、安装工具与资料，必须专用于工程。未经发包人批准，承包人不得运出施工现场或挪作他用；</w:t>
      </w:r>
      <w:bookmarkEnd w:id="283"/>
      <w:r>
        <w:rPr>
          <w:rFonts w:ascii="Times New Roman" w:hAnsi="Times New Roman" w:eastAsia="仿宋_GB2312"/>
          <w:color w:val="000000"/>
          <w:kern w:val="0"/>
          <w:sz w:val="30"/>
          <w:szCs w:val="32"/>
          <w:highlight w:val="none"/>
        </w:rPr>
        <w:t>经发包人批准，承包人可以根据施工进度计划撤走闲置的施工设备和其他物品。</w:t>
      </w:r>
    </w:p>
    <w:p>
      <w:pPr>
        <w:pStyle w:val="6"/>
        <w:spacing w:before="120" w:after="120" w:line="360" w:lineRule="auto"/>
        <w:rPr>
          <w:rFonts w:ascii="Times New Roman" w:hAnsi="Times New Roman" w:eastAsia="黑体"/>
          <w:b w:val="0"/>
          <w:color w:val="000000"/>
          <w:sz w:val="32"/>
          <w:szCs w:val="32"/>
          <w:highlight w:val="none"/>
        </w:rPr>
      </w:pPr>
      <w:bookmarkStart w:id="305" w:name="_Toc351203562"/>
      <w:r>
        <w:rPr>
          <w:rFonts w:ascii="Times New Roman" w:hAnsi="Times New Roman" w:eastAsia="黑体"/>
          <w:b w:val="0"/>
          <w:color w:val="000000"/>
          <w:sz w:val="32"/>
          <w:szCs w:val="32"/>
          <w:highlight w:val="none"/>
        </w:rPr>
        <w:t>9</w:t>
      </w:r>
      <w:bookmarkStart w:id="306" w:name="_Toc337558782"/>
      <w:bookmarkStart w:id="307" w:name="_Toc296346584"/>
      <w:bookmarkStart w:id="308" w:name="_Toc296503083"/>
      <w:r>
        <w:rPr>
          <w:rFonts w:ascii="Times New Roman" w:hAnsi="Times New Roman" w:eastAsia="黑体"/>
          <w:b w:val="0"/>
          <w:color w:val="000000"/>
          <w:sz w:val="32"/>
          <w:szCs w:val="32"/>
          <w:highlight w:val="none"/>
        </w:rPr>
        <w:t>. 试验与检验</w:t>
      </w:r>
      <w:bookmarkEnd w:id="305"/>
    </w:p>
    <w:bookmarkEnd w:id="306"/>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09" w:name="_Toc351203563"/>
      <w:r>
        <w:rPr>
          <w:rFonts w:ascii="Times New Roman" w:hAnsi="Times New Roman" w:eastAsia="黑体"/>
          <w:b w:val="0"/>
          <w:color w:val="000000"/>
          <w:sz w:val="30"/>
          <w:szCs w:val="32"/>
          <w:highlight w:val="none"/>
        </w:rPr>
        <w:t>9</w:t>
      </w:r>
      <w:bookmarkStart w:id="310" w:name="_Toc337558783"/>
      <w:r>
        <w:rPr>
          <w:rFonts w:ascii="Times New Roman" w:hAnsi="Times New Roman" w:eastAsia="黑体"/>
          <w:b w:val="0"/>
          <w:color w:val="000000"/>
          <w:sz w:val="30"/>
          <w:szCs w:val="32"/>
          <w:highlight w:val="none"/>
        </w:rPr>
        <w:t>.1试验设备与试验人员</w:t>
      </w:r>
      <w:bookmarkEnd w:id="309"/>
    </w:p>
    <w:bookmarkEnd w:id="310"/>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9.1.2 承包人应按专用合同条款的约定提供试验设备、取样装置、试验场所和试验条件，并向监理人提交相应进场计划表。</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承包人配置的试验设备要符合相应试验规程的要求并经过具有资质的检测单位检测，且在正式使用该试验设备前，需要经过监理人与承包人共同校定。</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9.1.3 承包人应向监理人提交试验人员的名单及其岗位、资格等证明资料，试验人员必须能够熟练进行相应的检测试验，承包人对试验人员的试验程序和试验结果的正确性负责。</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11" w:name="_Toc351203564"/>
      <w:r>
        <w:rPr>
          <w:rFonts w:ascii="Times New Roman" w:hAnsi="Times New Roman" w:eastAsia="黑体"/>
          <w:b w:val="0"/>
          <w:color w:val="000000"/>
          <w:sz w:val="30"/>
          <w:szCs w:val="32"/>
          <w:highlight w:val="none"/>
        </w:rPr>
        <w:t>9</w:t>
      </w:r>
      <w:bookmarkStart w:id="312" w:name="_Toc337558784"/>
      <w:r>
        <w:rPr>
          <w:rFonts w:ascii="Times New Roman" w:hAnsi="Times New Roman" w:eastAsia="黑体"/>
          <w:b w:val="0"/>
          <w:color w:val="000000"/>
          <w:sz w:val="30"/>
          <w:szCs w:val="32"/>
          <w:highlight w:val="none"/>
        </w:rPr>
        <w:t>.2取样</w:t>
      </w:r>
      <w:bookmarkEnd w:id="311"/>
    </w:p>
    <w:bookmarkEnd w:id="312"/>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试验属于自检性质的，承包人可以单独取样。试验属于监理人抽检性质的，可由监理人取样，也可由承包人的试验人员在监理人的监督下取样。</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13" w:name="_Toc351203565"/>
      <w:r>
        <w:rPr>
          <w:rFonts w:ascii="Times New Roman" w:hAnsi="Times New Roman" w:eastAsia="黑体"/>
          <w:b w:val="0"/>
          <w:color w:val="000000"/>
          <w:sz w:val="30"/>
          <w:szCs w:val="32"/>
          <w:highlight w:val="none"/>
        </w:rPr>
        <w:t>9</w:t>
      </w:r>
      <w:bookmarkStart w:id="314" w:name="_Toc337558785"/>
      <w:r>
        <w:rPr>
          <w:rFonts w:ascii="Times New Roman" w:hAnsi="Times New Roman" w:eastAsia="黑体"/>
          <w:b w:val="0"/>
          <w:color w:val="000000"/>
          <w:sz w:val="30"/>
          <w:szCs w:val="32"/>
          <w:highlight w:val="none"/>
        </w:rPr>
        <w:t>.3材料、工程设备和工程的试验和检验</w:t>
      </w:r>
      <w:bookmarkEnd w:id="313"/>
    </w:p>
    <w:bookmarkEnd w:id="314"/>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15" w:name="_Toc351203566"/>
      <w:r>
        <w:rPr>
          <w:rFonts w:ascii="Times New Roman" w:hAnsi="Times New Roman" w:eastAsia="黑体"/>
          <w:b w:val="0"/>
          <w:color w:val="000000"/>
          <w:sz w:val="30"/>
          <w:szCs w:val="32"/>
          <w:highlight w:val="none"/>
        </w:rPr>
        <w:t>9</w:t>
      </w:r>
      <w:bookmarkStart w:id="316" w:name="_Toc337558786"/>
      <w:r>
        <w:rPr>
          <w:rFonts w:ascii="Times New Roman" w:hAnsi="Times New Roman" w:eastAsia="黑体"/>
          <w:b w:val="0"/>
          <w:color w:val="000000"/>
          <w:sz w:val="30"/>
          <w:szCs w:val="32"/>
          <w:highlight w:val="none"/>
        </w:rPr>
        <w:t>.4现场工艺试验</w:t>
      </w:r>
      <w:bookmarkEnd w:id="315"/>
    </w:p>
    <w:bookmarkEnd w:id="316"/>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承包人应按合同约定或监理人指示进行现场工艺试验。对大型的现场工艺试验，监理人认为必要时，承包人应根据监理人提出的工艺试验要求，编制工艺试验措施计划，报送监理人审查。</w:t>
      </w:r>
    </w:p>
    <w:p>
      <w:pPr>
        <w:pStyle w:val="6"/>
        <w:spacing w:before="120" w:after="120" w:line="360" w:lineRule="auto"/>
        <w:rPr>
          <w:rFonts w:ascii="Times New Roman" w:hAnsi="Times New Roman" w:eastAsia="黑体"/>
          <w:b w:val="0"/>
          <w:color w:val="000000"/>
          <w:sz w:val="32"/>
          <w:szCs w:val="32"/>
          <w:highlight w:val="none"/>
        </w:rPr>
      </w:pPr>
      <w:bookmarkStart w:id="317" w:name="_Toc351203567"/>
      <w:r>
        <w:rPr>
          <w:rFonts w:ascii="Times New Roman" w:hAnsi="Times New Roman" w:eastAsia="黑体"/>
          <w:b w:val="0"/>
          <w:color w:val="000000"/>
          <w:sz w:val="32"/>
          <w:szCs w:val="32"/>
          <w:highlight w:val="none"/>
        </w:rPr>
        <w:t>1</w:t>
      </w:r>
      <w:bookmarkStart w:id="318" w:name="_Toc337558787"/>
      <w:r>
        <w:rPr>
          <w:rFonts w:ascii="Times New Roman" w:hAnsi="Times New Roman" w:eastAsia="黑体"/>
          <w:b w:val="0"/>
          <w:color w:val="000000"/>
          <w:sz w:val="32"/>
          <w:szCs w:val="32"/>
          <w:highlight w:val="none"/>
        </w:rPr>
        <w:t>0. 变更</w:t>
      </w:r>
      <w:bookmarkEnd w:id="307"/>
      <w:bookmarkEnd w:id="308"/>
      <w:bookmarkEnd w:id="317"/>
    </w:p>
    <w:bookmarkEnd w:id="318"/>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19" w:name="_Toc351203568"/>
      <w:r>
        <w:rPr>
          <w:rFonts w:ascii="Times New Roman" w:hAnsi="Times New Roman" w:eastAsia="黑体"/>
          <w:b w:val="0"/>
          <w:color w:val="000000"/>
          <w:sz w:val="30"/>
          <w:szCs w:val="32"/>
          <w:highlight w:val="none"/>
        </w:rPr>
        <w:t>1</w:t>
      </w:r>
      <w:bookmarkStart w:id="320" w:name="_Toc296346585"/>
      <w:bookmarkStart w:id="321" w:name="_Toc337558788"/>
      <w:bookmarkStart w:id="322" w:name="_Toc296503084"/>
      <w:r>
        <w:rPr>
          <w:rFonts w:ascii="Times New Roman" w:hAnsi="Times New Roman" w:eastAsia="黑体"/>
          <w:b w:val="0"/>
          <w:color w:val="000000"/>
          <w:sz w:val="30"/>
          <w:szCs w:val="32"/>
          <w:highlight w:val="none"/>
        </w:rPr>
        <w:t>0.1变更的范围</w:t>
      </w:r>
      <w:bookmarkEnd w:id="319"/>
    </w:p>
    <w:bookmarkEnd w:id="320"/>
    <w:bookmarkEnd w:id="321"/>
    <w:bookmarkEnd w:id="32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除专用合同条款另有约定外，合同履行过程中发生以下情形的，应按照本条约定进行变更：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（1）增加或减少合同中任何工作，或追加额外的工作；</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（2）取消合同中任何工作，但转由他人实施的工作除外；</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（3）改变合同中任何工作的质量标准或其他特性；</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（4）改变工程的基线、标高、位置和尺寸；</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（5）改变工程的时间安排或实施顺序。</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23" w:name="_Toc351203569"/>
      <w:r>
        <w:rPr>
          <w:rFonts w:ascii="Times New Roman" w:hAnsi="Times New Roman" w:eastAsia="黑体"/>
          <w:b w:val="0"/>
          <w:color w:val="000000"/>
          <w:sz w:val="30"/>
          <w:szCs w:val="32"/>
          <w:highlight w:val="none"/>
        </w:rPr>
        <w:t>1</w:t>
      </w:r>
      <w:bookmarkStart w:id="324" w:name="_Toc296503085"/>
      <w:bookmarkStart w:id="325" w:name="_Toc337558789"/>
      <w:bookmarkStart w:id="326" w:name="_Toc296346586"/>
      <w:r>
        <w:rPr>
          <w:rFonts w:ascii="Times New Roman" w:hAnsi="Times New Roman" w:eastAsia="黑体"/>
          <w:b w:val="0"/>
          <w:color w:val="000000"/>
          <w:sz w:val="30"/>
          <w:szCs w:val="32"/>
          <w:highlight w:val="none"/>
        </w:rPr>
        <w:t>0.2变更权</w:t>
      </w:r>
      <w:bookmarkEnd w:id="323"/>
    </w:p>
    <w:bookmarkEnd w:id="324"/>
    <w:bookmarkEnd w:id="325"/>
    <w:bookmarkEnd w:id="32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涉及设计变更的，应由设计人提供变更后的图纸和说明。如变更超过原设计标准或批准的建设规模时，发包人应及时办理规划、设计变更</w:t>
      </w:r>
      <w:r>
        <w:rPr>
          <w:rFonts w:hint="eastAsia" w:ascii="Times New Roman" w:hAnsi="Times New Roman" w:eastAsia="仿宋_GB2312"/>
          <w:color w:val="000000"/>
          <w:kern w:val="0"/>
          <w:sz w:val="30"/>
          <w:szCs w:val="32"/>
          <w:highlight w:val="none"/>
        </w:rPr>
        <w:t>等</w:t>
      </w:r>
      <w:r>
        <w:rPr>
          <w:rFonts w:ascii="Times New Roman" w:hAnsi="Times New Roman" w:eastAsia="仿宋_GB2312"/>
          <w:color w:val="000000"/>
          <w:kern w:val="0"/>
          <w:sz w:val="30"/>
          <w:szCs w:val="32"/>
          <w:highlight w:val="none"/>
        </w:rPr>
        <w:t>审批手续。</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27" w:name="_Toc351203570"/>
      <w:r>
        <w:rPr>
          <w:rFonts w:ascii="Times New Roman" w:hAnsi="Times New Roman" w:eastAsia="黑体"/>
          <w:b w:val="0"/>
          <w:color w:val="000000"/>
          <w:sz w:val="30"/>
          <w:szCs w:val="32"/>
          <w:highlight w:val="none"/>
        </w:rPr>
        <w:t>1</w:t>
      </w:r>
      <w:bookmarkStart w:id="328" w:name="_Toc337558790"/>
      <w:bookmarkStart w:id="329" w:name="_Toc296503086"/>
      <w:bookmarkStart w:id="330" w:name="_Toc296346587"/>
      <w:r>
        <w:rPr>
          <w:rFonts w:ascii="Times New Roman" w:hAnsi="Times New Roman" w:eastAsia="黑体"/>
          <w:b w:val="0"/>
          <w:color w:val="000000"/>
          <w:sz w:val="30"/>
          <w:szCs w:val="32"/>
          <w:highlight w:val="none"/>
        </w:rPr>
        <w:t>0.3变更程序</w:t>
      </w:r>
      <w:bookmarkEnd w:id="327"/>
    </w:p>
    <w:bookmarkEnd w:id="328"/>
    <w:bookmarkEnd w:id="329"/>
    <w:bookmarkEnd w:id="33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10</w:t>
      </w:r>
      <w:r>
        <w:rPr>
          <w:rFonts w:ascii="Times New Roman" w:hAnsi="Times New Roman" w:eastAsia="仿宋_GB2312"/>
          <w:color w:val="000000"/>
          <w:kern w:val="0"/>
          <w:sz w:val="30"/>
          <w:szCs w:val="32"/>
          <w:highlight w:val="none"/>
        </w:rPr>
        <w:t>.3.1 发包人提出变更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发包人提出变更的，应通过监理人向承包人发出变更指示，变更指示应说明计划变更的工程范围和变更的内容。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10</w:t>
      </w:r>
      <w:r>
        <w:rPr>
          <w:rFonts w:ascii="Times New Roman" w:hAnsi="Times New Roman" w:eastAsia="仿宋_GB2312"/>
          <w:color w:val="000000"/>
          <w:kern w:val="0"/>
          <w:sz w:val="30"/>
          <w:szCs w:val="32"/>
          <w:highlight w:val="none"/>
        </w:rPr>
        <w:t>.3.2 监理人提出变更建议</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rPr>
        <w:t>10.3.3 变更执行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承包人收到监理人下达的变更指示后，</w:t>
      </w:r>
      <w:r>
        <w:rPr>
          <w:rFonts w:hint="eastAsia" w:ascii="Times New Roman" w:hAnsi="Times New Roman" w:eastAsia="仿宋_GB2312"/>
          <w:color w:val="000000"/>
          <w:kern w:val="0"/>
          <w:sz w:val="30"/>
          <w:szCs w:val="32"/>
          <w:highlight w:val="none"/>
        </w:rPr>
        <w:t>认为不能执行，应立即</w:t>
      </w:r>
      <w:r>
        <w:rPr>
          <w:rFonts w:ascii="Times New Roman" w:hAnsi="Times New Roman" w:eastAsia="仿宋_GB2312"/>
          <w:color w:val="000000"/>
          <w:kern w:val="0"/>
          <w:sz w:val="30"/>
          <w:szCs w:val="32"/>
          <w:highlight w:val="none"/>
        </w:rPr>
        <w:t>提出不能执行该变更指示的理由。承包人</w:t>
      </w:r>
      <w:r>
        <w:rPr>
          <w:rFonts w:hint="eastAsia" w:ascii="Times New Roman" w:hAnsi="Times New Roman" w:eastAsia="仿宋_GB2312"/>
          <w:color w:val="000000"/>
          <w:kern w:val="0"/>
          <w:sz w:val="30"/>
          <w:szCs w:val="32"/>
          <w:highlight w:val="none"/>
        </w:rPr>
        <w:t>认为可以</w:t>
      </w:r>
      <w:r>
        <w:rPr>
          <w:rFonts w:ascii="Times New Roman" w:hAnsi="Times New Roman" w:eastAsia="仿宋_GB2312"/>
          <w:color w:val="000000"/>
          <w:kern w:val="0"/>
          <w:sz w:val="30"/>
          <w:szCs w:val="32"/>
          <w:highlight w:val="none"/>
        </w:rPr>
        <w:t>执行变更的，</w:t>
      </w:r>
      <w:r>
        <w:rPr>
          <w:rFonts w:hint="eastAsia" w:ascii="Times New Roman" w:hAnsi="Times New Roman" w:eastAsia="仿宋_GB2312"/>
          <w:color w:val="000000"/>
          <w:kern w:val="0"/>
          <w:sz w:val="30"/>
          <w:szCs w:val="32"/>
          <w:highlight w:val="none"/>
        </w:rPr>
        <w:t>应当书面说明实施该变更指示对合同价格和工期的影响，且合同当事人应当按照第10.4款〔变更估价〕约定确定变更估价</w:t>
      </w:r>
      <w:r>
        <w:rPr>
          <w:rFonts w:ascii="Times New Roman" w:hAnsi="Times New Roman" w:eastAsia="仿宋_GB2312"/>
          <w:color w:val="000000"/>
          <w:kern w:val="0"/>
          <w:sz w:val="30"/>
          <w:szCs w:val="32"/>
          <w:highlight w:val="none"/>
        </w:rPr>
        <w:t>。</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31" w:name="_Toc351203571"/>
      <w:r>
        <w:rPr>
          <w:rFonts w:ascii="Times New Roman" w:hAnsi="Times New Roman" w:eastAsia="黑体"/>
          <w:b w:val="0"/>
          <w:color w:val="000000"/>
          <w:sz w:val="30"/>
          <w:szCs w:val="32"/>
          <w:highlight w:val="none"/>
        </w:rPr>
        <w:t>1</w:t>
      </w:r>
      <w:bookmarkStart w:id="332" w:name="_Toc337558791"/>
      <w:bookmarkStart w:id="333" w:name="_Toc296346588"/>
      <w:bookmarkStart w:id="334" w:name="_Toc296503087"/>
      <w:r>
        <w:rPr>
          <w:rFonts w:ascii="Times New Roman" w:hAnsi="Times New Roman" w:eastAsia="黑体"/>
          <w:b w:val="0"/>
          <w:color w:val="000000"/>
          <w:sz w:val="30"/>
          <w:szCs w:val="32"/>
          <w:highlight w:val="none"/>
        </w:rPr>
        <w:t>0.4变更估价</w:t>
      </w:r>
      <w:bookmarkEnd w:id="331"/>
    </w:p>
    <w:bookmarkEnd w:id="332"/>
    <w:bookmarkEnd w:id="333"/>
    <w:bookmarkEnd w:id="334"/>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10.4.1 变更估价原则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除专用合同条款另有约定外，变更估价按照本款约定处理：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（1）已标价工程量清单或预算书有相同项目的，按照相同项目单价认定；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（2）已标价工程量清单或预算书中无相同项目，但有类似项目的，参照类似项目的单价认定；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确定变更工作的单价。</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10.4.2 变更估价程序</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承包人应在收到变更指示后14天内，向监理人提交变更估价申请。监理人应在收到承包人提交的变更估价申请后7天内审查完毕并报送发包人，监理人对变更估价申请有异议</w:t>
      </w:r>
      <w:r>
        <w:rPr>
          <w:rFonts w:ascii="Times New Roman" w:hAnsi="Times New Roman" w:eastAsia="仿宋_GB2312"/>
          <w:color w:val="000000"/>
          <w:kern w:val="0"/>
          <w:sz w:val="30"/>
          <w:szCs w:val="32"/>
          <w:highlight w:val="none"/>
        </w:rPr>
        <w:t>，通知承包人</w:t>
      </w:r>
      <w:r>
        <w:rPr>
          <w:rFonts w:hint="eastAsia" w:ascii="Times New Roman" w:hAnsi="Times New Roman" w:eastAsia="仿宋_GB2312"/>
          <w:color w:val="000000"/>
          <w:kern w:val="0"/>
          <w:sz w:val="30"/>
          <w:szCs w:val="32"/>
          <w:highlight w:val="none"/>
        </w:rPr>
        <w:t>修</w:t>
      </w:r>
      <w:r>
        <w:rPr>
          <w:rFonts w:ascii="Times New Roman" w:hAnsi="Times New Roman" w:eastAsia="仿宋_GB2312"/>
          <w:color w:val="000000"/>
          <w:kern w:val="0"/>
          <w:sz w:val="30"/>
          <w:szCs w:val="32"/>
          <w:highlight w:val="none"/>
        </w:rPr>
        <w:t>改</w:t>
      </w:r>
      <w:r>
        <w:rPr>
          <w:rFonts w:hint="eastAsia" w:ascii="Times New Roman" w:hAnsi="Times New Roman" w:eastAsia="仿宋_GB2312"/>
          <w:color w:val="000000"/>
          <w:kern w:val="0"/>
          <w:sz w:val="30"/>
          <w:szCs w:val="32"/>
          <w:highlight w:val="none"/>
        </w:rPr>
        <w:t>后重新提交</w:t>
      </w:r>
      <w:r>
        <w:rPr>
          <w:rFonts w:ascii="Times New Roman" w:hAnsi="Times New Roman" w:eastAsia="仿宋_GB2312"/>
          <w:color w:val="000000"/>
          <w:kern w:val="0"/>
          <w:sz w:val="30"/>
          <w:szCs w:val="32"/>
          <w:highlight w:val="none"/>
        </w:rPr>
        <w:t>。发包人应在</w:t>
      </w:r>
      <w:r>
        <w:rPr>
          <w:rFonts w:hint="eastAsia" w:ascii="Times New Roman" w:hAnsi="Times New Roman" w:eastAsia="仿宋_GB2312"/>
          <w:color w:val="000000"/>
          <w:kern w:val="0"/>
          <w:sz w:val="30"/>
          <w:szCs w:val="32"/>
          <w:highlight w:val="none"/>
        </w:rPr>
        <w:t>承包人提交变更估价申请</w:t>
      </w:r>
      <w:r>
        <w:rPr>
          <w:rFonts w:ascii="Times New Roman" w:hAnsi="Times New Roman" w:eastAsia="仿宋_GB2312"/>
          <w:color w:val="000000"/>
          <w:kern w:val="0"/>
          <w:sz w:val="30"/>
          <w:szCs w:val="32"/>
          <w:highlight w:val="none"/>
        </w:rPr>
        <w:t>后</w:t>
      </w:r>
      <w:r>
        <w:rPr>
          <w:rFonts w:hint="eastAsia" w:ascii="Times New Roman" w:hAnsi="Times New Roman" w:eastAsia="仿宋_GB2312"/>
          <w:color w:val="000000"/>
          <w:kern w:val="0"/>
          <w:sz w:val="30"/>
          <w:szCs w:val="32"/>
          <w:highlight w:val="none"/>
        </w:rPr>
        <w:t>14</w:t>
      </w:r>
      <w:r>
        <w:rPr>
          <w:rFonts w:ascii="Times New Roman" w:hAnsi="Times New Roman" w:eastAsia="仿宋_GB2312"/>
          <w:color w:val="000000"/>
          <w:kern w:val="0"/>
          <w:sz w:val="30"/>
          <w:szCs w:val="32"/>
          <w:highlight w:val="none"/>
        </w:rPr>
        <w:t>天内审批完毕。</w:t>
      </w:r>
      <w:r>
        <w:rPr>
          <w:rFonts w:hint="eastAsia" w:ascii="Times New Roman" w:hAnsi="Times New Roman" w:eastAsia="仿宋_GB2312"/>
          <w:color w:val="000000"/>
          <w:kern w:val="0"/>
          <w:sz w:val="30"/>
          <w:szCs w:val="32"/>
          <w:highlight w:val="none"/>
        </w:rPr>
        <w:t>发包人逾期未完成审批或未提出异议的，视为认可承包人提交的变更估价申请。</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因变更引起的价格调整应计入最近一期的进度款中支付。</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35" w:name="_Toc351203572"/>
      <w:r>
        <w:rPr>
          <w:rFonts w:ascii="Times New Roman" w:hAnsi="Times New Roman" w:eastAsia="黑体"/>
          <w:b w:val="0"/>
          <w:color w:val="000000"/>
          <w:sz w:val="30"/>
          <w:szCs w:val="32"/>
          <w:highlight w:val="none"/>
        </w:rPr>
        <w:t>1</w:t>
      </w:r>
      <w:bookmarkStart w:id="336" w:name="_Toc296503094"/>
      <w:bookmarkStart w:id="337" w:name="_Toc337558792"/>
      <w:bookmarkStart w:id="338" w:name="_Toc296346595"/>
      <w:r>
        <w:rPr>
          <w:rFonts w:ascii="Times New Roman" w:hAnsi="Times New Roman" w:eastAsia="黑体"/>
          <w:b w:val="0"/>
          <w:color w:val="000000"/>
          <w:sz w:val="30"/>
          <w:szCs w:val="32"/>
          <w:highlight w:val="none"/>
        </w:rPr>
        <w:t>0.5承包人的合理化建议</w:t>
      </w:r>
      <w:bookmarkEnd w:id="335"/>
    </w:p>
    <w:bookmarkEnd w:id="336"/>
    <w:bookmarkEnd w:id="337"/>
    <w:bookmarkEnd w:id="338"/>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变更估价</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约定执行。发包人不同意变更的，监理人应书面通知承包人。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合理化建议降低了合同价格或者提高了工程经济效益的，发包人可对承包人给予奖励，奖励的方法和金额在专用合同条款中约定。</w:t>
      </w:r>
    </w:p>
    <w:p>
      <w:pPr>
        <w:pStyle w:val="7"/>
        <w:spacing w:before="120" w:after="120" w:line="360" w:lineRule="auto"/>
        <w:ind w:firstLine="600" w:firstLineChars="200"/>
        <w:rPr>
          <w:rFonts w:ascii="Times New Roman" w:hAnsi="Times New Roman" w:eastAsia="仿宋_GB2312"/>
          <w:color w:val="000000"/>
          <w:sz w:val="30"/>
          <w:szCs w:val="32"/>
          <w:highlight w:val="none"/>
        </w:rPr>
      </w:pPr>
      <w:bookmarkStart w:id="339" w:name="_Toc351203573"/>
      <w:r>
        <w:rPr>
          <w:rFonts w:ascii="Times New Roman" w:hAnsi="Times New Roman" w:eastAsia="黑体"/>
          <w:b w:val="0"/>
          <w:color w:val="000000"/>
          <w:sz w:val="30"/>
          <w:szCs w:val="32"/>
          <w:highlight w:val="none"/>
        </w:rPr>
        <w:t>1</w:t>
      </w:r>
      <w:bookmarkStart w:id="340" w:name="_Toc337558793"/>
      <w:r>
        <w:rPr>
          <w:rFonts w:ascii="Times New Roman" w:hAnsi="Times New Roman" w:eastAsia="黑体"/>
          <w:b w:val="0"/>
          <w:color w:val="000000"/>
          <w:sz w:val="30"/>
          <w:szCs w:val="32"/>
          <w:highlight w:val="none"/>
        </w:rPr>
        <w:t>0.6变更引起的工期调整</w:t>
      </w:r>
      <w:bookmarkEnd w:id="339"/>
      <w:r>
        <w:rPr>
          <w:rFonts w:ascii="Times New Roman" w:hAnsi="Times New Roman" w:eastAsia="黑体"/>
          <w:b w:val="0"/>
          <w:color w:val="000000"/>
          <w:sz w:val="30"/>
          <w:szCs w:val="32"/>
          <w:highlight w:val="none"/>
        </w:rPr>
        <w:t xml:space="preserve"> </w:t>
      </w:r>
      <w:bookmarkEnd w:id="340"/>
      <w:r>
        <w:rPr>
          <w:rFonts w:ascii="Times New Roman" w:hAnsi="Times New Roman" w:eastAsia="黑体"/>
          <w:b w:val="0"/>
          <w:color w:val="000000"/>
          <w:sz w:val="30"/>
          <w:szCs w:val="32"/>
          <w:highlight w:val="none"/>
        </w:rPr>
        <w:t xml:space="preserve"> </w:t>
      </w:r>
      <w:r>
        <w:rPr>
          <w:rFonts w:ascii="Times New Roman" w:hAnsi="Times New Roman" w:eastAsia="仿宋_GB2312"/>
          <w:color w:val="000000"/>
          <w:sz w:val="30"/>
          <w:szCs w:val="32"/>
          <w:highlight w:val="none"/>
        </w:rPr>
        <w:t xml:space="preserve">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因变更引起工期变化的，合同当事人均可要求调整合同工期，由合同当事人按照第4.4款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并参考工程所在地的工期定额标准确定增减工期天数。</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41" w:name="_Toc351203574"/>
      <w:r>
        <w:rPr>
          <w:rFonts w:ascii="Times New Roman" w:hAnsi="Times New Roman" w:eastAsia="黑体"/>
          <w:b w:val="0"/>
          <w:color w:val="000000"/>
          <w:sz w:val="30"/>
          <w:szCs w:val="32"/>
          <w:highlight w:val="none"/>
        </w:rPr>
        <w:t>10.7暂估价</w:t>
      </w:r>
      <w:bookmarkEnd w:id="341"/>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暂估价专业分包工程、</w:t>
      </w:r>
      <w:r>
        <w:rPr>
          <w:rFonts w:hint="eastAsia" w:ascii="Times New Roman" w:hAnsi="Times New Roman" w:eastAsia="仿宋_GB2312"/>
          <w:color w:val="000000"/>
          <w:kern w:val="0"/>
          <w:sz w:val="30"/>
          <w:szCs w:val="32"/>
          <w:highlight w:val="none"/>
        </w:rPr>
        <w:t>服务、</w:t>
      </w:r>
      <w:r>
        <w:rPr>
          <w:rFonts w:ascii="Times New Roman" w:hAnsi="Times New Roman" w:eastAsia="仿宋_GB2312"/>
          <w:color w:val="000000"/>
          <w:kern w:val="0"/>
          <w:sz w:val="30"/>
          <w:szCs w:val="32"/>
          <w:highlight w:val="none"/>
        </w:rPr>
        <w:t>材料和工程设备的明细由合同当事人在专用合同条款中约定。</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10.7.1</w:t>
      </w:r>
      <w:r>
        <w:rPr>
          <w:rFonts w:ascii="Times New Roman" w:hAnsi="Times New Roman" w:eastAsia="仿宋_GB2312"/>
          <w:color w:val="000000"/>
          <w:kern w:val="0"/>
          <w:sz w:val="30"/>
          <w:szCs w:val="32"/>
          <w:highlight w:val="none"/>
        </w:rPr>
        <w:t xml:space="preserve"> 依法必须招标的暂估价项目</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对于依法必须招标的暂估价项目，采取以下第1种方式确定</w:t>
      </w:r>
      <w:r>
        <w:rPr>
          <w:rFonts w:hint="eastAsia" w:ascii="Times New Roman" w:hAnsi="Times New Roman" w:eastAsia="仿宋_GB2312"/>
          <w:color w:val="000000"/>
          <w:kern w:val="0"/>
          <w:sz w:val="30"/>
          <w:szCs w:val="32"/>
          <w:highlight w:val="none"/>
        </w:rPr>
        <w:t>。合同当事人也可以在</w:t>
      </w:r>
      <w:r>
        <w:rPr>
          <w:rFonts w:ascii="Times New Roman" w:hAnsi="Times New Roman" w:eastAsia="仿宋_GB2312"/>
          <w:color w:val="000000"/>
          <w:kern w:val="0"/>
          <w:sz w:val="30"/>
          <w:szCs w:val="32"/>
          <w:highlight w:val="none"/>
        </w:rPr>
        <w:t>专用合同条款</w:t>
      </w:r>
      <w:r>
        <w:rPr>
          <w:rFonts w:hint="eastAsia" w:ascii="Times New Roman" w:hAnsi="Times New Roman" w:eastAsia="仿宋_GB2312"/>
          <w:color w:val="000000"/>
          <w:kern w:val="0"/>
          <w:sz w:val="30"/>
          <w:szCs w:val="32"/>
          <w:highlight w:val="none"/>
        </w:rPr>
        <w:t>中选择其他招标方式。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第1种方式：对于依法必须招标的暂估价项目，由承包人招标，对该暂估价项目的确认和批准按照以下约定执行：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Times New Roman" w:hAnsi="Times New Roman" w:eastAsia="仿宋_GB2312"/>
          <w:color w:val="000000"/>
          <w:kern w:val="0"/>
          <w:sz w:val="30"/>
          <w:szCs w:val="32"/>
          <w:highlight w:val="none"/>
        </w:rPr>
        <w:t>并按照法律规定参加评标</w:t>
      </w:r>
      <w:r>
        <w:rPr>
          <w:rFonts w:ascii="Times New Roman" w:hAnsi="Times New Roman" w:eastAsia="仿宋_GB2312"/>
          <w:color w:val="000000"/>
          <w:kern w:val="0"/>
          <w:sz w:val="30"/>
          <w:szCs w:val="32"/>
          <w:highlight w:val="none"/>
        </w:rPr>
        <w:t>；</w:t>
      </w:r>
    </w:p>
    <w:p>
      <w:pPr>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10.7.2</w:t>
      </w:r>
      <w:r>
        <w:rPr>
          <w:rFonts w:ascii="Times New Roman" w:hAnsi="Times New Roman" w:eastAsia="仿宋_GB2312"/>
          <w:color w:val="000000"/>
          <w:kern w:val="0"/>
          <w:sz w:val="30"/>
          <w:szCs w:val="32"/>
          <w:highlight w:val="none"/>
        </w:rPr>
        <w:t>不属于依法必须招标的暂估价项目</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除专用合同条款另有约定外，对于不属于依法必须招标的暂估价项目，采取以下第1种方式确定：</w:t>
      </w:r>
      <w:r>
        <w:rPr>
          <w:rFonts w:hint="eastAsia" w:ascii="Times New Roman" w:hAnsi="Times New Roman" w:eastAsia="仿宋_GB2312"/>
          <w:color w:val="000000"/>
          <w:kern w:val="0"/>
          <w:sz w:val="30"/>
          <w:szCs w:val="32"/>
          <w:highlight w:val="none"/>
        </w:rPr>
        <w:t xml:space="preserve"> </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第1种方式：对于不属于依法必须招标的暂估价项目，按本项约定确认和批准：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（2）发包人认为承包人确定的供应商、分包人无法满足工程质量或合同要求的，发包人可以要求承包人重新确定暂估价项目的供应商、分包人;</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（3）承包人应当在签订暂估价合同后7天内，将暂估价合同副本报送发包人留存。</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第2种方式：承包人按照第10.7.1项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依法必须招标的暂估价项目</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约定的第1种方式确定暂估价项目。</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第3种方式：</w:t>
      </w:r>
      <w:r>
        <w:rPr>
          <w:rFonts w:ascii="Times New Roman" w:hAnsi="Times New Roman" w:eastAsia="仿宋_GB2312"/>
          <w:color w:val="000000"/>
          <w:kern w:val="0"/>
          <w:sz w:val="30"/>
          <w:szCs w:val="32"/>
          <w:highlight w:val="none"/>
        </w:rPr>
        <w:t>承包人直接实施的暂估价项目</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承包人具备实施暂估价项目的资格和条件的，经发包人和承包人协商一致后，可由承包人自行实施暂估价项目，合同当事人可以在专用合同条款约定具体事项。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42" w:name="_Toc351203575"/>
      <w:r>
        <w:rPr>
          <w:rFonts w:ascii="Times New Roman" w:hAnsi="Times New Roman" w:eastAsia="黑体"/>
          <w:b w:val="0"/>
          <w:color w:val="000000"/>
          <w:sz w:val="30"/>
          <w:szCs w:val="32"/>
          <w:highlight w:val="none"/>
        </w:rPr>
        <w:t>1</w:t>
      </w:r>
      <w:bookmarkStart w:id="343" w:name="_Toc337558794"/>
      <w:bookmarkStart w:id="344" w:name="_Toc322522561"/>
      <w:bookmarkStart w:id="345" w:name="_Toc296503090"/>
      <w:bookmarkStart w:id="346" w:name="_Toc296346591"/>
      <w:r>
        <w:rPr>
          <w:rFonts w:ascii="Times New Roman" w:hAnsi="Times New Roman" w:eastAsia="黑体"/>
          <w:b w:val="0"/>
          <w:color w:val="000000"/>
          <w:sz w:val="30"/>
          <w:szCs w:val="32"/>
          <w:highlight w:val="none"/>
        </w:rPr>
        <w:t>0.8暂列金额</w:t>
      </w:r>
      <w:bookmarkEnd w:id="342"/>
    </w:p>
    <w:bookmarkEnd w:id="34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暂列金额应按照发包人的要求使用，发包人的要求应通过监理人发出。</w:t>
      </w:r>
      <w:r>
        <w:rPr>
          <w:rFonts w:hint="eastAsia" w:ascii="Times New Roman" w:hAnsi="Times New Roman" w:eastAsia="仿宋_GB2312"/>
          <w:color w:val="000000"/>
          <w:kern w:val="0"/>
          <w:sz w:val="30"/>
          <w:szCs w:val="32"/>
          <w:highlight w:val="none"/>
        </w:rPr>
        <w:t>合同当事人可以在专用合同条款中协商确定有关事项。</w:t>
      </w:r>
    </w:p>
    <w:bookmarkEnd w:id="344"/>
    <w:bookmarkEnd w:id="345"/>
    <w:bookmarkEnd w:id="346"/>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47" w:name="_Toc351203576"/>
      <w:r>
        <w:rPr>
          <w:rFonts w:ascii="Times New Roman" w:hAnsi="Times New Roman" w:eastAsia="黑体"/>
          <w:b w:val="0"/>
          <w:color w:val="000000"/>
          <w:sz w:val="30"/>
          <w:szCs w:val="32"/>
          <w:highlight w:val="none"/>
        </w:rPr>
        <w:t>1</w:t>
      </w:r>
      <w:bookmarkStart w:id="348" w:name="_Toc296503091"/>
      <w:bookmarkStart w:id="349" w:name="_Toc337558796"/>
      <w:bookmarkStart w:id="350" w:name="_Toc296346592"/>
      <w:r>
        <w:rPr>
          <w:rFonts w:ascii="Times New Roman" w:hAnsi="Times New Roman" w:eastAsia="黑体"/>
          <w:b w:val="0"/>
          <w:color w:val="000000"/>
          <w:sz w:val="30"/>
          <w:szCs w:val="32"/>
          <w:highlight w:val="none"/>
        </w:rPr>
        <w:t>0.9计日工</w:t>
      </w:r>
      <w:bookmarkEnd w:id="347"/>
      <w:r>
        <w:rPr>
          <w:rFonts w:ascii="Times New Roman" w:hAnsi="Times New Roman" w:eastAsia="黑体"/>
          <w:b w:val="0"/>
          <w:color w:val="000000"/>
          <w:sz w:val="30"/>
          <w:szCs w:val="32"/>
          <w:highlight w:val="none"/>
        </w:rPr>
        <w:t xml:space="preserve"> </w:t>
      </w:r>
      <w:bookmarkEnd w:id="348"/>
      <w:bookmarkEnd w:id="349"/>
      <w:bookmarkEnd w:id="350"/>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需要采用计日工方式的，经发包人同意后</w:t>
      </w:r>
      <w:r>
        <w:rPr>
          <w:rFonts w:ascii="Times New Roman" w:hAnsi="Times New Roman" w:eastAsia="仿宋_GB2312"/>
          <w:color w:val="000000"/>
          <w:kern w:val="0"/>
          <w:sz w:val="30"/>
          <w:szCs w:val="32"/>
          <w:highlight w:val="none"/>
        </w:rPr>
        <w:t>，由监理人通知承包人以计日工计价方式实施</w:t>
      </w:r>
      <w:r>
        <w:rPr>
          <w:rFonts w:hint="eastAsia" w:ascii="Times New Roman" w:hAnsi="Times New Roman" w:eastAsia="仿宋_GB2312"/>
          <w:color w:val="000000"/>
          <w:kern w:val="0"/>
          <w:sz w:val="30"/>
          <w:szCs w:val="32"/>
          <w:highlight w:val="none"/>
        </w:rPr>
        <w:t>相应</w:t>
      </w:r>
      <w:r>
        <w:rPr>
          <w:rFonts w:ascii="Times New Roman" w:hAnsi="Times New Roman" w:eastAsia="仿宋_GB2312"/>
          <w:color w:val="000000"/>
          <w:kern w:val="0"/>
          <w:sz w:val="30"/>
          <w:szCs w:val="32"/>
          <w:highlight w:val="none"/>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确定</w:t>
      </w:r>
      <w:r>
        <w:rPr>
          <w:rFonts w:hint="eastAsia" w:ascii="Times New Roman" w:hAnsi="Times New Roman" w:eastAsia="仿宋_GB2312"/>
          <w:color w:val="000000"/>
          <w:kern w:val="0"/>
          <w:sz w:val="30"/>
          <w:szCs w:val="32"/>
          <w:highlight w:val="none"/>
        </w:rPr>
        <w:t>计日工</w:t>
      </w:r>
      <w:r>
        <w:rPr>
          <w:rFonts w:ascii="Times New Roman" w:hAnsi="Times New Roman" w:eastAsia="仿宋_GB2312"/>
          <w:color w:val="000000"/>
          <w:kern w:val="0"/>
          <w:sz w:val="30"/>
          <w:szCs w:val="32"/>
          <w:highlight w:val="none"/>
        </w:rPr>
        <w:t>的单价。</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采用计日工计价的任何一项工作，承包人应在该项工作实施过程中，每天提交以下报表和有关凭证报送监理人审查：</w:t>
      </w:r>
    </w:p>
    <w:p>
      <w:pPr>
        <w:spacing w:line="360" w:lineRule="auto"/>
        <w:ind w:firstLine="450" w:firstLineChars="15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（1）工作名称、内容和数量；</w:t>
      </w:r>
    </w:p>
    <w:p>
      <w:pPr>
        <w:spacing w:line="360" w:lineRule="auto"/>
        <w:ind w:firstLine="450" w:firstLineChars="15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（2）投入该工作的所有人员的姓名、专业、工种、级别和耗用工时；</w:t>
      </w:r>
    </w:p>
    <w:p>
      <w:pPr>
        <w:spacing w:line="360" w:lineRule="auto"/>
        <w:ind w:firstLine="450" w:firstLineChars="15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（3）投入该工作的材料类别和数量；</w:t>
      </w:r>
    </w:p>
    <w:p>
      <w:pPr>
        <w:spacing w:line="360" w:lineRule="auto"/>
        <w:ind w:firstLine="450" w:firstLineChars="15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（4）投入该工作的施工设备型号、台数和耗用台时；</w:t>
      </w:r>
    </w:p>
    <w:p>
      <w:pPr>
        <w:spacing w:line="360" w:lineRule="auto"/>
        <w:ind w:firstLine="450" w:firstLineChars="15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（5）其他有关资料和凭证。</w:t>
      </w:r>
    </w:p>
    <w:p>
      <w:pPr>
        <w:spacing w:line="360" w:lineRule="auto"/>
        <w:ind w:firstLine="450" w:firstLineChars="15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 计日工由承包人汇总后，列入最近一期进度付款申请单，由监理人审查并经发包人批准后列入进度付款。</w:t>
      </w:r>
    </w:p>
    <w:p>
      <w:pPr>
        <w:pStyle w:val="6"/>
        <w:spacing w:before="120" w:after="120" w:line="360" w:lineRule="auto"/>
        <w:rPr>
          <w:rFonts w:ascii="Times New Roman" w:hAnsi="Times New Roman" w:eastAsia="黑体"/>
          <w:b w:val="0"/>
          <w:color w:val="000000"/>
          <w:sz w:val="32"/>
          <w:szCs w:val="32"/>
          <w:highlight w:val="none"/>
        </w:rPr>
      </w:pPr>
      <w:bookmarkStart w:id="351" w:name="_Toc351203577"/>
      <w:r>
        <w:rPr>
          <w:rFonts w:ascii="Times New Roman" w:hAnsi="Times New Roman" w:eastAsia="黑体"/>
          <w:b w:val="0"/>
          <w:color w:val="000000"/>
          <w:sz w:val="32"/>
          <w:szCs w:val="32"/>
          <w:highlight w:val="none"/>
        </w:rPr>
        <w:t>11. 价格调整</w:t>
      </w:r>
      <w:bookmarkEnd w:id="351"/>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52" w:name="_Toc351203578"/>
      <w:bookmarkStart w:id="353" w:name="_Toc337558797"/>
      <w:bookmarkStart w:id="354" w:name="_Toc296346593"/>
      <w:bookmarkStart w:id="355" w:name="_Toc296503092"/>
      <w:r>
        <w:rPr>
          <w:rFonts w:ascii="Times New Roman" w:hAnsi="Times New Roman" w:eastAsia="黑体"/>
          <w:b w:val="0"/>
          <w:color w:val="000000"/>
          <w:sz w:val="30"/>
          <w:szCs w:val="32"/>
          <w:highlight w:val="none"/>
        </w:rPr>
        <w:t>11.1市场价格波动引起的调整</w:t>
      </w:r>
      <w:bookmarkEnd w:id="352"/>
    </w:p>
    <w:bookmarkEnd w:id="353"/>
    <w:bookmarkEnd w:id="354"/>
    <w:bookmarkEnd w:id="355"/>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第1种方式：采用价格指数</w:t>
      </w:r>
      <w:r>
        <w:rPr>
          <w:rFonts w:hint="eastAsia" w:ascii="Times New Roman" w:hAnsi="Times New Roman" w:eastAsia="仿宋_GB2312"/>
          <w:color w:val="000000"/>
          <w:sz w:val="30"/>
          <w:szCs w:val="32"/>
          <w:highlight w:val="none"/>
        </w:rPr>
        <w:t>进行价格</w:t>
      </w:r>
      <w:r>
        <w:rPr>
          <w:rFonts w:ascii="Times New Roman" w:hAnsi="Times New Roman" w:eastAsia="仿宋_GB2312"/>
          <w:color w:val="000000"/>
          <w:sz w:val="30"/>
          <w:szCs w:val="32"/>
          <w:highlight w:val="none"/>
        </w:rPr>
        <w:t>调整。</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（1）价格调整公式</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600" w:firstLineChars="200"/>
        <w:rPr>
          <w:rFonts w:hint="eastAsia" w:ascii="Times New Roman" w:hAnsi="Times New Roman" w:eastAsia="仿宋_GB2312"/>
          <w:color w:val="000000"/>
          <w:sz w:val="30"/>
          <w:szCs w:val="32"/>
          <w:highlight w:val="none"/>
        </w:rPr>
      </w:pPr>
      <w:r>
        <w:rPr>
          <w:rFonts w:hint="eastAsia" w:ascii="Times New Roman" w:hAnsi="Times New Roman" w:eastAsia="仿宋_GB2312"/>
          <w:color w:val="000000"/>
          <w:position w:val="-30"/>
          <w:sz w:val="30"/>
          <w:szCs w:val="32"/>
          <w:highlight w:val="none"/>
        </w:rPr>
        <w:object>
          <v:shape id="_x0000_i1025" o:spt="75" type="#_x0000_t75" style="height:43.9pt;width:359.85pt;" o:ole="t" filled="f" stroked="f" coordsize="21600,21600">
            <v:path/>
            <v:fill on="f" focussize="0,0"/>
            <v:stroke on="f"/>
            <v:imagedata r:id="rId20" o:title=""/>
            <o:lock v:ext="edit" grouping="f" rotation="f" text="f" aspectratio="t"/>
            <w10:wrap type="none"/>
            <w10:anchorlock/>
          </v:shape>
          <o:OLEObject Type="Embed" ProgID="Equation.3" ShapeID="_x0000_i1025" DrawAspect="Content" ObjectID="_1468075725" r:id="rId19">
            <o:LockedField>false</o:LockedField>
          </o:OLEObject>
        </w:object>
      </w:r>
    </w:p>
    <w:p>
      <w:pPr>
        <w:tabs>
          <w:tab w:val="left" w:pos="0"/>
          <w:tab w:val="left" w:pos="360"/>
          <w:tab w:val="left" w:pos="540"/>
        </w:tabs>
        <w:spacing w:line="360" w:lineRule="auto"/>
        <w:ind w:firstLine="64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公式中：ΔP——需调整的价格差额；</w:t>
      </w:r>
    </w:p>
    <w:p>
      <w:pPr>
        <w:tabs>
          <w:tab w:val="left" w:pos="0"/>
          <w:tab w:val="left" w:pos="360"/>
          <w:tab w:val="left" w:pos="540"/>
        </w:tabs>
        <w:spacing w:line="360" w:lineRule="auto"/>
        <w:ind w:firstLine="1800" w:firstLineChars="600"/>
        <w:rPr>
          <w:rFonts w:ascii="Times New Roman" w:hAnsi="Times New Roman" w:eastAsia="仿宋_GB2312"/>
          <w:color w:val="000000"/>
          <w:sz w:val="30"/>
          <w:szCs w:val="32"/>
          <w:highlight w:val="none"/>
        </w:rPr>
      </w:pPr>
      <w:r>
        <w:rPr>
          <w:rFonts w:ascii="Times New Roman" w:hAnsi="Times New Roman" w:eastAsia="仿宋_GB2312"/>
          <w:color w:val="000000"/>
          <w:position w:val="-6"/>
          <w:sz w:val="30"/>
          <w:szCs w:val="32"/>
          <w:highlight w:val="none"/>
        </w:rPr>
        <w:object>
          <v:shape id="_x0000_i1026" o:spt="75" type="#_x0000_t75" style="height:17.95pt;width:17.95pt;" o:ole="t" filled="f" stroked="f" coordsize="21600,21600">
            <v:path/>
            <v:fill on="f" focussize="0,0"/>
            <v:stroke on="f"/>
            <v:imagedata r:id="rId22" o:title=""/>
            <o:lock v:ext="edit" grouping="f" rotation="f" text="f" aspectratio="t"/>
            <w10:wrap type="none"/>
            <w10:anchorlock/>
          </v:shape>
          <o:OLEObject Type="Embed" ProgID="Equation.3" ShapeID="_x0000_i1026" DrawAspect="Content" ObjectID="_1468075726" r:id="rId21">
            <o:LockedField>false</o:LockedField>
          </o:OLEObject>
        </w:object>
      </w:r>
      <w:r>
        <w:rPr>
          <w:rFonts w:ascii="Times New Roman" w:hAnsi="Times New Roman" w:eastAsia="仿宋_GB2312"/>
          <w:color w:val="000000"/>
          <w:sz w:val="30"/>
          <w:szCs w:val="32"/>
          <w:highlight w:val="none"/>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A——定值权重（即不调部分的权重）；</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position w:val="-10"/>
          <w:sz w:val="30"/>
          <w:szCs w:val="32"/>
          <w:highlight w:val="none"/>
        </w:rPr>
        <w:object>
          <v:shape id="_x0000_i1027" o:spt="75" type="#_x0000_t75" style="height:21.05pt;width:101pt;" o:ole="t" filled="f" stroked="f" coordsize="21600,21600">
            <v:path/>
            <v:fill on="f" focussize="0,0"/>
            <v:stroke on="f"/>
            <v:imagedata r:id="rId24" o:title=""/>
            <o:lock v:ext="edit" grouping="f" rotation="f" text="f" aspectratio="t"/>
            <w10:wrap type="none"/>
            <w10:anchorlock/>
          </v:shape>
          <o:OLEObject Type="Embed" ProgID="Equation.3" ShapeID="_x0000_i1027" DrawAspect="Content" ObjectID="_1468075727" r:id="rId23">
            <o:LockedField>false</o:LockedField>
          </o:OLEObject>
        </w:object>
      </w:r>
      <w:r>
        <w:rPr>
          <w:rFonts w:ascii="Times New Roman" w:hAnsi="Times New Roman" w:eastAsia="仿宋_GB2312"/>
          <w:color w:val="000000"/>
          <w:sz w:val="30"/>
          <w:szCs w:val="32"/>
          <w:highlight w:val="none"/>
        </w:rPr>
        <w:t>——各可调因子的变值权重（即可调部分的权重），为各可调因子在签约合同价中所占的比例；</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position w:val="-10"/>
          <w:sz w:val="30"/>
          <w:szCs w:val="32"/>
          <w:highlight w:val="none"/>
        </w:rPr>
        <w:object>
          <v:shape id="_x0000_i1028" o:spt="75" type="#_x0000_t75" style="height:20.6pt;width:102.05pt;" o:ole="t" filled="f" stroked="f" coordsize="21600,21600">
            <v:path/>
            <v:fill on="f" focussize="0,0"/>
            <v:stroke on="f"/>
            <v:imagedata r:id="rId26" o:title=""/>
            <o:lock v:ext="edit" grouping="f" rotation="f" text="f" aspectratio="t"/>
            <w10:wrap type="none"/>
            <w10:anchorlock/>
          </v:shape>
          <o:OLEObject Type="Embed" ProgID="Equation.3" ShapeID="_x0000_i1028" DrawAspect="Content" ObjectID="_1468075728" r:id="rId25">
            <o:LockedField>false</o:LockedField>
          </o:OLEObject>
        </w:object>
      </w:r>
      <w:r>
        <w:rPr>
          <w:rFonts w:ascii="Times New Roman" w:hAnsi="Times New Roman" w:eastAsia="仿宋_GB2312"/>
          <w:color w:val="000000"/>
          <w:sz w:val="30"/>
          <w:szCs w:val="32"/>
          <w:highlight w:val="none"/>
        </w:rPr>
        <w:t>——各可调因子的现行价格指数，指约定的付款证书相关周期最后一天的前42天的各可调因子的价格指数；</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position w:val="-10"/>
          <w:sz w:val="30"/>
          <w:szCs w:val="32"/>
          <w:highlight w:val="none"/>
        </w:rPr>
        <w:object>
          <v:shape id="_x0000_i1029" o:spt="75" type="#_x0000_t75" style="height:20.2pt;width:108pt;" o:ole="t" filled="f" stroked="f" coordsize="21600,21600">
            <v:path/>
            <v:fill on="f" focussize="0,0"/>
            <v:stroke on="f"/>
            <v:imagedata r:id="rId28" o:title=""/>
            <o:lock v:ext="edit" grouping="f" rotation="f" text="f" aspectratio="t"/>
            <w10:wrap type="none"/>
            <w10:anchorlock/>
          </v:shape>
          <o:OLEObject Type="Embed" ProgID="Equation.3" ShapeID="_x0000_i1029" DrawAspect="Content" ObjectID="_1468075729" r:id="rId27">
            <o:LockedField>false</o:LockedField>
          </o:OLEObject>
        </w:object>
      </w:r>
      <w:r>
        <w:rPr>
          <w:rFonts w:ascii="Times New Roman" w:hAnsi="Times New Roman" w:eastAsia="仿宋_GB2312"/>
          <w:color w:val="000000"/>
          <w:sz w:val="30"/>
          <w:szCs w:val="32"/>
          <w:highlight w:val="none"/>
        </w:rPr>
        <w:t>——各可调因子的基本价格指数，指基准日期的各可调因子的价格指数。</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（2）暂时确定调整差额</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（3）权重的调整</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因变更导致合同约定的权重不合理时，按照第4.4款</w:t>
      </w:r>
      <w:r>
        <w:rPr>
          <w:rFonts w:hint="eastAsia" w:ascii="Times New Roman" w:hAnsi="Times New Roman" w:eastAsia="仿宋_GB2312"/>
          <w:color w:val="000000"/>
          <w:sz w:val="30"/>
          <w:szCs w:val="32"/>
          <w:highlight w:val="none"/>
        </w:rPr>
        <w:t>〔</w:t>
      </w:r>
      <w:r>
        <w:rPr>
          <w:rFonts w:ascii="Times New Roman" w:hAnsi="Times New Roman" w:eastAsia="仿宋_GB2312"/>
          <w:color w:val="000000"/>
          <w:sz w:val="30"/>
          <w:szCs w:val="32"/>
          <w:highlight w:val="none"/>
        </w:rPr>
        <w:t>商定或确定</w:t>
      </w:r>
      <w:r>
        <w:rPr>
          <w:rFonts w:hint="eastAsia" w:ascii="Times New Roman" w:hAnsi="Times New Roman" w:eastAsia="仿宋_GB2312"/>
          <w:color w:val="000000"/>
          <w:sz w:val="30"/>
          <w:szCs w:val="32"/>
          <w:highlight w:val="none"/>
        </w:rPr>
        <w:t>〕</w:t>
      </w:r>
      <w:r>
        <w:rPr>
          <w:rFonts w:ascii="Times New Roman" w:hAnsi="Times New Roman" w:eastAsia="仿宋_GB2312"/>
          <w:color w:val="000000"/>
          <w:sz w:val="30"/>
          <w:szCs w:val="32"/>
          <w:highlight w:val="none"/>
        </w:rPr>
        <w:t>执行。</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（4）因承包人原因工期延误后的价格调整</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第2种方式：采用造价信息</w:t>
      </w:r>
      <w:r>
        <w:rPr>
          <w:rFonts w:hint="eastAsia" w:ascii="Times New Roman" w:hAnsi="Times New Roman" w:eastAsia="仿宋_GB2312"/>
          <w:color w:val="000000"/>
          <w:sz w:val="30"/>
          <w:szCs w:val="32"/>
          <w:highlight w:val="none"/>
        </w:rPr>
        <w:t>进行价格</w:t>
      </w:r>
      <w:r>
        <w:rPr>
          <w:rFonts w:ascii="Times New Roman" w:hAnsi="Times New Roman" w:eastAsia="仿宋_GB2312"/>
          <w:color w:val="000000"/>
          <w:sz w:val="30"/>
          <w:szCs w:val="32"/>
          <w:highlight w:val="none"/>
        </w:rPr>
        <w:t>调整。</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ascii="Times New Roman" w:hAnsi="Times New Roman" w:eastAsia="仿宋_GB2312"/>
          <w:color w:val="000000"/>
          <w:sz w:val="30"/>
          <w:szCs w:val="32"/>
          <w:highlight w:val="none"/>
        </w:rPr>
        <w:t>量</w:t>
      </w:r>
      <w:r>
        <w:rPr>
          <w:rFonts w:ascii="Times New Roman" w:hAnsi="Times New Roman" w:eastAsia="仿宋_GB2312"/>
          <w:color w:val="000000"/>
          <w:sz w:val="30"/>
          <w:szCs w:val="32"/>
          <w:highlight w:val="none"/>
        </w:rPr>
        <w:t>应由发包人审批，发包人确认需调整的材料单价及数量，作为调整合同价格的依据。</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（2）材料、工程设备价格变化的价款调整按照发包人提供的基准价格，按以下风险范围规定执行:</w:t>
      </w:r>
    </w:p>
    <w:p>
      <w:pPr>
        <w:spacing w:line="360" w:lineRule="auto"/>
        <w:ind w:firstLine="600" w:firstLineChars="200"/>
        <w:rPr>
          <w:rFonts w:ascii="Times New Roman" w:hAnsi="Times New Roman" w:eastAsia="仿宋_GB2312"/>
          <w:color w:val="000000"/>
          <w:sz w:val="30"/>
          <w:szCs w:val="32"/>
          <w:highlight w:val="none"/>
        </w:rPr>
      </w:pPr>
      <w:r>
        <w:rPr>
          <w:rFonts w:hint="eastAsia" w:ascii="宋体" w:hAnsi="宋体" w:cs="宋体"/>
          <w:color w:val="000000"/>
          <w:sz w:val="30"/>
          <w:szCs w:val="32"/>
          <w:highlight w:val="none"/>
        </w:rPr>
        <w:t>①</w:t>
      </w:r>
      <w:r>
        <w:rPr>
          <w:rFonts w:ascii="Times New Roman" w:hAnsi="Times New Roman" w:eastAsia="仿宋_GB2312"/>
          <w:color w:val="000000"/>
          <w:sz w:val="30"/>
          <w:szCs w:val="32"/>
          <w:highlight w:val="none"/>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600" w:firstLineChars="200"/>
        <w:rPr>
          <w:rFonts w:ascii="Times New Roman" w:hAnsi="Times New Roman" w:eastAsia="仿宋_GB2312"/>
          <w:color w:val="000000"/>
          <w:sz w:val="30"/>
          <w:szCs w:val="32"/>
          <w:highlight w:val="none"/>
        </w:rPr>
      </w:pPr>
      <w:r>
        <w:rPr>
          <w:rFonts w:hint="eastAsia" w:ascii="宋体" w:hAnsi="宋体" w:cs="宋体"/>
          <w:color w:val="000000"/>
          <w:sz w:val="30"/>
          <w:szCs w:val="32"/>
          <w:highlight w:val="none"/>
        </w:rPr>
        <w:t>②</w:t>
      </w:r>
      <w:r>
        <w:rPr>
          <w:rFonts w:ascii="Times New Roman" w:hAnsi="Times New Roman" w:eastAsia="仿宋_GB2312"/>
          <w:color w:val="000000"/>
          <w:sz w:val="30"/>
          <w:szCs w:val="32"/>
          <w:highlight w:val="none"/>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600" w:firstLineChars="200"/>
        <w:rPr>
          <w:rFonts w:ascii="Times New Roman" w:hAnsi="Times New Roman" w:eastAsia="仿宋_GB2312"/>
          <w:color w:val="000000"/>
          <w:sz w:val="30"/>
          <w:szCs w:val="32"/>
          <w:highlight w:val="none"/>
        </w:rPr>
      </w:pPr>
      <w:r>
        <w:rPr>
          <w:rFonts w:hint="eastAsia" w:ascii="宋体" w:hAnsi="宋体" w:cs="宋体"/>
          <w:color w:val="000000"/>
          <w:sz w:val="30"/>
          <w:szCs w:val="32"/>
          <w:highlight w:val="none"/>
        </w:rPr>
        <w:t>③</w:t>
      </w:r>
      <w:r>
        <w:rPr>
          <w:rFonts w:ascii="Times New Roman" w:hAnsi="Times New Roman" w:eastAsia="仿宋_GB2312"/>
          <w:color w:val="000000"/>
          <w:sz w:val="30"/>
          <w:szCs w:val="32"/>
          <w:highlight w:val="none"/>
        </w:rPr>
        <w:t>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600" w:firstLineChars="200"/>
        <w:rPr>
          <w:rFonts w:ascii="Times New Roman" w:hAnsi="Times New Roman" w:eastAsia="仿宋_GB2312"/>
          <w:color w:val="000000"/>
          <w:sz w:val="30"/>
          <w:szCs w:val="32"/>
          <w:highlight w:val="none"/>
        </w:rPr>
      </w:pPr>
      <w:r>
        <w:rPr>
          <w:rFonts w:hint="eastAsia" w:ascii="宋体" w:hAnsi="宋体" w:cs="宋体"/>
          <w:color w:val="000000"/>
          <w:sz w:val="30"/>
          <w:szCs w:val="32"/>
          <w:highlight w:val="none"/>
        </w:rPr>
        <w:t>④</w:t>
      </w:r>
      <w:r>
        <w:rPr>
          <w:rFonts w:ascii="Times New Roman" w:hAnsi="Times New Roman" w:eastAsia="仿宋_GB2312"/>
          <w:color w:val="000000"/>
          <w:sz w:val="30"/>
          <w:szCs w:val="32"/>
          <w:highlight w:val="none"/>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600" w:firstLineChars="200"/>
        <w:rPr>
          <w:rFonts w:ascii="Times New Roman" w:hAnsi="Times New Roman" w:eastAsia="仿宋_GB2312"/>
          <w:color w:val="000000"/>
          <w:sz w:val="30"/>
          <w:szCs w:val="32"/>
          <w:highlight w:val="none"/>
        </w:rPr>
      </w:pPr>
      <w:bookmarkStart w:id="356" w:name="OLE_LINK3"/>
      <w:r>
        <w:rPr>
          <w:rFonts w:ascii="Times New Roman" w:hAnsi="Times New Roman" w:eastAsia="仿宋_GB2312"/>
          <w:color w:val="000000"/>
          <w:sz w:val="30"/>
          <w:szCs w:val="32"/>
          <w:highlight w:val="none"/>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（3）施工机械台班单价或施工机械使用费发生变化超过省级或行业建设主管部门或其授权的工程造价管理机构规定的范围时，按规定调整合同价格。</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第3种方式：专用合同条款约定的其他方式。</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57" w:name="_Toc351203579"/>
      <w:bookmarkStart w:id="358" w:name="_Toc337558798"/>
      <w:bookmarkStart w:id="359" w:name="_Toc296346594"/>
      <w:bookmarkStart w:id="360" w:name="_Toc296503093"/>
      <w:r>
        <w:rPr>
          <w:rFonts w:ascii="Times New Roman" w:hAnsi="Times New Roman" w:eastAsia="黑体"/>
          <w:b w:val="0"/>
          <w:color w:val="000000"/>
          <w:sz w:val="30"/>
          <w:szCs w:val="32"/>
          <w:highlight w:val="none"/>
        </w:rPr>
        <w:t>11.2法律变化引起的调整</w:t>
      </w:r>
      <w:bookmarkEnd w:id="357"/>
    </w:p>
    <w:bookmarkEnd w:id="358"/>
    <w:bookmarkEnd w:id="359"/>
    <w:bookmarkEnd w:id="360"/>
    <w:p>
      <w:pPr>
        <w:spacing w:line="360" w:lineRule="auto"/>
        <w:ind w:firstLine="600" w:firstLineChars="200"/>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基准日</w:t>
      </w:r>
      <w:r>
        <w:rPr>
          <w:rFonts w:hint="eastAsia" w:ascii="Times New Roman" w:hAnsi="Times New Roman" w:eastAsia="仿宋_GB2312"/>
          <w:color w:val="000000"/>
          <w:sz w:val="30"/>
          <w:szCs w:val="32"/>
          <w:highlight w:val="none"/>
        </w:rPr>
        <w:t>期</w:t>
      </w:r>
      <w:r>
        <w:rPr>
          <w:rFonts w:ascii="Times New Roman" w:hAnsi="Times New Roman" w:eastAsia="仿宋_GB2312"/>
          <w:color w:val="000000"/>
          <w:sz w:val="30"/>
          <w:szCs w:val="32"/>
          <w:highlight w:val="none"/>
        </w:rPr>
        <w:t>后，法律变化</w:t>
      </w:r>
      <w:r>
        <w:rPr>
          <w:rFonts w:hint="eastAsia" w:ascii="Times New Roman" w:hAnsi="Times New Roman" w:eastAsia="仿宋_GB2312"/>
          <w:color w:val="000000"/>
          <w:sz w:val="30"/>
          <w:szCs w:val="32"/>
          <w:highlight w:val="none"/>
        </w:rPr>
        <w:t>导致承包人在合同履行过程中所需要的费用发生除第11.1款〔市场价格波动引起的调整〕约定以外的增加时，由发包人承担由此增加的费用；减少时，应从合同价格中予以扣减。</w:t>
      </w:r>
      <w:r>
        <w:rPr>
          <w:rFonts w:ascii="Times New Roman" w:hAnsi="Times New Roman" w:eastAsia="仿宋_GB2312"/>
          <w:color w:val="000000"/>
          <w:sz w:val="30"/>
          <w:szCs w:val="32"/>
          <w:highlight w:val="none"/>
        </w:rPr>
        <w:t>基准日</w:t>
      </w:r>
      <w:r>
        <w:rPr>
          <w:rFonts w:hint="eastAsia" w:ascii="Times New Roman" w:hAnsi="Times New Roman" w:eastAsia="仿宋_GB2312"/>
          <w:color w:val="000000"/>
          <w:sz w:val="30"/>
          <w:szCs w:val="32"/>
          <w:highlight w:val="none"/>
        </w:rPr>
        <w:t>期</w:t>
      </w:r>
      <w:r>
        <w:rPr>
          <w:rFonts w:ascii="Times New Roman" w:hAnsi="Times New Roman" w:eastAsia="仿宋_GB2312"/>
          <w:color w:val="000000"/>
          <w:sz w:val="30"/>
          <w:szCs w:val="32"/>
          <w:highlight w:val="none"/>
        </w:rPr>
        <w:t>后，</w:t>
      </w:r>
      <w:r>
        <w:rPr>
          <w:rFonts w:hint="eastAsia" w:ascii="Times New Roman" w:hAnsi="Times New Roman" w:eastAsia="仿宋_GB2312"/>
          <w:color w:val="000000"/>
          <w:sz w:val="30"/>
          <w:szCs w:val="32"/>
          <w:highlight w:val="none"/>
        </w:rPr>
        <w:t>因</w:t>
      </w:r>
      <w:r>
        <w:rPr>
          <w:rFonts w:ascii="Times New Roman" w:hAnsi="Times New Roman" w:eastAsia="仿宋_GB2312"/>
          <w:color w:val="000000"/>
          <w:sz w:val="30"/>
          <w:szCs w:val="32"/>
          <w:highlight w:val="none"/>
        </w:rPr>
        <w:t>法律变化</w:t>
      </w:r>
      <w:r>
        <w:rPr>
          <w:rFonts w:hint="eastAsia" w:ascii="Times New Roman" w:hAnsi="Times New Roman" w:eastAsia="仿宋_GB2312"/>
          <w:color w:val="000000"/>
          <w:sz w:val="30"/>
          <w:szCs w:val="32"/>
          <w:highlight w:val="none"/>
        </w:rPr>
        <w:t>造成工期延误时，工期应予以顺延。</w:t>
      </w:r>
    </w:p>
    <w:p>
      <w:pPr>
        <w:spacing w:line="360" w:lineRule="auto"/>
        <w:ind w:firstLine="600" w:firstLineChars="200"/>
        <w:rPr>
          <w:rFonts w:hint="eastAsia"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rPr>
        <w:t>因法律变化引起的合同价格和工期调整，合同当事人无法达成一致的，由总监理工程师按第4.4款〔商定或确定〕的约定处理。</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因承包人原因造成工期延误，在工期延误期间出现法律变化的，由此增加的费用和（或）延误的工期由承包人承担。</w:t>
      </w:r>
    </w:p>
    <w:p>
      <w:pPr>
        <w:pStyle w:val="6"/>
        <w:spacing w:before="120" w:after="120" w:line="360" w:lineRule="auto"/>
        <w:rPr>
          <w:rFonts w:ascii="Times New Roman" w:hAnsi="Times New Roman" w:eastAsia="黑体"/>
          <w:b w:val="0"/>
          <w:color w:val="000000"/>
          <w:sz w:val="30"/>
          <w:szCs w:val="32"/>
          <w:highlight w:val="none"/>
        </w:rPr>
      </w:pPr>
      <w:bookmarkStart w:id="361" w:name="_Toc351203580"/>
      <w:bookmarkStart w:id="362" w:name="_Toc337558799"/>
      <w:bookmarkStart w:id="363" w:name="_Toc296346597"/>
      <w:bookmarkStart w:id="364" w:name="_Toc296503096"/>
      <w:r>
        <w:rPr>
          <w:rFonts w:ascii="Times New Roman" w:hAnsi="Times New Roman" w:eastAsia="黑体"/>
          <w:b w:val="0"/>
          <w:color w:val="000000"/>
          <w:sz w:val="32"/>
          <w:szCs w:val="32"/>
          <w:highlight w:val="none"/>
        </w:rPr>
        <w:t>12. 合同价格、计量与支付</w:t>
      </w:r>
      <w:bookmarkEnd w:id="361"/>
    </w:p>
    <w:bookmarkEnd w:id="362"/>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65" w:name="_Toc351203581"/>
      <w:bookmarkStart w:id="366" w:name="_Toc337558800"/>
      <w:r>
        <w:rPr>
          <w:rFonts w:ascii="Times New Roman" w:hAnsi="Times New Roman" w:eastAsia="黑体"/>
          <w:b w:val="0"/>
          <w:color w:val="000000"/>
          <w:sz w:val="30"/>
          <w:szCs w:val="32"/>
          <w:highlight w:val="none"/>
        </w:rPr>
        <w:t>12.1 合同价</w:t>
      </w:r>
      <w:bookmarkEnd w:id="363"/>
      <w:bookmarkEnd w:id="364"/>
      <w:r>
        <w:rPr>
          <w:rFonts w:ascii="Times New Roman" w:hAnsi="Times New Roman" w:eastAsia="黑体"/>
          <w:b w:val="0"/>
          <w:color w:val="000000"/>
          <w:sz w:val="30"/>
          <w:szCs w:val="32"/>
          <w:highlight w:val="none"/>
        </w:rPr>
        <w:t>格形式</w:t>
      </w:r>
      <w:bookmarkEnd w:id="365"/>
    </w:p>
    <w:bookmarkEnd w:id="36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发包人和承包人应在合同协议书中</w:t>
      </w:r>
      <w:r>
        <w:rPr>
          <w:rFonts w:hint="eastAsia" w:ascii="Times New Roman" w:hAnsi="Times New Roman" w:eastAsia="仿宋_GB2312"/>
          <w:color w:val="000000"/>
          <w:kern w:val="0"/>
          <w:sz w:val="30"/>
          <w:szCs w:val="32"/>
          <w:highlight w:val="none"/>
        </w:rPr>
        <w:t>选择</w:t>
      </w:r>
      <w:r>
        <w:rPr>
          <w:rFonts w:ascii="Times New Roman" w:hAnsi="Times New Roman" w:eastAsia="仿宋_GB2312"/>
          <w:color w:val="000000"/>
          <w:kern w:val="0"/>
          <w:sz w:val="30"/>
          <w:szCs w:val="32"/>
          <w:highlight w:val="none"/>
        </w:rPr>
        <w:t xml:space="preserve">下列一种合同价格形式：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w:t>
      </w:r>
      <w:r>
        <w:rPr>
          <w:rFonts w:hint="eastAsia" w:ascii="Times New Roman" w:hAnsi="Times New Roman" w:eastAsia="仿宋_GB2312"/>
          <w:color w:val="000000"/>
          <w:kern w:val="0"/>
          <w:sz w:val="30"/>
          <w:szCs w:val="32"/>
          <w:highlight w:val="none"/>
          <w:lang w:val="en-US" w:eastAsia="zh-CN"/>
        </w:rPr>
        <w:t>.</w:t>
      </w:r>
      <w:r>
        <w:rPr>
          <w:rFonts w:ascii="Times New Roman" w:hAnsi="Times New Roman" w:eastAsia="仿宋_GB2312"/>
          <w:color w:val="000000"/>
          <w:kern w:val="0"/>
          <w:sz w:val="30"/>
          <w:szCs w:val="32"/>
          <w:highlight w:val="none"/>
        </w:rPr>
        <w:t>单价合同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单价合同是指合同当事人约定以工程量清单及其综合单价进行合同价格计算、调整和确认的建设工程施工合同，</w:t>
      </w:r>
      <w:r>
        <w:rPr>
          <w:rFonts w:ascii="Times New Roman" w:hAnsi="Times New Roman" w:eastAsia="仿宋_GB2312"/>
          <w:sz w:val="30"/>
          <w:szCs w:val="32"/>
          <w:highlight w:val="none"/>
        </w:rPr>
        <w:t>在约定的范围内合同单价不作调整</w:t>
      </w:r>
      <w:r>
        <w:rPr>
          <w:rFonts w:ascii="Times New Roman" w:hAnsi="Times New Roman" w:eastAsia="仿宋_GB2312"/>
          <w:color w:val="000000"/>
          <w:kern w:val="0"/>
          <w:sz w:val="30"/>
          <w:szCs w:val="32"/>
          <w:highlight w:val="none"/>
        </w:rPr>
        <w:t>。合同当事人应在专用合同条款中约定综合单价包含的风险范围和风险费用的计算方法</w:t>
      </w:r>
      <w:r>
        <w:rPr>
          <w:rFonts w:ascii="Times New Roman" w:hAnsi="Times New Roman" w:eastAsia="仿宋_GB2312"/>
          <w:sz w:val="30"/>
          <w:szCs w:val="32"/>
          <w:highlight w:val="none"/>
        </w:rPr>
        <w:t>，</w:t>
      </w:r>
      <w:r>
        <w:rPr>
          <w:rFonts w:ascii="Times New Roman" w:hAnsi="Times New Roman" w:eastAsia="仿宋_GB2312"/>
          <w:color w:val="000000"/>
          <w:kern w:val="0"/>
          <w:sz w:val="30"/>
          <w:szCs w:val="32"/>
          <w:highlight w:val="none"/>
        </w:rPr>
        <w:t>并约定风险范围以外的合同价格的调整方法，其中因市场价格波动引起的调整按第11.1款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市场价格波动引起的调整</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w:t>
      </w:r>
      <w:r>
        <w:rPr>
          <w:rFonts w:hint="eastAsia" w:ascii="Times New Roman" w:hAnsi="Times New Roman" w:eastAsia="仿宋_GB2312"/>
          <w:color w:val="000000"/>
          <w:kern w:val="0"/>
          <w:sz w:val="30"/>
          <w:szCs w:val="32"/>
          <w:highlight w:val="none"/>
          <w:lang w:val="en-US" w:eastAsia="zh-CN"/>
        </w:rPr>
        <w:t>.</w:t>
      </w:r>
      <w:r>
        <w:rPr>
          <w:rFonts w:ascii="Times New Roman" w:hAnsi="Times New Roman" w:eastAsia="仿宋_GB2312"/>
          <w:color w:val="000000"/>
          <w:kern w:val="0"/>
          <w:sz w:val="30"/>
          <w:szCs w:val="32"/>
          <w:highlight w:val="none"/>
        </w:rPr>
        <w:t>总价合同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总价合同是指合同当事人约定以施工图、已标价工程量清单或预算书及有关条件进行合同价格计算、调整和确认的建设工程施工合同，</w:t>
      </w:r>
      <w:r>
        <w:rPr>
          <w:rFonts w:ascii="Times New Roman" w:hAnsi="Times New Roman" w:eastAsia="仿宋_GB2312"/>
          <w:sz w:val="30"/>
          <w:szCs w:val="32"/>
          <w:highlight w:val="none"/>
        </w:rPr>
        <w:t>在约定的范围内合同总价不作调整</w:t>
      </w:r>
      <w:r>
        <w:rPr>
          <w:rFonts w:ascii="Times New Roman" w:hAnsi="Times New Roman" w:eastAsia="仿宋_GB2312"/>
          <w:color w:val="000000"/>
          <w:kern w:val="0"/>
          <w:sz w:val="30"/>
          <w:szCs w:val="32"/>
          <w:highlight w:val="none"/>
        </w:rPr>
        <w:t>。合同当事人应在专用合同条款中约定总价包含的风险范围和风险费用的计算方法，并约定风险范围以外的合同价格的调整方法，其中因市场价格波动引起的调整按第11.1款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市场价格波动引起的调整</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、因法律变化引起的调整按第11.2款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法律变化引起的调整</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w:t>
      </w:r>
      <w:r>
        <w:rPr>
          <w:rFonts w:hint="eastAsia" w:ascii="Times New Roman" w:hAnsi="Times New Roman" w:eastAsia="仿宋_GB2312"/>
          <w:color w:val="000000"/>
          <w:kern w:val="0"/>
          <w:sz w:val="30"/>
          <w:szCs w:val="32"/>
          <w:highlight w:val="none"/>
          <w:lang w:val="en-US" w:eastAsia="zh-CN"/>
        </w:rPr>
        <w:t>.</w:t>
      </w:r>
      <w:r>
        <w:rPr>
          <w:rFonts w:ascii="Times New Roman" w:hAnsi="Times New Roman" w:eastAsia="仿宋_GB2312"/>
          <w:color w:val="000000"/>
          <w:kern w:val="0"/>
          <w:sz w:val="30"/>
          <w:szCs w:val="32"/>
          <w:highlight w:val="none"/>
        </w:rPr>
        <w:t>其它价格形式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合同当事人可在专用合同条款中约定其他合同价格形式。</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67" w:name="_Toc296346598"/>
      <w:bookmarkStart w:id="368" w:name="_Toc296503097"/>
      <w:bookmarkStart w:id="369" w:name="_Toc351203582"/>
      <w:bookmarkStart w:id="370" w:name="_Toc337558801"/>
      <w:r>
        <w:rPr>
          <w:rFonts w:ascii="Times New Roman" w:hAnsi="Times New Roman" w:eastAsia="黑体"/>
          <w:b w:val="0"/>
          <w:color w:val="000000"/>
          <w:sz w:val="30"/>
          <w:szCs w:val="32"/>
          <w:highlight w:val="none"/>
        </w:rPr>
        <w:t>12.2预</w:t>
      </w:r>
      <w:bookmarkEnd w:id="367"/>
      <w:bookmarkEnd w:id="368"/>
      <w:bookmarkStart w:id="371" w:name="_Toc296346601"/>
      <w:bookmarkStart w:id="372" w:name="_Toc296503100"/>
      <w:r>
        <w:rPr>
          <w:rFonts w:ascii="Times New Roman" w:hAnsi="Times New Roman" w:eastAsia="黑体"/>
          <w:b w:val="0"/>
          <w:color w:val="000000"/>
          <w:sz w:val="30"/>
          <w:szCs w:val="32"/>
          <w:highlight w:val="none"/>
        </w:rPr>
        <w:t>付款</w:t>
      </w:r>
      <w:bookmarkEnd w:id="369"/>
    </w:p>
    <w:bookmarkEnd w:id="370"/>
    <w:bookmarkEnd w:id="371"/>
    <w:bookmarkEnd w:id="372"/>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12.2.</w:t>
      </w:r>
      <w:r>
        <w:rPr>
          <w:rFonts w:ascii="Times New Roman" w:hAnsi="Times New Roman" w:eastAsia="仿宋_GB2312"/>
          <w:color w:val="000000"/>
          <w:kern w:val="0"/>
          <w:sz w:val="30"/>
          <w:szCs w:val="32"/>
          <w:highlight w:val="none"/>
        </w:rPr>
        <w:t>1预付款的支付</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除专用合同条款另有约定外，预付款在进度付款中同比例扣回。</w:t>
      </w:r>
      <w:bookmarkEnd w:id="356"/>
      <w:r>
        <w:rPr>
          <w:rFonts w:ascii="Times New Roman" w:hAnsi="Times New Roman" w:eastAsia="仿宋_GB2312"/>
          <w:color w:val="000000"/>
          <w:kern w:val="0"/>
          <w:sz w:val="30"/>
          <w:szCs w:val="32"/>
          <w:highlight w:val="none"/>
        </w:rPr>
        <w:t>在颁发工程接收证书前，提前解除合同的，尚未扣完的预付款应与合同价款一并结算。</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发包人逾期支付预付款超过7天的，承包人有权向发包人发出要求预付的催告通知，发包人收到通知后7天内仍未支付的，承包人有权暂停施工，并按第16.1.1项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发包人违约的情形</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执行。</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12.2.2 预付款担保</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发包人要求承包人提供预付款担保的</w:t>
      </w:r>
      <w:r>
        <w:rPr>
          <w:rFonts w:ascii="Times New Roman" w:hAnsi="Times New Roman" w:eastAsia="仿宋_GB2312"/>
          <w:color w:val="000000"/>
          <w:kern w:val="0"/>
          <w:sz w:val="30"/>
          <w:szCs w:val="32"/>
          <w:highlight w:val="none"/>
        </w:rPr>
        <w:t>，承包人应在发包人支付预付款7天前提供预付款担保</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专用合同条款另有约定</w:t>
      </w:r>
      <w:r>
        <w:rPr>
          <w:rFonts w:hint="eastAsia" w:ascii="Times New Roman" w:hAnsi="Times New Roman" w:eastAsia="仿宋_GB2312"/>
          <w:color w:val="000000"/>
          <w:kern w:val="0"/>
          <w:sz w:val="30"/>
          <w:szCs w:val="32"/>
          <w:highlight w:val="none"/>
        </w:rPr>
        <w:t>除</w:t>
      </w:r>
      <w:r>
        <w:rPr>
          <w:rFonts w:ascii="Times New Roman" w:hAnsi="Times New Roman" w:eastAsia="仿宋_GB2312"/>
          <w:color w:val="000000"/>
          <w:kern w:val="0"/>
          <w:sz w:val="30"/>
          <w:szCs w:val="32"/>
          <w:highlight w:val="none"/>
        </w:rPr>
        <w:t>外。预付款担保可采用银行保函、担保公司担保等形式，具体由合同当事人在专用合同条款中约定。在预付款完全扣回之前，承包人应保证预付款担保持续有效。</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发包人在工程款中逐期扣回预付款后，预付款担保额度应相应减少，但剩余的预付款担保金额不得低于未被扣回的预付款金额。</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73" w:name="_Toc351203583"/>
      <w:bookmarkStart w:id="374" w:name="_Toc337558802"/>
      <w:r>
        <w:rPr>
          <w:rFonts w:ascii="Times New Roman" w:hAnsi="Times New Roman" w:eastAsia="黑体"/>
          <w:b w:val="0"/>
          <w:color w:val="000000"/>
          <w:sz w:val="30"/>
          <w:szCs w:val="32"/>
          <w:highlight w:val="none"/>
        </w:rPr>
        <w:t>12.3计量</w:t>
      </w:r>
      <w:bookmarkEnd w:id="373"/>
    </w:p>
    <w:bookmarkEnd w:id="374"/>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12.3.1 计量原则</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工程量计量按照合同约定的工程量计算规则、图纸及变更指示</w:t>
      </w:r>
      <w:r>
        <w:rPr>
          <w:rFonts w:hint="eastAsia" w:ascii="Times New Roman" w:hAnsi="Times New Roman" w:eastAsia="仿宋_GB2312"/>
          <w:color w:val="000000"/>
          <w:kern w:val="0"/>
          <w:sz w:val="30"/>
          <w:szCs w:val="32"/>
          <w:highlight w:val="none"/>
        </w:rPr>
        <w:t>等</w:t>
      </w:r>
      <w:r>
        <w:rPr>
          <w:rFonts w:ascii="Times New Roman" w:hAnsi="Times New Roman" w:eastAsia="仿宋_GB2312"/>
          <w:color w:val="000000"/>
          <w:kern w:val="0"/>
          <w:sz w:val="30"/>
          <w:szCs w:val="32"/>
          <w:highlight w:val="none"/>
        </w:rPr>
        <w:t>进行计量。工程量计算规则应以相关的国家标准、行业标准</w:t>
      </w:r>
      <w:r>
        <w:rPr>
          <w:rFonts w:hint="eastAsia" w:ascii="Times New Roman" w:hAnsi="Times New Roman" w:eastAsia="仿宋_GB2312"/>
          <w:color w:val="000000"/>
          <w:kern w:val="0"/>
          <w:sz w:val="30"/>
          <w:szCs w:val="32"/>
          <w:highlight w:val="none"/>
        </w:rPr>
        <w:t>等</w:t>
      </w:r>
      <w:r>
        <w:rPr>
          <w:rFonts w:ascii="Times New Roman" w:hAnsi="Times New Roman" w:eastAsia="仿宋_GB2312"/>
          <w:color w:val="000000"/>
          <w:kern w:val="0"/>
          <w:sz w:val="30"/>
          <w:szCs w:val="32"/>
          <w:highlight w:val="none"/>
        </w:rPr>
        <w:t>为依据，由合同当事人在专用合同条款中约定。</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12.3.2 计量周期</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除专用合同条款另有约定外，工程量的计量按月进行。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12.3.3 单价合同的计量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除专用合同条款另有约定外，单价合同的计量按照本项约定执行：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（1）承包人应于每月25日向监理人报送上月20日至当月19日已完成的工程量报告，并附具进度付款申请单、已完成工程量报表和有关资料。</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（3）监理人未在收到承包人提交的工程量报表后的7天内完成审核的，承包人报送的工程量报告中的工程量视为承包人实际完成的工程量，据此计算工程价款。</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12.3.4 总价合同的计量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除专用合同条款另有约定外，按</w:t>
      </w:r>
      <w:r>
        <w:rPr>
          <w:rFonts w:hint="eastAsia" w:ascii="Times New Roman" w:hAnsi="Times New Roman" w:eastAsia="仿宋_GB2312"/>
          <w:color w:val="000000"/>
          <w:kern w:val="0"/>
          <w:sz w:val="30"/>
          <w:szCs w:val="32"/>
          <w:highlight w:val="none"/>
        </w:rPr>
        <w:t>月计量支付</w:t>
      </w:r>
      <w:r>
        <w:rPr>
          <w:rFonts w:ascii="Times New Roman" w:hAnsi="Times New Roman" w:eastAsia="仿宋_GB2312"/>
          <w:color w:val="000000"/>
          <w:kern w:val="0"/>
          <w:sz w:val="30"/>
          <w:szCs w:val="32"/>
          <w:highlight w:val="none"/>
        </w:rPr>
        <w:t>的总价合同，按照本项约定执行：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（1）承包人应于每月25日向监理人报送上月20日至当月19日已完成的工程量报告，并附具进度付款申请单、已完成工程量报表和有关资料。</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（3）监理人未在收到承包人提交的工程量报表后的7天内完成复核的，承包人提交的工程量报告中的工程量视为承包人实际完成的工程量。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12.3.5 总价合同采用支付分解表计量支付的，可以按照第12.3.4项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总价合同的计量</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约定进行计量，但合同价款按照支付分解表进行支付。</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12.3.6 其他价格形式合同的计量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合同当事人可在专用合同条款中约定其他价格形式合同的计量方式和程序。</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75" w:name="_Toc296346602"/>
      <w:bookmarkStart w:id="376" w:name="_Toc296503101"/>
      <w:bookmarkStart w:id="377" w:name="_Toc351203584"/>
      <w:bookmarkStart w:id="378" w:name="_Toc337558803"/>
      <w:r>
        <w:rPr>
          <w:rFonts w:ascii="Times New Roman" w:hAnsi="Times New Roman" w:eastAsia="黑体"/>
          <w:b w:val="0"/>
          <w:color w:val="000000"/>
          <w:sz w:val="30"/>
          <w:szCs w:val="32"/>
          <w:highlight w:val="none"/>
        </w:rPr>
        <w:t>12.4工程进度款支</w:t>
      </w:r>
      <w:bookmarkEnd w:id="375"/>
      <w:bookmarkEnd w:id="376"/>
      <w:r>
        <w:rPr>
          <w:rFonts w:ascii="Times New Roman" w:hAnsi="Times New Roman" w:eastAsia="黑体"/>
          <w:b w:val="0"/>
          <w:color w:val="000000"/>
          <w:sz w:val="30"/>
          <w:szCs w:val="32"/>
          <w:highlight w:val="none"/>
        </w:rPr>
        <w:t>付</w:t>
      </w:r>
      <w:bookmarkEnd w:id="377"/>
    </w:p>
    <w:bookmarkEnd w:id="378"/>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highlight w:val="none"/>
        </w:rPr>
      </w:pPr>
      <w:bookmarkStart w:id="379" w:name="_Toc28557"/>
      <w:bookmarkStart w:id="380" w:name="_Toc26396"/>
      <w:r>
        <w:rPr>
          <w:rFonts w:ascii="Times New Roman" w:hAnsi="Times New Roman" w:eastAsia="仿宋_GB2312"/>
          <w:color w:val="000000"/>
          <w:sz w:val="30"/>
          <w:szCs w:val="32"/>
          <w:highlight w:val="none"/>
        </w:rPr>
        <w:t>12.4</w:t>
      </w:r>
      <w:r>
        <w:rPr>
          <w:rFonts w:ascii="Times New Roman" w:hAnsi="Times New Roman" w:eastAsia="仿宋_GB2312"/>
          <w:color w:val="000000"/>
          <w:kern w:val="0"/>
          <w:sz w:val="30"/>
          <w:szCs w:val="32"/>
          <w:highlight w:val="none"/>
        </w:rPr>
        <w:t>.1 付款周期</w:t>
      </w:r>
      <w:bookmarkEnd w:id="379"/>
      <w:bookmarkEnd w:id="380"/>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除专用合同条款另有约定外，付款周期应按照第12.3.2</w:t>
      </w:r>
      <w:r>
        <w:rPr>
          <w:rFonts w:hint="eastAsia" w:ascii="Times New Roman" w:hAnsi="Times New Roman" w:eastAsia="仿宋_GB2312"/>
          <w:color w:val="000000"/>
          <w:kern w:val="0"/>
          <w:sz w:val="30"/>
          <w:szCs w:val="32"/>
          <w:highlight w:val="none"/>
        </w:rPr>
        <w:t>项〔</w:t>
      </w:r>
      <w:r>
        <w:rPr>
          <w:rFonts w:ascii="Times New Roman" w:hAnsi="Times New Roman" w:eastAsia="仿宋_GB2312"/>
          <w:color w:val="000000"/>
          <w:kern w:val="0"/>
          <w:sz w:val="30"/>
          <w:szCs w:val="32"/>
          <w:highlight w:val="none"/>
        </w:rPr>
        <w:t>计量周期</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的约定与计量周期保持一致。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12.4</w:t>
      </w:r>
      <w:r>
        <w:rPr>
          <w:rFonts w:ascii="Times New Roman" w:hAnsi="Times New Roman" w:eastAsia="仿宋_GB2312"/>
          <w:color w:val="000000"/>
          <w:kern w:val="0"/>
          <w:sz w:val="30"/>
          <w:szCs w:val="32"/>
          <w:highlight w:val="none"/>
        </w:rPr>
        <w:t>.2 进度付款申请单的编制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除专用合同条款另有约定外，进度付款申请单应包括下列内容：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（1）截至本次付款周期已完成工作对应的金额；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（2）根据第10条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变更</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应增加和扣减的变更金额；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（3）根据第12.2款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预付款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约定应支付的预付款和扣减的返还预付款；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（4）根据第15.3款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质量保证金</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约定应扣减的质量保证金；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（5）根据第19条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索赔</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应增加和扣减的索赔金额；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（6）对已签发的进度款支付证书中出现错误的修正，应在本次进度付款中支付或扣除的金额；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（7）根据合同约定应增加和扣减的其他金额。</w:t>
      </w:r>
    </w:p>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highlight w:val="none"/>
        </w:rPr>
      </w:pPr>
      <w:bookmarkStart w:id="381" w:name="_Toc10315"/>
      <w:bookmarkStart w:id="382" w:name="_Toc15688"/>
      <w:r>
        <w:rPr>
          <w:rFonts w:ascii="Times New Roman" w:hAnsi="Times New Roman" w:eastAsia="仿宋_GB2312"/>
          <w:color w:val="000000"/>
          <w:kern w:val="0"/>
          <w:sz w:val="30"/>
          <w:szCs w:val="32"/>
          <w:highlight w:val="none"/>
        </w:rPr>
        <w:t>12.4.3 进度付款申请单的提交</w:t>
      </w:r>
      <w:bookmarkEnd w:id="381"/>
      <w:bookmarkEnd w:id="382"/>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（1）单价合同进度付款申请单的提交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单价合同的进度付款申请单，按照第12.3.3项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单价合同的计量</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（2）总价合同进度付款申请单的提交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总价合同按</w:t>
      </w:r>
      <w:r>
        <w:rPr>
          <w:rFonts w:hint="eastAsia" w:ascii="Times New Roman" w:hAnsi="Times New Roman" w:eastAsia="仿宋_GB2312"/>
          <w:color w:val="000000"/>
          <w:kern w:val="0"/>
          <w:sz w:val="30"/>
          <w:szCs w:val="32"/>
          <w:highlight w:val="none"/>
        </w:rPr>
        <w:t>月计量支付的</w:t>
      </w:r>
      <w:r>
        <w:rPr>
          <w:rFonts w:ascii="Times New Roman" w:hAnsi="Times New Roman" w:eastAsia="仿宋_GB2312"/>
          <w:color w:val="000000"/>
          <w:kern w:val="0"/>
          <w:sz w:val="30"/>
          <w:szCs w:val="32"/>
          <w:highlight w:val="none"/>
        </w:rPr>
        <w:t>，承包人按照第12.3.4项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总价合同的计量</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约定的时间按月向监理人提交进度付款申请单，并附上已完成工程量报表和有关资料。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总价合同按支付分解表支付的，承包人应按照第12.4.6项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支付分解表</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及第12.4.2项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进度付款申请单的编制</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的约定向监理人提交进度付款申请单。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（3）其他价格形式合同的进度付款申请单的提交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合同当事人可在专用合同条款中约定其他价格形式合同的进度付款申请单的编制和提交程序。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12.4</w:t>
      </w:r>
      <w:r>
        <w:rPr>
          <w:rFonts w:ascii="Times New Roman" w:hAnsi="Times New Roman" w:eastAsia="仿宋_GB2312"/>
          <w:color w:val="000000"/>
          <w:kern w:val="0"/>
          <w:sz w:val="30"/>
          <w:szCs w:val="32"/>
          <w:highlight w:val="none"/>
        </w:rPr>
        <w:t>.4 进度款审核和支付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Times New Roman" w:hAnsi="Times New Roman" w:eastAsia="仿宋_GB2312"/>
          <w:color w:val="000000"/>
          <w:kern w:val="0"/>
          <w:sz w:val="30"/>
          <w:szCs w:val="32"/>
          <w:highlight w:val="none"/>
        </w:rPr>
        <w:t>审批</w:t>
      </w:r>
      <w:r>
        <w:rPr>
          <w:rFonts w:ascii="Times New Roman" w:hAnsi="Times New Roman" w:eastAsia="仿宋_GB2312"/>
          <w:color w:val="000000"/>
          <w:kern w:val="0"/>
          <w:sz w:val="30"/>
          <w:szCs w:val="32"/>
          <w:highlight w:val="none"/>
        </w:rPr>
        <w:t>且未提出异议的，视为已签发进度款支付证书。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的约定处理。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（3）发包人签发进度款支付证书或临时进度款支付证书，不表明发包人已同意、批准或接受了承包人完成的相应部分的工作。</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12.4.5 进度付款的修正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12.4.6 支付分解表</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w:t>
      </w:r>
      <w:r>
        <w:rPr>
          <w:rFonts w:hint="eastAsia" w:ascii="Times New Roman" w:hAnsi="Times New Roman" w:eastAsia="仿宋_GB2312"/>
          <w:color w:val="000000"/>
          <w:kern w:val="0"/>
          <w:sz w:val="30"/>
          <w:szCs w:val="32"/>
          <w:highlight w:val="none"/>
          <w:lang w:val="en-US" w:eastAsia="zh-CN"/>
        </w:rPr>
        <w:t>.</w:t>
      </w:r>
      <w:r>
        <w:rPr>
          <w:rFonts w:ascii="Times New Roman" w:hAnsi="Times New Roman" w:eastAsia="仿宋_GB2312"/>
          <w:color w:val="000000"/>
          <w:kern w:val="0"/>
          <w:sz w:val="30"/>
          <w:szCs w:val="32"/>
          <w:highlight w:val="none"/>
        </w:rPr>
        <w:t>支付分解表的编制要求</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（1）支付分解表中所列的每期付款金额，应为第12.4.2项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进度付款申请单的编制</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第（1）</w:t>
      </w:r>
      <w:r>
        <w:rPr>
          <w:rFonts w:hint="eastAsia" w:ascii="Times New Roman" w:hAnsi="Times New Roman" w:eastAsia="仿宋_GB2312"/>
          <w:color w:val="000000"/>
          <w:kern w:val="0"/>
          <w:sz w:val="30"/>
          <w:szCs w:val="32"/>
          <w:highlight w:val="none"/>
        </w:rPr>
        <w:t>目</w:t>
      </w:r>
      <w:r>
        <w:rPr>
          <w:rFonts w:ascii="Times New Roman" w:hAnsi="Times New Roman" w:eastAsia="仿宋_GB2312"/>
          <w:color w:val="000000"/>
          <w:kern w:val="0"/>
          <w:sz w:val="30"/>
          <w:szCs w:val="32"/>
          <w:highlight w:val="none"/>
        </w:rPr>
        <w:t>的估算金额；</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（2）实际进度与施工进度计划不一致的，合同当事人可按照第4.4款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修改支付分解表；</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（3）不采用支付分解表的，承包人应向发包人和监理人提交按季度编制的支付估算分解表，用于支付参考。</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w:t>
      </w:r>
      <w:r>
        <w:rPr>
          <w:rFonts w:hint="eastAsia" w:ascii="Times New Roman" w:hAnsi="Times New Roman" w:eastAsia="仿宋_GB2312"/>
          <w:color w:val="000000"/>
          <w:kern w:val="0"/>
          <w:sz w:val="30"/>
          <w:szCs w:val="32"/>
          <w:highlight w:val="none"/>
          <w:lang w:val="en-US" w:eastAsia="zh-CN"/>
        </w:rPr>
        <w:t>.</w:t>
      </w:r>
      <w:r>
        <w:rPr>
          <w:rFonts w:ascii="Times New Roman" w:hAnsi="Times New Roman" w:eastAsia="仿宋_GB2312"/>
          <w:color w:val="000000"/>
          <w:kern w:val="0"/>
          <w:sz w:val="30"/>
          <w:szCs w:val="32"/>
          <w:highlight w:val="none"/>
        </w:rPr>
        <w:t>总价合同支付分解表的编制与审批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（1）除专用合同条款另有约定外，承包人应根据第7.2款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施工进度计划</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    （3）发包人逾期未完成支付分解表</w:t>
      </w:r>
      <w:r>
        <w:rPr>
          <w:rFonts w:hint="eastAsia" w:ascii="Times New Roman" w:hAnsi="Times New Roman" w:eastAsia="仿宋_GB2312"/>
          <w:color w:val="000000"/>
          <w:kern w:val="0"/>
          <w:sz w:val="30"/>
          <w:szCs w:val="32"/>
          <w:highlight w:val="none"/>
        </w:rPr>
        <w:t>审批</w:t>
      </w:r>
      <w:r>
        <w:rPr>
          <w:rFonts w:ascii="Times New Roman" w:hAnsi="Times New Roman" w:eastAsia="仿宋_GB2312"/>
          <w:color w:val="000000"/>
          <w:kern w:val="0"/>
          <w:sz w:val="30"/>
          <w:szCs w:val="32"/>
          <w:highlight w:val="none"/>
        </w:rPr>
        <w:t>的，也未及时要求承包人进行修正和提供补充资料的，则承包人提交的支付分解表视为已经获得发包人批准。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w:t>
      </w:r>
      <w:r>
        <w:rPr>
          <w:rFonts w:hint="eastAsia" w:ascii="Times New Roman" w:hAnsi="Times New Roman" w:eastAsia="仿宋_GB2312"/>
          <w:color w:val="000000"/>
          <w:kern w:val="0"/>
          <w:sz w:val="30"/>
          <w:szCs w:val="32"/>
          <w:highlight w:val="none"/>
          <w:lang w:val="en-US" w:eastAsia="zh-CN"/>
        </w:rPr>
        <w:t>.</w:t>
      </w:r>
      <w:r>
        <w:rPr>
          <w:rFonts w:ascii="Times New Roman" w:hAnsi="Times New Roman" w:eastAsia="仿宋_GB2312"/>
          <w:color w:val="000000"/>
          <w:kern w:val="0"/>
          <w:sz w:val="30"/>
          <w:szCs w:val="32"/>
          <w:highlight w:val="none"/>
        </w:rPr>
        <w:t>单价合同的总价项目支付分解表的编制与审批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83" w:name="_Toc351203585"/>
      <w:r>
        <w:rPr>
          <w:rFonts w:ascii="Times New Roman" w:hAnsi="Times New Roman" w:eastAsia="黑体"/>
          <w:b w:val="0"/>
          <w:color w:val="000000"/>
          <w:sz w:val="30"/>
          <w:szCs w:val="32"/>
          <w:highlight w:val="none"/>
        </w:rPr>
        <w:t>12.5支付账户</w:t>
      </w:r>
      <w:bookmarkEnd w:id="383"/>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发包人应将合同价款支付至合同协议书中约定的承包人账户。</w:t>
      </w:r>
    </w:p>
    <w:p>
      <w:pPr>
        <w:pStyle w:val="6"/>
        <w:spacing w:before="120" w:after="120" w:line="360" w:lineRule="auto"/>
        <w:rPr>
          <w:rFonts w:ascii="Times New Roman" w:hAnsi="Times New Roman" w:eastAsia="黑体"/>
          <w:b w:val="0"/>
          <w:color w:val="000000"/>
          <w:sz w:val="32"/>
          <w:szCs w:val="32"/>
          <w:highlight w:val="none"/>
        </w:rPr>
      </w:pPr>
      <w:bookmarkStart w:id="384" w:name="_Toc351203586"/>
      <w:bookmarkStart w:id="385" w:name="_Toc296503106"/>
      <w:bookmarkStart w:id="386" w:name="_Toc337558804"/>
      <w:bookmarkStart w:id="387" w:name="_Toc322522574"/>
      <w:bookmarkStart w:id="388" w:name="_Toc296346607"/>
      <w:r>
        <w:rPr>
          <w:rFonts w:ascii="Times New Roman" w:hAnsi="Times New Roman" w:eastAsia="黑体"/>
          <w:b w:val="0"/>
          <w:color w:val="000000"/>
          <w:sz w:val="32"/>
          <w:szCs w:val="32"/>
          <w:highlight w:val="none"/>
        </w:rPr>
        <w:t>13. 验收和工程试车</w:t>
      </w:r>
      <w:bookmarkEnd w:id="384"/>
    </w:p>
    <w:bookmarkEnd w:id="385"/>
    <w:bookmarkEnd w:id="386"/>
    <w:bookmarkEnd w:id="387"/>
    <w:bookmarkEnd w:id="388"/>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89" w:name="_Toc351203587"/>
      <w:bookmarkStart w:id="390" w:name="_Toc337558805"/>
      <w:bookmarkStart w:id="391" w:name="_Toc296503110"/>
      <w:bookmarkStart w:id="392" w:name="_Toc296346611"/>
      <w:r>
        <w:rPr>
          <w:rFonts w:ascii="Times New Roman" w:hAnsi="Times New Roman" w:eastAsia="黑体"/>
          <w:b w:val="0"/>
          <w:color w:val="000000"/>
          <w:sz w:val="30"/>
          <w:szCs w:val="32"/>
          <w:highlight w:val="none"/>
        </w:rPr>
        <w:t>13.1分部分项工程验收</w:t>
      </w:r>
      <w:bookmarkEnd w:id="389"/>
    </w:p>
    <w:bookmarkEnd w:id="390"/>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13.1.1 分部分项工程质量应符合国家有关工程施工验收规范、标准及合同约定，承包人应按照施工组织设计的要求完成分部分项工程施工。</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13.1.2 除专用合同条款另有约定外，分部分项工程经承包人自检合格并具备验收条件的，承包人应提前48小时通知监理人进行验收。</w:t>
      </w:r>
      <w:r>
        <w:rPr>
          <w:rFonts w:ascii="Times New Roman" w:hAnsi="Times New Roman" w:eastAsia="仿宋_GB2312"/>
          <w:color w:val="000000"/>
          <w:kern w:val="0"/>
          <w:sz w:val="30"/>
          <w:szCs w:val="32"/>
          <w:highlight w:val="none"/>
        </w:rPr>
        <w:t>监理人不能按时进行验收的，应在验收前24小时向承包人提交书面延期要求，但延期不能超过48小时。监理人未按时进行验收，也未提出延期要求的，承包人有权自行验收，监理人应认可验收结果。</w:t>
      </w:r>
      <w:r>
        <w:rPr>
          <w:rFonts w:ascii="Times New Roman" w:hAnsi="Times New Roman" w:eastAsia="仿宋_GB2312"/>
          <w:color w:val="000000"/>
          <w:sz w:val="30"/>
          <w:szCs w:val="32"/>
          <w:highlight w:val="none"/>
        </w:rPr>
        <w:t>分部分项工程未经验收的，不得进入下一道工序施工。</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分部分项工程的验收资料应当作为竣工资料的组成部分。</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93" w:name="_Toc351203588"/>
      <w:bookmarkStart w:id="394" w:name="_Toc337558806"/>
      <w:r>
        <w:rPr>
          <w:rFonts w:ascii="Times New Roman" w:hAnsi="Times New Roman" w:eastAsia="黑体"/>
          <w:b w:val="0"/>
          <w:color w:val="000000"/>
          <w:sz w:val="30"/>
          <w:szCs w:val="32"/>
          <w:highlight w:val="none"/>
        </w:rPr>
        <w:t>13.2竣工验收</w:t>
      </w:r>
      <w:bookmarkEnd w:id="393"/>
    </w:p>
    <w:bookmarkEnd w:id="391"/>
    <w:bookmarkEnd w:id="392"/>
    <w:bookmarkEnd w:id="394"/>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13.2.1竣工验收条件</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工程具备以下条件的，承包人可以申请竣工验收：</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（1）除发包人同意的甩项</w:t>
      </w:r>
      <w:r>
        <w:rPr>
          <w:rFonts w:hint="eastAsia" w:ascii="Times New Roman" w:hAnsi="Times New Roman" w:eastAsia="仿宋_GB2312"/>
          <w:color w:val="000000"/>
          <w:kern w:val="0"/>
          <w:sz w:val="30"/>
          <w:szCs w:val="32"/>
          <w:highlight w:val="none"/>
        </w:rPr>
        <w:t>工作</w:t>
      </w:r>
      <w:r>
        <w:rPr>
          <w:rFonts w:ascii="Times New Roman" w:hAnsi="Times New Roman" w:eastAsia="仿宋_GB2312"/>
          <w:color w:val="000000"/>
          <w:kern w:val="0"/>
          <w:sz w:val="30"/>
          <w:szCs w:val="32"/>
          <w:highlight w:val="none"/>
        </w:rPr>
        <w:t>和缺陷修补工作外，合同范围内的全部工程以及有关工作，包括合同要求的试验、试运行以及检验均已完成，并符合合同要求；</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（2）已按合同约定编制了甩项</w:t>
      </w:r>
      <w:r>
        <w:rPr>
          <w:rFonts w:hint="eastAsia" w:ascii="Times New Roman" w:hAnsi="Times New Roman" w:eastAsia="仿宋_GB2312"/>
          <w:color w:val="000000"/>
          <w:kern w:val="0"/>
          <w:sz w:val="30"/>
          <w:szCs w:val="32"/>
          <w:highlight w:val="none"/>
        </w:rPr>
        <w:t>工作</w:t>
      </w:r>
      <w:r>
        <w:rPr>
          <w:rFonts w:ascii="Times New Roman" w:hAnsi="Times New Roman" w:eastAsia="仿宋_GB2312"/>
          <w:color w:val="000000"/>
          <w:kern w:val="0"/>
          <w:sz w:val="30"/>
          <w:szCs w:val="32"/>
          <w:highlight w:val="none"/>
        </w:rPr>
        <w:t>和缺陷修补工作清单以及相应的施工计划；</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（3）已按合同约定的内容和份数备齐竣工资料。</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13.2.2竣工验收程序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除专用合同条款另有约定外，承包人申请竣工验收的，应当按照以下程序进行：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（2）监理人审查后认为已具备竣工验收条件的，应将竣工验收申请报告提交发包人，发包人应在收到</w:t>
      </w:r>
      <w:r>
        <w:rPr>
          <w:rFonts w:hint="eastAsia" w:ascii="Times New Roman" w:hAnsi="Times New Roman" w:eastAsia="仿宋_GB2312"/>
          <w:color w:val="000000"/>
          <w:kern w:val="0"/>
          <w:sz w:val="30"/>
          <w:szCs w:val="32"/>
          <w:highlight w:val="none"/>
        </w:rPr>
        <w:t>经</w:t>
      </w:r>
      <w:r>
        <w:rPr>
          <w:rFonts w:ascii="Times New Roman" w:hAnsi="Times New Roman" w:eastAsia="仿宋_GB2312"/>
          <w:color w:val="000000"/>
          <w:kern w:val="0"/>
          <w:sz w:val="30"/>
          <w:szCs w:val="32"/>
          <w:highlight w:val="none"/>
        </w:rPr>
        <w:t>监理人审核的竣工验收申请报告后28天内</w:t>
      </w:r>
      <w:r>
        <w:rPr>
          <w:rFonts w:hint="eastAsia" w:ascii="Times New Roman" w:hAnsi="Times New Roman" w:eastAsia="仿宋_GB2312"/>
          <w:color w:val="000000"/>
          <w:kern w:val="0"/>
          <w:sz w:val="30"/>
          <w:szCs w:val="32"/>
          <w:highlight w:val="none"/>
        </w:rPr>
        <w:t>审批</w:t>
      </w:r>
      <w:r>
        <w:rPr>
          <w:rFonts w:ascii="Times New Roman" w:hAnsi="Times New Roman" w:eastAsia="仿宋_GB2312"/>
          <w:color w:val="000000"/>
          <w:kern w:val="0"/>
          <w:sz w:val="30"/>
          <w:szCs w:val="32"/>
          <w:highlight w:val="none"/>
        </w:rPr>
        <w:t>完毕并组织监理人、承包人、设计人等相关单位完成竣工验收。</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13.2.3竣工日期</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工程经竣工验收合格的，以承包人提交竣工验收申请报告之日为实际竣工日期，并在工程接收证书中载明；因发包人原因，未在监理人收到承包人提交的竣工验收申请报告42天内完成</w:t>
      </w:r>
      <w:r>
        <w:rPr>
          <w:rFonts w:hint="eastAsia" w:ascii="Times New Roman" w:hAnsi="Times New Roman" w:eastAsia="仿宋_GB2312"/>
          <w:color w:val="000000"/>
          <w:kern w:val="0"/>
          <w:sz w:val="30"/>
          <w:szCs w:val="32"/>
          <w:highlight w:val="none"/>
        </w:rPr>
        <w:t>竣工</w:t>
      </w:r>
      <w:r>
        <w:rPr>
          <w:rFonts w:ascii="Times New Roman" w:hAnsi="Times New Roman" w:eastAsia="仿宋_GB2312"/>
          <w:color w:val="000000"/>
          <w:kern w:val="0"/>
          <w:sz w:val="30"/>
          <w:szCs w:val="32"/>
          <w:highlight w:val="none"/>
        </w:rPr>
        <w:t>验收</w:t>
      </w:r>
      <w:r>
        <w:rPr>
          <w:rFonts w:hint="eastAsia" w:ascii="Times New Roman" w:hAnsi="Times New Roman" w:eastAsia="仿宋_GB2312"/>
          <w:color w:val="000000"/>
          <w:kern w:val="0"/>
          <w:sz w:val="30"/>
          <w:szCs w:val="32"/>
          <w:highlight w:val="none"/>
        </w:rPr>
        <w:t>，或完成竣工验收不予签发工程接收证书</w:t>
      </w:r>
      <w:r>
        <w:rPr>
          <w:rFonts w:ascii="Times New Roman" w:hAnsi="Times New Roman" w:eastAsia="仿宋_GB2312"/>
          <w:color w:val="000000"/>
          <w:kern w:val="0"/>
          <w:sz w:val="30"/>
          <w:szCs w:val="32"/>
          <w:highlight w:val="none"/>
        </w:rPr>
        <w:t>的，以提交竣工验</w:t>
      </w:r>
      <w:bookmarkStart w:id="395" w:name="#go14"/>
      <w:bookmarkEnd w:id="395"/>
      <w:r>
        <w:rPr>
          <w:rFonts w:ascii="Times New Roman" w:hAnsi="Times New Roman" w:eastAsia="仿宋_GB2312"/>
          <w:color w:val="000000"/>
          <w:kern w:val="0"/>
          <w:sz w:val="30"/>
          <w:szCs w:val="32"/>
          <w:highlight w:val="none"/>
        </w:rPr>
        <w:t>收申请报告的日期为实际竣工日期；工程未经竣工验收，发包人擅自使用的，以转移占有工程之日为实际竣工日期。</w:t>
      </w:r>
    </w:p>
    <w:p>
      <w:pPr>
        <w:spacing w:line="360" w:lineRule="auto"/>
        <w:ind w:firstLine="600" w:firstLineChars="200"/>
        <w:jc w:val="left"/>
        <w:outlineLvl w:val="0"/>
        <w:rPr>
          <w:rFonts w:ascii="Times New Roman" w:hAnsi="Times New Roman" w:eastAsia="仿宋_GB2312"/>
          <w:color w:val="000000"/>
          <w:kern w:val="0"/>
          <w:sz w:val="30"/>
          <w:szCs w:val="32"/>
          <w:highlight w:val="none"/>
        </w:rPr>
      </w:pPr>
      <w:bookmarkStart w:id="396" w:name="_Toc30849"/>
      <w:bookmarkStart w:id="397" w:name="_Toc8619"/>
      <w:r>
        <w:rPr>
          <w:rFonts w:ascii="Times New Roman" w:hAnsi="Times New Roman" w:eastAsia="仿宋_GB2312"/>
          <w:color w:val="000000"/>
          <w:kern w:val="0"/>
          <w:sz w:val="30"/>
          <w:szCs w:val="32"/>
          <w:highlight w:val="none"/>
        </w:rPr>
        <w:t>13.2.4 拒绝接收全部或部分工程</w:t>
      </w:r>
      <w:bookmarkEnd w:id="396"/>
      <w:bookmarkEnd w:id="397"/>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对于竣工验收不合格的工程，承包人完成整改后，</w:t>
      </w:r>
      <w:r>
        <w:rPr>
          <w:rFonts w:hint="eastAsia" w:ascii="Times New Roman" w:hAnsi="Times New Roman" w:eastAsia="仿宋_GB2312"/>
          <w:color w:val="000000"/>
          <w:kern w:val="0"/>
          <w:sz w:val="30"/>
          <w:szCs w:val="32"/>
          <w:highlight w:val="none"/>
        </w:rPr>
        <w:t>应当</w:t>
      </w:r>
      <w:r>
        <w:rPr>
          <w:rFonts w:ascii="Times New Roman" w:hAnsi="Times New Roman" w:eastAsia="仿宋_GB2312"/>
          <w:color w:val="000000"/>
          <w:kern w:val="0"/>
          <w:sz w:val="30"/>
          <w:szCs w:val="32"/>
          <w:highlight w:val="none"/>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13.2.5 移交、接收全部与部分工程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除专用合同条款另有约定外，</w:t>
      </w:r>
      <w:r>
        <w:rPr>
          <w:rFonts w:ascii="Times New Roman" w:hAnsi="Times New Roman" w:eastAsia="仿宋_GB2312"/>
          <w:color w:val="000000"/>
          <w:kern w:val="0"/>
          <w:sz w:val="30"/>
          <w:szCs w:val="32"/>
          <w:highlight w:val="none"/>
        </w:rPr>
        <w:t>合同当事人应当在颁发工程接收证书</w:t>
      </w:r>
      <w:r>
        <w:rPr>
          <w:rFonts w:hint="eastAsia" w:ascii="Times New Roman" w:hAnsi="Times New Roman" w:eastAsia="仿宋_GB2312"/>
          <w:color w:val="000000"/>
          <w:kern w:val="0"/>
          <w:sz w:val="30"/>
          <w:szCs w:val="32"/>
          <w:highlight w:val="none"/>
        </w:rPr>
        <w:t>后7天内</w:t>
      </w:r>
      <w:r>
        <w:rPr>
          <w:rFonts w:ascii="Times New Roman" w:hAnsi="Times New Roman" w:eastAsia="仿宋_GB2312"/>
          <w:color w:val="000000"/>
          <w:kern w:val="0"/>
          <w:sz w:val="30"/>
          <w:szCs w:val="32"/>
          <w:highlight w:val="none"/>
        </w:rPr>
        <w:t>完成工程的移交。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发包人无正当理由不接收工程的，发包人自</w:t>
      </w:r>
      <w:r>
        <w:rPr>
          <w:rFonts w:hint="eastAsia" w:ascii="Times New Roman" w:hAnsi="Times New Roman" w:eastAsia="仿宋_GB2312"/>
          <w:color w:val="000000"/>
          <w:kern w:val="0"/>
          <w:sz w:val="30"/>
          <w:szCs w:val="32"/>
          <w:highlight w:val="none"/>
        </w:rPr>
        <w:t>应当接收工程</w:t>
      </w:r>
      <w:r>
        <w:rPr>
          <w:rFonts w:ascii="Times New Roman" w:hAnsi="Times New Roman" w:eastAsia="仿宋_GB2312"/>
          <w:color w:val="000000"/>
          <w:kern w:val="0"/>
          <w:sz w:val="30"/>
          <w:szCs w:val="32"/>
          <w:highlight w:val="none"/>
        </w:rPr>
        <w:t>之日起，承担工程照管、成品保护、保管等与工程有关的各项费用</w:t>
      </w:r>
      <w:r>
        <w:rPr>
          <w:rFonts w:hint="eastAsia" w:ascii="Times New Roman" w:hAnsi="Times New Roman" w:eastAsia="仿宋_GB2312"/>
          <w:color w:val="000000"/>
          <w:kern w:val="0"/>
          <w:sz w:val="30"/>
          <w:szCs w:val="32"/>
          <w:highlight w:val="none"/>
        </w:rPr>
        <w:t>，合同当事人可以在专用合同条款中另行约定发包人逾期接收工程的违约责任</w:t>
      </w:r>
      <w:r>
        <w:rPr>
          <w:rFonts w:ascii="Times New Roman" w:hAnsi="Times New Roman" w:eastAsia="仿宋_GB2312"/>
          <w:color w:val="000000"/>
          <w:kern w:val="0"/>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承包人无正当理由不移交工程的，</w:t>
      </w:r>
      <w:r>
        <w:rPr>
          <w:rFonts w:hint="eastAsia" w:ascii="Times New Roman" w:hAnsi="Times New Roman" w:eastAsia="仿宋_GB2312"/>
          <w:color w:val="000000"/>
          <w:kern w:val="0"/>
          <w:sz w:val="30"/>
          <w:szCs w:val="32"/>
          <w:highlight w:val="none"/>
        </w:rPr>
        <w:t>承包人应承担</w:t>
      </w:r>
      <w:r>
        <w:rPr>
          <w:rFonts w:ascii="Times New Roman" w:hAnsi="Times New Roman" w:eastAsia="仿宋_GB2312"/>
          <w:color w:val="000000"/>
          <w:kern w:val="0"/>
          <w:sz w:val="30"/>
          <w:szCs w:val="32"/>
          <w:highlight w:val="none"/>
        </w:rPr>
        <w:t>工程照管、成品保护、保管等与工程有关的各项费用</w:t>
      </w:r>
      <w:r>
        <w:rPr>
          <w:rFonts w:hint="eastAsia" w:ascii="Times New Roman" w:hAnsi="Times New Roman" w:eastAsia="仿宋_GB2312"/>
          <w:color w:val="000000"/>
          <w:kern w:val="0"/>
          <w:sz w:val="30"/>
          <w:szCs w:val="32"/>
          <w:highlight w:val="none"/>
        </w:rPr>
        <w:t>，合同当事人可以在专用合同条款中另行约定承包人无正当理由不移交工程的违约责任</w:t>
      </w:r>
      <w:r>
        <w:rPr>
          <w:rFonts w:ascii="Times New Roman" w:hAnsi="Times New Roman" w:eastAsia="仿宋_GB2312"/>
          <w:color w:val="000000"/>
          <w:kern w:val="0"/>
          <w:sz w:val="30"/>
          <w:szCs w:val="32"/>
          <w:highlight w:val="none"/>
        </w:rPr>
        <w:t>。</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398" w:name="_Toc351203589"/>
      <w:bookmarkStart w:id="399" w:name="_Toc296346612"/>
      <w:bookmarkStart w:id="400" w:name="_Toc296503111"/>
      <w:bookmarkStart w:id="401" w:name="_Toc337558807"/>
      <w:r>
        <w:rPr>
          <w:rFonts w:ascii="Times New Roman" w:hAnsi="Times New Roman" w:eastAsia="黑体"/>
          <w:b w:val="0"/>
          <w:color w:val="000000"/>
          <w:sz w:val="30"/>
          <w:szCs w:val="32"/>
          <w:highlight w:val="none"/>
        </w:rPr>
        <w:t>13.3工程试车</w:t>
      </w:r>
      <w:bookmarkEnd w:id="398"/>
    </w:p>
    <w:bookmarkEnd w:id="399"/>
    <w:bookmarkEnd w:id="400"/>
    <w:bookmarkEnd w:id="401"/>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13.3.1试车程序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工程需要试车的，除专用合同条款另有约定外，试车内容应与承包人承包范围相一致，试车费用由承包人承担。工程试车应按如下程序进行：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13.3.2 试车中的责任</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13.3.3 投料试车</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如需进行投料试车的，</w:t>
      </w:r>
      <w:r>
        <w:rPr>
          <w:rFonts w:ascii="Times New Roman" w:hAnsi="Times New Roman" w:eastAsia="仿宋_GB2312"/>
          <w:color w:val="000000"/>
          <w:kern w:val="0"/>
          <w:sz w:val="30"/>
          <w:szCs w:val="32"/>
          <w:highlight w:val="none"/>
        </w:rPr>
        <w:t>发包人</w:t>
      </w:r>
      <w:r>
        <w:rPr>
          <w:rFonts w:hint="eastAsia" w:ascii="Times New Roman" w:hAnsi="Times New Roman" w:eastAsia="仿宋_GB2312"/>
          <w:color w:val="000000"/>
          <w:kern w:val="0"/>
          <w:sz w:val="30"/>
          <w:szCs w:val="32"/>
          <w:highlight w:val="none"/>
        </w:rPr>
        <w:t>应在</w:t>
      </w:r>
      <w:r>
        <w:rPr>
          <w:rFonts w:ascii="Times New Roman" w:hAnsi="Times New Roman" w:eastAsia="仿宋_GB2312"/>
          <w:color w:val="000000"/>
          <w:kern w:val="0"/>
          <w:sz w:val="30"/>
          <w:szCs w:val="32"/>
          <w:highlight w:val="none"/>
        </w:rPr>
        <w:t>工程竣工验收后</w:t>
      </w:r>
      <w:r>
        <w:rPr>
          <w:rFonts w:hint="eastAsia" w:ascii="Times New Roman" w:hAnsi="Times New Roman" w:eastAsia="仿宋_GB2312"/>
          <w:color w:val="000000"/>
          <w:kern w:val="0"/>
          <w:sz w:val="30"/>
          <w:szCs w:val="32"/>
          <w:highlight w:val="none"/>
        </w:rPr>
        <w:t>组织</w:t>
      </w:r>
      <w:r>
        <w:rPr>
          <w:rFonts w:ascii="Times New Roman" w:hAnsi="Times New Roman" w:eastAsia="仿宋_GB2312"/>
          <w:color w:val="000000"/>
          <w:kern w:val="0"/>
          <w:sz w:val="30"/>
          <w:szCs w:val="32"/>
          <w:highlight w:val="none"/>
        </w:rPr>
        <w:t>投料试车</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发包人要求在工程竣工验收前进行或需要承包人配合时，应征得承包人同意</w:t>
      </w:r>
      <w:r>
        <w:rPr>
          <w:rFonts w:hint="eastAsia" w:ascii="Times New Roman" w:hAnsi="Times New Roman" w:eastAsia="仿宋_GB2312"/>
          <w:color w:val="000000"/>
          <w:kern w:val="0"/>
          <w:sz w:val="30"/>
          <w:szCs w:val="32"/>
          <w:highlight w:val="none"/>
        </w:rPr>
        <w:t>，并在专用合同条款中约定有关事项</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Times New Roman" w:hAnsi="Times New Roman" w:eastAsia="仿宋_GB2312"/>
          <w:color w:val="000000"/>
          <w:kern w:val="0"/>
          <w:sz w:val="30"/>
          <w:szCs w:val="32"/>
          <w:highlight w:val="none"/>
        </w:rPr>
        <w:t>如</w:t>
      </w:r>
      <w:r>
        <w:rPr>
          <w:rFonts w:ascii="Times New Roman" w:hAnsi="Times New Roman" w:eastAsia="仿宋_GB2312"/>
          <w:color w:val="000000"/>
          <w:kern w:val="0"/>
          <w:sz w:val="30"/>
          <w:szCs w:val="32"/>
          <w:highlight w:val="none"/>
        </w:rPr>
        <w:t>发包人要求承包人进行整改</w:t>
      </w:r>
      <w:r>
        <w:rPr>
          <w:rFonts w:hint="eastAsia" w:ascii="Times New Roman" w:hAnsi="Times New Roman" w:eastAsia="仿宋_GB2312"/>
          <w:color w:val="000000"/>
          <w:kern w:val="0"/>
          <w:sz w:val="30"/>
          <w:szCs w:val="32"/>
          <w:highlight w:val="none"/>
        </w:rPr>
        <w:t>的</w:t>
      </w:r>
      <w:r>
        <w:rPr>
          <w:rFonts w:ascii="Times New Roman" w:hAnsi="Times New Roman" w:eastAsia="仿宋_GB2312"/>
          <w:color w:val="000000"/>
          <w:kern w:val="0"/>
          <w:sz w:val="30"/>
          <w:szCs w:val="32"/>
          <w:highlight w:val="none"/>
        </w:rPr>
        <w:t>，由此产生的费用由发包人承担。</w:t>
      </w:r>
    </w:p>
    <w:p>
      <w:pPr>
        <w:pStyle w:val="7"/>
        <w:spacing w:before="120" w:after="120" w:line="360" w:lineRule="auto"/>
        <w:rPr>
          <w:rFonts w:ascii="Times New Roman" w:hAnsi="Times New Roman" w:eastAsia="黑体"/>
          <w:b w:val="0"/>
          <w:color w:val="000000"/>
          <w:sz w:val="30"/>
          <w:szCs w:val="32"/>
          <w:highlight w:val="none"/>
        </w:rPr>
      </w:pPr>
      <w:bookmarkStart w:id="402" w:name="_Toc337558808"/>
      <w:r>
        <w:rPr>
          <w:rFonts w:ascii="Times New Roman" w:hAnsi="Times New Roman" w:eastAsia="黑体"/>
          <w:b w:val="0"/>
          <w:color w:val="000000"/>
          <w:sz w:val="30"/>
          <w:szCs w:val="32"/>
          <w:highlight w:val="none"/>
        </w:rPr>
        <w:t xml:space="preserve">    </w:t>
      </w:r>
      <w:bookmarkStart w:id="403" w:name="_Toc351203590"/>
      <w:r>
        <w:rPr>
          <w:rFonts w:ascii="Times New Roman" w:hAnsi="Times New Roman" w:eastAsia="黑体"/>
          <w:b w:val="0"/>
          <w:color w:val="000000"/>
          <w:sz w:val="30"/>
          <w:szCs w:val="32"/>
          <w:highlight w:val="none"/>
        </w:rPr>
        <w:t>13.4提前交付单位工程的验收</w:t>
      </w:r>
      <w:bookmarkEnd w:id="403"/>
    </w:p>
    <w:bookmarkEnd w:id="402"/>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13.4.1 发包人需要在工程竣工前使用单位工程的，或承包人提出提前交付已经竣工的单位工程且经发包人同意的，可进行单位工程验收，验收的程序按照第13.2款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竣工验收</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的约定进行。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13.4.2 发包人要求在工程竣工前交付单位工程，由此导致承包人费用增加和（或）工期延误的，由发包人承担由此增加的费用和（或）延误的工期，并支付承包人合理的利润。</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04" w:name="_Toc351203591"/>
      <w:r>
        <w:rPr>
          <w:rFonts w:ascii="Times New Roman" w:hAnsi="Times New Roman" w:eastAsia="黑体"/>
          <w:b w:val="0"/>
          <w:color w:val="000000"/>
          <w:sz w:val="30"/>
          <w:szCs w:val="32"/>
          <w:highlight w:val="none"/>
        </w:rPr>
        <w:t>13.5 施工期运行</w:t>
      </w:r>
      <w:bookmarkEnd w:id="404"/>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13.5.1 施工期运行是指合同工程尚未全部竣工，其中某项或某几项单位工程或工程设备安装已竣工，根据专用合同条款约定，需要投入施工期运行的，经发包人按第13.4款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提前交付单位工程的验收</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的约定验收合格，证明能确保安全后，才能在施工期投入运行。</w:t>
      </w:r>
    </w:p>
    <w:p>
      <w:pPr>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13.5.2 在施工期运行中发现工程或工程设备损坏或存在缺陷的，由承包人按第15.2款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缺陷责任期</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约定进行修复。</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05" w:name="_Toc296346613"/>
      <w:bookmarkStart w:id="406" w:name="_Toc296503112"/>
      <w:bookmarkStart w:id="407" w:name="_Toc351203592"/>
      <w:bookmarkStart w:id="408" w:name="_Toc337558809"/>
      <w:r>
        <w:rPr>
          <w:rFonts w:ascii="Times New Roman" w:hAnsi="Times New Roman" w:eastAsia="黑体"/>
          <w:b w:val="0"/>
          <w:color w:val="000000"/>
          <w:sz w:val="30"/>
          <w:szCs w:val="32"/>
          <w:highlight w:val="none"/>
        </w:rPr>
        <w:t>13.6 竣工退</w:t>
      </w:r>
      <w:bookmarkEnd w:id="405"/>
      <w:bookmarkEnd w:id="406"/>
      <w:r>
        <w:rPr>
          <w:rFonts w:ascii="Times New Roman" w:hAnsi="Times New Roman" w:eastAsia="黑体"/>
          <w:b w:val="0"/>
          <w:color w:val="000000"/>
          <w:sz w:val="30"/>
          <w:szCs w:val="32"/>
          <w:highlight w:val="none"/>
        </w:rPr>
        <w:t>场</w:t>
      </w:r>
      <w:bookmarkEnd w:id="407"/>
    </w:p>
    <w:bookmarkEnd w:id="408"/>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13.6.1 竣工退场</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颁发工程接收证书后，承包人应按以下要求对施工现场进行清理：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（1）施工现场内残留的垃圾已全部清除出场；</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（2）临时工程已拆除，场地已进行清理、平整或复原；</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（3）按合同约定应撤离的人员、承包人施工设备和剩余的材料，包括废弃的施工设备和材料，已按计划撤离施工现场；</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（4）施工现场周边及其附近道路、河道的施工堆积物，已全部清理；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（5）施工现场其他场地清理工作已全部完成。</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13.6.2 地表还原</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spacing w:before="120" w:after="120" w:line="360" w:lineRule="auto"/>
        <w:rPr>
          <w:rFonts w:ascii="Times New Roman" w:hAnsi="Times New Roman" w:eastAsia="黑体"/>
          <w:b w:val="0"/>
          <w:color w:val="000000"/>
          <w:sz w:val="32"/>
          <w:szCs w:val="32"/>
          <w:highlight w:val="none"/>
        </w:rPr>
      </w:pPr>
      <w:bookmarkStart w:id="409" w:name="_Toc351203593"/>
      <w:bookmarkStart w:id="410" w:name="_Toc337558810"/>
      <w:bookmarkStart w:id="411" w:name="_Toc296346614"/>
      <w:bookmarkStart w:id="412" w:name="_Toc296503113"/>
      <w:r>
        <w:rPr>
          <w:rFonts w:ascii="Times New Roman" w:hAnsi="Times New Roman" w:eastAsia="黑体"/>
          <w:b w:val="0"/>
          <w:color w:val="000000"/>
          <w:sz w:val="32"/>
          <w:szCs w:val="32"/>
          <w:highlight w:val="none"/>
        </w:rPr>
        <w:t>14. 竣工结算</w:t>
      </w:r>
      <w:bookmarkEnd w:id="409"/>
    </w:p>
    <w:bookmarkEnd w:id="410"/>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13" w:name="_Toc351203594"/>
      <w:bookmarkStart w:id="414" w:name="_Toc337558811"/>
      <w:r>
        <w:rPr>
          <w:rFonts w:ascii="Times New Roman" w:hAnsi="Times New Roman" w:eastAsia="黑体"/>
          <w:b w:val="0"/>
          <w:color w:val="000000"/>
          <w:sz w:val="30"/>
          <w:szCs w:val="32"/>
          <w:highlight w:val="none"/>
        </w:rPr>
        <w:t>14.1 竣工结算申请</w:t>
      </w:r>
      <w:bookmarkEnd w:id="413"/>
    </w:p>
    <w:bookmarkEnd w:id="414"/>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除专用合同条款另有约定外，</w:t>
      </w:r>
      <w:r>
        <w:rPr>
          <w:rFonts w:ascii="Times New Roman" w:hAnsi="Times New Roman" w:eastAsia="仿宋_GB2312"/>
          <w:color w:val="000000"/>
          <w:sz w:val="30"/>
          <w:szCs w:val="32"/>
          <w:highlight w:val="none"/>
        </w:rPr>
        <w:t>承包人应在工程竣工验收合格后28天内向发包人和监理人提交竣工结算申请单，并提交完整的结算资料，</w:t>
      </w:r>
      <w:r>
        <w:rPr>
          <w:rFonts w:hint="eastAsia" w:ascii="Times New Roman" w:hAnsi="Times New Roman" w:eastAsia="仿宋_GB2312"/>
          <w:color w:val="000000"/>
          <w:sz w:val="30"/>
          <w:szCs w:val="32"/>
          <w:highlight w:val="none"/>
        </w:rPr>
        <w:t>有关</w:t>
      </w:r>
      <w:r>
        <w:rPr>
          <w:rFonts w:ascii="Times New Roman" w:hAnsi="Times New Roman" w:eastAsia="仿宋_GB2312"/>
          <w:color w:val="000000"/>
          <w:sz w:val="30"/>
          <w:szCs w:val="32"/>
          <w:highlight w:val="none"/>
        </w:rPr>
        <w:t>竣工结算申请单</w:t>
      </w:r>
      <w:r>
        <w:rPr>
          <w:rFonts w:hint="eastAsia" w:ascii="Times New Roman" w:hAnsi="Times New Roman" w:eastAsia="仿宋_GB2312"/>
          <w:color w:val="000000"/>
          <w:sz w:val="30"/>
          <w:szCs w:val="32"/>
          <w:highlight w:val="none"/>
        </w:rPr>
        <w:t>的资料清单和</w:t>
      </w:r>
      <w:r>
        <w:rPr>
          <w:rFonts w:ascii="Times New Roman" w:hAnsi="Times New Roman" w:eastAsia="仿宋_GB2312"/>
          <w:color w:val="000000"/>
          <w:sz w:val="30"/>
          <w:szCs w:val="32"/>
          <w:highlight w:val="none"/>
        </w:rPr>
        <w:t>份数</w:t>
      </w:r>
      <w:r>
        <w:rPr>
          <w:rFonts w:hint="eastAsia" w:ascii="Times New Roman" w:hAnsi="Times New Roman" w:eastAsia="仿宋_GB2312"/>
          <w:color w:val="000000"/>
          <w:sz w:val="30"/>
          <w:szCs w:val="32"/>
          <w:highlight w:val="none"/>
        </w:rPr>
        <w:t>等要求</w:t>
      </w:r>
      <w:r>
        <w:rPr>
          <w:rFonts w:ascii="Times New Roman" w:hAnsi="Times New Roman" w:eastAsia="仿宋_GB2312"/>
          <w:color w:val="000000"/>
          <w:sz w:val="30"/>
          <w:szCs w:val="32"/>
          <w:highlight w:val="none"/>
        </w:rPr>
        <w:t>由合同当事人在专用合同条款中约定。</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除专用合同条款另有约定外，竣工结算申请单应包括以下内容：</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（1）竣工结算合同价格；</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（2）发包人已支付承包人的款项；</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（3）应扣留的质量保证金</w:t>
      </w:r>
      <w:r>
        <w:rPr>
          <w:rFonts w:hint="eastAsia" w:eastAsia="仿宋_GB2312"/>
          <w:color w:val="000000"/>
          <w:sz w:val="30"/>
          <w:szCs w:val="32"/>
          <w:highlight w:val="none"/>
        </w:rPr>
        <w:t>。已缴纳履约保证金的或提供其他工程质量担保方式的除外</w:t>
      </w:r>
      <w:r>
        <w:rPr>
          <w:rFonts w:ascii="Times New Roman" w:hAnsi="Times New Roman" w:eastAsia="仿宋_GB2312"/>
          <w:color w:val="000000"/>
          <w:sz w:val="30"/>
          <w:szCs w:val="32"/>
          <w:highlight w:val="none"/>
        </w:rPr>
        <w:t xml:space="preserve">； </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（4）发包人应支付承包人的合同价款。</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15" w:name="_Toc351203595"/>
      <w:bookmarkStart w:id="416" w:name="_Toc337558812"/>
      <w:r>
        <w:rPr>
          <w:rFonts w:ascii="Times New Roman" w:hAnsi="Times New Roman" w:eastAsia="黑体"/>
          <w:b w:val="0"/>
          <w:color w:val="000000"/>
          <w:sz w:val="30"/>
          <w:szCs w:val="32"/>
          <w:highlight w:val="none"/>
        </w:rPr>
        <w:t>14.2 竣工结算审核</w:t>
      </w:r>
      <w:bookmarkEnd w:id="415"/>
    </w:p>
    <w:bookmarkEnd w:id="41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（1）除专用合同条款另有约定外，监理人应在收到竣工结算申请单后14天内完成核查并报送发包人。发包人应在收到监理人提交的经审核的竣工结算申请单后14天内完成</w:t>
      </w:r>
      <w:r>
        <w:rPr>
          <w:rFonts w:hint="eastAsia" w:ascii="Times New Roman" w:hAnsi="Times New Roman" w:eastAsia="仿宋_GB2312"/>
          <w:color w:val="000000"/>
          <w:kern w:val="0"/>
          <w:sz w:val="30"/>
          <w:szCs w:val="32"/>
          <w:highlight w:val="none"/>
        </w:rPr>
        <w:t>审批</w:t>
      </w:r>
      <w:r>
        <w:rPr>
          <w:rFonts w:ascii="Times New Roman" w:hAnsi="Times New Roman" w:eastAsia="仿宋_GB2312"/>
          <w:color w:val="000000"/>
          <w:kern w:val="0"/>
          <w:sz w:val="30"/>
          <w:szCs w:val="32"/>
          <w:highlight w:val="none"/>
        </w:rPr>
        <w:t>，并由监理人向承包人签发经发包人签认的竣工付款证书。监理人或</w:t>
      </w:r>
      <w:r>
        <w:rPr>
          <w:rFonts w:ascii="Times New Roman" w:hAnsi="Times New Roman" w:eastAsia="仿宋_GB2312"/>
          <w:color w:val="000000"/>
          <w:sz w:val="30"/>
          <w:szCs w:val="32"/>
          <w:highlight w:val="none"/>
        </w:rPr>
        <w:t>发包人对竣工</w:t>
      </w:r>
      <w:r>
        <w:rPr>
          <w:rFonts w:ascii="Times New Roman" w:hAnsi="Times New Roman" w:eastAsia="仿宋_GB2312"/>
          <w:color w:val="000000"/>
          <w:kern w:val="0"/>
          <w:sz w:val="30"/>
          <w:szCs w:val="32"/>
          <w:highlight w:val="none"/>
        </w:rPr>
        <w:t>结算</w:t>
      </w:r>
      <w:r>
        <w:rPr>
          <w:rFonts w:ascii="Times New Roman" w:hAnsi="Times New Roman" w:eastAsia="仿宋_GB2312"/>
          <w:color w:val="000000"/>
          <w:sz w:val="30"/>
          <w:szCs w:val="32"/>
          <w:highlight w:val="none"/>
        </w:rPr>
        <w:t>申请单有异议的，有权要求承包人进行修正和提供补充资料，承包人应提交修正后的竣工</w:t>
      </w:r>
      <w:r>
        <w:rPr>
          <w:rFonts w:ascii="Times New Roman" w:hAnsi="Times New Roman" w:eastAsia="仿宋_GB2312"/>
          <w:color w:val="000000"/>
          <w:kern w:val="0"/>
          <w:sz w:val="30"/>
          <w:szCs w:val="32"/>
          <w:highlight w:val="none"/>
        </w:rPr>
        <w:t>结算</w:t>
      </w:r>
      <w:r>
        <w:rPr>
          <w:rFonts w:ascii="Times New Roman" w:hAnsi="Times New Roman" w:eastAsia="仿宋_GB2312"/>
          <w:color w:val="000000"/>
          <w:sz w:val="30"/>
          <w:szCs w:val="32"/>
          <w:highlight w:val="none"/>
        </w:rPr>
        <w:t>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发包人在收到承包人提交竣工结算申请书后28天</w:t>
      </w:r>
      <w:r>
        <w:rPr>
          <w:rFonts w:hint="eastAsia" w:ascii="Times New Roman" w:hAnsi="Times New Roman" w:eastAsia="仿宋_GB2312"/>
          <w:color w:val="000000"/>
          <w:kern w:val="0"/>
          <w:sz w:val="30"/>
          <w:szCs w:val="32"/>
          <w:highlight w:val="none"/>
        </w:rPr>
        <w:t>内</w:t>
      </w:r>
      <w:r>
        <w:rPr>
          <w:rFonts w:ascii="Times New Roman" w:hAnsi="Times New Roman" w:eastAsia="仿宋_GB2312"/>
          <w:color w:val="000000"/>
          <w:kern w:val="0"/>
          <w:sz w:val="30"/>
          <w:szCs w:val="32"/>
          <w:highlight w:val="none"/>
        </w:rPr>
        <w:t>未完成</w:t>
      </w:r>
      <w:r>
        <w:rPr>
          <w:rFonts w:hint="eastAsia" w:ascii="Times New Roman" w:hAnsi="Times New Roman" w:eastAsia="仿宋_GB2312"/>
          <w:color w:val="000000"/>
          <w:kern w:val="0"/>
          <w:sz w:val="30"/>
          <w:szCs w:val="32"/>
          <w:highlight w:val="none"/>
        </w:rPr>
        <w:t>审批</w:t>
      </w:r>
      <w:r>
        <w:rPr>
          <w:rFonts w:ascii="Times New Roman" w:hAnsi="Times New Roman" w:eastAsia="仿宋_GB2312"/>
          <w:color w:val="000000"/>
          <w:kern w:val="0"/>
          <w:sz w:val="30"/>
          <w:szCs w:val="32"/>
          <w:highlight w:val="none"/>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（3）承包人对发包人签认的竣工付款证书有异议的，对于有异议部分应在收到发包人签认的竣工付款证书后7天内提出异议，并由合同当事人按照专用合同条款约定</w:t>
      </w:r>
      <w:r>
        <w:rPr>
          <w:rFonts w:hint="eastAsia" w:ascii="Times New Roman" w:hAnsi="Times New Roman" w:eastAsia="仿宋_GB2312"/>
          <w:color w:val="000000"/>
          <w:kern w:val="0"/>
          <w:sz w:val="30"/>
          <w:szCs w:val="32"/>
          <w:highlight w:val="none"/>
        </w:rPr>
        <w:t>的方式和程序</w:t>
      </w:r>
      <w:r>
        <w:rPr>
          <w:rFonts w:ascii="Times New Roman" w:hAnsi="Times New Roman" w:eastAsia="仿宋_GB2312"/>
          <w:color w:val="000000"/>
          <w:kern w:val="0"/>
          <w:sz w:val="30"/>
          <w:szCs w:val="32"/>
          <w:highlight w:val="none"/>
        </w:rPr>
        <w:t>进行复核，或按照第20条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约定处理。对于无异议部分，发包人应签发临时竣工付款证书，并按本款第（2）项完成付款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承包人逾期未提出异议的，视为认可发包人的</w:t>
      </w:r>
      <w:r>
        <w:rPr>
          <w:rFonts w:hint="eastAsia" w:ascii="Times New Roman" w:hAnsi="Times New Roman" w:eastAsia="仿宋_GB2312"/>
          <w:color w:val="000000"/>
          <w:kern w:val="0"/>
          <w:sz w:val="30"/>
          <w:szCs w:val="32"/>
          <w:highlight w:val="none"/>
        </w:rPr>
        <w:t>审批</w:t>
      </w:r>
      <w:r>
        <w:rPr>
          <w:rFonts w:ascii="Times New Roman" w:hAnsi="Times New Roman" w:eastAsia="仿宋_GB2312"/>
          <w:color w:val="000000"/>
          <w:kern w:val="0"/>
          <w:sz w:val="30"/>
          <w:szCs w:val="32"/>
          <w:highlight w:val="none"/>
        </w:rPr>
        <w:t>结果。</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17" w:name="_Toc351203596"/>
      <w:bookmarkStart w:id="418" w:name="_Toc337558813"/>
      <w:r>
        <w:rPr>
          <w:rFonts w:ascii="Times New Roman" w:hAnsi="Times New Roman" w:eastAsia="黑体"/>
          <w:b w:val="0"/>
          <w:color w:val="000000"/>
          <w:sz w:val="30"/>
          <w:szCs w:val="32"/>
          <w:highlight w:val="none"/>
        </w:rPr>
        <w:t>14.3 甩项竣工协议</w:t>
      </w:r>
      <w:bookmarkEnd w:id="417"/>
    </w:p>
    <w:bookmarkEnd w:id="418"/>
    <w:p>
      <w:pPr>
        <w:autoSpaceDE w:val="0"/>
        <w:autoSpaceDN w:val="0"/>
        <w:adjustRightInd w:val="0"/>
        <w:spacing w:line="360" w:lineRule="auto"/>
        <w:ind w:firstLine="588" w:firstLineChars="196"/>
        <w:jc w:val="left"/>
        <w:rPr>
          <w:rFonts w:ascii="Times New Roman" w:hAnsi="Times New Roman" w:eastAsia="仿宋_GB2312"/>
          <w:color w:val="000000"/>
          <w:kern w:val="0"/>
          <w:sz w:val="30"/>
          <w:szCs w:val="32"/>
          <w:highlight w:val="none"/>
        </w:rPr>
      </w:pPr>
      <w:r>
        <w:rPr>
          <w:rFonts w:ascii="Times New Roman" w:hAnsi="Times New Roman" w:eastAsia="仿宋_GB2312"/>
          <w:sz w:val="30"/>
          <w:szCs w:val="32"/>
          <w:highlight w:val="none"/>
        </w:rPr>
        <w:t>发包人要求甩项竣工的，合同当事人应签订甩项竣工协议。在甩项竣工协议中应明确，合同当事人按照第14.1款</w:t>
      </w:r>
      <w:r>
        <w:rPr>
          <w:rFonts w:hint="eastAsia" w:ascii="Times New Roman" w:hAnsi="Times New Roman" w:eastAsia="仿宋_GB2312"/>
          <w:sz w:val="30"/>
          <w:szCs w:val="32"/>
          <w:highlight w:val="none"/>
        </w:rPr>
        <w:t>〔</w:t>
      </w:r>
      <w:r>
        <w:rPr>
          <w:rFonts w:ascii="Times New Roman" w:hAnsi="Times New Roman" w:eastAsia="仿宋_GB2312"/>
          <w:sz w:val="30"/>
          <w:szCs w:val="32"/>
          <w:highlight w:val="none"/>
        </w:rPr>
        <w:t>竣工</w:t>
      </w:r>
      <w:r>
        <w:rPr>
          <w:rFonts w:hint="eastAsia" w:ascii="Times New Roman" w:hAnsi="Times New Roman" w:eastAsia="仿宋_GB2312"/>
          <w:sz w:val="30"/>
          <w:szCs w:val="32"/>
          <w:highlight w:val="none"/>
        </w:rPr>
        <w:t>结算</w:t>
      </w:r>
      <w:r>
        <w:rPr>
          <w:rFonts w:ascii="Times New Roman" w:hAnsi="Times New Roman" w:eastAsia="仿宋_GB2312"/>
          <w:sz w:val="30"/>
          <w:szCs w:val="32"/>
          <w:highlight w:val="none"/>
        </w:rPr>
        <w:t>申请</w:t>
      </w:r>
      <w:r>
        <w:rPr>
          <w:rFonts w:hint="eastAsia" w:ascii="Times New Roman" w:hAnsi="Times New Roman" w:eastAsia="仿宋_GB2312"/>
          <w:sz w:val="30"/>
          <w:szCs w:val="32"/>
          <w:highlight w:val="none"/>
        </w:rPr>
        <w:t>〕</w:t>
      </w:r>
      <w:r>
        <w:rPr>
          <w:rFonts w:ascii="Times New Roman" w:hAnsi="Times New Roman" w:eastAsia="仿宋_GB2312"/>
          <w:sz w:val="30"/>
          <w:szCs w:val="32"/>
          <w:highlight w:val="none"/>
        </w:rPr>
        <w:t>及14.2款</w:t>
      </w:r>
      <w:r>
        <w:rPr>
          <w:rFonts w:hint="eastAsia" w:ascii="Times New Roman" w:hAnsi="Times New Roman" w:eastAsia="仿宋_GB2312"/>
          <w:sz w:val="30"/>
          <w:szCs w:val="32"/>
          <w:highlight w:val="none"/>
        </w:rPr>
        <w:t>〔</w:t>
      </w:r>
      <w:r>
        <w:rPr>
          <w:rFonts w:ascii="Times New Roman" w:hAnsi="Times New Roman" w:eastAsia="仿宋_GB2312"/>
          <w:sz w:val="30"/>
          <w:szCs w:val="32"/>
          <w:highlight w:val="none"/>
        </w:rPr>
        <w:t>竣工结算审核</w:t>
      </w:r>
      <w:r>
        <w:rPr>
          <w:rFonts w:hint="eastAsia" w:ascii="Times New Roman" w:hAnsi="Times New Roman" w:eastAsia="仿宋_GB2312"/>
          <w:sz w:val="30"/>
          <w:szCs w:val="32"/>
          <w:highlight w:val="none"/>
        </w:rPr>
        <w:t>〕</w:t>
      </w:r>
      <w:r>
        <w:rPr>
          <w:rFonts w:ascii="Times New Roman" w:hAnsi="Times New Roman" w:eastAsia="仿宋_GB2312"/>
          <w:sz w:val="30"/>
          <w:szCs w:val="32"/>
          <w:highlight w:val="none"/>
        </w:rPr>
        <w:t>的约定，</w:t>
      </w:r>
      <w:r>
        <w:rPr>
          <w:rFonts w:hint="eastAsia" w:ascii="Times New Roman" w:hAnsi="Times New Roman" w:eastAsia="仿宋_GB2312"/>
          <w:sz w:val="30"/>
          <w:szCs w:val="32"/>
          <w:highlight w:val="none"/>
        </w:rPr>
        <w:t>对已</w:t>
      </w:r>
      <w:r>
        <w:rPr>
          <w:rFonts w:ascii="Times New Roman" w:hAnsi="Times New Roman" w:eastAsia="仿宋_GB2312"/>
          <w:sz w:val="30"/>
          <w:szCs w:val="32"/>
          <w:highlight w:val="none"/>
        </w:rPr>
        <w:t>完合格工程</w:t>
      </w:r>
      <w:r>
        <w:rPr>
          <w:rFonts w:hint="eastAsia" w:ascii="Times New Roman" w:hAnsi="Times New Roman" w:eastAsia="仿宋_GB2312"/>
          <w:sz w:val="30"/>
          <w:szCs w:val="32"/>
          <w:highlight w:val="none"/>
        </w:rPr>
        <w:t>进行</w:t>
      </w:r>
      <w:r>
        <w:rPr>
          <w:rFonts w:ascii="Times New Roman" w:hAnsi="Times New Roman" w:eastAsia="仿宋_GB2312"/>
          <w:sz w:val="30"/>
          <w:szCs w:val="32"/>
          <w:highlight w:val="none"/>
        </w:rPr>
        <w:t>结算，并支付相应</w:t>
      </w:r>
      <w:r>
        <w:rPr>
          <w:rFonts w:hint="eastAsia" w:ascii="Times New Roman" w:hAnsi="Times New Roman" w:eastAsia="仿宋_GB2312"/>
          <w:sz w:val="30"/>
          <w:szCs w:val="32"/>
          <w:highlight w:val="none"/>
        </w:rPr>
        <w:t>合同</w:t>
      </w:r>
      <w:r>
        <w:rPr>
          <w:rFonts w:ascii="Times New Roman" w:hAnsi="Times New Roman" w:eastAsia="仿宋_GB2312"/>
          <w:sz w:val="30"/>
          <w:szCs w:val="32"/>
          <w:highlight w:val="none"/>
        </w:rPr>
        <w:t>价款。</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19" w:name="_Toc351203597"/>
      <w:bookmarkStart w:id="420" w:name="_Toc337558814"/>
      <w:r>
        <w:rPr>
          <w:rFonts w:ascii="Times New Roman" w:hAnsi="Times New Roman" w:eastAsia="黑体"/>
          <w:b w:val="0"/>
          <w:color w:val="000000"/>
          <w:sz w:val="30"/>
          <w:szCs w:val="32"/>
          <w:highlight w:val="none"/>
        </w:rPr>
        <w:t>14.4 最终结清</w:t>
      </w:r>
      <w:bookmarkEnd w:id="419"/>
    </w:p>
    <w:bookmarkEnd w:id="42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14.4.1 最终结清申请单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除专用合同条款另有约定外，</w:t>
      </w:r>
      <w:r>
        <w:rPr>
          <w:rFonts w:ascii="Times New Roman" w:hAnsi="Times New Roman" w:eastAsia="仿宋_GB2312"/>
          <w:color w:val="000000"/>
          <w:kern w:val="0"/>
          <w:sz w:val="30"/>
          <w:szCs w:val="32"/>
          <w:highlight w:val="none"/>
        </w:rPr>
        <w:t>最终结清申请单</w:t>
      </w:r>
      <w:r>
        <w:rPr>
          <w:rFonts w:ascii="Times New Roman" w:hAnsi="Times New Roman" w:eastAsia="仿宋_GB2312"/>
          <w:color w:val="000000"/>
          <w:sz w:val="30"/>
          <w:szCs w:val="32"/>
          <w:highlight w:val="none"/>
        </w:rPr>
        <w:t>应列明质量保证金、应扣除的质量保证金、缺陷责任期内发生的增减费用。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14.4.2 最终结清证书和支付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（1）除专用合同条款另有约定外，发包人应在收到承包人提交的最终结清申请单后14天内完成审批并向承包人颁发最终结清证书。发包人逾期未完成</w:t>
      </w:r>
      <w:r>
        <w:rPr>
          <w:rFonts w:hint="eastAsia" w:ascii="Times New Roman" w:hAnsi="Times New Roman" w:eastAsia="仿宋_GB2312"/>
          <w:color w:val="000000"/>
          <w:kern w:val="0"/>
          <w:sz w:val="30"/>
          <w:szCs w:val="32"/>
          <w:highlight w:val="none"/>
        </w:rPr>
        <w:t>审批</w:t>
      </w:r>
      <w:r>
        <w:rPr>
          <w:rFonts w:ascii="Times New Roman" w:hAnsi="Times New Roman" w:eastAsia="仿宋_GB2312"/>
          <w:color w:val="000000"/>
          <w:kern w:val="0"/>
          <w:sz w:val="30"/>
          <w:szCs w:val="32"/>
          <w:highlight w:val="none"/>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（3）承包人对发包人颁发的最终结清证书有异议的，按第20条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的约定办理。</w:t>
      </w:r>
    </w:p>
    <w:p>
      <w:pPr>
        <w:pStyle w:val="6"/>
        <w:spacing w:before="120" w:after="120" w:line="360" w:lineRule="auto"/>
        <w:rPr>
          <w:rFonts w:ascii="Times New Roman" w:hAnsi="Times New Roman" w:eastAsia="黑体"/>
          <w:b w:val="0"/>
          <w:color w:val="000000"/>
          <w:sz w:val="32"/>
          <w:szCs w:val="32"/>
          <w:highlight w:val="none"/>
        </w:rPr>
      </w:pPr>
      <w:bookmarkStart w:id="421" w:name="_Toc351203598"/>
      <w:bookmarkStart w:id="422" w:name="_Toc337558815"/>
      <w:r>
        <w:rPr>
          <w:rFonts w:ascii="Times New Roman" w:hAnsi="Times New Roman" w:eastAsia="黑体"/>
          <w:b w:val="0"/>
          <w:color w:val="000000"/>
          <w:sz w:val="32"/>
          <w:szCs w:val="32"/>
          <w:highlight w:val="none"/>
        </w:rPr>
        <w:t>15. 缺陷责任与保修</w:t>
      </w:r>
      <w:bookmarkEnd w:id="421"/>
    </w:p>
    <w:bookmarkEnd w:id="411"/>
    <w:bookmarkEnd w:id="412"/>
    <w:bookmarkEnd w:id="422"/>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23" w:name="_Toc351203599"/>
      <w:bookmarkStart w:id="424" w:name="_Toc337558816"/>
      <w:bookmarkStart w:id="425" w:name="_Toc296503114"/>
      <w:bookmarkStart w:id="426" w:name="_Toc296346615"/>
      <w:r>
        <w:rPr>
          <w:rFonts w:ascii="Times New Roman" w:hAnsi="Times New Roman" w:eastAsia="黑体"/>
          <w:b w:val="0"/>
          <w:color w:val="000000"/>
          <w:sz w:val="30"/>
          <w:szCs w:val="32"/>
          <w:highlight w:val="none"/>
        </w:rPr>
        <w:t>15.1 工程保修的原则</w:t>
      </w:r>
      <w:bookmarkEnd w:id="423"/>
    </w:p>
    <w:bookmarkEnd w:id="424"/>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在工程移交发包人后，因承包人原因产生的质量缺陷，承包人应承担质量缺陷责任和保修义务。缺陷责任期届满，承包人仍应按合同约定的工程各部位保修年限承担保修义务。</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27" w:name="_Toc351203600"/>
      <w:bookmarkStart w:id="428" w:name="_Toc337558817"/>
      <w:r>
        <w:rPr>
          <w:rFonts w:ascii="Times New Roman" w:hAnsi="Times New Roman" w:eastAsia="黑体"/>
          <w:b w:val="0"/>
          <w:color w:val="000000"/>
          <w:sz w:val="30"/>
          <w:szCs w:val="32"/>
          <w:highlight w:val="none"/>
        </w:rPr>
        <w:t>15.2 缺陷责任期</w:t>
      </w:r>
      <w:bookmarkEnd w:id="425"/>
      <w:bookmarkEnd w:id="426"/>
      <w:bookmarkEnd w:id="427"/>
    </w:p>
    <w:bookmarkEnd w:id="428"/>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15.2.1 缺陷责任期</w:t>
      </w:r>
      <w:r>
        <w:rPr>
          <w:rFonts w:hint="eastAsia" w:eastAsia="仿宋_GB2312"/>
          <w:color w:val="000000"/>
          <w:kern w:val="0"/>
          <w:sz w:val="30"/>
          <w:szCs w:val="32"/>
          <w:highlight w:val="none"/>
        </w:rPr>
        <w:t>从工程通过竣工验收之日</w:t>
      </w:r>
      <w:r>
        <w:rPr>
          <w:rFonts w:ascii="Times New Roman" w:hAnsi="Times New Roman" w:eastAsia="仿宋_GB2312"/>
          <w:color w:val="000000"/>
          <w:kern w:val="0"/>
          <w:sz w:val="30"/>
          <w:szCs w:val="32"/>
          <w:highlight w:val="none"/>
        </w:rPr>
        <w:t>起计算，合同当事人应在专用合同条款约定缺陷责任期的具体期限，但该期限最长不超过24个月。</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单位工程先于全部工程进行验收，经验收合格并交付使用的，该单位工程缺陷责任期自单位工程验收合格之日起算。</w:t>
      </w:r>
      <w:r>
        <w:rPr>
          <w:rFonts w:hint="eastAsia" w:eastAsia="仿宋_GB2312"/>
          <w:color w:val="000000"/>
          <w:kern w:val="0"/>
          <w:sz w:val="30"/>
          <w:szCs w:val="32"/>
          <w:highlight w:val="none"/>
        </w:rPr>
        <w:t>因承包人原因导致工程无法按合同约定期限进行竣工验收的，缺陷责任期从实际通过竣工验收之日起计算。</w:t>
      </w:r>
      <w:r>
        <w:rPr>
          <w:rFonts w:ascii="Times New Roman" w:hAnsi="Times New Roman" w:eastAsia="仿宋_GB2312"/>
          <w:color w:val="000000"/>
          <w:kern w:val="0"/>
          <w:sz w:val="30"/>
          <w:szCs w:val="32"/>
          <w:highlight w:val="none"/>
        </w:rPr>
        <w:t>因发包人原因导致工程无法按合同约定期限进行竣工验收的，</w:t>
      </w:r>
      <w:r>
        <w:rPr>
          <w:rFonts w:hint="eastAsia" w:eastAsia="仿宋_GB2312"/>
          <w:color w:val="000000"/>
          <w:kern w:val="0"/>
          <w:sz w:val="30"/>
          <w:szCs w:val="32"/>
          <w:highlight w:val="none"/>
        </w:rPr>
        <w:t>在承包人提交竣工验收报告90天后，工程自动进入缺陷责任期</w:t>
      </w:r>
      <w:r>
        <w:rPr>
          <w:rFonts w:ascii="Times New Roman" w:hAnsi="Times New Roman" w:eastAsia="仿宋_GB2312"/>
          <w:color w:val="000000"/>
          <w:kern w:val="0"/>
          <w:sz w:val="30"/>
          <w:szCs w:val="32"/>
          <w:highlight w:val="none"/>
        </w:rPr>
        <w:t>；发包人未经竣工验收擅自使用工程的，缺陷责任期自工程转移占有之日起开始计算。</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15.2.2</w:t>
      </w:r>
      <w:r>
        <w:rPr>
          <w:rFonts w:hint="eastAsia" w:eastAsia="仿宋_GB2312"/>
          <w:color w:val="000000"/>
          <w:kern w:val="0"/>
          <w:sz w:val="30"/>
          <w:szCs w:val="32"/>
          <w:highlight w:val="none"/>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Times New Roman" w:hAnsi="Times New Roman" w:eastAsia="仿宋_GB2312"/>
          <w:color w:val="000000"/>
          <w:kern w:val="0"/>
          <w:sz w:val="30"/>
          <w:szCs w:val="32"/>
          <w:highlight w:val="none"/>
        </w:rPr>
        <w:t>发包人有权要求承</w:t>
      </w:r>
      <w:r>
        <w:rPr>
          <w:rFonts w:ascii="Times New Roman" w:hAnsi="Times New Roman" w:eastAsia="仿宋_GB2312"/>
          <w:bCs/>
          <w:color w:val="000000"/>
          <w:sz w:val="30"/>
          <w:szCs w:val="32"/>
          <w:highlight w:val="none"/>
        </w:rPr>
        <w:t>包人延长缺陷责任期，</w:t>
      </w:r>
      <w:r>
        <w:rPr>
          <w:rFonts w:ascii="Times New Roman" w:hAnsi="Times New Roman" w:eastAsia="仿宋_GB2312"/>
          <w:color w:val="000000"/>
          <w:kern w:val="0"/>
          <w:sz w:val="30"/>
          <w:szCs w:val="32"/>
          <w:highlight w:val="none"/>
        </w:rPr>
        <w:t>并应在原缺陷责任期届满前发出延长通知</w:t>
      </w:r>
      <w:r>
        <w:rPr>
          <w:rFonts w:hint="eastAsia" w:ascii="Times New Roman" w:hAnsi="Times New Roman" w:eastAsia="仿宋_GB2312"/>
          <w:color w:val="000000"/>
          <w:kern w:val="0"/>
          <w:sz w:val="30"/>
          <w:szCs w:val="32"/>
          <w:highlight w:val="none"/>
          <w:lang w:eastAsia="zh-CN"/>
        </w:rPr>
        <w:t>。</w:t>
      </w:r>
      <w:r>
        <w:rPr>
          <w:rFonts w:ascii="Times New Roman" w:hAnsi="Times New Roman" w:eastAsia="仿宋_GB2312"/>
          <w:bCs/>
          <w:color w:val="000000"/>
          <w:sz w:val="30"/>
          <w:szCs w:val="32"/>
          <w:highlight w:val="none"/>
        </w:rPr>
        <w:t>但缺陷责任期</w:t>
      </w:r>
      <w:r>
        <w:rPr>
          <w:rFonts w:hint="eastAsia" w:ascii="Times New Roman" w:hAnsi="Times New Roman" w:eastAsia="仿宋_GB2312"/>
          <w:bCs/>
          <w:color w:val="000000"/>
          <w:sz w:val="30"/>
          <w:szCs w:val="32"/>
          <w:highlight w:val="none"/>
          <w:lang w:eastAsia="zh-CN"/>
        </w:rPr>
        <w:t>（含延长部分）</w:t>
      </w:r>
      <w:r>
        <w:rPr>
          <w:rFonts w:ascii="Times New Roman" w:hAnsi="Times New Roman" w:eastAsia="仿宋_GB2312"/>
          <w:bCs/>
          <w:color w:val="000000"/>
          <w:sz w:val="30"/>
          <w:szCs w:val="32"/>
          <w:highlight w:val="none"/>
        </w:rPr>
        <w:t>最长</w:t>
      </w:r>
      <w:r>
        <w:rPr>
          <w:rFonts w:ascii="Times New Roman" w:hAnsi="Times New Roman" w:eastAsia="仿宋_GB2312"/>
          <w:color w:val="000000"/>
          <w:kern w:val="0"/>
          <w:sz w:val="30"/>
          <w:szCs w:val="32"/>
          <w:highlight w:val="none"/>
        </w:rPr>
        <w:t>不能超过24个月。</w:t>
      </w:r>
    </w:p>
    <w:p>
      <w:pPr>
        <w:autoSpaceDE w:val="0"/>
        <w:autoSpaceDN w:val="0"/>
        <w:adjustRightInd w:val="0"/>
        <w:spacing w:line="360" w:lineRule="auto"/>
        <w:ind w:firstLine="600" w:firstLineChars="200"/>
        <w:jc w:val="left"/>
        <w:rPr>
          <w:rFonts w:eastAsia="仿宋_GB2312"/>
          <w:color w:val="000000"/>
          <w:kern w:val="0"/>
          <w:sz w:val="30"/>
          <w:szCs w:val="32"/>
          <w:highlight w:val="none"/>
        </w:rPr>
      </w:pPr>
      <w:r>
        <w:rPr>
          <w:rFonts w:hint="eastAsia" w:eastAsia="仿宋_GB2312"/>
          <w:color w:val="000000"/>
          <w:kern w:val="0"/>
          <w:sz w:val="30"/>
          <w:szCs w:val="32"/>
          <w:highlight w:val="none"/>
        </w:rPr>
        <w:t>由他人原因造成的缺陷，发包人负责组织维修，承包人不承担费用，且发包人不得从保证金中扣除费用。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15.2.4</w:t>
      </w:r>
      <w:r>
        <w:rPr>
          <w:rFonts w:hint="eastAsia" w:ascii="Times New Roman" w:hAnsi="Times New Roman" w:eastAsia="仿宋_GB2312"/>
          <w:color w:val="000000"/>
          <w:kern w:val="0"/>
          <w:sz w:val="30"/>
          <w:szCs w:val="32"/>
          <w:highlight w:val="none"/>
        </w:rPr>
        <w:t xml:space="preserve"> </w:t>
      </w:r>
      <w:r>
        <w:rPr>
          <w:rFonts w:ascii="Times New Roman" w:hAnsi="Times New Roman" w:eastAsia="仿宋_GB2312"/>
          <w:color w:val="000000"/>
          <w:kern w:val="0"/>
          <w:sz w:val="30"/>
          <w:szCs w:val="32"/>
          <w:highlight w:val="none"/>
        </w:rPr>
        <w:t>除专用合同条款另有约定外，承包人应于缺陷责任期届满后7天内向发包人发出缺陷责任期</w:t>
      </w:r>
      <w:r>
        <w:rPr>
          <w:rFonts w:hint="eastAsia" w:ascii="Times New Roman" w:hAnsi="Times New Roman" w:eastAsia="仿宋_GB2312"/>
          <w:color w:val="000000"/>
          <w:kern w:val="0"/>
          <w:sz w:val="30"/>
          <w:szCs w:val="32"/>
          <w:highlight w:val="none"/>
        </w:rPr>
        <w:t>届</w:t>
      </w:r>
      <w:r>
        <w:rPr>
          <w:rFonts w:ascii="Times New Roman" w:hAnsi="Times New Roman" w:eastAsia="仿宋_GB2312"/>
          <w:color w:val="000000"/>
          <w:kern w:val="0"/>
          <w:sz w:val="30"/>
          <w:szCs w:val="32"/>
          <w:highlight w:val="none"/>
        </w:rPr>
        <w:t>满通知，发包人应在</w:t>
      </w:r>
      <w:r>
        <w:rPr>
          <w:rFonts w:hint="eastAsia" w:ascii="Times New Roman" w:hAnsi="Times New Roman" w:eastAsia="仿宋_GB2312"/>
          <w:color w:val="000000"/>
          <w:kern w:val="0"/>
          <w:sz w:val="30"/>
          <w:szCs w:val="32"/>
          <w:highlight w:val="none"/>
        </w:rPr>
        <w:t>收</w:t>
      </w:r>
      <w:r>
        <w:rPr>
          <w:rFonts w:ascii="Times New Roman" w:hAnsi="Times New Roman" w:eastAsia="仿宋_GB2312"/>
          <w:color w:val="000000"/>
          <w:kern w:val="0"/>
          <w:sz w:val="30"/>
          <w:szCs w:val="32"/>
          <w:highlight w:val="none"/>
        </w:rPr>
        <w:t>到缺陷责任期满通知后14天内核实承包人是否履行缺陷</w:t>
      </w:r>
      <w:r>
        <w:rPr>
          <w:rFonts w:hint="eastAsia" w:ascii="Times New Roman" w:hAnsi="Times New Roman" w:eastAsia="仿宋_GB2312"/>
          <w:color w:val="000000"/>
          <w:kern w:val="0"/>
          <w:sz w:val="30"/>
          <w:szCs w:val="32"/>
          <w:highlight w:val="none"/>
        </w:rPr>
        <w:t>修复</w:t>
      </w:r>
      <w:r>
        <w:rPr>
          <w:rFonts w:ascii="Times New Roman" w:hAnsi="Times New Roman" w:eastAsia="仿宋_GB2312"/>
          <w:color w:val="000000"/>
          <w:kern w:val="0"/>
          <w:sz w:val="30"/>
          <w:szCs w:val="32"/>
          <w:highlight w:val="none"/>
        </w:rPr>
        <w:t>义务，承包人未能履行缺陷</w:t>
      </w:r>
      <w:r>
        <w:rPr>
          <w:rFonts w:hint="eastAsia" w:ascii="Times New Roman" w:hAnsi="Times New Roman" w:eastAsia="仿宋_GB2312"/>
          <w:color w:val="000000"/>
          <w:kern w:val="0"/>
          <w:sz w:val="30"/>
          <w:szCs w:val="32"/>
          <w:highlight w:val="none"/>
        </w:rPr>
        <w:t>修复</w:t>
      </w:r>
      <w:r>
        <w:rPr>
          <w:rFonts w:ascii="Times New Roman" w:hAnsi="Times New Roman" w:eastAsia="仿宋_GB2312"/>
          <w:color w:val="000000"/>
          <w:kern w:val="0"/>
          <w:sz w:val="30"/>
          <w:szCs w:val="32"/>
          <w:highlight w:val="none"/>
        </w:rPr>
        <w:t>义务的，发包人有权扣除相应金额的维修费用。发包人应在</w:t>
      </w:r>
      <w:r>
        <w:rPr>
          <w:rFonts w:hint="eastAsia" w:ascii="Times New Roman" w:hAnsi="Times New Roman" w:eastAsia="仿宋_GB2312"/>
          <w:color w:val="000000"/>
          <w:kern w:val="0"/>
          <w:sz w:val="30"/>
          <w:szCs w:val="32"/>
          <w:highlight w:val="none"/>
        </w:rPr>
        <w:t>收到</w:t>
      </w:r>
      <w:r>
        <w:rPr>
          <w:rFonts w:ascii="Times New Roman" w:hAnsi="Times New Roman" w:eastAsia="仿宋_GB2312"/>
          <w:color w:val="000000"/>
          <w:kern w:val="0"/>
          <w:sz w:val="30"/>
          <w:szCs w:val="32"/>
          <w:highlight w:val="none"/>
        </w:rPr>
        <w:t>缺陷责任期</w:t>
      </w:r>
      <w:r>
        <w:rPr>
          <w:rFonts w:hint="eastAsia" w:ascii="Times New Roman" w:hAnsi="Times New Roman" w:eastAsia="仿宋_GB2312"/>
          <w:color w:val="000000"/>
          <w:kern w:val="0"/>
          <w:sz w:val="30"/>
          <w:szCs w:val="32"/>
          <w:highlight w:val="none"/>
        </w:rPr>
        <w:t>届</w:t>
      </w:r>
      <w:r>
        <w:rPr>
          <w:rFonts w:ascii="Times New Roman" w:hAnsi="Times New Roman" w:eastAsia="仿宋_GB2312"/>
          <w:color w:val="000000"/>
          <w:kern w:val="0"/>
          <w:sz w:val="30"/>
          <w:szCs w:val="32"/>
          <w:highlight w:val="none"/>
        </w:rPr>
        <w:t>满</w:t>
      </w:r>
      <w:r>
        <w:rPr>
          <w:rFonts w:hint="eastAsia" w:ascii="Times New Roman" w:hAnsi="Times New Roman" w:eastAsia="仿宋_GB2312"/>
          <w:color w:val="000000"/>
          <w:kern w:val="0"/>
          <w:sz w:val="30"/>
          <w:szCs w:val="32"/>
          <w:highlight w:val="none"/>
        </w:rPr>
        <w:t>通知后</w:t>
      </w:r>
      <w:r>
        <w:rPr>
          <w:rFonts w:ascii="Times New Roman" w:hAnsi="Times New Roman" w:eastAsia="仿宋_GB2312"/>
          <w:color w:val="000000"/>
          <w:kern w:val="0"/>
          <w:sz w:val="30"/>
          <w:szCs w:val="32"/>
          <w:highlight w:val="none"/>
        </w:rPr>
        <w:t>14天内，向承包人颁发缺陷责任期终止证</w:t>
      </w:r>
      <w:r>
        <w:rPr>
          <w:rFonts w:hint="eastAsia" w:ascii="Times New Roman" w:hAnsi="Times New Roman" w:eastAsia="仿宋_GB2312"/>
          <w:color w:val="000000"/>
          <w:kern w:val="0"/>
          <w:sz w:val="30"/>
          <w:szCs w:val="32"/>
          <w:highlight w:val="none"/>
        </w:rPr>
        <w:t>书</w:t>
      </w:r>
      <w:r>
        <w:rPr>
          <w:rFonts w:ascii="Times New Roman" w:hAnsi="Times New Roman" w:eastAsia="仿宋_GB2312"/>
          <w:color w:val="000000"/>
          <w:kern w:val="0"/>
          <w:sz w:val="30"/>
          <w:szCs w:val="32"/>
          <w:highlight w:val="none"/>
        </w:rPr>
        <w:t>。</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29" w:name="_Toc351203601"/>
      <w:bookmarkStart w:id="430" w:name="_Toc337558818"/>
      <w:bookmarkStart w:id="431" w:name="_Toc296503115"/>
      <w:bookmarkStart w:id="432" w:name="_Toc296346616"/>
      <w:r>
        <w:rPr>
          <w:rFonts w:ascii="Times New Roman" w:hAnsi="Times New Roman" w:eastAsia="黑体"/>
          <w:b w:val="0"/>
          <w:color w:val="000000"/>
          <w:sz w:val="30"/>
          <w:szCs w:val="32"/>
          <w:highlight w:val="none"/>
        </w:rPr>
        <w:t>15.3 质量保证金</w:t>
      </w:r>
      <w:bookmarkEnd w:id="429"/>
    </w:p>
    <w:bookmarkEnd w:id="43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经合同当事人协商一致扣留质量保证金的，应在专用合同条款中予以明确。</w:t>
      </w:r>
    </w:p>
    <w:p>
      <w:pPr>
        <w:spacing w:line="360" w:lineRule="auto"/>
        <w:ind w:firstLine="600" w:firstLineChars="200"/>
        <w:jc w:val="left"/>
        <w:rPr>
          <w:rFonts w:eastAsia="仿宋_GB2312"/>
          <w:color w:val="000000"/>
          <w:sz w:val="30"/>
          <w:szCs w:val="32"/>
          <w:highlight w:val="none"/>
        </w:rPr>
      </w:pPr>
      <w:r>
        <w:rPr>
          <w:rFonts w:hint="eastAsia" w:eastAsia="仿宋_GB2312"/>
          <w:color w:val="000000"/>
          <w:sz w:val="30"/>
          <w:szCs w:val="32"/>
          <w:highlight w:val="none"/>
        </w:rPr>
        <w:t>在工程项目竣工前，承包人已经提供履约担保的，发包人不得同时预留工程质量保证金。</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15.3.1 </w:t>
      </w:r>
      <w:r>
        <w:rPr>
          <w:rFonts w:hint="eastAsia" w:ascii="Times New Roman" w:hAnsi="Times New Roman" w:eastAsia="仿宋_GB2312"/>
          <w:color w:val="000000"/>
          <w:kern w:val="0"/>
          <w:sz w:val="30"/>
          <w:szCs w:val="32"/>
          <w:highlight w:val="none"/>
        </w:rPr>
        <w:t>承包人提供</w:t>
      </w:r>
      <w:r>
        <w:rPr>
          <w:rFonts w:ascii="Times New Roman" w:hAnsi="Times New Roman" w:eastAsia="仿宋_GB2312"/>
          <w:color w:val="000000"/>
          <w:kern w:val="0"/>
          <w:sz w:val="30"/>
          <w:szCs w:val="32"/>
          <w:highlight w:val="none"/>
        </w:rPr>
        <w:t>质量保证金的</w:t>
      </w:r>
      <w:r>
        <w:rPr>
          <w:rFonts w:hint="eastAsia" w:ascii="Times New Roman" w:hAnsi="Times New Roman" w:eastAsia="仿宋_GB2312"/>
          <w:color w:val="000000"/>
          <w:kern w:val="0"/>
          <w:sz w:val="30"/>
          <w:szCs w:val="32"/>
          <w:highlight w:val="none"/>
        </w:rPr>
        <w:t>方</w:t>
      </w:r>
      <w:r>
        <w:rPr>
          <w:rFonts w:ascii="Times New Roman" w:hAnsi="Times New Roman" w:eastAsia="仿宋_GB2312"/>
          <w:color w:val="000000"/>
          <w:kern w:val="0"/>
          <w:sz w:val="30"/>
          <w:szCs w:val="32"/>
          <w:highlight w:val="none"/>
        </w:rPr>
        <w:t>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承包人提供</w:t>
      </w:r>
      <w:r>
        <w:rPr>
          <w:rFonts w:ascii="Times New Roman" w:hAnsi="Times New Roman" w:eastAsia="仿宋_GB2312"/>
          <w:color w:val="000000"/>
          <w:kern w:val="0"/>
          <w:sz w:val="30"/>
          <w:szCs w:val="32"/>
          <w:highlight w:val="none"/>
        </w:rPr>
        <w:t>质量保证金</w:t>
      </w:r>
      <w:r>
        <w:rPr>
          <w:rFonts w:hint="eastAsia" w:ascii="Times New Roman" w:hAnsi="Times New Roman" w:eastAsia="仿宋_GB2312"/>
          <w:color w:val="000000"/>
          <w:kern w:val="0"/>
          <w:sz w:val="30"/>
          <w:szCs w:val="32"/>
          <w:highlight w:val="none"/>
        </w:rPr>
        <w:t>有</w:t>
      </w:r>
      <w:r>
        <w:rPr>
          <w:rFonts w:ascii="Times New Roman" w:hAnsi="Times New Roman" w:eastAsia="仿宋_GB2312"/>
          <w:color w:val="000000"/>
          <w:kern w:val="0"/>
          <w:sz w:val="30"/>
          <w:szCs w:val="32"/>
          <w:highlight w:val="none"/>
        </w:rPr>
        <w:t>以下</w:t>
      </w:r>
      <w:r>
        <w:rPr>
          <w:rFonts w:hint="eastAsia" w:ascii="Times New Roman" w:hAnsi="Times New Roman" w:eastAsia="仿宋_GB2312"/>
          <w:color w:val="000000"/>
          <w:kern w:val="0"/>
          <w:sz w:val="30"/>
          <w:szCs w:val="32"/>
          <w:highlight w:val="none"/>
        </w:rPr>
        <w:t>三种方</w:t>
      </w:r>
      <w:r>
        <w:rPr>
          <w:rFonts w:ascii="Times New Roman" w:hAnsi="Times New Roman" w:eastAsia="仿宋_GB2312"/>
          <w:color w:val="000000"/>
          <w:kern w:val="0"/>
          <w:sz w:val="30"/>
          <w:szCs w:val="32"/>
          <w:highlight w:val="none"/>
        </w:rPr>
        <w:t>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（1）质量保证金保函；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2）相应比例的工程款；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（3）双方约定的其他</w:t>
      </w:r>
      <w:r>
        <w:rPr>
          <w:rFonts w:hint="eastAsia" w:ascii="Times New Roman" w:hAnsi="Times New Roman" w:eastAsia="仿宋_GB2312"/>
          <w:color w:val="000000"/>
          <w:kern w:val="0"/>
          <w:sz w:val="30"/>
          <w:szCs w:val="32"/>
          <w:highlight w:val="none"/>
        </w:rPr>
        <w:t>方</w:t>
      </w:r>
      <w:r>
        <w:rPr>
          <w:rFonts w:ascii="Times New Roman" w:hAnsi="Times New Roman" w:eastAsia="仿宋_GB2312"/>
          <w:color w:val="000000"/>
          <w:kern w:val="0"/>
          <w:sz w:val="30"/>
          <w:szCs w:val="32"/>
          <w:highlight w:val="none"/>
        </w:rPr>
        <w:t>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除专用合同条款另有约定外，质量保证金</w:t>
      </w:r>
      <w:r>
        <w:rPr>
          <w:rFonts w:hint="eastAsia" w:ascii="Times New Roman" w:hAnsi="Times New Roman" w:eastAsia="仿宋_GB2312"/>
          <w:color w:val="000000"/>
          <w:kern w:val="0"/>
          <w:sz w:val="30"/>
          <w:szCs w:val="32"/>
          <w:highlight w:val="none"/>
        </w:rPr>
        <w:t>原则上</w:t>
      </w:r>
      <w:r>
        <w:rPr>
          <w:rFonts w:ascii="Times New Roman" w:hAnsi="Times New Roman" w:eastAsia="仿宋_GB2312"/>
          <w:color w:val="000000"/>
          <w:kern w:val="0"/>
          <w:sz w:val="30"/>
          <w:szCs w:val="32"/>
          <w:highlight w:val="none"/>
        </w:rPr>
        <w:t>采</w:t>
      </w:r>
      <w:r>
        <w:rPr>
          <w:rFonts w:hint="eastAsia" w:ascii="Times New Roman" w:hAnsi="Times New Roman" w:eastAsia="仿宋_GB2312"/>
          <w:color w:val="000000"/>
          <w:kern w:val="0"/>
          <w:sz w:val="30"/>
          <w:szCs w:val="32"/>
          <w:highlight w:val="none"/>
        </w:rPr>
        <w:t>用上述</w:t>
      </w:r>
      <w:r>
        <w:rPr>
          <w:rFonts w:ascii="Times New Roman" w:hAnsi="Times New Roman" w:eastAsia="仿宋_GB2312"/>
          <w:color w:val="000000"/>
          <w:kern w:val="0"/>
          <w:sz w:val="30"/>
          <w:szCs w:val="32"/>
          <w:highlight w:val="none"/>
        </w:rPr>
        <w:t>第（1）种</w:t>
      </w:r>
      <w:r>
        <w:rPr>
          <w:rFonts w:hint="eastAsia" w:ascii="Times New Roman" w:hAnsi="Times New Roman" w:eastAsia="仿宋_GB2312"/>
          <w:color w:val="000000"/>
          <w:kern w:val="0"/>
          <w:sz w:val="30"/>
          <w:szCs w:val="32"/>
          <w:highlight w:val="none"/>
        </w:rPr>
        <w:t>方式。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15.3.2 质量保证金的扣留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质量保证金</w:t>
      </w:r>
      <w:r>
        <w:rPr>
          <w:rFonts w:hint="eastAsia" w:ascii="Times New Roman" w:hAnsi="Times New Roman" w:eastAsia="仿宋_GB2312"/>
          <w:color w:val="000000"/>
          <w:kern w:val="0"/>
          <w:sz w:val="30"/>
          <w:szCs w:val="32"/>
          <w:highlight w:val="none"/>
        </w:rPr>
        <w:t>的</w:t>
      </w:r>
      <w:r>
        <w:rPr>
          <w:rFonts w:ascii="Times New Roman" w:hAnsi="Times New Roman" w:eastAsia="仿宋_GB2312"/>
          <w:color w:val="000000"/>
          <w:kern w:val="0"/>
          <w:sz w:val="30"/>
          <w:szCs w:val="32"/>
          <w:highlight w:val="none"/>
        </w:rPr>
        <w:t>扣留</w:t>
      </w:r>
      <w:r>
        <w:rPr>
          <w:rFonts w:hint="eastAsia" w:ascii="Times New Roman" w:hAnsi="Times New Roman" w:eastAsia="仿宋_GB2312"/>
          <w:color w:val="000000"/>
          <w:kern w:val="0"/>
          <w:sz w:val="30"/>
          <w:szCs w:val="32"/>
          <w:highlight w:val="none"/>
        </w:rPr>
        <w:t>有</w:t>
      </w:r>
      <w:r>
        <w:rPr>
          <w:rFonts w:ascii="Times New Roman" w:hAnsi="Times New Roman" w:eastAsia="仿宋_GB2312"/>
          <w:color w:val="000000"/>
          <w:kern w:val="0"/>
          <w:sz w:val="30"/>
          <w:szCs w:val="32"/>
          <w:highlight w:val="none"/>
        </w:rPr>
        <w:t>以下</w:t>
      </w:r>
      <w:r>
        <w:rPr>
          <w:rFonts w:hint="eastAsia" w:ascii="Times New Roman" w:hAnsi="Times New Roman" w:eastAsia="仿宋_GB2312"/>
          <w:color w:val="000000"/>
          <w:kern w:val="0"/>
          <w:sz w:val="30"/>
          <w:szCs w:val="32"/>
          <w:highlight w:val="none"/>
        </w:rPr>
        <w:t>三</w:t>
      </w:r>
      <w:r>
        <w:rPr>
          <w:rFonts w:ascii="Times New Roman" w:hAnsi="Times New Roman" w:eastAsia="仿宋_GB2312"/>
          <w:color w:val="000000"/>
          <w:kern w:val="0"/>
          <w:sz w:val="30"/>
          <w:szCs w:val="32"/>
          <w:highlight w:val="none"/>
        </w:rPr>
        <w:t>种</w:t>
      </w:r>
      <w:r>
        <w:rPr>
          <w:rFonts w:hint="eastAsia" w:ascii="Times New Roman" w:hAnsi="Times New Roman" w:eastAsia="仿宋_GB2312"/>
          <w:color w:val="000000"/>
          <w:kern w:val="0"/>
          <w:sz w:val="30"/>
          <w:szCs w:val="32"/>
          <w:highlight w:val="none"/>
        </w:rPr>
        <w:t>方式</w:t>
      </w:r>
      <w:r>
        <w:rPr>
          <w:rFonts w:ascii="Times New Roman" w:hAnsi="Times New Roman" w:eastAsia="仿宋_GB2312"/>
          <w:color w:val="000000"/>
          <w:kern w:val="0"/>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（2）工</w:t>
      </w:r>
      <w:bookmarkStart w:id="433" w:name="#go6"/>
      <w:bookmarkEnd w:id="433"/>
      <w:r>
        <w:rPr>
          <w:rFonts w:ascii="Times New Roman" w:hAnsi="Times New Roman" w:eastAsia="仿宋_GB2312"/>
          <w:color w:val="000000"/>
          <w:kern w:val="0"/>
          <w:sz w:val="30"/>
          <w:szCs w:val="32"/>
          <w:highlight w:val="none"/>
        </w:rPr>
        <w:t>程竣工结算时一次性扣留质量保证金；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（3）双方约定的其他扣留方式。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除专用合同条款另有约定外，质量保证金</w:t>
      </w:r>
      <w:r>
        <w:rPr>
          <w:rFonts w:hint="eastAsia" w:ascii="Times New Roman" w:hAnsi="Times New Roman" w:eastAsia="仿宋_GB2312"/>
          <w:color w:val="000000"/>
          <w:kern w:val="0"/>
          <w:sz w:val="30"/>
          <w:szCs w:val="32"/>
          <w:highlight w:val="none"/>
        </w:rPr>
        <w:t>的</w:t>
      </w:r>
      <w:r>
        <w:rPr>
          <w:rFonts w:ascii="Times New Roman" w:hAnsi="Times New Roman" w:eastAsia="仿宋_GB2312"/>
          <w:color w:val="000000"/>
          <w:kern w:val="0"/>
          <w:sz w:val="30"/>
          <w:szCs w:val="32"/>
          <w:highlight w:val="none"/>
        </w:rPr>
        <w:t>扣留</w:t>
      </w:r>
      <w:r>
        <w:rPr>
          <w:rFonts w:hint="eastAsia" w:ascii="Times New Roman" w:hAnsi="Times New Roman" w:eastAsia="仿宋_GB2312"/>
          <w:color w:val="000000"/>
          <w:kern w:val="0"/>
          <w:sz w:val="30"/>
          <w:szCs w:val="32"/>
          <w:highlight w:val="none"/>
        </w:rPr>
        <w:t>原则上</w:t>
      </w:r>
      <w:r>
        <w:rPr>
          <w:rFonts w:ascii="Times New Roman" w:hAnsi="Times New Roman" w:eastAsia="仿宋_GB2312"/>
          <w:color w:val="000000"/>
          <w:kern w:val="0"/>
          <w:sz w:val="30"/>
          <w:szCs w:val="32"/>
          <w:highlight w:val="none"/>
        </w:rPr>
        <w:t>采</w:t>
      </w:r>
      <w:r>
        <w:rPr>
          <w:rFonts w:hint="eastAsia" w:ascii="Times New Roman" w:hAnsi="Times New Roman" w:eastAsia="仿宋_GB2312"/>
          <w:color w:val="000000"/>
          <w:kern w:val="0"/>
          <w:sz w:val="30"/>
          <w:szCs w:val="32"/>
          <w:highlight w:val="none"/>
        </w:rPr>
        <w:t>用上述</w:t>
      </w:r>
      <w:r>
        <w:rPr>
          <w:rFonts w:ascii="Times New Roman" w:hAnsi="Times New Roman" w:eastAsia="仿宋_GB2312"/>
          <w:color w:val="000000"/>
          <w:kern w:val="0"/>
          <w:sz w:val="30"/>
          <w:szCs w:val="32"/>
          <w:highlight w:val="none"/>
        </w:rPr>
        <w:t>第（1）种方式</w:t>
      </w:r>
      <w:r>
        <w:rPr>
          <w:rFonts w:hint="eastAsia" w:ascii="Times New Roman" w:hAnsi="Times New Roman" w:eastAsia="仿宋_GB2312"/>
          <w:color w:val="000000"/>
          <w:kern w:val="0"/>
          <w:sz w:val="30"/>
          <w:szCs w:val="32"/>
          <w:highlight w:val="none"/>
        </w:rPr>
        <w:t>。</w:t>
      </w:r>
    </w:p>
    <w:p>
      <w:pPr>
        <w:autoSpaceDE w:val="0"/>
        <w:autoSpaceDN w:val="0"/>
        <w:adjustRightInd w:val="0"/>
        <w:spacing w:line="360" w:lineRule="auto"/>
        <w:ind w:firstLine="600" w:firstLineChars="200"/>
        <w:jc w:val="left"/>
        <w:rPr>
          <w:rFonts w:eastAsia="仿宋_GB2312"/>
          <w:color w:val="000000"/>
          <w:kern w:val="0"/>
          <w:sz w:val="30"/>
          <w:szCs w:val="32"/>
          <w:highlight w:val="none"/>
        </w:rPr>
      </w:pPr>
      <w:r>
        <w:rPr>
          <w:rFonts w:ascii="Times New Roman" w:hAnsi="Times New Roman" w:eastAsia="仿宋_GB2312"/>
          <w:color w:val="000000"/>
          <w:kern w:val="0"/>
          <w:sz w:val="30"/>
          <w:szCs w:val="32"/>
          <w:highlight w:val="none"/>
        </w:rPr>
        <w:t>发</w:t>
      </w:r>
      <w:bookmarkStart w:id="434" w:name="#go4"/>
      <w:bookmarkEnd w:id="434"/>
      <w:r>
        <w:rPr>
          <w:rFonts w:ascii="Times New Roman" w:hAnsi="Times New Roman" w:eastAsia="仿宋_GB2312"/>
          <w:color w:val="000000"/>
          <w:kern w:val="0"/>
          <w:sz w:val="30"/>
          <w:szCs w:val="32"/>
          <w:highlight w:val="none"/>
        </w:rPr>
        <w:t>包人累计扣留的质量保证金不得超过</w:t>
      </w:r>
      <w:r>
        <w:rPr>
          <w:rFonts w:hint="eastAsia" w:ascii="Times New Roman" w:hAnsi="Times New Roman" w:eastAsia="仿宋_GB2312"/>
          <w:color w:val="000000"/>
          <w:kern w:val="0"/>
          <w:sz w:val="30"/>
          <w:szCs w:val="32"/>
          <w:highlight w:val="none"/>
        </w:rPr>
        <w:t>工程价款结算总额</w:t>
      </w:r>
      <w:r>
        <w:rPr>
          <w:rFonts w:ascii="Times New Roman" w:hAnsi="Times New Roman" w:eastAsia="仿宋_GB2312"/>
          <w:color w:val="000000"/>
          <w:kern w:val="0"/>
          <w:sz w:val="30"/>
          <w:szCs w:val="32"/>
          <w:highlight w:val="none"/>
        </w:rPr>
        <w:t>的3%</w:t>
      </w:r>
      <w:r>
        <w:rPr>
          <w:rFonts w:hint="eastAsia" w:ascii="Times New Roman" w:hAnsi="Times New Roman" w:eastAsia="仿宋_GB2312"/>
          <w:color w:val="000000"/>
          <w:kern w:val="0"/>
          <w:sz w:val="30"/>
          <w:szCs w:val="32"/>
          <w:highlight w:val="none"/>
        </w:rPr>
        <w:t>。如</w:t>
      </w:r>
      <w:r>
        <w:rPr>
          <w:rFonts w:ascii="Times New Roman" w:hAnsi="Times New Roman" w:eastAsia="仿宋_GB2312"/>
          <w:color w:val="000000"/>
          <w:kern w:val="0"/>
          <w:sz w:val="30"/>
          <w:szCs w:val="32"/>
          <w:highlight w:val="none"/>
        </w:rPr>
        <w:t>承包人在发包人签发竣工付款证书后28天内提交质量保证金保函，发包人应同时退还扣留的作为质量保证金的工程价款</w:t>
      </w:r>
      <w:r>
        <w:rPr>
          <w:rFonts w:hint="eastAsia" w:eastAsia="仿宋_GB2312"/>
          <w:color w:val="000000"/>
          <w:kern w:val="0"/>
          <w:sz w:val="30"/>
          <w:szCs w:val="32"/>
          <w:highlight w:val="none"/>
        </w:rPr>
        <w:t>；保函金额不得超过工程价款结算总额的3%</w:t>
      </w:r>
      <w:r>
        <w:rPr>
          <w:rFonts w:eastAsia="仿宋_GB2312"/>
          <w:color w:val="000000"/>
          <w:kern w:val="0"/>
          <w:sz w:val="30"/>
          <w:szCs w:val="32"/>
          <w:highlight w:val="none"/>
        </w:rPr>
        <w:t>。</w:t>
      </w:r>
    </w:p>
    <w:p>
      <w:pPr>
        <w:autoSpaceDE w:val="0"/>
        <w:autoSpaceDN w:val="0"/>
        <w:adjustRightInd w:val="0"/>
        <w:spacing w:line="360" w:lineRule="auto"/>
        <w:ind w:firstLine="600" w:firstLineChars="200"/>
        <w:jc w:val="left"/>
        <w:rPr>
          <w:rFonts w:eastAsia="仿宋_GB2312"/>
          <w:color w:val="000000"/>
          <w:kern w:val="0"/>
          <w:sz w:val="30"/>
          <w:szCs w:val="32"/>
          <w:highlight w:val="none"/>
        </w:rPr>
      </w:pPr>
      <w:r>
        <w:rPr>
          <w:rFonts w:hint="eastAsia" w:eastAsia="仿宋_GB2312"/>
          <w:color w:val="000000"/>
          <w:kern w:val="0"/>
          <w:sz w:val="30"/>
          <w:szCs w:val="32"/>
          <w:highlight w:val="none"/>
        </w:rPr>
        <w:t>发包人在退还质量保证金的同时</w:t>
      </w:r>
      <w:r>
        <w:rPr>
          <w:rFonts w:eastAsia="仿宋_GB2312"/>
          <w:color w:val="000000"/>
          <w:kern w:val="0"/>
          <w:sz w:val="30"/>
          <w:szCs w:val="32"/>
          <w:highlight w:val="none"/>
        </w:rPr>
        <w:t>按照中国人民银行发布的同期同类贷款基准利率支付</w:t>
      </w:r>
      <w:r>
        <w:rPr>
          <w:rFonts w:hint="eastAsia" w:eastAsia="仿宋_GB2312"/>
          <w:color w:val="000000"/>
          <w:kern w:val="0"/>
          <w:sz w:val="30"/>
          <w:szCs w:val="32"/>
          <w:highlight w:val="none"/>
        </w:rPr>
        <w:t>利息。</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15.3.3 </w:t>
      </w:r>
      <w:r>
        <w:rPr>
          <w:rFonts w:ascii="Times New Roman" w:hAnsi="Times New Roman" w:eastAsia="仿宋_GB2312"/>
          <w:color w:val="000000"/>
          <w:sz w:val="30"/>
          <w:szCs w:val="32"/>
          <w:highlight w:val="none"/>
        </w:rPr>
        <w:t>质量保证金</w:t>
      </w:r>
      <w:r>
        <w:rPr>
          <w:rFonts w:ascii="Times New Roman" w:hAnsi="Times New Roman" w:eastAsia="仿宋_GB2312"/>
          <w:color w:val="000000"/>
          <w:kern w:val="0"/>
          <w:sz w:val="30"/>
          <w:szCs w:val="32"/>
          <w:highlight w:val="none"/>
        </w:rPr>
        <w:t>的退还</w:t>
      </w:r>
    </w:p>
    <w:p>
      <w:pPr>
        <w:autoSpaceDE w:val="0"/>
        <w:autoSpaceDN w:val="0"/>
        <w:adjustRightInd w:val="0"/>
        <w:spacing w:line="360" w:lineRule="auto"/>
        <w:ind w:firstLine="600" w:firstLineChars="200"/>
        <w:jc w:val="left"/>
        <w:rPr>
          <w:rFonts w:eastAsia="仿宋_GB2312"/>
          <w:color w:val="000000"/>
          <w:kern w:val="0"/>
          <w:sz w:val="30"/>
          <w:szCs w:val="32"/>
          <w:highlight w:val="none"/>
        </w:rPr>
      </w:pPr>
      <w:r>
        <w:rPr>
          <w:rFonts w:hint="eastAsia" w:eastAsia="仿宋_GB2312"/>
          <w:color w:val="000000"/>
          <w:kern w:val="0"/>
          <w:sz w:val="30"/>
          <w:szCs w:val="32"/>
          <w:highlight w:val="none"/>
        </w:rPr>
        <w:t>缺陷责任期内，承包人认真履行合同约定的责任，到期后，承包人可向发包人申请返还保证金。</w:t>
      </w:r>
    </w:p>
    <w:p>
      <w:pPr>
        <w:autoSpaceDE w:val="0"/>
        <w:autoSpaceDN w:val="0"/>
        <w:adjustRightInd w:val="0"/>
        <w:spacing w:line="360" w:lineRule="auto"/>
        <w:ind w:firstLine="600" w:firstLineChars="200"/>
        <w:jc w:val="left"/>
        <w:rPr>
          <w:rFonts w:eastAsia="仿宋_GB2312"/>
          <w:color w:val="000000"/>
          <w:kern w:val="0"/>
          <w:sz w:val="30"/>
          <w:szCs w:val="32"/>
          <w:highlight w:val="none"/>
        </w:rPr>
      </w:pPr>
      <w:r>
        <w:rPr>
          <w:rFonts w:hint="eastAsia" w:eastAsia="仿宋_GB2312"/>
          <w:color w:val="000000"/>
          <w:kern w:val="0"/>
          <w:sz w:val="30"/>
          <w:szCs w:val="32"/>
          <w:highlight w:val="none"/>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eastAsia="仿宋_GB2312"/>
          <w:color w:val="000000"/>
          <w:kern w:val="0"/>
          <w:sz w:val="30"/>
          <w:szCs w:val="32"/>
          <w:highlight w:val="none"/>
        </w:rPr>
        <w:t>发包人和承包人对保证金预留、返还以及工程维修质量、费用有争议的，按本合同第20条约定的争议和纠纷解决程序处理</w:t>
      </w:r>
      <w:r>
        <w:rPr>
          <w:rFonts w:ascii="Times New Roman" w:hAnsi="Times New Roman" w:eastAsia="仿宋_GB2312"/>
          <w:color w:val="000000"/>
          <w:kern w:val="0"/>
          <w:sz w:val="30"/>
          <w:szCs w:val="32"/>
          <w:highlight w:val="none"/>
        </w:rPr>
        <w:t>。</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35" w:name="_Toc351203602"/>
      <w:bookmarkStart w:id="436" w:name="_Toc337558819"/>
      <w:r>
        <w:rPr>
          <w:rFonts w:ascii="Times New Roman" w:hAnsi="Times New Roman" w:eastAsia="黑体"/>
          <w:b w:val="0"/>
          <w:color w:val="000000"/>
          <w:sz w:val="30"/>
          <w:szCs w:val="32"/>
          <w:highlight w:val="none"/>
        </w:rPr>
        <w:t>15.4 保修</w:t>
      </w:r>
      <w:bookmarkEnd w:id="435"/>
    </w:p>
    <w:bookmarkEnd w:id="431"/>
    <w:bookmarkEnd w:id="432"/>
    <w:bookmarkEnd w:id="436"/>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15.4.1保修责任</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发包人未经竣工验收擅自使用工程的，保修期自</w:t>
      </w:r>
      <w:r>
        <w:rPr>
          <w:rFonts w:ascii="Times New Roman" w:hAnsi="Times New Roman" w:eastAsia="仿宋_GB2312"/>
          <w:color w:val="000000"/>
          <w:kern w:val="0"/>
          <w:sz w:val="30"/>
          <w:szCs w:val="32"/>
          <w:highlight w:val="none"/>
        </w:rPr>
        <w:t>转移占有之日起算</w:t>
      </w:r>
      <w:r>
        <w:rPr>
          <w:rFonts w:ascii="Times New Roman" w:hAnsi="Times New Roman" w:eastAsia="仿宋_GB2312"/>
          <w:color w:val="000000"/>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15.4.2 修复费用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保修期内，修复的费用按照以下约定处理：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（3）因其他原因造成工程的缺陷、损坏，可以委托承包人修复，发包人应承担修复的费用，并支付承包人合理的利润，因工程的缺陷、损坏造成的人身伤害和财产损失由责任方承担。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15.4.3 修复通知</w:t>
      </w:r>
    </w:p>
    <w:p>
      <w:pPr>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15.4.4 未能修复</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Times New Roman" w:hAnsi="Times New Roman" w:eastAsia="仿宋_GB2312"/>
          <w:color w:val="000000"/>
          <w:kern w:val="0"/>
          <w:sz w:val="30"/>
          <w:szCs w:val="32"/>
          <w:highlight w:val="none"/>
        </w:rPr>
        <w:t>但修复范围超出缺陷或损坏范围的，超出范围部分的修复费用由发包人承担。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15.4.5 承包人出入权</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6"/>
        <w:spacing w:before="120" w:after="120" w:line="360" w:lineRule="auto"/>
        <w:rPr>
          <w:rFonts w:ascii="Times New Roman" w:hAnsi="Times New Roman" w:eastAsia="黑体"/>
          <w:b w:val="0"/>
          <w:color w:val="000000"/>
          <w:sz w:val="32"/>
          <w:szCs w:val="32"/>
          <w:highlight w:val="none"/>
        </w:rPr>
      </w:pPr>
      <w:bookmarkStart w:id="437" w:name="_Toc351203603"/>
      <w:bookmarkStart w:id="438" w:name="_Toc337558820"/>
      <w:r>
        <w:rPr>
          <w:rFonts w:ascii="Times New Roman" w:hAnsi="Times New Roman" w:eastAsia="黑体"/>
          <w:b w:val="0"/>
          <w:color w:val="000000"/>
          <w:sz w:val="32"/>
          <w:szCs w:val="32"/>
          <w:highlight w:val="none"/>
        </w:rPr>
        <w:t>16. 违约</w:t>
      </w:r>
      <w:bookmarkEnd w:id="437"/>
    </w:p>
    <w:bookmarkEnd w:id="438"/>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39" w:name="_Toc296346630"/>
      <w:bookmarkStart w:id="440" w:name="_Toc296503129"/>
      <w:bookmarkStart w:id="441" w:name="_Toc351203604"/>
      <w:bookmarkStart w:id="442" w:name="_Toc337558821"/>
      <w:r>
        <w:rPr>
          <w:rFonts w:ascii="Times New Roman" w:hAnsi="Times New Roman" w:eastAsia="黑体"/>
          <w:b w:val="0"/>
          <w:color w:val="000000"/>
          <w:sz w:val="30"/>
          <w:szCs w:val="32"/>
          <w:highlight w:val="none"/>
        </w:rPr>
        <w:t>16.1 发</w:t>
      </w:r>
      <w:bookmarkEnd w:id="439"/>
      <w:bookmarkEnd w:id="440"/>
      <w:r>
        <w:rPr>
          <w:rFonts w:ascii="Times New Roman" w:hAnsi="Times New Roman" w:eastAsia="黑体"/>
          <w:b w:val="0"/>
          <w:color w:val="000000"/>
          <w:sz w:val="30"/>
          <w:szCs w:val="32"/>
          <w:highlight w:val="none"/>
        </w:rPr>
        <w:t>包人违约</w:t>
      </w:r>
      <w:bookmarkEnd w:id="441"/>
    </w:p>
    <w:bookmarkEnd w:id="44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16.1.1 发包人违约的情形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在合同履行过程中发生的下列情形，属于发包人违约：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（1）因发包人原因未能在计划开工日期前7天内下达开工通知的；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（2）因发包人原因未能按合同约定支付合同价款的；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（3）发包人违反第10.1款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变更的范围</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第（2）项约定，自行实施被取消的工作或转由他人实施的；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（5）因发包人违反合同约定造成暂停施工的；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（6）发包人无正当理由没有在约定期限内发出复工指示，导致承包人无法复工的；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（7）发包人明确表示或者以其行为表明不履行合同主要义务的；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（8）发包人未能按照合同约定履行其他义务的。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16.1.2 发包人违约的责任</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16.1.3 因发包人违约解除合同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除专用合同条款另有约定外，承包人按第16.1.1项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发包人违约的情形</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约定暂停施工满28天后</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发包人仍不纠正其违约行为并致使合同目的不能实现的，</w:t>
      </w:r>
      <w:r>
        <w:rPr>
          <w:rFonts w:hint="eastAsia" w:ascii="Times New Roman" w:hAnsi="Times New Roman" w:eastAsia="仿宋_GB2312"/>
          <w:color w:val="000000"/>
          <w:kern w:val="0"/>
          <w:sz w:val="30"/>
          <w:szCs w:val="32"/>
          <w:highlight w:val="none"/>
        </w:rPr>
        <w:t>或</w:t>
      </w:r>
      <w:r>
        <w:rPr>
          <w:rFonts w:ascii="Times New Roman" w:hAnsi="Times New Roman" w:eastAsia="仿宋_GB2312"/>
          <w:color w:val="000000"/>
          <w:kern w:val="0"/>
          <w:sz w:val="30"/>
          <w:szCs w:val="32"/>
          <w:highlight w:val="none"/>
        </w:rPr>
        <w:t>出现第16.1.1项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发包人违约的情形</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第（7）目约定的违约情况，承包人有权解除合同，发包人应承担由此增加的费用，并支付承包人合理的利润。</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16.1.4 因发包人违约解除合同后的付款</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承包人按照本款约定解除合同的，发包人应在解除合同后28天内支付下列款项，并解除履约担保：</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（1）合同解除前所完成工作的价款；</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（2）承包人为工程施工订购并已付款的材料、工程设备和其他物品的价款；</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（3）承包人撤离施工现场以及遣散承包人人员的款项；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（4）按照合同约定在合同解除前应支付的违约金；</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（5）按照合同约定应当支付给承包人的其他款项；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（6）按照合同约定应退还的质量保证金；</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（7）因解除合同给承包人造成的损失。</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合同当事人未能就解除合同后的结清达成一致的，按照第20条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的约定处理。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承包人应妥善做好已完工程和与工程有关的已购材料、工程设备的保护和移交工作，并将施工设备和人员撤出施工现场，发包人应为承包人撤出提供必要条件。</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43" w:name="_Toc351203605"/>
      <w:bookmarkStart w:id="444" w:name="_Toc337558822"/>
      <w:bookmarkStart w:id="445" w:name="_Toc296503131"/>
      <w:bookmarkStart w:id="446" w:name="_Toc296346632"/>
      <w:r>
        <w:rPr>
          <w:rFonts w:ascii="Times New Roman" w:hAnsi="Times New Roman" w:eastAsia="黑体"/>
          <w:b w:val="0"/>
          <w:color w:val="000000"/>
          <w:sz w:val="30"/>
          <w:szCs w:val="32"/>
          <w:highlight w:val="none"/>
        </w:rPr>
        <w:t>16.2 承包人违约</w:t>
      </w:r>
      <w:bookmarkEnd w:id="443"/>
    </w:p>
    <w:bookmarkEnd w:id="444"/>
    <w:bookmarkEnd w:id="445"/>
    <w:bookmarkEnd w:id="44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16.2.1 承包人违约的情形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在合同履行过程中发生的下列情形，属于承包人违约：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（1）承包人违反合同约定进行转包或违法分包的；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（2）承包人违反合同约定采购和使用不合格的材料和工程设备的；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（3）因承包人原因导致工程质量不符合合同要求的；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（4）承包人违反第8.9款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材料与设备专用</w:t>
      </w:r>
      <w:r>
        <w:rPr>
          <w:rFonts w:hint="eastAsia" w:ascii="Times New Roman" w:hAnsi="Times New Roman" w:eastAsia="仿宋_GB2312"/>
          <w:color w:val="000000"/>
          <w:kern w:val="0"/>
          <w:sz w:val="30"/>
          <w:szCs w:val="32"/>
          <w:highlight w:val="none"/>
        </w:rPr>
        <w:t>要求〕</w:t>
      </w:r>
      <w:r>
        <w:rPr>
          <w:rFonts w:ascii="Times New Roman" w:hAnsi="Times New Roman" w:eastAsia="仿宋_GB2312"/>
          <w:color w:val="000000"/>
          <w:kern w:val="0"/>
          <w:sz w:val="30"/>
          <w:szCs w:val="32"/>
          <w:highlight w:val="none"/>
        </w:rPr>
        <w:t>的约定，未经批准，私自将已按照合同约定进入施工现场的材料或设备撤离施工现场的；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（5）承包人未能按施工进度计划及时完成合同约定的工作，造成工期延误的；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（6）承包人在缺陷责任期及保修期内，未能在合理期限对工程缺陷进行修复，或拒绝按发包人要求进行修复的；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（7）承包人明确表示或者以其行为表明不履行合同主要义务的；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（8）承包人未能按照合同约定履行其他义务的。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承包人发生除本项第（7）目约定以外的其他违约情况时，监理人可向承包人发出整改通知，要求其在指定的期限内改正。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16.2.2 承包人违约的责任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承包人应承担因其违约行为而增加的费用</w:t>
      </w:r>
      <w:r>
        <w:rPr>
          <w:rFonts w:hint="eastAsia" w:ascii="Times New Roman" w:hAnsi="Times New Roman" w:eastAsia="仿宋_GB2312"/>
          <w:color w:val="000000"/>
          <w:kern w:val="0"/>
          <w:sz w:val="30"/>
          <w:szCs w:val="32"/>
          <w:highlight w:val="none"/>
        </w:rPr>
        <w:t>和（或）延误的</w:t>
      </w:r>
      <w:r>
        <w:rPr>
          <w:rFonts w:ascii="Times New Roman" w:hAnsi="Times New Roman" w:eastAsia="仿宋_GB2312"/>
          <w:color w:val="000000"/>
          <w:kern w:val="0"/>
          <w:sz w:val="30"/>
          <w:szCs w:val="32"/>
          <w:highlight w:val="none"/>
        </w:rPr>
        <w:t>工期。此外，合同当事人可在专用合同条款中另行约定承包人违约责任的承担方式和计算方法。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16.2.3 因承包人违约解除合同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除专用合同条款另有约定外，出现第16.2.1项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承包人违约的情形</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ascii="Times New Roman" w:hAnsi="Times New Roman" w:eastAsia="仿宋_GB2312"/>
          <w:color w:val="000000"/>
          <w:kern w:val="0"/>
          <w:sz w:val="30"/>
          <w:szCs w:val="32"/>
          <w:highlight w:val="none"/>
        </w:rPr>
        <w:t>合同当事人应在专用合同条款约定相应费用的承担方式。</w:t>
      </w:r>
      <w:r>
        <w:rPr>
          <w:rFonts w:ascii="Times New Roman" w:hAnsi="Times New Roman" w:eastAsia="仿宋_GB2312"/>
          <w:color w:val="000000"/>
          <w:kern w:val="0"/>
          <w:sz w:val="30"/>
          <w:szCs w:val="32"/>
          <w:highlight w:val="none"/>
        </w:rPr>
        <w:t>发包人</w:t>
      </w:r>
      <w:r>
        <w:rPr>
          <w:rFonts w:hint="eastAsia" w:ascii="Times New Roman" w:hAnsi="Times New Roman" w:eastAsia="仿宋_GB2312"/>
          <w:color w:val="000000"/>
          <w:kern w:val="0"/>
          <w:sz w:val="30"/>
          <w:szCs w:val="32"/>
          <w:highlight w:val="none"/>
        </w:rPr>
        <w:t>继续使用的</w:t>
      </w:r>
      <w:r>
        <w:rPr>
          <w:rFonts w:ascii="Times New Roman" w:hAnsi="Times New Roman" w:eastAsia="仿宋_GB2312"/>
          <w:color w:val="000000"/>
          <w:kern w:val="0"/>
          <w:sz w:val="30"/>
          <w:szCs w:val="32"/>
          <w:highlight w:val="none"/>
        </w:rPr>
        <w:t>行为不免除或减轻承包人应承担的违约责任。</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16.2.4因承包人违约解除合同后的处理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因承包人原因导致合同解除的，则合同当事人应在合同解除后28天内完成估价、付款和清算，并按以下约定执行：</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（1）合同解除后，按第4.4款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商定或确定承包人实际完成工作对应的合同价款，以及承包人已提供的材料、工程设备、施工设备和临时工程等的价值；</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（2）合同解除后，承包人应支付的违约金；</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（3）合同解除后，因解除合同给发包人造成的损失；</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（4）合同解除后，承包人应按照发包人要求和监理人的指示完成现场的清理和撤离；</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（5）发包人和承包人应在合同解除后进行清算，出具最终结清付款证书，结清全部款项。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因承包人违约解除合同的，</w:t>
      </w:r>
      <w:r>
        <w:rPr>
          <w:rFonts w:ascii="Times New Roman" w:hAnsi="Times New Roman" w:eastAsia="仿宋_GB2312"/>
          <w:color w:val="000000"/>
          <w:kern w:val="0"/>
          <w:sz w:val="30"/>
          <w:szCs w:val="32"/>
          <w:highlight w:val="none"/>
        </w:rPr>
        <w:t>发包人有权暂停对承包人的付款，查清各项付款和已扣款项。发包人和承包人未能就合同解除后的清算和款项支付达成一致的，按照第20条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的约定处理。</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16.2.5采购合同权益转让</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47" w:name="_Toc351203606"/>
      <w:r>
        <w:rPr>
          <w:rFonts w:ascii="Times New Roman" w:hAnsi="Times New Roman" w:eastAsia="黑体"/>
          <w:b w:val="0"/>
          <w:color w:val="000000"/>
          <w:sz w:val="30"/>
          <w:szCs w:val="32"/>
          <w:highlight w:val="none"/>
        </w:rPr>
        <w:t>16.3 第三人造成的违约</w:t>
      </w:r>
      <w:bookmarkEnd w:id="447"/>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在履行合同过程中，一方当事人因第三人的原因造成违约的，应当向对方当事人承担违约责任。一方当事人和第三人之间的纠纷，依照法律规定或者按照约定解决。</w:t>
      </w:r>
    </w:p>
    <w:p>
      <w:pPr>
        <w:pStyle w:val="6"/>
        <w:spacing w:before="120" w:after="120" w:line="360" w:lineRule="auto"/>
        <w:rPr>
          <w:rFonts w:ascii="Times New Roman" w:hAnsi="Times New Roman" w:eastAsia="黑体"/>
          <w:b w:val="0"/>
          <w:color w:val="000000"/>
          <w:sz w:val="32"/>
          <w:szCs w:val="32"/>
          <w:highlight w:val="none"/>
        </w:rPr>
      </w:pPr>
      <w:bookmarkStart w:id="448" w:name="_Toc351203607"/>
      <w:bookmarkStart w:id="449" w:name="_Toc296503116"/>
      <w:bookmarkStart w:id="450" w:name="_Toc296346617"/>
      <w:bookmarkStart w:id="451" w:name="_Toc337558823"/>
      <w:r>
        <w:rPr>
          <w:rFonts w:ascii="Times New Roman" w:hAnsi="Times New Roman" w:eastAsia="黑体"/>
          <w:b w:val="0"/>
          <w:color w:val="000000"/>
          <w:sz w:val="32"/>
          <w:szCs w:val="32"/>
          <w:highlight w:val="none"/>
        </w:rPr>
        <w:t>17. 不可抗力</w:t>
      </w:r>
      <w:bookmarkEnd w:id="448"/>
      <w:r>
        <w:rPr>
          <w:rFonts w:ascii="Times New Roman" w:hAnsi="Times New Roman" w:eastAsia="黑体"/>
          <w:b w:val="0"/>
          <w:color w:val="000000"/>
          <w:sz w:val="32"/>
          <w:szCs w:val="32"/>
          <w:highlight w:val="none"/>
        </w:rPr>
        <w:t xml:space="preserve"> </w:t>
      </w:r>
      <w:bookmarkEnd w:id="449"/>
      <w:bookmarkEnd w:id="450"/>
      <w:bookmarkEnd w:id="451"/>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52" w:name="_Toc351203608"/>
      <w:bookmarkStart w:id="453" w:name="_Toc337558824"/>
      <w:bookmarkStart w:id="454" w:name="_Toc296503117"/>
      <w:bookmarkStart w:id="455" w:name="_Toc296346618"/>
      <w:r>
        <w:rPr>
          <w:rFonts w:ascii="Times New Roman" w:hAnsi="Times New Roman" w:eastAsia="黑体"/>
          <w:b w:val="0"/>
          <w:color w:val="000000"/>
          <w:sz w:val="30"/>
          <w:szCs w:val="32"/>
          <w:highlight w:val="none"/>
        </w:rPr>
        <w:t>17.1 不可抗力的确认</w:t>
      </w:r>
      <w:bookmarkEnd w:id="452"/>
    </w:p>
    <w:bookmarkEnd w:id="453"/>
    <w:bookmarkEnd w:id="454"/>
    <w:bookmarkEnd w:id="45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的约定处理。发生争议时，按第20条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的约定处理。</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56" w:name="_Toc351203609"/>
      <w:bookmarkStart w:id="457" w:name="_Toc337558825"/>
      <w:bookmarkStart w:id="458" w:name="_Toc296503118"/>
      <w:bookmarkStart w:id="459" w:name="_Toc296346619"/>
      <w:r>
        <w:rPr>
          <w:rFonts w:ascii="Times New Roman" w:hAnsi="Times New Roman" w:eastAsia="黑体"/>
          <w:b w:val="0"/>
          <w:color w:val="000000"/>
          <w:sz w:val="30"/>
          <w:szCs w:val="32"/>
          <w:highlight w:val="none"/>
        </w:rPr>
        <w:t>17.2 不可抗力的通知</w:t>
      </w:r>
      <w:bookmarkEnd w:id="456"/>
    </w:p>
    <w:bookmarkEnd w:id="457"/>
    <w:bookmarkEnd w:id="458"/>
    <w:bookmarkEnd w:id="45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合同</w:t>
      </w:r>
      <w:r>
        <w:rPr>
          <w:rFonts w:ascii="Times New Roman" w:hAnsi="Times New Roman" w:eastAsia="仿宋_GB2312"/>
          <w:color w:val="000000"/>
          <w:kern w:val="0"/>
          <w:sz w:val="30"/>
          <w:szCs w:val="32"/>
          <w:highlight w:val="none"/>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不可抗力持续发生的，合同一方当事人应及时向合同另一方当事人和监理人提交中间报告，说明不可抗力和履行合同受阻的情况，并于不可抗力事件结束后28天内提交最终报告及有关资料。</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60" w:name="_Toc351203610"/>
      <w:bookmarkStart w:id="461" w:name="_Toc337558826"/>
      <w:bookmarkStart w:id="462" w:name="_Toc296503119"/>
      <w:bookmarkStart w:id="463" w:name="_Toc296346620"/>
      <w:r>
        <w:rPr>
          <w:rFonts w:ascii="Times New Roman" w:hAnsi="Times New Roman" w:eastAsia="黑体"/>
          <w:b w:val="0"/>
          <w:color w:val="000000"/>
          <w:sz w:val="30"/>
          <w:szCs w:val="32"/>
          <w:highlight w:val="none"/>
        </w:rPr>
        <w:t>17.3 不可抗力后果的承担</w:t>
      </w:r>
      <w:bookmarkEnd w:id="460"/>
    </w:p>
    <w:bookmarkEnd w:id="461"/>
    <w:bookmarkEnd w:id="462"/>
    <w:bookmarkEnd w:id="46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17.3.1 </w:t>
      </w:r>
      <w:r>
        <w:rPr>
          <w:rFonts w:hint="eastAsia" w:ascii="Times New Roman" w:hAnsi="Times New Roman" w:eastAsia="仿宋_GB2312"/>
          <w:color w:val="000000"/>
          <w:kern w:val="0"/>
          <w:sz w:val="30"/>
          <w:szCs w:val="32"/>
          <w:highlight w:val="none"/>
        </w:rPr>
        <w:t>不可抗力引起的后果及造成的损失由合同当事人按照法律规定及合同约定各自承担。</w:t>
      </w:r>
      <w:r>
        <w:rPr>
          <w:rFonts w:ascii="Times New Roman" w:hAnsi="Times New Roman" w:eastAsia="仿宋_GB2312"/>
          <w:color w:val="000000"/>
          <w:kern w:val="0"/>
          <w:sz w:val="30"/>
          <w:szCs w:val="32"/>
          <w:highlight w:val="none"/>
        </w:rPr>
        <w:t>不可抗力发生前已完</w:t>
      </w:r>
      <w:r>
        <w:rPr>
          <w:rFonts w:hint="eastAsia" w:ascii="Times New Roman" w:hAnsi="Times New Roman" w:eastAsia="仿宋_GB2312"/>
          <w:color w:val="000000"/>
          <w:kern w:val="0"/>
          <w:sz w:val="30"/>
          <w:szCs w:val="32"/>
          <w:highlight w:val="none"/>
        </w:rPr>
        <w:t>成的</w:t>
      </w:r>
      <w:r>
        <w:rPr>
          <w:rFonts w:ascii="Times New Roman" w:hAnsi="Times New Roman" w:eastAsia="仿宋_GB2312"/>
          <w:color w:val="000000"/>
          <w:kern w:val="0"/>
          <w:sz w:val="30"/>
          <w:szCs w:val="32"/>
          <w:highlight w:val="none"/>
        </w:rPr>
        <w:t>工程应当按照合同约定进行计量</w:t>
      </w:r>
      <w:r>
        <w:rPr>
          <w:rFonts w:hint="eastAsia" w:ascii="Times New Roman" w:hAnsi="Times New Roman" w:eastAsia="仿宋_GB2312"/>
          <w:color w:val="000000"/>
          <w:kern w:val="0"/>
          <w:sz w:val="30"/>
          <w:szCs w:val="32"/>
          <w:highlight w:val="none"/>
        </w:rPr>
        <w:t>支付</w:t>
      </w:r>
      <w:r>
        <w:rPr>
          <w:rFonts w:ascii="Times New Roman" w:hAnsi="Times New Roman" w:eastAsia="仿宋_GB2312"/>
          <w:color w:val="000000"/>
          <w:kern w:val="0"/>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17.3.2 不可抗力导致的人员伤亡、财产损失、费用增加和（或）工期延误等后果，由合同当事人按以下原则承担：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（1）永久工程、已运至施工现场的材料和工程设备的损坏，以及因工程损坏造成的第三人人员伤亡和财产损失由发包人承担；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（2）承包人施工设备的损坏由承包人承担；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（3）发包人和承包人承担各自人员伤亡和财产的损失；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（5）因不可抗力引起或将引起工期延误，发包人要求赶工的，由此增加的赶工费用由发包人承担；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（6）承包人在停工期间按照发包人要求照管、清理和修复工程的费用由发包人承担。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因合同一方迟延履行合同义务，在迟延履行期间遭遇不可抗力的，不免除其违约责任。</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64" w:name="_Toc351203611"/>
      <w:bookmarkStart w:id="465" w:name="_Toc337558827"/>
      <w:r>
        <w:rPr>
          <w:rFonts w:ascii="Times New Roman" w:hAnsi="Times New Roman" w:eastAsia="黑体"/>
          <w:b w:val="0"/>
          <w:color w:val="000000"/>
          <w:sz w:val="30"/>
          <w:szCs w:val="32"/>
          <w:highlight w:val="none"/>
        </w:rPr>
        <w:t>17.4 因不可抗力解除合同</w:t>
      </w:r>
      <w:bookmarkEnd w:id="464"/>
    </w:p>
    <w:bookmarkEnd w:id="465"/>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因不可抗力导致合同无法履行连续超过84天或累计超过140天的，发包人和承包人均有权解除合同。合同解除后，由双方当事人按照第4.4款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商定或确定发包人应支付的款项，该款项包括：</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（1）合同解除前承包人已完成工作的价款；</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（2）承包人为工程订购的并已交付给承包人，或承包人有责任接受交付的材料、工程设备和其他物品的价款；</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（3）发包人要求承包人退货或解除订货合同而产生的费用，或因不能退货或解除合同而产生的损失；</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（4）承包人撤离施工现场以及遣散承包人人员的费用；</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（5）按照合同约定在合同解除前应支付给承包人的其他款项；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（6）扣减承包人按照合同约定应向发包人支付的款项；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（7）双方商定或确定的其他款项。</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除专用合同条款另有约定外，合同解除后，发包人应在商定或确定上述款项后28天内完成上述款项的支付。</w:t>
      </w:r>
    </w:p>
    <w:p>
      <w:pPr>
        <w:pStyle w:val="6"/>
        <w:spacing w:before="120" w:after="120" w:line="360" w:lineRule="auto"/>
        <w:rPr>
          <w:rFonts w:ascii="Times New Roman" w:hAnsi="Times New Roman" w:eastAsia="黑体"/>
          <w:b w:val="0"/>
          <w:color w:val="000000"/>
          <w:sz w:val="32"/>
          <w:szCs w:val="32"/>
          <w:highlight w:val="none"/>
        </w:rPr>
      </w:pPr>
      <w:bookmarkStart w:id="466" w:name="_Toc351203612"/>
      <w:bookmarkStart w:id="467" w:name="_Toc296346621"/>
      <w:bookmarkStart w:id="468" w:name="_Toc337558828"/>
      <w:bookmarkStart w:id="469" w:name="_Toc296503120"/>
      <w:r>
        <w:rPr>
          <w:rFonts w:ascii="Times New Roman" w:hAnsi="Times New Roman" w:eastAsia="黑体"/>
          <w:b w:val="0"/>
          <w:color w:val="000000"/>
          <w:sz w:val="32"/>
          <w:szCs w:val="32"/>
          <w:highlight w:val="none"/>
        </w:rPr>
        <w:t>18. 保险</w:t>
      </w:r>
      <w:bookmarkEnd w:id="466"/>
    </w:p>
    <w:bookmarkEnd w:id="467"/>
    <w:bookmarkEnd w:id="468"/>
    <w:bookmarkEnd w:id="469"/>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70" w:name="_Toc351203613"/>
      <w:bookmarkStart w:id="471" w:name="_Toc337558829"/>
      <w:bookmarkStart w:id="472" w:name="_Toc296503121"/>
      <w:bookmarkStart w:id="473" w:name="_Toc296346622"/>
      <w:r>
        <w:rPr>
          <w:rFonts w:ascii="Times New Roman" w:hAnsi="Times New Roman" w:eastAsia="黑体"/>
          <w:b w:val="0"/>
          <w:color w:val="000000"/>
          <w:sz w:val="30"/>
          <w:szCs w:val="32"/>
          <w:highlight w:val="none"/>
        </w:rPr>
        <w:t>18.1 工程保险</w:t>
      </w:r>
      <w:bookmarkEnd w:id="470"/>
    </w:p>
    <w:bookmarkEnd w:id="471"/>
    <w:bookmarkEnd w:id="472"/>
    <w:bookmarkEnd w:id="47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除专用合同条款另有约定外，发包人应投保建筑工程一切险或安装工程一切险；发包人委托承包人投保的，因投保产生的保险费和其他相关费用由发包人承担。</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74" w:name="_Toc351203614"/>
      <w:bookmarkStart w:id="475" w:name="_Toc296503122"/>
      <w:bookmarkStart w:id="476" w:name="_Toc296346623"/>
      <w:bookmarkStart w:id="477" w:name="_Toc337558830"/>
      <w:r>
        <w:rPr>
          <w:rFonts w:ascii="Times New Roman" w:hAnsi="Times New Roman" w:eastAsia="黑体"/>
          <w:b w:val="0"/>
          <w:color w:val="000000"/>
          <w:sz w:val="30"/>
          <w:szCs w:val="32"/>
          <w:highlight w:val="none"/>
        </w:rPr>
        <w:t>18.2 工伤保险</w:t>
      </w:r>
      <w:bookmarkEnd w:id="474"/>
    </w:p>
    <w:bookmarkEnd w:id="475"/>
    <w:bookmarkEnd w:id="476"/>
    <w:bookmarkEnd w:id="47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18.2.2 承包人应依照法律规定参加工伤保险，并为其履行合同的全部员工办理工伤保险，缴纳工伤保险费，并要求分包人及由承包人为履行合同聘请的第三方依法参加工伤保险。</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78" w:name="_Toc351203615"/>
      <w:bookmarkStart w:id="479" w:name="_Toc337558831"/>
      <w:bookmarkStart w:id="480" w:name="_Toc296346626"/>
      <w:bookmarkStart w:id="481" w:name="_Toc296503125"/>
      <w:r>
        <w:rPr>
          <w:rFonts w:ascii="Times New Roman" w:hAnsi="Times New Roman" w:eastAsia="黑体"/>
          <w:b w:val="0"/>
          <w:color w:val="000000"/>
          <w:sz w:val="30"/>
          <w:szCs w:val="32"/>
          <w:highlight w:val="none"/>
        </w:rPr>
        <w:t>18.3其他保险</w:t>
      </w:r>
      <w:bookmarkEnd w:id="478"/>
    </w:p>
    <w:bookmarkEnd w:id="479"/>
    <w:bookmarkEnd w:id="480"/>
    <w:bookmarkEnd w:id="481"/>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除专用合同条款另有约定外，承包人应为其施工设备等办理财产保险。</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82" w:name="_Toc351203616"/>
      <w:r>
        <w:rPr>
          <w:rFonts w:ascii="Times New Roman" w:hAnsi="Times New Roman" w:eastAsia="黑体"/>
          <w:b w:val="0"/>
          <w:color w:val="000000"/>
          <w:sz w:val="30"/>
          <w:szCs w:val="32"/>
          <w:highlight w:val="none"/>
        </w:rPr>
        <w:t>18.4持续保险</w:t>
      </w:r>
      <w:bookmarkEnd w:id="482"/>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合同当事人应与保险人保持联系，使保险人能够随时了解工程实施中的变动，并确保按保险合同条款要求持续保险。</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83" w:name="_Toc351203617"/>
      <w:bookmarkStart w:id="484" w:name="_Toc296503126"/>
      <w:bookmarkStart w:id="485" w:name="_Toc296346627"/>
      <w:bookmarkStart w:id="486" w:name="_Toc337558832"/>
      <w:r>
        <w:rPr>
          <w:rFonts w:ascii="Times New Roman" w:hAnsi="Times New Roman" w:eastAsia="黑体"/>
          <w:b w:val="0"/>
          <w:color w:val="000000"/>
          <w:sz w:val="30"/>
          <w:szCs w:val="32"/>
          <w:highlight w:val="none"/>
        </w:rPr>
        <w:t>18.5 保险凭证</w:t>
      </w:r>
      <w:bookmarkEnd w:id="483"/>
    </w:p>
    <w:bookmarkEnd w:id="484"/>
    <w:bookmarkEnd w:id="485"/>
    <w:bookmarkEnd w:id="486"/>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合同当事人应及时向另一方当事人提交其已投保的各项保险的凭证和保险单复印件。</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87" w:name="_Toc351203618"/>
      <w:bookmarkStart w:id="488" w:name="_Toc296503127"/>
      <w:bookmarkStart w:id="489" w:name="_Toc296346628"/>
      <w:bookmarkStart w:id="490" w:name="_Toc337558833"/>
      <w:r>
        <w:rPr>
          <w:rFonts w:ascii="Times New Roman" w:hAnsi="Times New Roman" w:eastAsia="黑体"/>
          <w:b w:val="0"/>
          <w:color w:val="000000"/>
          <w:sz w:val="30"/>
          <w:szCs w:val="32"/>
          <w:highlight w:val="none"/>
        </w:rPr>
        <w:t>18.6 未按约定投保的补救</w:t>
      </w:r>
      <w:bookmarkEnd w:id="487"/>
    </w:p>
    <w:bookmarkEnd w:id="488"/>
    <w:bookmarkEnd w:id="489"/>
    <w:bookmarkEnd w:id="490"/>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600" w:firstLineChars="200"/>
        <w:jc w:val="left"/>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18.6.2承包人未按合同约定办理保险，或未能使保险持续有效的，则发包人可代为办理，所需费用由承包人承担。承包人未按合同约定办理保险，导致未能得到足额赔偿的，由承包人负责补足。</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91" w:name="_Toc351203619"/>
      <w:bookmarkStart w:id="492" w:name="_Toc337558834"/>
      <w:r>
        <w:rPr>
          <w:rFonts w:ascii="Times New Roman" w:hAnsi="Times New Roman" w:eastAsia="黑体"/>
          <w:b w:val="0"/>
          <w:color w:val="000000"/>
          <w:sz w:val="30"/>
          <w:szCs w:val="32"/>
          <w:highlight w:val="none"/>
        </w:rPr>
        <w:t>18.7 通知义务</w:t>
      </w:r>
      <w:bookmarkEnd w:id="491"/>
    </w:p>
    <w:bookmarkEnd w:id="492"/>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保险事故发生时，投保人应按照保险合同规定的条件和期限及时向保险人报告。发包人和承包人应当在知道保险事故发生后及时通知对方。</w:t>
      </w:r>
    </w:p>
    <w:p>
      <w:pPr>
        <w:pStyle w:val="6"/>
        <w:spacing w:before="120" w:after="120" w:line="360" w:lineRule="auto"/>
        <w:rPr>
          <w:rFonts w:ascii="Times New Roman" w:hAnsi="Times New Roman" w:eastAsia="黑体"/>
          <w:b w:val="0"/>
          <w:color w:val="000000"/>
          <w:sz w:val="32"/>
          <w:szCs w:val="32"/>
          <w:highlight w:val="none"/>
        </w:rPr>
      </w:pPr>
      <w:bookmarkStart w:id="493" w:name="_Toc351203620"/>
      <w:bookmarkStart w:id="494" w:name="_Toc296503140"/>
      <w:bookmarkStart w:id="495" w:name="_Toc337558835"/>
      <w:bookmarkStart w:id="496" w:name="_Toc296346641"/>
      <w:r>
        <w:rPr>
          <w:rFonts w:ascii="Times New Roman" w:hAnsi="Times New Roman" w:eastAsia="黑体"/>
          <w:b w:val="0"/>
          <w:color w:val="000000"/>
          <w:sz w:val="32"/>
          <w:szCs w:val="32"/>
          <w:highlight w:val="none"/>
        </w:rPr>
        <w:t>19. 索赔</w:t>
      </w:r>
      <w:bookmarkEnd w:id="493"/>
    </w:p>
    <w:bookmarkEnd w:id="494"/>
    <w:bookmarkEnd w:id="495"/>
    <w:bookmarkEnd w:id="496"/>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497" w:name="_Toc351203621"/>
      <w:bookmarkStart w:id="498" w:name="_Toc296346642"/>
      <w:bookmarkStart w:id="499" w:name="_Toc337558836"/>
      <w:bookmarkStart w:id="500" w:name="_Toc296503141"/>
      <w:r>
        <w:rPr>
          <w:rFonts w:ascii="Times New Roman" w:hAnsi="Times New Roman" w:eastAsia="黑体"/>
          <w:b w:val="0"/>
          <w:color w:val="000000"/>
          <w:sz w:val="30"/>
          <w:szCs w:val="32"/>
          <w:highlight w:val="none"/>
        </w:rPr>
        <w:t>19.1承包人的索赔</w:t>
      </w:r>
      <w:bookmarkEnd w:id="497"/>
    </w:p>
    <w:bookmarkEnd w:id="498"/>
    <w:bookmarkEnd w:id="499"/>
    <w:bookmarkEnd w:id="50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根据合同约定，承包人认为有权得到追加付款和（或）延长工期的，应按以下程序向</w:t>
      </w:r>
      <w:r>
        <w:rPr>
          <w:rFonts w:hint="eastAsia" w:ascii="Times New Roman" w:hAnsi="Times New Roman" w:eastAsia="仿宋_GB2312"/>
          <w:color w:val="000000"/>
          <w:kern w:val="0"/>
          <w:sz w:val="30"/>
          <w:szCs w:val="32"/>
          <w:highlight w:val="none"/>
        </w:rPr>
        <w:t>发包</w:t>
      </w:r>
      <w:r>
        <w:rPr>
          <w:rFonts w:ascii="Times New Roman" w:hAnsi="Times New Roman" w:eastAsia="仿宋_GB2312"/>
          <w:color w:val="000000"/>
          <w:kern w:val="0"/>
          <w:sz w:val="30"/>
          <w:szCs w:val="32"/>
          <w:highlight w:val="none"/>
        </w:rPr>
        <w:t>人提出索赔：</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（4）在索赔事件影响结束后28天内，承包人应向监理人递交最终索赔报告，说明最终要求索赔的追加付款金额和（或）延长的工期，并附必要的记录和证明材料。</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501" w:name="_Toc351203622"/>
      <w:bookmarkStart w:id="502" w:name="_Toc296346643"/>
      <w:bookmarkStart w:id="503" w:name="_Toc337558837"/>
      <w:bookmarkStart w:id="504" w:name="_Toc296503142"/>
      <w:r>
        <w:rPr>
          <w:rFonts w:ascii="Times New Roman" w:hAnsi="Times New Roman" w:eastAsia="黑体"/>
          <w:b w:val="0"/>
          <w:color w:val="000000"/>
          <w:sz w:val="30"/>
          <w:szCs w:val="32"/>
          <w:highlight w:val="none"/>
        </w:rPr>
        <w:t>19.2 对承包人索赔的处理</w:t>
      </w:r>
      <w:bookmarkEnd w:id="501"/>
    </w:p>
    <w:bookmarkEnd w:id="502"/>
    <w:bookmarkEnd w:id="503"/>
    <w:bookmarkEnd w:id="504"/>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对承包人索赔的处理如下：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（1）监理人应在收到索赔报告后14天内完成审查并报送发包人。监理人对索赔报告存在异议的，有权要求承包人提交全部原始记录副本；</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（3）承包人接受索赔处理结果的，索赔款项在当期进度款中进行支付；承包人不接受索赔处理结果的，按照第20条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约定处理。</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505" w:name="_Toc351203623"/>
      <w:bookmarkStart w:id="506" w:name="_Toc296346644"/>
      <w:bookmarkStart w:id="507" w:name="_Toc337558838"/>
      <w:bookmarkStart w:id="508" w:name="_Toc296503143"/>
      <w:r>
        <w:rPr>
          <w:rFonts w:ascii="Times New Roman" w:hAnsi="Times New Roman" w:eastAsia="黑体"/>
          <w:b w:val="0"/>
          <w:color w:val="000000"/>
          <w:sz w:val="30"/>
          <w:szCs w:val="32"/>
          <w:highlight w:val="none"/>
        </w:rPr>
        <w:t>19.3发包人的索赔</w:t>
      </w:r>
      <w:bookmarkEnd w:id="505"/>
    </w:p>
    <w:bookmarkEnd w:id="506"/>
    <w:bookmarkEnd w:id="507"/>
    <w:bookmarkEnd w:id="508"/>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根据合同约定，发包人认为有权得到赔付金额和（或）延长缺陷责任期的，监理人应向承包人发出通知并附有详细的证明。</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509" w:name="_Toc351203624"/>
      <w:bookmarkStart w:id="510" w:name="_Toc296503144"/>
      <w:bookmarkStart w:id="511" w:name="_Toc337558839"/>
      <w:bookmarkStart w:id="512" w:name="_Toc296346645"/>
      <w:r>
        <w:rPr>
          <w:rFonts w:ascii="Times New Roman" w:hAnsi="Times New Roman" w:eastAsia="黑体"/>
          <w:b w:val="0"/>
          <w:color w:val="000000"/>
          <w:sz w:val="30"/>
          <w:szCs w:val="32"/>
          <w:highlight w:val="none"/>
        </w:rPr>
        <w:t>19.4 对发包人索赔的处理</w:t>
      </w:r>
      <w:bookmarkEnd w:id="509"/>
    </w:p>
    <w:bookmarkEnd w:id="510"/>
    <w:bookmarkEnd w:id="511"/>
    <w:bookmarkEnd w:id="51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对发包人索赔的处理如下：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（1）承包人收到发包人提交的索赔报告后，应及时审查索赔报告的内容、查验发包人证明材料；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（3）承包人接受索赔处理结果的，发包人可从应支付给承包人的合同价款中扣除赔付的金额或延长缺陷责任期；发包人不接受索赔处理结果的，按第20条</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争议解决</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约定处理。</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513" w:name="_Toc351203625"/>
      <w:r>
        <w:rPr>
          <w:rFonts w:ascii="Times New Roman" w:hAnsi="Times New Roman" w:eastAsia="黑体"/>
          <w:b w:val="0"/>
          <w:color w:val="000000"/>
          <w:sz w:val="30"/>
          <w:szCs w:val="32"/>
          <w:highlight w:val="none"/>
        </w:rPr>
        <w:t>19.5 提出索赔的期限</w:t>
      </w:r>
      <w:bookmarkEnd w:id="513"/>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（1）承包人按第14.2款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竣工结算审核</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约定接收竣工付款证书后，应被视为已无权再提出在工程接收证书颁发前所发生的任何索赔。</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（2）承包人按第14.4款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最终结清</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提交的最终结清申请单中，只限于提出工程接收证书颁发后发生的索赔。提出索赔的期限自接受最终结清证书时终止。</w:t>
      </w:r>
    </w:p>
    <w:p>
      <w:pPr>
        <w:pStyle w:val="6"/>
        <w:spacing w:before="120" w:after="120" w:line="360" w:lineRule="auto"/>
        <w:rPr>
          <w:rFonts w:ascii="Times New Roman" w:hAnsi="Times New Roman" w:eastAsia="黑体"/>
          <w:b w:val="0"/>
          <w:color w:val="000000"/>
          <w:sz w:val="32"/>
          <w:szCs w:val="32"/>
          <w:highlight w:val="none"/>
        </w:rPr>
      </w:pPr>
      <w:bookmarkStart w:id="514" w:name="_Toc351203626"/>
      <w:r>
        <w:rPr>
          <w:rFonts w:ascii="Times New Roman" w:hAnsi="Times New Roman" w:eastAsia="黑体"/>
          <w:b w:val="0"/>
          <w:color w:val="000000"/>
          <w:sz w:val="32"/>
          <w:szCs w:val="32"/>
          <w:highlight w:val="none"/>
        </w:rPr>
        <w:t>20</w:t>
      </w:r>
      <w:bookmarkStart w:id="515" w:name="_Toc296503146"/>
      <w:bookmarkStart w:id="516" w:name="_Toc296346647"/>
      <w:bookmarkStart w:id="517" w:name="_Toc337558840"/>
      <w:r>
        <w:rPr>
          <w:rFonts w:ascii="Times New Roman" w:hAnsi="Times New Roman" w:eastAsia="黑体"/>
          <w:b w:val="0"/>
          <w:color w:val="000000"/>
          <w:sz w:val="32"/>
          <w:szCs w:val="32"/>
          <w:highlight w:val="none"/>
        </w:rPr>
        <w:t>. 争议解决</w:t>
      </w:r>
      <w:bookmarkEnd w:id="514"/>
    </w:p>
    <w:bookmarkEnd w:id="515"/>
    <w:bookmarkEnd w:id="516"/>
    <w:bookmarkEnd w:id="517"/>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518" w:name="_Toc351203627"/>
      <w:bookmarkStart w:id="519" w:name="_Toc296346648"/>
      <w:bookmarkStart w:id="520" w:name="_Toc337558841"/>
      <w:bookmarkStart w:id="521" w:name="_Toc296503147"/>
      <w:r>
        <w:rPr>
          <w:rFonts w:ascii="Times New Roman" w:hAnsi="Times New Roman" w:eastAsia="黑体"/>
          <w:b w:val="0"/>
          <w:color w:val="000000"/>
          <w:sz w:val="30"/>
          <w:szCs w:val="32"/>
          <w:highlight w:val="none"/>
        </w:rPr>
        <w:t>20.1和解</w:t>
      </w:r>
      <w:bookmarkEnd w:id="518"/>
    </w:p>
    <w:bookmarkEnd w:id="519"/>
    <w:bookmarkEnd w:id="520"/>
    <w:bookmarkEnd w:id="52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合同当事人可以就争议自行和解，自行和解达成协议的经双方签字并盖章后作为合同补充文件，双方均应遵照执行。</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522" w:name="_Toc351203628"/>
      <w:r>
        <w:rPr>
          <w:rFonts w:ascii="Times New Roman" w:hAnsi="Times New Roman" w:eastAsia="黑体"/>
          <w:b w:val="0"/>
          <w:color w:val="000000"/>
          <w:sz w:val="30"/>
          <w:szCs w:val="32"/>
          <w:highlight w:val="none"/>
        </w:rPr>
        <w:t>20</w:t>
      </w:r>
      <w:bookmarkStart w:id="523" w:name="_Toc296346649"/>
      <w:bookmarkStart w:id="524" w:name="_Toc296503148"/>
      <w:bookmarkStart w:id="525" w:name="_Toc337558842"/>
      <w:r>
        <w:rPr>
          <w:rFonts w:ascii="Times New Roman" w:hAnsi="Times New Roman" w:eastAsia="黑体"/>
          <w:b w:val="0"/>
          <w:color w:val="000000"/>
          <w:sz w:val="30"/>
          <w:szCs w:val="32"/>
          <w:highlight w:val="none"/>
        </w:rPr>
        <w:t>.2调解</w:t>
      </w:r>
      <w:bookmarkEnd w:id="522"/>
    </w:p>
    <w:bookmarkEnd w:id="523"/>
    <w:bookmarkEnd w:id="524"/>
    <w:bookmarkEnd w:id="52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合同当事人可以就争议请求建设行政主管部门</w:t>
      </w:r>
      <w:r>
        <w:rPr>
          <w:rFonts w:hint="eastAsia" w:ascii="Times New Roman" w:hAnsi="Times New Roman" w:eastAsia="仿宋_GB2312"/>
          <w:color w:val="000000"/>
          <w:kern w:val="0"/>
          <w:sz w:val="30"/>
          <w:szCs w:val="32"/>
          <w:highlight w:val="none"/>
        </w:rPr>
        <w:t>、行业协会</w:t>
      </w:r>
      <w:r>
        <w:rPr>
          <w:rFonts w:ascii="Times New Roman" w:hAnsi="Times New Roman" w:eastAsia="仿宋_GB2312"/>
          <w:color w:val="000000"/>
          <w:kern w:val="0"/>
          <w:sz w:val="30"/>
          <w:szCs w:val="32"/>
          <w:highlight w:val="none"/>
        </w:rPr>
        <w:t>或</w:t>
      </w:r>
      <w:r>
        <w:rPr>
          <w:rFonts w:hint="eastAsia" w:ascii="Times New Roman" w:hAnsi="Times New Roman" w:eastAsia="仿宋_GB2312"/>
          <w:color w:val="000000"/>
          <w:kern w:val="0"/>
          <w:sz w:val="30"/>
          <w:szCs w:val="32"/>
          <w:highlight w:val="none"/>
        </w:rPr>
        <w:t>其他</w:t>
      </w:r>
      <w:r>
        <w:rPr>
          <w:rFonts w:ascii="Times New Roman" w:hAnsi="Times New Roman" w:eastAsia="仿宋_GB2312"/>
          <w:color w:val="000000"/>
          <w:kern w:val="0"/>
          <w:sz w:val="30"/>
          <w:szCs w:val="32"/>
          <w:highlight w:val="none"/>
        </w:rPr>
        <w:t>第三方进行调解，调解达成协议的，经双方签字并盖章后作为合同补充文件，双方均应遵照执行。</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526" w:name="_Toc351203629"/>
      <w:bookmarkStart w:id="527" w:name="_Toc296503149"/>
      <w:bookmarkStart w:id="528" w:name="_Toc337558843"/>
      <w:bookmarkStart w:id="529" w:name="_Toc296346650"/>
      <w:r>
        <w:rPr>
          <w:rFonts w:ascii="Times New Roman" w:hAnsi="Times New Roman" w:eastAsia="黑体"/>
          <w:b w:val="0"/>
          <w:color w:val="000000"/>
          <w:sz w:val="30"/>
          <w:szCs w:val="32"/>
          <w:highlight w:val="none"/>
        </w:rPr>
        <w:t>20.3争议评审</w:t>
      </w:r>
      <w:bookmarkEnd w:id="526"/>
    </w:p>
    <w:bookmarkEnd w:id="527"/>
    <w:bookmarkEnd w:id="528"/>
    <w:bookmarkEnd w:id="52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合同当事人在专用合同条款中约定采取争议评审方式解决争议</w:t>
      </w:r>
      <w:r>
        <w:rPr>
          <w:rFonts w:hint="eastAsia" w:ascii="Times New Roman" w:hAnsi="Times New Roman" w:eastAsia="仿宋_GB2312"/>
          <w:color w:val="000000"/>
          <w:kern w:val="0"/>
          <w:sz w:val="30"/>
          <w:szCs w:val="32"/>
          <w:highlight w:val="none"/>
        </w:rPr>
        <w:t>以及评审规则，并</w:t>
      </w:r>
      <w:r>
        <w:rPr>
          <w:rFonts w:ascii="Times New Roman" w:hAnsi="Times New Roman" w:eastAsia="仿宋_GB2312"/>
          <w:color w:val="000000"/>
          <w:kern w:val="0"/>
          <w:sz w:val="30"/>
          <w:szCs w:val="32"/>
          <w:highlight w:val="none"/>
        </w:rPr>
        <w:t xml:space="preserve">按下列约定执行：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20.3.1 争议评审小组的确定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Times New Roman" w:hAnsi="Times New Roman" w:eastAsia="仿宋_GB2312"/>
          <w:color w:val="000000"/>
          <w:kern w:val="0"/>
          <w:sz w:val="30"/>
          <w:szCs w:val="32"/>
          <w:highlight w:val="none"/>
        </w:rPr>
        <w:t>评审</w:t>
      </w:r>
      <w:r>
        <w:rPr>
          <w:rFonts w:ascii="Times New Roman" w:hAnsi="Times New Roman" w:eastAsia="仿宋_GB2312"/>
          <w:color w:val="000000"/>
          <w:kern w:val="0"/>
          <w:sz w:val="30"/>
          <w:szCs w:val="32"/>
          <w:highlight w:val="none"/>
        </w:rPr>
        <w:t xml:space="preserve">机构指定第三名首席争议评审员。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除专用合同条款另有约定外，评审员报酬由发包人和承包人各承担一半。</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20.3.2 争议评审小组的决定</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20.3.3 争议评审小组决定的效力</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争议评审小组作出的书面决定经合同当事人签字确认后，对双方具有约束力，双方应遵照执行。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任何一方当事人不接受争议评审小组决定</w:t>
      </w:r>
      <w:r>
        <w:rPr>
          <w:rFonts w:hint="eastAsia" w:ascii="Times New Roman" w:hAnsi="Times New Roman" w:eastAsia="仿宋_GB2312"/>
          <w:color w:val="000000"/>
          <w:kern w:val="0"/>
          <w:sz w:val="30"/>
          <w:szCs w:val="32"/>
          <w:highlight w:val="none"/>
        </w:rPr>
        <w:t>或不履行争议评审小组决定的</w:t>
      </w:r>
      <w:r>
        <w:rPr>
          <w:rFonts w:ascii="Times New Roman" w:hAnsi="Times New Roman" w:eastAsia="仿宋_GB2312"/>
          <w:color w:val="000000"/>
          <w:kern w:val="0"/>
          <w:sz w:val="30"/>
          <w:szCs w:val="32"/>
          <w:highlight w:val="none"/>
        </w:rPr>
        <w:t>，双方可选择采用其他争议解决方式。</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530" w:name="_Toc351203630"/>
      <w:bookmarkStart w:id="531" w:name="_Toc296503150"/>
      <w:bookmarkStart w:id="532" w:name="_Toc337558844"/>
      <w:bookmarkStart w:id="533" w:name="_Toc296346651"/>
      <w:r>
        <w:rPr>
          <w:rFonts w:ascii="Times New Roman" w:hAnsi="Times New Roman" w:eastAsia="黑体"/>
          <w:b w:val="0"/>
          <w:color w:val="000000"/>
          <w:sz w:val="30"/>
          <w:szCs w:val="32"/>
          <w:highlight w:val="none"/>
        </w:rPr>
        <w:t>20.4仲裁或诉讼</w:t>
      </w:r>
      <w:bookmarkEnd w:id="530"/>
    </w:p>
    <w:bookmarkEnd w:id="531"/>
    <w:bookmarkEnd w:id="532"/>
    <w:bookmarkEnd w:id="53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因合同及合同有关事项产生的争议，合同当事人可以在专用合同条款中约定以下一种方式解决争议：</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（1）向约定的仲裁委员会申请仲裁；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（2）向有管辖权的人民法院起诉。</w:t>
      </w:r>
    </w:p>
    <w:p>
      <w:pPr>
        <w:pStyle w:val="7"/>
        <w:spacing w:before="120" w:after="120" w:line="360" w:lineRule="auto"/>
        <w:ind w:firstLine="600" w:firstLineChars="200"/>
        <w:rPr>
          <w:rFonts w:ascii="Times New Roman" w:hAnsi="Times New Roman" w:eastAsia="黑体"/>
          <w:b w:val="0"/>
          <w:color w:val="000000"/>
          <w:sz w:val="30"/>
          <w:szCs w:val="32"/>
          <w:highlight w:val="none"/>
        </w:rPr>
      </w:pPr>
      <w:bookmarkStart w:id="534" w:name="_Toc351203631"/>
      <w:bookmarkStart w:id="535" w:name="_Toc296346653"/>
      <w:bookmarkStart w:id="536" w:name="_Toc296503152"/>
      <w:bookmarkStart w:id="537" w:name="_Toc337558845"/>
      <w:r>
        <w:rPr>
          <w:rFonts w:ascii="Times New Roman" w:hAnsi="Times New Roman" w:eastAsia="黑体"/>
          <w:b w:val="0"/>
          <w:color w:val="000000"/>
          <w:sz w:val="30"/>
          <w:szCs w:val="32"/>
          <w:highlight w:val="none"/>
        </w:rPr>
        <w:t>20.5争议解决条款效力</w:t>
      </w:r>
      <w:bookmarkEnd w:id="534"/>
    </w:p>
    <w:bookmarkEnd w:id="535"/>
    <w:bookmarkEnd w:id="536"/>
    <w:bookmarkEnd w:id="53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合同有关争议解决的条款独立存在，合同的变更、解除、终止、无效或者被撤销均不影响其效力。 </w:t>
      </w:r>
    </w:p>
    <w:p>
      <w:pPr>
        <w:pStyle w:val="4"/>
        <w:jc w:val="center"/>
        <w:rPr>
          <w:rFonts w:ascii="华文中宋" w:hAnsi="华文中宋" w:eastAsia="华文中宋"/>
          <w:sz w:val="44"/>
          <w:szCs w:val="44"/>
          <w:highlight w:val="none"/>
        </w:rPr>
      </w:pPr>
      <w:bookmarkStart w:id="538" w:name="_Toc351203632"/>
      <w:r>
        <w:rPr>
          <w:rFonts w:ascii="华文中宋" w:hAnsi="华文中宋" w:eastAsia="华文中宋"/>
          <w:sz w:val="44"/>
          <w:szCs w:val="44"/>
          <w:highlight w:val="none"/>
        </w:rPr>
        <w:br w:type="page"/>
      </w:r>
      <w:r>
        <w:rPr>
          <w:rFonts w:ascii="华文中宋" w:hAnsi="华文中宋" w:eastAsia="华文中宋"/>
          <w:sz w:val="44"/>
          <w:szCs w:val="44"/>
          <w:highlight w:val="none"/>
        </w:rPr>
        <w:t xml:space="preserve">第三部分 </w:t>
      </w:r>
      <w:r>
        <w:rPr>
          <w:rFonts w:hint="eastAsia" w:ascii="华文中宋" w:hAnsi="华文中宋" w:eastAsia="华文中宋"/>
          <w:sz w:val="44"/>
          <w:szCs w:val="44"/>
          <w:highlight w:val="none"/>
        </w:rPr>
        <w:t>专用合同条款</w:t>
      </w:r>
      <w:bookmarkEnd w:id="538"/>
    </w:p>
    <w:p>
      <w:pPr>
        <w:pStyle w:val="6"/>
        <w:spacing w:before="120" w:after="120" w:line="360" w:lineRule="auto"/>
        <w:rPr>
          <w:rFonts w:ascii="Times New Roman" w:hAnsi="Times New Roman" w:eastAsia="黑体"/>
          <w:b w:val="0"/>
          <w:color w:val="000000"/>
          <w:sz w:val="32"/>
          <w:szCs w:val="32"/>
          <w:highlight w:val="none"/>
        </w:rPr>
      </w:pPr>
      <w:bookmarkStart w:id="539" w:name="_Toc351203633"/>
      <w:r>
        <w:rPr>
          <w:rFonts w:ascii="Times New Roman" w:hAnsi="Times New Roman" w:eastAsia="黑体"/>
          <w:b w:val="0"/>
          <w:color w:val="000000"/>
          <w:sz w:val="32"/>
          <w:szCs w:val="32"/>
          <w:highlight w:val="none"/>
        </w:rPr>
        <w:t>1</w:t>
      </w:r>
      <w:bookmarkStart w:id="540" w:name="_Toc292559361"/>
      <w:bookmarkStart w:id="541" w:name="_Toc296890984"/>
      <w:bookmarkStart w:id="542" w:name="_Toc296503156"/>
      <w:bookmarkStart w:id="543" w:name="_Toc297048342"/>
      <w:bookmarkStart w:id="544" w:name="_Toc296347155"/>
      <w:bookmarkStart w:id="545" w:name="_Toc296944495"/>
      <w:bookmarkStart w:id="546" w:name="_Toc296891196"/>
      <w:bookmarkStart w:id="547" w:name="_Toc292559866"/>
      <w:bookmarkStart w:id="548" w:name="_Toc297120456"/>
      <w:bookmarkStart w:id="549" w:name="_Toc296346657"/>
      <w:r>
        <w:rPr>
          <w:rFonts w:ascii="Times New Roman" w:hAnsi="Times New Roman" w:eastAsia="黑体"/>
          <w:b w:val="0"/>
          <w:color w:val="000000"/>
          <w:sz w:val="32"/>
          <w:szCs w:val="32"/>
          <w:highlight w:val="none"/>
        </w:rPr>
        <w:t>. 一般约定</w:t>
      </w:r>
      <w:bookmarkEnd w:id="539"/>
    </w:p>
    <w:bookmarkEnd w:id="540"/>
    <w:bookmarkEnd w:id="541"/>
    <w:bookmarkEnd w:id="542"/>
    <w:bookmarkEnd w:id="543"/>
    <w:bookmarkEnd w:id="544"/>
    <w:bookmarkEnd w:id="545"/>
    <w:bookmarkEnd w:id="546"/>
    <w:bookmarkEnd w:id="547"/>
    <w:bookmarkEnd w:id="548"/>
    <w:bookmarkEnd w:id="549"/>
    <w:p>
      <w:pPr>
        <w:spacing w:after="120" w:line="360" w:lineRule="auto"/>
        <w:ind w:firstLine="600" w:firstLineChars="200"/>
        <w:outlineLvl w:val="0"/>
        <w:rPr>
          <w:rFonts w:ascii="Times New Roman" w:hAnsi="Times New Roman" w:eastAsia="黑体"/>
          <w:color w:val="000000"/>
          <w:sz w:val="30"/>
          <w:szCs w:val="32"/>
          <w:highlight w:val="none"/>
        </w:rPr>
      </w:pPr>
      <w:bookmarkStart w:id="550" w:name="_Toc28489"/>
      <w:bookmarkStart w:id="551" w:name="_Toc6001"/>
      <w:r>
        <w:rPr>
          <w:rFonts w:ascii="Times New Roman" w:hAnsi="Times New Roman" w:eastAsia="黑体"/>
          <w:color w:val="000000"/>
          <w:sz w:val="30"/>
          <w:szCs w:val="32"/>
          <w:highlight w:val="none"/>
        </w:rPr>
        <w:t>1.1 词语定义</w:t>
      </w:r>
      <w:bookmarkEnd w:id="550"/>
      <w:bookmarkEnd w:id="551"/>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1.1.1合同</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1.1.1.10其他合同文件包括：</w:t>
      </w:r>
      <w:r>
        <w:rPr>
          <w:rFonts w:ascii="Times New Roman" w:hAnsi="Times New Roman" w:eastAsia="仿宋_GB2312"/>
          <w:color w:val="000000"/>
          <w:sz w:val="30"/>
          <w:szCs w:val="32"/>
          <w:highlight w:val="none"/>
          <w:u w:val="single"/>
        </w:rPr>
        <w:t xml:space="preserve">                      </w:t>
      </w:r>
    </w:p>
    <w:p>
      <w:pPr>
        <w:spacing w:line="360" w:lineRule="auto"/>
        <w:ind w:left="1650" w:hanging="1650" w:hangingChars="550"/>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ind w:left="1650" w:hanging="1650" w:hangingChars="550"/>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1.1.2 合同当事人及其他相关方</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1.1.2.4监理人：</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名    称：</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资质类别和等级：</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联系电话：</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电子信箱：</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通信地址：</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1.1.2.5 设计人：</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名    称：</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资质类别和等级：</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联系电话：</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电子信箱：</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通信地址：</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1.1.3 工程和设备</w:t>
      </w:r>
    </w:p>
    <w:p>
      <w:pPr>
        <w:spacing w:line="360" w:lineRule="auto"/>
        <w:ind w:firstLine="600" w:firstLineChars="200"/>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1.1.3.7 作为施工现场组成部分的其他场所包括：</w:t>
      </w:r>
      <w:r>
        <w:rPr>
          <w:rFonts w:hint="eastAsia" w:ascii="Times New Roman" w:hAnsi="Times New Roman" w:eastAsia="仿宋_GB2312"/>
          <w:color w:val="000000"/>
          <w:sz w:val="30"/>
          <w:szCs w:val="32"/>
          <w:highlight w:val="none"/>
          <w:u w:val="single"/>
        </w:rPr>
        <w:t xml:space="preserve">           </w:t>
      </w:r>
    </w:p>
    <w:p>
      <w:pPr>
        <w:spacing w:line="360" w:lineRule="auto"/>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1.1.3.9 永久占地包括：</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1.1.3.10 临时占地包括：</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kern w:val="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 xml:space="preserve">1.3法律 </w:t>
      </w:r>
    </w:p>
    <w:p>
      <w:pPr>
        <w:autoSpaceDE w:val="0"/>
        <w:autoSpaceDN w:val="0"/>
        <w:adjustRightInd w:val="0"/>
        <w:spacing w:line="360" w:lineRule="auto"/>
        <w:ind w:left="596" w:leftChars="284"/>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适用于合同的其他规范性文件：</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p>
    <w:p>
      <w:pPr>
        <w:autoSpaceDE w:val="0"/>
        <w:autoSpaceDN w:val="0"/>
        <w:adjustRightInd w:val="0"/>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1.4 标准和规范</w:t>
      </w:r>
    </w:p>
    <w:p>
      <w:pPr>
        <w:spacing w:line="360" w:lineRule="auto"/>
        <w:ind w:left="596" w:leftChars="284"/>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1.4.1适用于工程的标准规范包括：</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 xml:space="preserve"> </w:t>
      </w:r>
    </w:p>
    <w:p>
      <w:pPr>
        <w:spacing w:line="360" w:lineRule="auto"/>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outlineLvl w:val="0"/>
        <w:rPr>
          <w:rFonts w:ascii="Times New Roman" w:hAnsi="Times New Roman" w:eastAsia="仿宋_GB2312"/>
          <w:color w:val="000000"/>
          <w:kern w:val="0"/>
          <w:sz w:val="30"/>
          <w:szCs w:val="32"/>
          <w:highlight w:val="none"/>
          <w:u w:val="single"/>
        </w:rPr>
      </w:pPr>
      <w:bookmarkStart w:id="552" w:name="_Toc4233"/>
      <w:bookmarkStart w:id="553" w:name="_Toc1631"/>
      <w:r>
        <w:rPr>
          <w:rFonts w:ascii="Times New Roman" w:hAnsi="Times New Roman" w:eastAsia="仿宋_GB2312"/>
          <w:color w:val="000000"/>
          <w:kern w:val="0"/>
          <w:sz w:val="30"/>
          <w:szCs w:val="32"/>
          <w:highlight w:val="none"/>
        </w:rPr>
        <w:t>1.4.2 发包人提供国外标准、规范的名称：</w:t>
      </w:r>
      <w:bookmarkEnd w:id="552"/>
      <w:bookmarkEnd w:id="553"/>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p>
    <w:p>
      <w:pPr>
        <w:spacing w:line="360" w:lineRule="auto"/>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发包人提供国外标准、规范的份数：</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发包人提供国外标准、规范的名称：</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left="596" w:leftChars="284"/>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1.4.3发包人对工程的技术标准和功能要求的特殊要求：</w:t>
      </w:r>
    </w:p>
    <w:p>
      <w:pPr>
        <w:spacing w:line="360" w:lineRule="auto"/>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554" w:name="_Toc24370"/>
      <w:bookmarkStart w:id="555" w:name="_Toc9984"/>
      <w:r>
        <w:rPr>
          <w:rFonts w:ascii="Times New Roman" w:hAnsi="Times New Roman" w:eastAsia="黑体"/>
          <w:color w:val="000000"/>
          <w:sz w:val="30"/>
          <w:szCs w:val="32"/>
          <w:highlight w:val="none"/>
        </w:rPr>
        <w:t>1.5 合同文件的优先顺序</w:t>
      </w:r>
      <w:bookmarkEnd w:id="554"/>
      <w:bookmarkEnd w:id="555"/>
    </w:p>
    <w:p>
      <w:pPr>
        <w:spacing w:line="360" w:lineRule="auto"/>
        <w:ind w:firstLine="600" w:firstLineChars="200"/>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合同文件组成及优先顺序为：</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556" w:name="_Toc8781"/>
      <w:bookmarkStart w:id="557" w:name="_Toc21094"/>
      <w:r>
        <w:rPr>
          <w:rFonts w:ascii="Times New Roman" w:hAnsi="Times New Roman" w:eastAsia="黑体"/>
          <w:color w:val="000000"/>
          <w:sz w:val="30"/>
          <w:szCs w:val="32"/>
          <w:highlight w:val="none"/>
        </w:rPr>
        <w:t>1.6 图纸和承包人文件</w:t>
      </w:r>
      <w:bookmarkEnd w:id="556"/>
      <w:bookmarkEnd w:id="557"/>
      <w:r>
        <w:rPr>
          <w:rFonts w:ascii="Times New Roman" w:hAnsi="Times New Roman" w:eastAsia="黑体"/>
          <w:color w:val="000000"/>
          <w:sz w:val="30"/>
          <w:szCs w:val="32"/>
          <w:highlight w:val="none"/>
        </w:rPr>
        <w:tab/>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1.6.1 图纸的提供</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发包人向承包人提供图纸的期限：</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发包人向承包人提供图纸的数量：</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发包人向承包人提供图纸的内容：</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1.6.4 承包人文件</w:t>
      </w:r>
    </w:p>
    <w:p>
      <w:pPr>
        <w:spacing w:line="360" w:lineRule="auto"/>
        <w:ind w:left="596" w:leftChars="284"/>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需要由承包人提供的文件，包括：</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p>
    <w:p>
      <w:pPr>
        <w:spacing w:line="360" w:lineRule="auto"/>
        <w:ind w:left="596" w:leftChars="284"/>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承包人提供的文件的期限为：</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承包人提供的文件的数量为：</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承包人提供的文件的形式为：</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w:t>
      </w:r>
      <w:r>
        <w:rPr>
          <w:rFonts w:hint="eastAsia" w:ascii="Times New Roman" w:hAnsi="Times New Roman" w:eastAsia="仿宋_GB2312"/>
          <w:color w:val="000000"/>
          <w:sz w:val="30"/>
          <w:szCs w:val="32"/>
          <w:highlight w:val="none"/>
        </w:rPr>
        <w:t>审批</w:t>
      </w:r>
      <w:r>
        <w:rPr>
          <w:rFonts w:ascii="Times New Roman" w:hAnsi="Times New Roman" w:eastAsia="仿宋_GB2312"/>
          <w:color w:val="000000"/>
          <w:sz w:val="30"/>
          <w:szCs w:val="32"/>
          <w:highlight w:val="none"/>
        </w:rPr>
        <w:t>承包人文件的期限：</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1.6.5 现场图纸准备</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关于现场图纸准备的约定：</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558" w:name="_Toc26760"/>
      <w:bookmarkStart w:id="559" w:name="_Toc14317"/>
      <w:r>
        <w:rPr>
          <w:rFonts w:ascii="Times New Roman" w:hAnsi="Times New Roman" w:eastAsia="黑体"/>
          <w:color w:val="000000"/>
          <w:sz w:val="30"/>
          <w:szCs w:val="32"/>
          <w:highlight w:val="none"/>
        </w:rPr>
        <w:t>1.7 联络</w:t>
      </w:r>
      <w:bookmarkEnd w:id="558"/>
      <w:bookmarkEnd w:id="559"/>
    </w:p>
    <w:p>
      <w:pPr>
        <w:spacing w:line="360" w:lineRule="auto"/>
        <w:ind w:firstLine="600" w:firstLineChars="200"/>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1.7.1发包人和承包人应当在</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kern w:val="0"/>
          <w:sz w:val="30"/>
          <w:szCs w:val="32"/>
          <w:highlight w:val="none"/>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30"/>
          <w:szCs w:val="32"/>
          <w:highlight w:val="none"/>
        </w:rPr>
        <w:t>。</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1.7.2 发包人接收文件的地点：</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kern w:val="0"/>
          <w:sz w:val="30"/>
          <w:szCs w:val="32"/>
          <w:highlight w:val="none"/>
        </w:rPr>
        <w:t>；</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发包人指定的接收人为：</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kern w:val="0"/>
          <w:sz w:val="30"/>
          <w:szCs w:val="32"/>
          <w:highlight w:val="none"/>
        </w:rPr>
        <w:t>。</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承包人接收文件的地点：</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kern w:val="0"/>
          <w:sz w:val="30"/>
          <w:szCs w:val="32"/>
          <w:highlight w:val="none"/>
        </w:rPr>
        <w:t>；</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承包人指定的接收人为：</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kern w:val="0"/>
          <w:sz w:val="30"/>
          <w:szCs w:val="32"/>
          <w:highlight w:val="none"/>
        </w:rPr>
        <w:t>。</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监理人接收文件的地点：</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kern w:val="0"/>
          <w:sz w:val="30"/>
          <w:szCs w:val="32"/>
          <w:highlight w:val="none"/>
        </w:rPr>
        <w:t>；</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监理人指定的接收人为：</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kern w:val="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560" w:name="_Toc29666"/>
      <w:bookmarkStart w:id="561" w:name="_Toc15976"/>
      <w:r>
        <w:rPr>
          <w:rFonts w:ascii="Times New Roman" w:hAnsi="Times New Roman" w:eastAsia="黑体"/>
          <w:color w:val="000000"/>
          <w:sz w:val="30"/>
          <w:szCs w:val="32"/>
          <w:highlight w:val="none"/>
        </w:rPr>
        <w:t>1.10 交通运输</w:t>
      </w:r>
      <w:bookmarkEnd w:id="560"/>
      <w:bookmarkEnd w:id="561"/>
    </w:p>
    <w:p>
      <w:pPr>
        <w:spacing w:line="360" w:lineRule="auto"/>
        <w:ind w:firstLine="600" w:firstLineChars="200"/>
        <w:outlineLvl w:val="0"/>
        <w:rPr>
          <w:rFonts w:ascii="Times New Roman" w:hAnsi="Times New Roman" w:eastAsia="仿宋_GB2312"/>
          <w:sz w:val="30"/>
          <w:szCs w:val="32"/>
          <w:highlight w:val="none"/>
        </w:rPr>
      </w:pPr>
      <w:bookmarkStart w:id="562" w:name="_Toc4162"/>
      <w:bookmarkStart w:id="563" w:name="_Toc15506"/>
      <w:r>
        <w:rPr>
          <w:rFonts w:ascii="Times New Roman" w:hAnsi="Times New Roman" w:eastAsia="仿宋_GB2312"/>
          <w:sz w:val="30"/>
          <w:szCs w:val="32"/>
          <w:highlight w:val="none"/>
        </w:rPr>
        <w:t>1</w:t>
      </w:r>
      <w:bookmarkStart w:id="564" w:name="_Toc318581155"/>
      <w:bookmarkStart w:id="565" w:name="_Toc312677986"/>
      <w:bookmarkStart w:id="566" w:name="_Toc300934943"/>
      <w:bookmarkStart w:id="567" w:name="_Toc303539100"/>
      <w:bookmarkStart w:id="568" w:name="_Toc304295521"/>
      <w:r>
        <w:rPr>
          <w:rFonts w:ascii="Times New Roman" w:hAnsi="Times New Roman" w:eastAsia="仿宋_GB2312"/>
          <w:sz w:val="30"/>
          <w:szCs w:val="32"/>
          <w:highlight w:val="none"/>
        </w:rPr>
        <w:t>.10.1 出入现场的权利</w:t>
      </w:r>
      <w:bookmarkEnd w:id="562"/>
      <w:bookmarkEnd w:id="563"/>
    </w:p>
    <w:p>
      <w:pPr>
        <w:spacing w:line="360" w:lineRule="auto"/>
        <w:ind w:left="596" w:leftChars="284"/>
        <w:rPr>
          <w:rFonts w:hint="eastAsia" w:ascii="Times New Roman" w:hAnsi="Times New Roman" w:eastAsia="仿宋_GB2312"/>
          <w:color w:val="000000"/>
          <w:sz w:val="30"/>
          <w:szCs w:val="32"/>
          <w:highlight w:val="none"/>
          <w:u w:val="single"/>
        </w:rPr>
      </w:pPr>
      <w:r>
        <w:rPr>
          <w:rFonts w:ascii="Times New Roman" w:hAnsi="Times New Roman" w:eastAsia="仿宋_GB2312"/>
          <w:sz w:val="30"/>
          <w:szCs w:val="32"/>
          <w:highlight w:val="none"/>
        </w:rPr>
        <w:t>关于出入现场的权利的约定：</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p>
    <w:p>
      <w:pPr>
        <w:spacing w:line="360" w:lineRule="auto"/>
        <w:rPr>
          <w:rFonts w:ascii="Times New Roman" w:hAnsi="Times New Roman" w:eastAsia="仿宋_GB2312"/>
          <w:sz w:val="30"/>
          <w:szCs w:val="32"/>
          <w:highlight w:val="none"/>
        </w:rPr>
      </w:pP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sz w:val="30"/>
          <w:szCs w:val="32"/>
          <w:highlight w:val="none"/>
        </w:rPr>
        <w:t>。</w:t>
      </w:r>
    </w:p>
    <w:bookmarkEnd w:id="564"/>
    <w:bookmarkEnd w:id="565"/>
    <w:bookmarkEnd w:id="566"/>
    <w:bookmarkEnd w:id="567"/>
    <w:bookmarkEnd w:id="568"/>
    <w:p>
      <w:pPr>
        <w:spacing w:line="360" w:lineRule="auto"/>
        <w:ind w:firstLine="600" w:firstLineChars="200"/>
        <w:jc w:val="left"/>
        <w:outlineLvl w:val="0"/>
        <w:rPr>
          <w:rFonts w:ascii="Times New Roman" w:hAnsi="Times New Roman" w:eastAsia="仿宋_GB2312"/>
          <w:sz w:val="30"/>
          <w:szCs w:val="32"/>
          <w:highlight w:val="none"/>
        </w:rPr>
      </w:pPr>
      <w:bookmarkStart w:id="569" w:name="_Toc30899"/>
      <w:bookmarkStart w:id="570" w:name="_Toc26180"/>
      <w:r>
        <w:rPr>
          <w:rFonts w:ascii="Times New Roman" w:hAnsi="Times New Roman" w:eastAsia="仿宋_GB2312"/>
          <w:sz w:val="30"/>
          <w:szCs w:val="32"/>
          <w:highlight w:val="none"/>
        </w:rPr>
        <w:t>1</w:t>
      </w:r>
      <w:bookmarkStart w:id="571" w:name="_Toc300934944"/>
      <w:bookmarkStart w:id="572" w:name="_Toc312677987"/>
      <w:bookmarkStart w:id="573" w:name="_Toc303539101"/>
      <w:bookmarkStart w:id="574" w:name="_Toc318581156"/>
      <w:bookmarkStart w:id="575" w:name="_Toc304295522"/>
      <w:r>
        <w:rPr>
          <w:rFonts w:ascii="Times New Roman" w:hAnsi="Times New Roman" w:eastAsia="仿宋_GB2312"/>
          <w:sz w:val="30"/>
          <w:szCs w:val="32"/>
          <w:highlight w:val="none"/>
        </w:rPr>
        <w:t>.10.3 场内交通</w:t>
      </w:r>
      <w:bookmarkEnd w:id="569"/>
      <w:bookmarkEnd w:id="570"/>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关于场外交通和场内交通的边界的约定：</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关于发包人向承包人免费提供满足工程施工需要的场内道路和交通设施的约定：</w:t>
      </w:r>
      <w:r>
        <w:rPr>
          <w:rFonts w:ascii="Times New Roman" w:hAnsi="Times New Roman" w:eastAsia="仿宋_GB2312"/>
          <w:color w:val="000000"/>
          <w:sz w:val="30"/>
          <w:szCs w:val="32"/>
          <w:highlight w:val="none"/>
          <w:u w:val="single"/>
        </w:rPr>
        <w:t> 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sz w:val="30"/>
          <w:szCs w:val="32"/>
          <w:highlight w:val="none"/>
        </w:rPr>
        <w:t>。</w:t>
      </w:r>
      <w:bookmarkEnd w:id="571"/>
      <w:bookmarkEnd w:id="572"/>
      <w:bookmarkEnd w:id="573"/>
      <w:bookmarkEnd w:id="574"/>
      <w:bookmarkEnd w:id="575"/>
      <w:r>
        <w:rPr>
          <w:rFonts w:ascii="Times New Roman" w:hAnsi="Times New Roman" w:eastAsia="仿宋_GB2312"/>
          <w:sz w:val="30"/>
          <w:szCs w:val="32"/>
          <w:highlight w:val="none"/>
        </w:rPr>
        <w:t xml:space="preserve">  </w:t>
      </w:r>
      <w:bookmarkStart w:id="576" w:name="_Toc318581157"/>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1.10.4超大件和超重件的运输</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运输超大件或超重件所需的道路和桥梁临时加固改造费用和其他有关费用由</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承担。</w:t>
      </w:r>
    </w:p>
    <w:bookmarkEnd w:id="576"/>
    <w:p>
      <w:pPr>
        <w:spacing w:after="120" w:line="360" w:lineRule="auto"/>
        <w:ind w:firstLine="600" w:firstLineChars="200"/>
        <w:outlineLvl w:val="0"/>
        <w:rPr>
          <w:rFonts w:ascii="Times New Roman" w:hAnsi="Times New Roman" w:eastAsia="黑体"/>
          <w:color w:val="000000"/>
          <w:sz w:val="30"/>
          <w:szCs w:val="32"/>
          <w:highlight w:val="none"/>
        </w:rPr>
      </w:pPr>
      <w:bookmarkStart w:id="577" w:name="_Toc23574"/>
      <w:bookmarkStart w:id="578" w:name="_Toc12699"/>
      <w:r>
        <w:rPr>
          <w:rFonts w:ascii="Times New Roman" w:hAnsi="Times New Roman" w:eastAsia="黑体"/>
          <w:color w:val="000000"/>
          <w:sz w:val="30"/>
          <w:szCs w:val="32"/>
          <w:highlight w:val="none"/>
        </w:rPr>
        <w:t>1.11 知识产权</w:t>
      </w:r>
      <w:bookmarkEnd w:id="577"/>
      <w:bookmarkEnd w:id="578"/>
    </w:p>
    <w:p>
      <w:pPr>
        <w:spacing w:line="360" w:lineRule="auto"/>
        <w:ind w:firstLine="600" w:firstLineChars="200"/>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30"/>
          <w:szCs w:val="32"/>
          <w:highlight w:val="none"/>
          <w:u w:val="single"/>
        </w:rPr>
        <w:t>                     </w:t>
      </w:r>
    </w:p>
    <w:p>
      <w:pPr>
        <w:spacing w:line="360" w:lineRule="auto"/>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left="596" w:leftChars="284"/>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关于发包人提供的上述文件的使用限制的要求：</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left="596" w:leftChars="284"/>
        <w:outlineLvl w:val="0"/>
        <w:rPr>
          <w:rFonts w:hint="eastAsia" w:ascii="Times New Roman" w:hAnsi="Times New Roman" w:eastAsia="仿宋_GB2312"/>
          <w:color w:val="000000"/>
          <w:sz w:val="30"/>
          <w:szCs w:val="32"/>
          <w:highlight w:val="none"/>
        </w:rPr>
      </w:pPr>
      <w:bookmarkStart w:id="579" w:name="_Toc30649"/>
      <w:bookmarkStart w:id="580" w:name="_Toc15169"/>
      <w:r>
        <w:rPr>
          <w:rFonts w:ascii="Times New Roman" w:hAnsi="Times New Roman" w:eastAsia="仿宋_GB2312"/>
          <w:color w:val="000000"/>
          <w:sz w:val="30"/>
          <w:szCs w:val="32"/>
          <w:highlight w:val="none"/>
        </w:rPr>
        <w:t>1.11.2 关于承包人为实施工程所编制文件的著作权的归属：</w:t>
      </w:r>
      <w:bookmarkEnd w:id="579"/>
      <w:bookmarkEnd w:id="580"/>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p>
    <w:p>
      <w:pPr>
        <w:spacing w:line="360" w:lineRule="auto"/>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关于承包人提供的上述文件的使用限制的要求：</w:t>
      </w:r>
      <w:r>
        <w:rPr>
          <w:rFonts w:ascii="Times New Roman" w:hAnsi="Times New Roman" w:eastAsia="仿宋_GB2312"/>
          <w:color w:val="000000"/>
          <w:sz w:val="30"/>
          <w:szCs w:val="32"/>
          <w:highlight w:val="none"/>
          <w:u w:val="single"/>
        </w:rPr>
        <w:t>   </w:t>
      </w:r>
    </w:p>
    <w:p>
      <w:pPr>
        <w:spacing w:line="360" w:lineRule="auto"/>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outlineLvl w:val="0"/>
        <w:rPr>
          <w:rFonts w:ascii="Times New Roman" w:hAnsi="Times New Roman" w:eastAsia="仿宋_GB2312"/>
          <w:color w:val="000000"/>
          <w:kern w:val="0"/>
          <w:sz w:val="30"/>
          <w:szCs w:val="32"/>
          <w:highlight w:val="none"/>
        </w:rPr>
      </w:pPr>
      <w:bookmarkStart w:id="581" w:name="_Toc16281"/>
      <w:bookmarkStart w:id="582" w:name="_Toc19584"/>
      <w:r>
        <w:rPr>
          <w:rFonts w:ascii="Times New Roman" w:hAnsi="Times New Roman" w:eastAsia="仿宋_GB2312"/>
          <w:color w:val="000000"/>
          <w:sz w:val="30"/>
          <w:szCs w:val="32"/>
          <w:highlight w:val="none"/>
        </w:rPr>
        <w:t>1.11.4 承包人在施工过程中所采用的专利、专有技术、技术秘密的使用费的承担方式：</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kern w:val="0"/>
          <w:sz w:val="30"/>
          <w:szCs w:val="32"/>
          <w:highlight w:val="none"/>
        </w:rPr>
        <w:t>。</w:t>
      </w:r>
      <w:bookmarkEnd w:id="581"/>
      <w:bookmarkEnd w:id="582"/>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1.13工程量清单错误的修正</w:t>
      </w:r>
    </w:p>
    <w:p>
      <w:pPr>
        <w:spacing w:line="360" w:lineRule="auto"/>
        <w:ind w:firstLine="600" w:firstLineChars="200"/>
        <w:rPr>
          <w:rFonts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rPr>
        <w:t>出现工程量清单错误时，是否调整合同价格：</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kern w:val="0"/>
          <w:sz w:val="30"/>
          <w:szCs w:val="32"/>
          <w:highlight w:val="none"/>
        </w:rPr>
        <w:t>。</w:t>
      </w:r>
    </w:p>
    <w:p>
      <w:pPr>
        <w:spacing w:line="360" w:lineRule="auto"/>
        <w:ind w:firstLine="600" w:firstLineChars="200"/>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允许调整合同价格的工程量偏差范围：</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kern w:val="0"/>
          <w:sz w:val="30"/>
          <w:szCs w:val="32"/>
          <w:highlight w:val="none"/>
        </w:rPr>
        <w:t>。</w:t>
      </w:r>
    </w:p>
    <w:p>
      <w:pPr>
        <w:pStyle w:val="6"/>
        <w:spacing w:before="120" w:after="120" w:line="360" w:lineRule="auto"/>
        <w:rPr>
          <w:rFonts w:ascii="Times New Roman" w:hAnsi="Times New Roman" w:eastAsia="黑体"/>
          <w:b w:val="0"/>
          <w:color w:val="000000"/>
          <w:sz w:val="32"/>
          <w:szCs w:val="32"/>
          <w:highlight w:val="none"/>
        </w:rPr>
      </w:pPr>
      <w:bookmarkStart w:id="583" w:name="_Toc351203634"/>
      <w:r>
        <w:rPr>
          <w:rFonts w:ascii="Times New Roman" w:hAnsi="Times New Roman" w:eastAsia="黑体"/>
          <w:b w:val="0"/>
          <w:color w:val="000000"/>
          <w:sz w:val="32"/>
          <w:szCs w:val="32"/>
          <w:highlight w:val="none"/>
        </w:rPr>
        <w:t>2</w:t>
      </w:r>
      <w:bookmarkStart w:id="584" w:name="_Toc296891197"/>
      <w:bookmarkStart w:id="585" w:name="_Toc296503157"/>
      <w:bookmarkStart w:id="586" w:name="_Toc292559362"/>
      <w:bookmarkStart w:id="587" w:name="_Toc292559867"/>
      <w:bookmarkStart w:id="588" w:name="_Toc296890985"/>
      <w:bookmarkStart w:id="589" w:name="_Toc297120457"/>
      <w:bookmarkStart w:id="590" w:name="_Toc297048343"/>
      <w:bookmarkStart w:id="591" w:name="_Toc296944496"/>
      <w:bookmarkStart w:id="592" w:name="_Toc296347156"/>
      <w:bookmarkStart w:id="593" w:name="_Toc296346658"/>
      <w:r>
        <w:rPr>
          <w:rFonts w:ascii="Times New Roman" w:hAnsi="Times New Roman" w:eastAsia="黑体"/>
          <w:b w:val="0"/>
          <w:color w:val="000000"/>
          <w:sz w:val="32"/>
          <w:szCs w:val="32"/>
          <w:highlight w:val="none"/>
        </w:rPr>
        <w:t>. 发包人</w:t>
      </w:r>
      <w:bookmarkEnd w:id="583"/>
    </w:p>
    <w:bookmarkEnd w:id="584"/>
    <w:bookmarkEnd w:id="585"/>
    <w:bookmarkEnd w:id="586"/>
    <w:bookmarkEnd w:id="587"/>
    <w:bookmarkEnd w:id="588"/>
    <w:bookmarkEnd w:id="589"/>
    <w:bookmarkEnd w:id="590"/>
    <w:bookmarkEnd w:id="591"/>
    <w:bookmarkEnd w:id="592"/>
    <w:bookmarkEnd w:id="593"/>
    <w:p>
      <w:pPr>
        <w:spacing w:after="120" w:line="360" w:lineRule="auto"/>
        <w:ind w:firstLine="600" w:firstLineChars="200"/>
        <w:outlineLvl w:val="0"/>
        <w:rPr>
          <w:rFonts w:ascii="Times New Roman" w:hAnsi="Times New Roman" w:eastAsia="黑体"/>
          <w:color w:val="000000"/>
          <w:sz w:val="30"/>
          <w:szCs w:val="32"/>
          <w:highlight w:val="none"/>
        </w:rPr>
      </w:pPr>
      <w:bookmarkStart w:id="594" w:name="_Toc4879"/>
      <w:bookmarkStart w:id="595" w:name="_Toc31393"/>
      <w:r>
        <w:rPr>
          <w:rFonts w:ascii="Times New Roman" w:hAnsi="Times New Roman" w:eastAsia="黑体"/>
          <w:color w:val="000000"/>
          <w:sz w:val="30"/>
          <w:szCs w:val="32"/>
          <w:highlight w:val="none"/>
        </w:rPr>
        <w:t>2.2 发包人代表</w:t>
      </w:r>
      <w:bookmarkEnd w:id="594"/>
      <w:bookmarkEnd w:id="595"/>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发包人代表：</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姓    名：</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身份证号：</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职    务：</w:t>
      </w:r>
      <w:r>
        <w:rPr>
          <w:rFonts w:ascii="Times New Roman" w:hAnsi="Times New Roman" w:eastAsia="仿宋_GB2312"/>
          <w:color w:val="000000"/>
          <w:sz w:val="30"/>
          <w:szCs w:val="32"/>
          <w:highlight w:val="none"/>
          <w:u w:val="single"/>
        </w:rPr>
        <w:t>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联系电话：</w:t>
      </w:r>
      <w:r>
        <w:rPr>
          <w:rFonts w:ascii="Times New Roman" w:hAnsi="Times New Roman" w:eastAsia="仿宋_GB2312"/>
          <w:color w:val="000000"/>
          <w:sz w:val="30"/>
          <w:szCs w:val="32"/>
          <w:highlight w:val="none"/>
          <w:u w:val="single"/>
        </w:rPr>
        <w:t>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电子信箱：</w:t>
      </w:r>
      <w:r>
        <w:rPr>
          <w:rFonts w:ascii="Times New Roman" w:hAnsi="Times New Roman" w:eastAsia="仿宋_GB2312"/>
          <w:color w:val="000000"/>
          <w:sz w:val="30"/>
          <w:szCs w:val="32"/>
          <w:highlight w:val="none"/>
          <w:u w:val="single"/>
        </w:rPr>
        <w:t>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通信地址：</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发包人对发包人代表的授权范围如下：</w:t>
      </w:r>
      <w:r>
        <w:rPr>
          <w:rFonts w:ascii="Times New Roman" w:hAnsi="Times New Roman" w:eastAsia="仿宋_GB2312"/>
          <w:color w:val="000000"/>
          <w:sz w:val="30"/>
          <w:szCs w:val="32"/>
          <w:highlight w:val="none"/>
          <w:u w:val="single"/>
        </w:rPr>
        <w:t>     </w:t>
      </w:r>
    </w:p>
    <w:p>
      <w:pPr>
        <w:spacing w:line="360" w:lineRule="auto"/>
        <w:rPr>
          <w:rFonts w:ascii="Times New Roman" w:hAnsi="Times New Roman" w:eastAsia="仿宋_GB2312"/>
          <w:b/>
          <w:color w:val="000000"/>
          <w:sz w:val="30"/>
          <w:szCs w:val="32"/>
          <w:highlight w:val="none"/>
        </w:rPr>
      </w:pP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596" w:name="_Toc25879"/>
      <w:bookmarkStart w:id="597" w:name="_Toc17745"/>
      <w:r>
        <w:rPr>
          <w:rFonts w:ascii="Times New Roman" w:hAnsi="Times New Roman" w:eastAsia="黑体"/>
          <w:color w:val="000000"/>
          <w:sz w:val="30"/>
          <w:szCs w:val="32"/>
          <w:highlight w:val="none"/>
        </w:rPr>
        <w:t>2.4 施工现场、施工条件和基础资料的提供</w:t>
      </w:r>
      <w:bookmarkEnd w:id="596"/>
      <w:bookmarkEnd w:id="597"/>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2.4.1 提供施工现场</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关于发包人移交施工现场的期限要求：</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2.4.2 提供施工条件</w:t>
      </w:r>
    </w:p>
    <w:p>
      <w:pPr>
        <w:spacing w:line="360" w:lineRule="auto"/>
        <w:ind w:firstLine="600" w:firstLineChars="200"/>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关于发包人应负责提供施工</w:t>
      </w:r>
      <w:r>
        <w:rPr>
          <w:rFonts w:hint="eastAsia" w:ascii="Times New Roman" w:hAnsi="Times New Roman" w:eastAsia="仿宋_GB2312"/>
          <w:color w:val="000000"/>
          <w:sz w:val="30"/>
          <w:szCs w:val="32"/>
          <w:highlight w:val="none"/>
        </w:rPr>
        <w:t>所需要的条件，</w:t>
      </w:r>
      <w:r>
        <w:rPr>
          <w:rFonts w:ascii="Times New Roman" w:hAnsi="Times New Roman" w:eastAsia="仿宋_GB2312"/>
          <w:color w:val="000000"/>
          <w:sz w:val="30"/>
          <w:szCs w:val="32"/>
          <w:highlight w:val="none"/>
        </w:rPr>
        <w:t>包括：</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598" w:name="_Toc24756"/>
      <w:bookmarkStart w:id="599" w:name="_Toc13817"/>
      <w:r>
        <w:rPr>
          <w:rFonts w:ascii="Times New Roman" w:hAnsi="Times New Roman" w:eastAsia="黑体"/>
          <w:color w:val="000000"/>
          <w:sz w:val="30"/>
          <w:szCs w:val="32"/>
          <w:highlight w:val="none"/>
        </w:rPr>
        <w:t>2.5 资金来源证明及支付担保</w:t>
      </w:r>
      <w:bookmarkEnd w:id="598"/>
      <w:bookmarkEnd w:id="599"/>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发包人提供资金来源证明的期限要求：</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发包人是否提供支付担保：</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发包人提供支付担保的形式：</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pStyle w:val="6"/>
        <w:spacing w:before="120" w:after="120" w:line="360" w:lineRule="auto"/>
        <w:rPr>
          <w:rFonts w:ascii="Times New Roman" w:hAnsi="Times New Roman" w:eastAsia="黑体"/>
          <w:b w:val="0"/>
          <w:color w:val="000000"/>
          <w:sz w:val="32"/>
          <w:szCs w:val="32"/>
          <w:highlight w:val="none"/>
        </w:rPr>
      </w:pPr>
      <w:bookmarkStart w:id="600" w:name="_Toc351203635"/>
      <w:r>
        <w:rPr>
          <w:rFonts w:ascii="Times New Roman" w:hAnsi="Times New Roman" w:eastAsia="黑体"/>
          <w:b w:val="0"/>
          <w:color w:val="000000"/>
          <w:sz w:val="32"/>
          <w:szCs w:val="32"/>
          <w:highlight w:val="none"/>
        </w:rPr>
        <w:t>3</w:t>
      </w:r>
      <w:bookmarkStart w:id="601" w:name="_Toc296891198"/>
      <w:bookmarkStart w:id="602" w:name="_Toc296890986"/>
      <w:bookmarkStart w:id="603" w:name="_Toc292559868"/>
      <w:bookmarkStart w:id="604" w:name="_Toc297048344"/>
      <w:bookmarkStart w:id="605" w:name="_Toc296503158"/>
      <w:bookmarkStart w:id="606" w:name="_Toc297120458"/>
      <w:bookmarkStart w:id="607" w:name="_Toc296347157"/>
      <w:bookmarkStart w:id="608" w:name="_Toc292559363"/>
      <w:bookmarkStart w:id="609" w:name="_Toc296944497"/>
      <w:bookmarkStart w:id="610" w:name="_Toc296346659"/>
      <w:r>
        <w:rPr>
          <w:rFonts w:ascii="Times New Roman" w:hAnsi="Times New Roman" w:eastAsia="黑体"/>
          <w:b w:val="0"/>
          <w:color w:val="000000"/>
          <w:sz w:val="32"/>
          <w:szCs w:val="32"/>
          <w:highlight w:val="none"/>
        </w:rPr>
        <w:t>. 承包人</w:t>
      </w:r>
      <w:bookmarkEnd w:id="600"/>
    </w:p>
    <w:bookmarkEnd w:id="601"/>
    <w:bookmarkEnd w:id="602"/>
    <w:bookmarkEnd w:id="603"/>
    <w:bookmarkEnd w:id="604"/>
    <w:bookmarkEnd w:id="605"/>
    <w:bookmarkEnd w:id="606"/>
    <w:bookmarkEnd w:id="607"/>
    <w:bookmarkEnd w:id="608"/>
    <w:bookmarkEnd w:id="609"/>
    <w:bookmarkEnd w:id="610"/>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3.1 承包人的一般义务</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kern w:val="0"/>
          <w:sz w:val="30"/>
          <w:szCs w:val="32"/>
          <w:highlight w:val="none"/>
        </w:rPr>
        <w:t>（</w:t>
      </w:r>
      <w:r>
        <w:rPr>
          <w:rFonts w:hint="eastAsia" w:ascii="Times New Roman" w:hAnsi="Times New Roman" w:eastAsia="仿宋_GB2312"/>
          <w:color w:val="000000"/>
          <w:kern w:val="0"/>
          <w:sz w:val="30"/>
          <w:szCs w:val="32"/>
          <w:highlight w:val="none"/>
        </w:rPr>
        <w:t>9</w:t>
      </w:r>
      <w:r>
        <w:rPr>
          <w:rFonts w:ascii="Times New Roman" w:hAnsi="Times New Roman" w:eastAsia="仿宋_GB2312"/>
          <w:color w:val="000000"/>
          <w:kern w:val="0"/>
          <w:sz w:val="30"/>
          <w:szCs w:val="32"/>
          <w:highlight w:val="none"/>
        </w:rPr>
        <w:t>）</w:t>
      </w:r>
      <w:r>
        <w:rPr>
          <w:rFonts w:ascii="Times New Roman" w:hAnsi="Times New Roman" w:eastAsia="仿宋_GB2312"/>
          <w:color w:val="000000"/>
          <w:sz w:val="30"/>
          <w:szCs w:val="32"/>
          <w:highlight w:val="none"/>
        </w:rPr>
        <w:t>承包人提交的竣工资料的内容：</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承包人需要提交的竣工资料套数：</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left="638" w:leftChars="304"/>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承包人提交的竣工资料的费用承担：</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left="638" w:leftChars="304"/>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承包人提交的竣工资料移交时间：</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承包人提交的竣工资料形式要求：</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w:t>
      </w:r>
      <w:r>
        <w:rPr>
          <w:rFonts w:hint="eastAsia" w:ascii="Times New Roman" w:hAnsi="Times New Roman" w:eastAsia="仿宋_GB2312"/>
          <w:color w:val="000000"/>
          <w:kern w:val="0"/>
          <w:sz w:val="30"/>
          <w:szCs w:val="32"/>
          <w:highlight w:val="none"/>
        </w:rPr>
        <w:t>10</w:t>
      </w:r>
      <w:r>
        <w:rPr>
          <w:rFonts w:ascii="Times New Roman" w:hAnsi="Times New Roman" w:eastAsia="仿宋_GB2312"/>
          <w:color w:val="000000"/>
          <w:kern w:val="0"/>
          <w:sz w:val="30"/>
          <w:szCs w:val="32"/>
          <w:highlight w:val="none"/>
        </w:rPr>
        <w:t>）承包人应履行的其他义务：</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3.2 项目经理</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 xml:space="preserve">3.2.1 </w:t>
      </w:r>
      <w:r>
        <w:rPr>
          <w:rFonts w:ascii="Times New Roman" w:hAnsi="Times New Roman" w:eastAsia="仿宋_GB2312"/>
          <w:color w:val="000000"/>
          <w:sz w:val="30"/>
          <w:szCs w:val="32"/>
          <w:highlight w:val="none"/>
        </w:rPr>
        <w:t>项目经理：</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姓    名：</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身份证号：</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建造师执业资格等级：</w:t>
      </w:r>
      <w:r>
        <w:rPr>
          <w:rFonts w:ascii="Times New Roman" w:hAnsi="Times New Roman" w:eastAsia="仿宋_GB2312"/>
          <w:color w:val="000000"/>
          <w:sz w:val="30"/>
          <w:szCs w:val="32"/>
          <w:highlight w:val="none"/>
          <w:u w:val="single"/>
        </w:rPr>
        <w:t>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建造师注册证书号：</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建造师执业印章号：</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安全生产考核合格证书号：</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联系电话：</w:t>
      </w:r>
      <w:r>
        <w:rPr>
          <w:rFonts w:ascii="Times New Roman" w:hAnsi="Times New Roman" w:eastAsia="仿宋_GB2312"/>
          <w:color w:val="000000"/>
          <w:sz w:val="30"/>
          <w:szCs w:val="32"/>
          <w:highlight w:val="none"/>
          <w:u w:val="single"/>
        </w:rPr>
        <w:t>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电子信箱：</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通信地址：</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承包人对项目经理的授权范围如下：</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关于项目经理每月在施工现场的时间要求：</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承包人未提交劳动合同，以及没有为项目经理缴纳社会保险证明的违约责任：</w:t>
      </w:r>
      <w:r>
        <w:rPr>
          <w:rFonts w:ascii="Times New Roman" w:hAnsi="Times New Roman" w:eastAsia="仿宋_GB2312"/>
          <w:color w:val="000000"/>
          <w:sz w:val="30"/>
          <w:szCs w:val="32"/>
          <w:highlight w:val="none"/>
          <w:u w:val="single"/>
        </w:rPr>
        <w:t xml:space="preserve">               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u w:val="single"/>
        </w:rPr>
      </w:pPr>
      <w:r>
        <w:rPr>
          <w:rFonts w:ascii="Times New Roman" w:hAnsi="Times New Roman" w:eastAsia="仿宋_GB2312"/>
          <w:color w:val="000000"/>
          <w:kern w:val="0"/>
          <w:sz w:val="30"/>
          <w:szCs w:val="32"/>
          <w:highlight w:val="none"/>
        </w:rPr>
        <w:t>项目经理未经批准，擅自离开施工现场的违约责任：</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sz w:val="30"/>
          <w:szCs w:val="32"/>
          <w:highlight w:val="none"/>
          <w:u w:val="single"/>
        </w:rPr>
        <w:t xml:space="preserve">     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3.2.3 承包人擅自更换项目经理的违约责任：</w:t>
      </w:r>
      <w:r>
        <w:rPr>
          <w:rFonts w:ascii="Times New Roman" w:hAnsi="Times New Roman" w:eastAsia="仿宋_GB2312"/>
          <w:color w:val="000000"/>
          <w:sz w:val="30"/>
          <w:szCs w:val="32"/>
          <w:highlight w:val="none"/>
          <w:u w:val="single"/>
        </w:rPr>
        <w:t xml:space="preserve">              </w:t>
      </w:r>
    </w:p>
    <w:p>
      <w:pPr>
        <w:spacing w:line="360" w:lineRule="auto"/>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outlineLvl w:val="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 xml:space="preserve">    </w:t>
      </w:r>
      <w:bookmarkStart w:id="611" w:name="_Toc16909"/>
      <w:bookmarkStart w:id="612" w:name="_Toc21486"/>
      <w:r>
        <w:rPr>
          <w:rFonts w:ascii="Times New Roman" w:hAnsi="Times New Roman" w:eastAsia="仿宋_GB2312"/>
          <w:color w:val="000000"/>
          <w:sz w:val="30"/>
          <w:szCs w:val="32"/>
          <w:highlight w:val="none"/>
        </w:rPr>
        <w:t>3.2.4 承包人无正当理由拒绝更换项目经理的违约责任：</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bookmarkEnd w:id="611"/>
      <w:bookmarkEnd w:id="612"/>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3.3 承包人人员</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3.3.1 承包人提交项目管理机构及施工现场管理人员安排报告的期限：</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3.3.3 承包人无正当理由拒绝撤换主要施工管理人员的违约责任：</w:t>
      </w:r>
      <w:r>
        <w:rPr>
          <w:rFonts w:ascii="Times New Roman" w:hAnsi="Times New Roman" w:eastAsia="仿宋_GB2312"/>
          <w:color w:val="000000"/>
          <w:sz w:val="30"/>
          <w:szCs w:val="32"/>
          <w:highlight w:val="none"/>
          <w:u w:val="single"/>
        </w:rPr>
        <w:t xml:space="preserve">  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 xml:space="preserve">3.3.4 承包人主要施工管理人员离开施工现场的批准要求：   </w:t>
      </w:r>
      <w:r>
        <w:rPr>
          <w:rFonts w:ascii="Times New Roman" w:hAnsi="Times New Roman" w:eastAsia="仿宋_GB2312"/>
          <w:color w:val="000000"/>
          <w:sz w:val="30"/>
          <w:szCs w:val="32"/>
          <w:highlight w:val="none"/>
          <w:u w:val="single"/>
        </w:rPr>
        <w:t></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3.3.5承包人擅自更换主要施工管理人员的违约责任：</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承包人主要施工管理人员擅自离开施工现场的违约责任：</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3</w:t>
      </w:r>
      <w:bookmarkStart w:id="613" w:name="_Toc296890987"/>
      <w:bookmarkStart w:id="614" w:name="_Toc297216151"/>
      <w:bookmarkStart w:id="615" w:name="_Toc292559869"/>
      <w:bookmarkStart w:id="616" w:name="_Toc297048345"/>
      <w:bookmarkStart w:id="617" w:name="_Toc304295523"/>
      <w:bookmarkStart w:id="618" w:name="_Toc296503159"/>
      <w:bookmarkStart w:id="619" w:name="_Toc312677988"/>
      <w:bookmarkStart w:id="620" w:name="_Toc300934945"/>
      <w:bookmarkStart w:id="621" w:name="_Toc297120459"/>
      <w:bookmarkStart w:id="622" w:name="_Toc296891199"/>
      <w:bookmarkStart w:id="623" w:name="_Toc303539102"/>
      <w:bookmarkStart w:id="624" w:name="_Toc296347158"/>
      <w:bookmarkStart w:id="625" w:name="_Toc297123492"/>
      <w:bookmarkStart w:id="626" w:name="_Toc292559364"/>
      <w:bookmarkStart w:id="627" w:name="_Toc296944498"/>
      <w:bookmarkStart w:id="628" w:name="_Toc296346660"/>
      <w:r>
        <w:rPr>
          <w:rFonts w:ascii="Times New Roman" w:hAnsi="Times New Roman" w:eastAsia="黑体"/>
          <w:color w:val="000000"/>
          <w:sz w:val="30"/>
          <w:szCs w:val="32"/>
          <w:highlight w:val="none"/>
        </w:rPr>
        <w:t>.5 分包</w:t>
      </w:r>
    </w:p>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Pr>
        <w:spacing w:line="360" w:lineRule="auto"/>
        <w:ind w:firstLine="600" w:firstLineChars="200"/>
        <w:rPr>
          <w:rFonts w:ascii="Times New Roman" w:hAnsi="Times New Roman" w:eastAsia="仿宋_GB2312"/>
          <w:sz w:val="30"/>
          <w:szCs w:val="32"/>
          <w:highlight w:val="none"/>
        </w:rPr>
      </w:pPr>
      <w:r>
        <w:rPr>
          <w:rFonts w:ascii="Times New Roman" w:hAnsi="Times New Roman" w:eastAsia="仿宋_GB2312"/>
          <w:sz w:val="30"/>
          <w:szCs w:val="32"/>
          <w:highlight w:val="none"/>
        </w:rPr>
        <w:t>3</w:t>
      </w:r>
      <w:bookmarkStart w:id="629" w:name="_Toc303539103"/>
      <w:bookmarkStart w:id="630" w:name="_Toc296890988"/>
      <w:bookmarkStart w:id="631" w:name="_Toc296891200"/>
      <w:bookmarkStart w:id="632" w:name="_Toc297048346"/>
      <w:bookmarkStart w:id="633" w:name="_Toc296347159"/>
      <w:bookmarkStart w:id="634" w:name="_Toc296944499"/>
      <w:bookmarkStart w:id="635" w:name="_Toc300934946"/>
      <w:bookmarkStart w:id="636" w:name="_Toc297216152"/>
      <w:bookmarkStart w:id="637" w:name="_Toc296503160"/>
      <w:bookmarkStart w:id="638" w:name="_Toc292559365"/>
      <w:bookmarkStart w:id="639" w:name="_Toc296346661"/>
      <w:bookmarkStart w:id="640" w:name="_Toc292559870"/>
      <w:bookmarkStart w:id="641" w:name="_Toc297123493"/>
      <w:bookmarkStart w:id="642" w:name="_Toc304295524"/>
      <w:bookmarkStart w:id="643" w:name="_Toc297120460"/>
      <w:bookmarkStart w:id="644" w:name="_Toc312677989"/>
      <w:bookmarkStart w:id="645" w:name="_Toc318581158"/>
      <w:r>
        <w:rPr>
          <w:rFonts w:ascii="Times New Roman" w:hAnsi="Times New Roman" w:eastAsia="仿宋_GB2312"/>
          <w:sz w:val="30"/>
          <w:szCs w:val="32"/>
          <w:highlight w:val="none"/>
        </w:rPr>
        <w:t>.5.1 分包的一般约定</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禁止分包的工程包括：</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sz w:val="30"/>
          <w:szCs w:val="32"/>
          <w:highlight w:val="none"/>
        </w:rPr>
        <w:t>主体结构、关键性工作的范围：</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Start w:id="646" w:name="_Toc304295525"/>
      <w:bookmarkStart w:id="647" w:name="_Toc303539104"/>
      <w:bookmarkStart w:id="648" w:name="_Toc296891201"/>
      <w:bookmarkStart w:id="649" w:name="_Toc297123494"/>
      <w:bookmarkStart w:id="650" w:name="_Toc300934947"/>
      <w:bookmarkStart w:id="651" w:name="_Toc296944500"/>
      <w:bookmarkStart w:id="652" w:name="_Toc296347160"/>
      <w:bookmarkStart w:id="653" w:name="_Toc297120461"/>
      <w:bookmarkStart w:id="654" w:name="_Toc297216153"/>
      <w:bookmarkStart w:id="655" w:name="_Toc296890989"/>
      <w:bookmarkStart w:id="656" w:name="_Toc296346662"/>
      <w:bookmarkStart w:id="657" w:name="_Toc296503161"/>
      <w:bookmarkStart w:id="658" w:name="_Toc297048347"/>
    </w:p>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Pr>
        <w:spacing w:line="360" w:lineRule="auto"/>
        <w:rPr>
          <w:rFonts w:ascii="Times New Roman" w:hAnsi="Times New Roman" w:eastAsia="仿宋_GB2312"/>
          <w:sz w:val="30"/>
          <w:szCs w:val="32"/>
          <w:highlight w:val="none"/>
        </w:rPr>
      </w:pPr>
      <w:r>
        <w:rPr>
          <w:rFonts w:ascii="Times New Roman" w:hAnsi="Times New Roman" w:eastAsia="仿宋_GB2312"/>
          <w:sz w:val="30"/>
          <w:szCs w:val="32"/>
          <w:highlight w:val="none"/>
        </w:rPr>
        <w:t xml:space="preserve">    3</w:t>
      </w:r>
      <w:bookmarkStart w:id="659" w:name="_Toc312677990"/>
      <w:bookmarkStart w:id="660" w:name="_Toc318581159"/>
      <w:r>
        <w:rPr>
          <w:rFonts w:ascii="Times New Roman" w:hAnsi="Times New Roman" w:eastAsia="仿宋_GB2312"/>
          <w:sz w:val="30"/>
          <w:szCs w:val="32"/>
          <w:highlight w:val="none"/>
        </w:rPr>
        <w:t>.5.2分包的确定</w:t>
      </w:r>
    </w:p>
    <w:p>
      <w:pPr>
        <w:spacing w:line="360" w:lineRule="auto"/>
        <w:ind w:firstLine="600" w:firstLineChars="200"/>
        <w:rPr>
          <w:rFonts w:ascii="Times New Roman" w:hAnsi="Times New Roman" w:eastAsia="仿宋_GB2312"/>
          <w:color w:val="000000"/>
          <w:sz w:val="30"/>
          <w:szCs w:val="32"/>
          <w:highlight w:val="none"/>
          <w:u w:val="single"/>
        </w:rPr>
      </w:pPr>
      <w:r>
        <w:rPr>
          <w:rFonts w:ascii="Times New Roman" w:hAnsi="Times New Roman" w:eastAsia="仿宋_GB2312"/>
          <w:sz w:val="30"/>
          <w:szCs w:val="32"/>
          <w:highlight w:val="none"/>
        </w:rPr>
        <w:t>允许分包的专业工程包括：</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其他关于分包的约定：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rPr>
          <w:rFonts w:ascii="Times New Roman" w:hAnsi="Times New Roman" w:eastAsia="仿宋_GB2312"/>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sz w:val="30"/>
          <w:szCs w:val="32"/>
          <w:highlight w:val="none"/>
        </w:rPr>
      </w:pPr>
      <w:r>
        <w:rPr>
          <w:rFonts w:ascii="Times New Roman" w:hAnsi="Times New Roman" w:eastAsia="仿宋_GB2312"/>
          <w:sz w:val="30"/>
          <w:szCs w:val="32"/>
          <w:highlight w:val="none"/>
        </w:rPr>
        <w:t>3.5.4 分包合同价款</w:t>
      </w:r>
    </w:p>
    <w:p>
      <w:pPr>
        <w:spacing w:line="360" w:lineRule="auto"/>
        <w:ind w:firstLine="600" w:firstLineChars="200"/>
        <w:rPr>
          <w:rFonts w:ascii="Times New Roman" w:hAnsi="Times New Roman" w:eastAsia="仿宋_GB2312"/>
          <w:sz w:val="30"/>
          <w:szCs w:val="32"/>
          <w:highlight w:val="none"/>
        </w:rPr>
      </w:pPr>
      <w:r>
        <w:rPr>
          <w:rFonts w:ascii="Times New Roman" w:hAnsi="Times New Roman" w:eastAsia="仿宋_GB2312"/>
          <w:sz w:val="30"/>
          <w:szCs w:val="32"/>
          <w:highlight w:val="none"/>
        </w:rPr>
        <w:t>关于分包合同价款支付的约定：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bookmarkEnd w:id="659"/>
    <w:bookmarkEnd w:id="660"/>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3.6 工程照管与成品、半成品保护</w:t>
      </w:r>
    </w:p>
    <w:p>
      <w:pPr>
        <w:spacing w:before="120" w:after="120" w:line="360" w:lineRule="auto"/>
        <w:ind w:firstLine="600" w:firstLineChars="200"/>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rPr>
        <w:t>承包人负责照管工程及工程相关的材料、工程设备的起始时间：</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3.7 履约担保</w:t>
      </w:r>
    </w:p>
    <w:p>
      <w:pPr>
        <w:spacing w:line="360" w:lineRule="auto"/>
        <w:ind w:firstLine="600" w:firstLineChars="200"/>
        <w:jc w:val="left"/>
        <w:rPr>
          <w:rFonts w:hint="eastAsia"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rPr>
        <w:t>承包人是否提供履约担保：</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承包人提供履约担保的形式</w:t>
      </w:r>
      <w:r>
        <w:rPr>
          <w:rFonts w:hint="eastAsia" w:ascii="Times New Roman" w:hAnsi="Times New Roman" w:eastAsia="仿宋_GB2312"/>
          <w:color w:val="000000"/>
          <w:sz w:val="30"/>
          <w:szCs w:val="32"/>
          <w:highlight w:val="none"/>
        </w:rPr>
        <w:t>、金额及期限的</w:t>
      </w:r>
      <w:r>
        <w:rPr>
          <w:rFonts w:ascii="Times New Roman" w:hAnsi="Times New Roman" w:eastAsia="仿宋_GB2312"/>
          <w:color w:val="000000"/>
          <w:sz w:val="30"/>
          <w:szCs w:val="32"/>
          <w:highlight w:val="none"/>
        </w:rPr>
        <w:t>：</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pStyle w:val="6"/>
        <w:spacing w:before="120" w:after="120" w:line="360" w:lineRule="auto"/>
        <w:rPr>
          <w:rFonts w:ascii="Times New Roman" w:hAnsi="Times New Roman" w:eastAsia="黑体"/>
          <w:b w:val="0"/>
          <w:color w:val="000000"/>
          <w:sz w:val="32"/>
          <w:szCs w:val="32"/>
          <w:highlight w:val="none"/>
        </w:rPr>
      </w:pPr>
      <w:bookmarkStart w:id="661" w:name="_Toc351203636"/>
      <w:r>
        <w:rPr>
          <w:rFonts w:ascii="Times New Roman" w:hAnsi="Times New Roman" w:eastAsia="黑体"/>
          <w:b w:val="0"/>
          <w:color w:val="000000"/>
          <w:sz w:val="32"/>
          <w:szCs w:val="32"/>
          <w:highlight w:val="none"/>
        </w:rPr>
        <w:t>4</w:t>
      </w:r>
      <w:bookmarkStart w:id="662" w:name="_Toc296944501"/>
      <w:bookmarkStart w:id="663" w:name="_Toc296891202"/>
      <w:bookmarkStart w:id="664" w:name="_Toc296346663"/>
      <w:bookmarkStart w:id="665" w:name="_Toc292559366"/>
      <w:bookmarkStart w:id="666" w:name="_Toc297120462"/>
      <w:bookmarkStart w:id="667" w:name="_Toc296890990"/>
      <w:bookmarkStart w:id="668" w:name="_Toc292559871"/>
      <w:bookmarkStart w:id="669" w:name="_Toc297048348"/>
      <w:bookmarkStart w:id="670" w:name="_Toc296347161"/>
      <w:bookmarkStart w:id="671" w:name="_Toc296503162"/>
      <w:bookmarkStart w:id="672" w:name="_Toc267251413"/>
      <w:r>
        <w:rPr>
          <w:rFonts w:ascii="Times New Roman" w:hAnsi="Times New Roman" w:eastAsia="黑体"/>
          <w:b w:val="0"/>
          <w:color w:val="000000"/>
          <w:sz w:val="32"/>
          <w:szCs w:val="32"/>
          <w:highlight w:val="none"/>
        </w:rPr>
        <w:t>. 监</w:t>
      </w:r>
      <w:bookmarkEnd w:id="662"/>
      <w:bookmarkEnd w:id="663"/>
      <w:bookmarkEnd w:id="664"/>
      <w:bookmarkEnd w:id="665"/>
      <w:bookmarkEnd w:id="666"/>
      <w:bookmarkEnd w:id="667"/>
      <w:bookmarkEnd w:id="668"/>
      <w:bookmarkEnd w:id="669"/>
      <w:bookmarkEnd w:id="670"/>
      <w:bookmarkEnd w:id="671"/>
      <w:bookmarkEnd w:id="672"/>
      <w:r>
        <w:rPr>
          <w:rFonts w:ascii="Times New Roman" w:hAnsi="Times New Roman" w:eastAsia="黑体"/>
          <w:b w:val="0"/>
          <w:color w:val="000000"/>
          <w:sz w:val="32"/>
          <w:szCs w:val="32"/>
          <w:highlight w:val="none"/>
        </w:rPr>
        <w:t>理人</w:t>
      </w:r>
      <w:bookmarkEnd w:id="661"/>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4.1监理人的一般规定</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关于监理人的监理内容：</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关于监理人的监理权限：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p>
    <w:p>
      <w:pPr>
        <w:spacing w:line="360" w:lineRule="auto"/>
        <w:ind w:firstLine="600" w:firstLineChars="200"/>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关于监理人在施工现场的办公场所、生活场所的提供和费用承担的约定：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p>
    <w:p>
      <w:pPr>
        <w:spacing w:line="360" w:lineRule="auto"/>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4.2 监理人员</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总监理工程师：</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姓    名：</w:t>
      </w:r>
      <w:r>
        <w:rPr>
          <w:rFonts w:ascii="Times New Roman" w:hAnsi="Times New Roman" w:eastAsia="仿宋_GB2312"/>
          <w:color w:val="000000"/>
          <w:sz w:val="30"/>
          <w:szCs w:val="32"/>
          <w:highlight w:val="none"/>
          <w:u w:val="single"/>
        </w:rPr>
        <w:t>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职    务：</w:t>
      </w:r>
      <w:r>
        <w:rPr>
          <w:rFonts w:ascii="Times New Roman" w:hAnsi="Times New Roman" w:eastAsia="仿宋_GB2312"/>
          <w:color w:val="000000"/>
          <w:sz w:val="30"/>
          <w:szCs w:val="32"/>
          <w:highlight w:val="none"/>
          <w:u w:val="single"/>
        </w:rPr>
        <w:t>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监理工程师执业资格证书号：</w:t>
      </w:r>
      <w:r>
        <w:rPr>
          <w:rFonts w:ascii="Times New Roman" w:hAnsi="Times New Roman" w:eastAsia="仿宋_GB2312"/>
          <w:color w:val="000000"/>
          <w:sz w:val="30"/>
          <w:szCs w:val="32"/>
          <w:highlight w:val="none"/>
          <w:u w:val="single"/>
        </w:rPr>
        <w:t>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联系电话：</w:t>
      </w:r>
      <w:r>
        <w:rPr>
          <w:rFonts w:ascii="Times New Roman" w:hAnsi="Times New Roman" w:eastAsia="仿宋_GB2312"/>
          <w:color w:val="000000"/>
          <w:sz w:val="30"/>
          <w:szCs w:val="32"/>
          <w:highlight w:val="none"/>
          <w:u w:val="single"/>
        </w:rPr>
        <w:t>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电子信箱：</w:t>
      </w:r>
      <w:r>
        <w:rPr>
          <w:rFonts w:ascii="Times New Roman" w:hAnsi="Times New Roman" w:eastAsia="仿宋_GB2312"/>
          <w:color w:val="000000"/>
          <w:sz w:val="30"/>
          <w:szCs w:val="32"/>
          <w:highlight w:val="none"/>
          <w:u w:val="single"/>
        </w:rPr>
        <w:t>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通信地址：</w:t>
      </w:r>
      <w:r>
        <w:rPr>
          <w:rFonts w:ascii="Times New Roman" w:hAnsi="Times New Roman" w:eastAsia="仿宋_GB2312"/>
          <w:color w:val="000000"/>
          <w:sz w:val="30"/>
          <w:szCs w:val="32"/>
          <w:highlight w:val="none"/>
          <w:u w:val="single"/>
        </w:rPr>
        <w:t>   </w:t>
      </w:r>
      <w:r>
        <w:rPr>
          <w:rFonts w:ascii="Times New Roman" w:hAnsi="Times New Roman" w:eastAsia="仿宋_GB2312"/>
          <w:color w:val="000000"/>
          <w:sz w:val="30"/>
          <w:szCs w:val="32"/>
          <w:highlight w:val="none"/>
        </w:rPr>
        <w:t>；</w:t>
      </w:r>
    </w:p>
    <w:p>
      <w:pPr>
        <w:spacing w:line="360" w:lineRule="auto"/>
        <w:ind w:firstLine="600" w:firstLineChars="200"/>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关于监理人的其他约定：</w:t>
      </w:r>
      <w:r>
        <w:rPr>
          <w:rFonts w:ascii="Times New Roman" w:hAnsi="Times New Roman" w:eastAsia="仿宋_GB2312"/>
          <w:color w:val="000000"/>
          <w:sz w:val="30"/>
          <w:szCs w:val="32"/>
          <w:highlight w:val="none"/>
          <w:u w:val="single"/>
        </w:rPr>
        <w:t>  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4.4 商定或确定</w:t>
      </w:r>
    </w:p>
    <w:p>
      <w:pPr>
        <w:spacing w:line="360" w:lineRule="auto"/>
        <w:ind w:firstLine="600" w:firstLineChars="200"/>
        <w:rPr>
          <w:rFonts w:ascii="Times New Roman" w:hAnsi="Times New Roman" w:eastAsia="仿宋_GB2312"/>
          <w:color w:val="000000"/>
          <w:sz w:val="30"/>
          <w:szCs w:val="32"/>
          <w:highlight w:val="none"/>
        </w:rPr>
      </w:pPr>
      <w:bookmarkStart w:id="673" w:name="_Toc267251418"/>
      <w:r>
        <w:rPr>
          <w:rFonts w:ascii="Times New Roman" w:hAnsi="Times New Roman" w:eastAsia="仿宋_GB2312"/>
          <w:color w:val="000000"/>
          <w:sz w:val="30"/>
          <w:szCs w:val="32"/>
          <w:highlight w:val="none"/>
        </w:rPr>
        <w:t>在发包人和承包人不能通过协商达成一致意见时，发包人授权监理人对以下事项进行确定：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pStyle w:val="6"/>
        <w:spacing w:before="120" w:after="120" w:line="360" w:lineRule="auto"/>
        <w:rPr>
          <w:rFonts w:ascii="Times New Roman" w:hAnsi="Times New Roman" w:eastAsia="黑体"/>
          <w:b w:val="0"/>
          <w:color w:val="000000"/>
          <w:sz w:val="32"/>
          <w:szCs w:val="32"/>
          <w:highlight w:val="none"/>
        </w:rPr>
      </w:pPr>
      <w:bookmarkStart w:id="674" w:name="_Toc351203637"/>
      <w:r>
        <w:rPr>
          <w:rFonts w:ascii="Times New Roman" w:hAnsi="Times New Roman" w:eastAsia="黑体"/>
          <w:b w:val="0"/>
          <w:color w:val="000000"/>
          <w:sz w:val="32"/>
          <w:szCs w:val="32"/>
          <w:highlight w:val="none"/>
        </w:rPr>
        <w:t>5</w:t>
      </w:r>
      <w:bookmarkEnd w:id="673"/>
      <w:bookmarkStart w:id="675" w:name="_Toc296346664"/>
      <w:bookmarkStart w:id="676" w:name="_Toc292559872"/>
      <w:bookmarkStart w:id="677" w:name="_Toc297120463"/>
      <w:bookmarkStart w:id="678" w:name="_Toc296891203"/>
      <w:bookmarkStart w:id="679" w:name="_Toc296347162"/>
      <w:bookmarkStart w:id="680" w:name="_Toc297048349"/>
      <w:bookmarkStart w:id="681" w:name="_Toc296503163"/>
      <w:bookmarkStart w:id="682" w:name="_Toc292559367"/>
      <w:bookmarkStart w:id="683" w:name="_Toc296944502"/>
      <w:bookmarkStart w:id="684" w:name="_Toc296890991"/>
      <w:r>
        <w:rPr>
          <w:rFonts w:ascii="Times New Roman" w:hAnsi="Times New Roman" w:eastAsia="黑体"/>
          <w:b w:val="0"/>
          <w:color w:val="000000"/>
          <w:sz w:val="32"/>
          <w:szCs w:val="32"/>
          <w:highlight w:val="none"/>
        </w:rPr>
        <w:t>. 工程质量</w:t>
      </w:r>
      <w:bookmarkEnd w:id="674"/>
    </w:p>
    <w:p>
      <w:pPr>
        <w:spacing w:after="120" w:line="360" w:lineRule="auto"/>
        <w:ind w:firstLine="600" w:firstLineChars="200"/>
        <w:outlineLvl w:val="0"/>
        <w:rPr>
          <w:rFonts w:ascii="Times New Roman" w:hAnsi="Times New Roman" w:eastAsia="黑体"/>
          <w:color w:val="000000"/>
          <w:sz w:val="30"/>
          <w:szCs w:val="32"/>
          <w:highlight w:val="none"/>
        </w:rPr>
      </w:pPr>
      <w:bookmarkStart w:id="685" w:name="_Toc21275"/>
      <w:bookmarkStart w:id="686" w:name="_Toc22143"/>
      <w:r>
        <w:rPr>
          <w:rFonts w:ascii="Times New Roman" w:hAnsi="Times New Roman" w:eastAsia="黑体"/>
          <w:color w:val="000000"/>
          <w:sz w:val="30"/>
          <w:szCs w:val="32"/>
          <w:highlight w:val="none"/>
        </w:rPr>
        <w:t>5.1 质量要求</w:t>
      </w:r>
      <w:bookmarkEnd w:id="685"/>
      <w:bookmarkEnd w:id="686"/>
    </w:p>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5</w:t>
      </w:r>
      <w:bookmarkStart w:id="687" w:name="_Toc300934949"/>
      <w:bookmarkStart w:id="688" w:name="_Toc312677997"/>
      <w:bookmarkStart w:id="689" w:name="_Toc303539106"/>
      <w:bookmarkStart w:id="690" w:name="_Toc297123496"/>
      <w:bookmarkStart w:id="691" w:name="_Toc297216155"/>
      <w:bookmarkStart w:id="692" w:name="_Toc318581164"/>
      <w:bookmarkStart w:id="693" w:name="_Toc304295527"/>
      <w:r>
        <w:rPr>
          <w:rFonts w:ascii="Times New Roman" w:hAnsi="Times New Roman" w:eastAsia="仿宋_GB2312"/>
          <w:sz w:val="30"/>
          <w:szCs w:val="32"/>
          <w:highlight w:val="none"/>
        </w:rPr>
        <w:t>.1.1 特殊质量标准和要求：</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关于工程奖项的约定：</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spacing w:line="360" w:lineRule="auto"/>
        <w:jc w:val="left"/>
        <w:rPr>
          <w:rFonts w:hint="eastAsia" w:ascii="Times New Roman" w:hAnsi="Times New Roman" w:eastAsia="黑体"/>
          <w:color w:val="000000"/>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694" w:name="_Toc20162"/>
      <w:bookmarkStart w:id="695" w:name="_Toc20934"/>
      <w:r>
        <w:rPr>
          <w:rFonts w:ascii="Times New Roman" w:hAnsi="Times New Roman" w:eastAsia="黑体"/>
          <w:color w:val="000000"/>
          <w:sz w:val="30"/>
          <w:szCs w:val="32"/>
          <w:highlight w:val="none"/>
        </w:rPr>
        <w:t>5.3 隐蔽工程检查</w:t>
      </w:r>
      <w:bookmarkEnd w:id="694"/>
      <w:bookmarkEnd w:id="695"/>
    </w:p>
    <w:p>
      <w:pPr>
        <w:spacing w:line="360" w:lineRule="auto"/>
        <w:ind w:firstLine="600" w:firstLineChars="200"/>
        <w:jc w:val="left"/>
        <w:rPr>
          <w:rFonts w:ascii="Times New Roman" w:hAnsi="Times New Roman" w:eastAsia="仿宋_GB2312"/>
          <w:sz w:val="30"/>
          <w:szCs w:val="32"/>
          <w:highlight w:val="none"/>
          <w:u w:val="single"/>
        </w:rPr>
      </w:pPr>
      <w:r>
        <w:rPr>
          <w:rFonts w:ascii="Times New Roman" w:hAnsi="Times New Roman" w:eastAsia="仿宋_GB2312"/>
          <w:sz w:val="30"/>
          <w:szCs w:val="32"/>
          <w:highlight w:val="none"/>
        </w:rPr>
        <w:t>5.3.2承包人提前通知监理人隐蔽工程检查的期限的约定：</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监理人不能按时进行检查时，应提前</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小时提交书面延期要求。</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关于延期最长不得超过：</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小时。</w:t>
      </w:r>
    </w:p>
    <w:p>
      <w:pPr>
        <w:pStyle w:val="6"/>
        <w:spacing w:before="120" w:after="120" w:line="360" w:lineRule="auto"/>
        <w:rPr>
          <w:rFonts w:ascii="Times New Roman" w:hAnsi="Times New Roman" w:eastAsia="黑体"/>
          <w:b w:val="0"/>
          <w:color w:val="000000"/>
          <w:sz w:val="32"/>
          <w:szCs w:val="32"/>
          <w:highlight w:val="none"/>
        </w:rPr>
      </w:pPr>
      <w:bookmarkStart w:id="696" w:name="_Toc351203638"/>
      <w:r>
        <w:rPr>
          <w:rFonts w:ascii="Times New Roman" w:hAnsi="Times New Roman" w:eastAsia="黑体"/>
          <w:b w:val="0"/>
          <w:color w:val="000000"/>
          <w:sz w:val="32"/>
          <w:szCs w:val="32"/>
          <w:highlight w:val="none"/>
        </w:rPr>
        <w:t>6. 安全文明施工与环境保护</w:t>
      </w:r>
      <w:bookmarkEnd w:id="696"/>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6.1安全文明施工</w:t>
      </w:r>
    </w:p>
    <w:p>
      <w:pPr>
        <w:spacing w:line="360" w:lineRule="auto"/>
        <w:ind w:firstLine="600" w:firstLineChars="200"/>
        <w:jc w:val="left"/>
        <w:rPr>
          <w:rFonts w:ascii="Times New Roman" w:hAnsi="Times New Roman" w:eastAsia="仿宋_GB2312"/>
          <w:sz w:val="30"/>
          <w:szCs w:val="32"/>
          <w:highlight w:val="none"/>
          <w:u w:val="single"/>
        </w:rPr>
      </w:pPr>
      <w:r>
        <w:rPr>
          <w:rFonts w:ascii="Times New Roman" w:hAnsi="Times New Roman" w:eastAsia="仿宋_GB2312"/>
          <w:sz w:val="30"/>
          <w:szCs w:val="32"/>
          <w:highlight w:val="none"/>
        </w:rPr>
        <w:t>6.1.1</w:t>
      </w:r>
      <w:r>
        <w:rPr>
          <w:rFonts w:ascii="Times New Roman" w:hAnsi="Times New Roman" w:eastAsia="仿宋_GB2312"/>
          <w:color w:val="000000"/>
          <w:sz w:val="30"/>
          <w:szCs w:val="32"/>
          <w:highlight w:val="none"/>
        </w:rPr>
        <w:t xml:space="preserve"> 项目安全生产的达标目标及相应事项的约定：</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sz w:val="30"/>
          <w:szCs w:val="32"/>
          <w:highlight w:val="none"/>
          <w:u w:val="single"/>
        </w:rPr>
      </w:pPr>
      <w:r>
        <w:rPr>
          <w:rFonts w:ascii="Times New Roman" w:hAnsi="Times New Roman" w:eastAsia="仿宋_GB2312"/>
          <w:sz w:val="30"/>
          <w:szCs w:val="32"/>
          <w:highlight w:val="none"/>
        </w:rPr>
        <w:t>6.1.4 关于治安保卫的特别约定：</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hint="eastAsia" w:ascii="Times New Roman" w:hAnsi="Times New Roman" w:eastAsia="仿宋_GB2312"/>
          <w:sz w:val="30"/>
          <w:szCs w:val="32"/>
          <w:highlight w:val="none"/>
        </w:rPr>
      </w:pPr>
      <w:r>
        <w:rPr>
          <w:rFonts w:ascii="Times New Roman" w:hAnsi="Times New Roman" w:eastAsia="仿宋_GB2312"/>
          <w:sz w:val="30"/>
          <w:szCs w:val="32"/>
          <w:highlight w:val="none"/>
        </w:rPr>
        <w:t>关于编制施工场地治安管理计划的约定：</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br w:type="textWrapping"/>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hint="eastAsia" w:ascii="Times New Roman" w:hAnsi="Times New Roman" w:eastAsia="仿宋_GB2312"/>
          <w:sz w:val="30"/>
          <w:szCs w:val="32"/>
          <w:highlight w:val="none"/>
        </w:rPr>
      </w:pPr>
      <w:r>
        <w:rPr>
          <w:rFonts w:hint="eastAsia" w:ascii="Times New Roman" w:hAnsi="Times New Roman" w:eastAsia="仿宋_GB2312"/>
          <w:sz w:val="30"/>
          <w:szCs w:val="32"/>
          <w:highlight w:val="none"/>
        </w:rPr>
        <w:t>6.1.5 文明施工</w:t>
      </w:r>
    </w:p>
    <w:p>
      <w:pPr>
        <w:spacing w:line="360" w:lineRule="auto"/>
        <w:ind w:firstLine="600" w:firstLineChars="200"/>
        <w:jc w:val="left"/>
        <w:rPr>
          <w:rFonts w:hint="eastAsia" w:ascii="Times New Roman" w:hAnsi="Times New Roman" w:eastAsia="仿宋_GB2312"/>
          <w:sz w:val="30"/>
          <w:szCs w:val="32"/>
          <w:highlight w:val="none"/>
          <w:u w:val="single"/>
        </w:rPr>
      </w:pPr>
      <w:r>
        <w:rPr>
          <w:rFonts w:hint="eastAsia" w:ascii="Times New Roman" w:hAnsi="Times New Roman" w:eastAsia="仿宋_GB2312"/>
          <w:sz w:val="30"/>
          <w:szCs w:val="32"/>
          <w:highlight w:val="none"/>
        </w:rPr>
        <w:t>合同当事人对文明施工的要求：</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hint="eastAsia"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rPr>
        <w:t>。</w:t>
      </w:r>
    </w:p>
    <w:p>
      <w:pPr>
        <w:spacing w:line="360" w:lineRule="auto"/>
        <w:ind w:firstLine="600" w:firstLineChars="200"/>
        <w:jc w:val="left"/>
        <w:rPr>
          <w:rFonts w:hint="eastAsia" w:ascii="Times New Roman" w:hAnsi="Times New Roman" w:eastAsia="仿宋_GB2312"/>
          <w:sz w:val="30"/>
          <w:szCs w:val="32"/>
          <w:highlight w:val="none"/>
        </w:rPr>
      </w:pPr>
      <w:r>
        <w:rPr>
          <w:rFonts w:ascii="Times New Roman" w:hAnsi="Times New Roman" w:eastAsia="仿宋_GB2312"/>
          <w:sz w:val="30"/>
          <w:szCs w:val="32"/>
          <w:highlight w:val="none"/>
        </w:rPr>
        <w:t>6.1.6 关于安全文明施工费支付比例和支付期限的约定：</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bookmarkEnd w:id="687"/>
    <w:bookmarkEnd w:id="688"/>
    <w:bookmarkEnd w:id="689"/>
    <w:bookmarkEnd w:id="690"/>
    <w:bookmarkEnd w:id="691"/>
    <w:bookmarkEnd w:id="692"/>
    <w:bookmarkEnd w:id="693"/>
    <w:p>
      <w:pPr>
        <w:pStyle w:val="6"/>
        <w:spacing w:before="120" w:after="120" w:line="360" w:lineRule="auto"/>
        <w:rPr>
          <w:rFonts w:ascii="Times New Roman" w:hAnsi="Times New Roman" w:eastAsia="黑体"/>
          <w:b w:val="0"/>
          <w:color w:val="000000"/>
          <w:sz w:val="32"/>
          <w:szCs w:val="32"/>
          <w:highlight w:val="none"/>
        </w:rPr>
      </w:pPr>
      <w:bookmarkStart w:id="697" w:name="_Toc351203639"/>
      <w:r>
        <w:rPr>
          <w:rFonts w:ascii="Times New Roman" w:hAnsi="Times New Roman" w:eastAsia="黑体"/>
          <w:b w:val="0"/>
          <w:color w:val="000000"/>
          <w:sz w:val="32"/>
          <w:szCs w:val="32"/>
          <w:highlight w:val="none"/>
        </w:rPr>
        <w:t>7. 工期和进度</w:t>
      </w:r>
      <w:bookmarkEnd w:id="697"/>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7.1 施工组织设计</w:t>
      </w:r>
    </w:p>
    <w:p>
      <w:pPr>
        <w:autoSpaceDE w:val="0"/>
        <w:autoSpaceDN w:val="0"/>
        <w:adjustRightInd w:val="0"/>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7.1.</w:t>
      </w:r>
      <w:r>
        <w:rPr>
          <w:rFonts w:hint="eastAsia" w:ascii="Times New Roman" w:hAnsi="Times New Roman" w:eastAsia="仿宋_GB2312"/>
          <w:sz w:val="30"/>
          <w:szCs w:val="32"/>
          <w:highlight w:val="none"/>
        </w:rPr>
        <w:t xml:space="preserve">1 </w:t>
      </w:r>
      <w:r>
        <w:rPr>
          <w:rFonts w:hint="eastAsia" w:ascii="Times New Roman" w:hAnsi="Times New Roman" w:eastAsia="仿宋_GB2312"/>
          <w:color w:val="000000"/>
          <w:sz w:val="30"/>
          <w:szCs w:val="32"/>
          <w:highlight w:val="none"/>
        </w:rPr>
        <w:t>合</w:t>
      </w:r>
      <w:r>
        <w:rPr>
          <w:rFonts w:hint="eastAsia" w:ascii="Times New Roman" w:hAnsi="Times New Roman" w:eastAsia="仿宋_GB2312"/>
          <w:color w:val="000000"/>
          <w:kern w:val="0"/>
          <w:sz w:val="30"/>
          <w:szCs w:val="32"/>
          <w:highlight w:val="none"/>
        </w:rPr>
        <w:t>同当事人约定的</w:t>
      </w:r>
      <w:r>
        <w:rPr>
          <w:rFonts w:ascii="Times New Roman" w:hAnsi="Times New Roman" w:eastAsia="仿宋_GB2312"/>
          <w:color w:val="000000"/>
          <w:kern w:val="0"/>
          <w:sz w:val="30"/>
          <w:szCs w:val="32"/>
          <w:highlight w:val="none"/>
        </w:rPr>
        <w:t>施工组织设计</w:t>
      </w:r>
      <w:r>
        <w:rPr>
          <w:rFonts w:hint="eastAsia" w:ascii="Times New Roman" w:hAnsi="Times New Roman" w:eastAsia="仿宋_GB2312"/>
          <w:color w:val="000000"/>
          <w:kern w:val="0"/>
          <w:sz w:val="30"/>
          <w:szCs w:val="32"/>
          <w:highlight w:val="none"/>
        </w:rPr>
        <w:t>应包括的其他内容</w:t>
      </w:r>
      <w:r>
        <w:rPr>
          <w:rFonts w:ascii="Times New Roman" w:hAnsi="Times New Roman" w:eastAsia="仿宋_GB2312"/>
          <w:color w:val="000000"/>
          <w:kern w:val="0"/>
          <w:sz w:val="30"/>
          <w:szCs w:val="32"/>
          <w:highlight w:val="none"/>
        </w:rPr>
        <w:t>：</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p>
    <w:p>
      <w:pPr>
        <w:autoSpaceDE w:val="0"/>
        <w:autoSpaceDN w:val="0"/>
        <w:adjustRightInd w:val="0"/>
        <w:spacing w:line="360" w:lineRule="auto"/>
        <w:jc w:val="left"/>
        <w:rPr>
          <w:rFonts w:ascii="Times New Roman" w:hAnsi="Times New Roman" w:eastAsia="仿宋_GB2312"/>
          <w:color w:val="000000"/>
          <w:kern w:val="0"/>
          <w:sz w:val="30"/>
          <w:szCs w:val="32"/>
          <w:highlight w:val="none"/>
        </w:rPr>
      </w:pP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sz w:val="30"/>
          <w:szCs w:val="32"/>
          <w:highlight w:val="none"/>
        </w:rPr>
        <w:t>7.1.2</w:t>
      </w:r>
      <w:r>
        <w:rPr>
          <w:rFonts w:ascii="Times New Roman" w:hAnsi="Times New Roman" w:eastAsia="仿宋_GB2312"/>
          <w:color w:val="000000"/>
          <w:sz w:val="30"/>
          <w:szCs w:val="32"/>
          <w:highlight w:val="none"/>
        </w:rPr>
        <w:t xml:space="preserve"> </w:t>
      </w:r>
      <w:r>
        <w:rPr>
          <w:rFonts w:ascii="Times New Roman" w:hAnsi="Times New Roman" w:eastAsia="仿宋_GB2312"/>
          <w:color w:val="000000"/>
          <w:kern w:val="0"/>
          <w:sz w:val="30"/>
          <w:szCs w:val="32"/>
          <w:highlight w:val="none"/>
        </w:rPr>
        <w:t>施工组织设计的提交和修改</w:t>
      </w:r>
    </w:p>
    <w:p>
      <w:pPr>
        <w:autoSpaceDE w:val="0"/>
        <w:autoSpaceDN w:val="0"/>
        <w:adjustRightInd w:val="0"/>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color w:val="000000"/>
          <w:kern w:val="0"/>
          <w:sz w:val="30"/>
          <w:szCs w:val="32"/>
          <w:highlight w:val="none"/>
        </w:rPr>
        <w:t>承包人提交详细施工组织设计的期限的约定：</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p>
    <w:p>
      <w:pPr>
        <w:autoSpaceDE w:val="0"/>
        <w:autoSpaceDN w:val="0"/>
        <w:adjustRightInd w:val="0"/>
        <w:spacing w:line="360" w:lineRule="auto"/>
        <w:jc w:val="left"/>
        <w:rPr>
          <w:rFonts w:hint="eastAsia" w:ascii="Times New Roman" w:hAnsi="Times New Roman" w:eastAsia="仿宋_GB2312"/>
          <w:sz w:val="30"/>
          <w:szCs w:val="32"/>
          <w:highlight w:val="none"/>
        </w:rPr>
      </w:pP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发包人和监理人在收到</w:t>
      </w:r>
      <w:r>
        <w:rPr>
          <w:rFonts w:hint="eastAsia" w:ascii="Times New Roman" w:hAnsi="Times New Roman" w:eastAsia="仿宋_GB2312"/>
          <w:color w:val="000000"/>
          <w:sz w:val="30"/>
          <w:szCs w:val="32"/>
          <w:highlight w:val="none"/>
        </w:rPr>
        <w:t>详细的施工组织设计</w:t>
      </w:r>
      <w:r>
        <w:rPr>
          <w:rFonts w:ascii="Times New Roman" w:hAnsi="Times New Roman" w:eastAsia="仿宋_GB2312"/>
          <w:color w:val="000000"/>
          <w:sz w:val="30"/>
          <w:szCs w:val="32"/>
          <w:highlight w:val="none"/>
        </w:rPr>
        <w:t>后确认或提出修改意见的期限：</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7</w:t>
      </w:r>
      <w:bookmarkStart w:id="698" w:name="_Toc312677479"/>
      <w:bookmarkStart w:id="699" w:name="_Toc297123514"/>
      <w:bookmarkStart w:id="700" w:name="_Toc303539123"/>
      <w:bookmarkStart w:id="701" w:name="_Toc297216173"/>
      <w:bookmarkStart w:id="702" w:name="_Toc300934966"/>
      <w:bookmarkStart w:id="703" w:name="_Toc312678005"/>
      <w:bookmarkStart w:id="704" w:name="_Toc304295541"/>
      <w:r>
        <w:rPr>
          <w:rFonts w:ascii="Times New Roman" w:hAnsi="Times New Roman" w:eastAsia="黑体"/>
          <w:color w:val="000000"/>
          <w:sz w:val="30"/>
          <w:szCs w:val="32"/>
          <w:highlight w:val="none"/>
        </w:rPr>
        <w:t>.2 施工进度计划</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7.2.2 施工进度计划的修订</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发包人和监理人在收到修订的施工进度计划后确认或提出修改意见的期限：</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7.3 开工</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7.3.1 开工准备</w:t>
      </w:r>
    </w:p>
    <w:p>
      <w:pPr>
        <w:spacing w:line="360" w:lineRule="auto"/>
        <w:ind w:firstLine="645"/>
        <w:jc w:val="left"/>
        <w:rPr>
          <w:rFonts w:ascii="Times New Roman" w:hAnsi="Times New Roman" w:eastAsia="仿宋_GB2312"/>
          <w:sz w:val="30"/>
          <w:szCs w:val="32"/>
          <w:highlight w:val="none"/>
          <w:u w:val="single"/>
        </w:rPr>
      </w:pPr>
      <w:r>
        <w:rPr>
          <w:rFonts w:ascii="Times New Roman" w:hAnsi="Times New Roman" w:eastAsia="仿宋_GB2312"/>
          <w:color w:val="000000"/>
          <w:sz w:val="30"/>
          <w:szCs w:val="32"/>
          <w:highlight w:val="none"/>
        </w:rPr>
        <w:t>关于承包人提交</w:t>
      </w:r>
      <w:r>
        <w:rPr>
          <w:rFonts w:ascii="Times New Roman" w:hAnsi="Times New Roman" w:eastAsia="仿宋_GB2312"/>
          <w:color w:val="000000"/>
          <w:kern w:val="0"/>
          <w:sz w:val="30"/>
          <w:szCs w:val="32"/>
          <w:highlight w:val="none"/>
        </w:rPr>
        <w:t>工程开工报审表的期限：</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45"/>
        <w:jc w:val="left"/>
        <w:rPr>
          <w:rFonts w:ascii="Times New Roman" w:hAnsi="Times New Roman" w:eastAsia="仿宋_GB2312"/>
          <w:sz w:val="30"/>
          <w:szCs w:val="32"/>
          <w:highlight w:val="none"/>
          <w:u w:val="single"/>
        </w:rPr>
      </w:pPr>
      <w:r>
        <w:rPr>
          <w:rFonts w:ascii="Times New Roman" w:hAnsi="Times New Roman" w:eastAsia="仿宋_GB2312"/>
          <w:color w:val="000000"/>
          <w:sz w:val="30"/>
          <w:szCs w:val="32"/>
          <w:highlight w:val="none"/>
        </w:rPr>
        <w:t>关于发包人应完成的其他开工准备工作及期限：</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color w:val="000000"/>
          <w:sz w:val="30"/>
          <w:szCs w:val="32"/>
          <w:highlight w:val="none"/>
        </w:rPr>
        <w:t>关于承包人应完成的其他开工准备工作及期限：</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7.3.2开工通知</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因发包人原因造成监理人未能在计划开工日期之日起</w:t>
      </w:r>
      <w:r>
        <w:rPr>
          <w:rFonts w:ascii="Times New Roman" w:hAnsi="Times New Roman" w:eastAsia="仿宋_GB2312"/>
          <w:sz w:val="30"/>
          <w:szCs w:val="32"/>
          <w:highlight w:val="none"/>
          <w:u w:val="single"/>
        </w:rPr>
        <w:t xml:space="preserve">     </w:t>
      </w:r>
      <w:r>
        <w:rPr>
          <w:rFonts w:ascii="Times New Roman" w:hAnsi="Times New Roman" w:eastAsia="仿宋_GB2312"/>
          <w:color w:val="000000"/>
          <w:sz w:val="30"/>
          <w:szCs w:val="32"/>
          <w:highlight w:val="none"/>
        </w:rPr>
        <w:t>天内发出开工通知的，承包人有权提出价格调整要求，或者解除合同。</w:t>
      </w:r>
    </w:p>
    <w:bookmarkEnd w:id="698"/>
    <w:bookmarkEnd w:id="699"/>
    <w:bookmarkEnd w:id="700"/>
    <w:bookmarkEnd w:id="701"/>
    <w:bookmarkEnd w:id="702"/>
    <w:bookmarkEnd w:id="703"/>
    <w:bookmarkEnd w:id="704"/>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7.4 测量放线</w:t>
      </w:r>
    </w:p>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7.4.1发包人通过监理人向承包人提供测量基准点、基准线和水准点及其书面资料的期限：</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7</w:t>
      </w:r>
      <w:bookmarkStart w:id="705" w:name="_Toc297216175"/>
      <w:bookmarkStart w:id="706" w:name="_Toc304295546"/>
      <w:bookmarkStart w:id="707" w:name="_Toc300934968"/>
      <w:bookmarkStart w:id="708" w:name="_Toc303539125"/>
      <w:bookmarkStart w:id="709" w:name="_Toc312678010"/>
      <w:bookmarkStart w:id="710" w:name="_Toc312677484"/>
      <w:bookmarkStart w:id="711" w:name="_Toc297123516"/>
      <w:r>
        <w:rPr>
          <w:rFonts w:ascii="Times New Roman" w:hAnsi="Times New Roman" w:eastAsia="黑体"/>
          <w:color w:val="000000"/>
          <w:sz w:val="30"/>
          <w:szCs w:val="32"/>
          <w:highlight w:val="none"/>
        </w:rPr>
        <w:t>.5 工期延误</w:t>
      </w:r>
    </w:p>
    <w:bookmarkEnd w:id="705"/>
    <w:bookmarkEnd w:id="706"/>
    <w:bookmarkEnd w:id="707"/>
    <w:bookmarkEnd w:id="708"/>
    <w:bookmarkEnd w:id="709"/>
    <w:bookmarkEnd w:id="710"/>
    <w:bookmarkEnd w:id="711"/>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7.5.1 因发包人原因导致工期延误</w:t>
      </w:r>
    </w:p>
    <w:p>
      <w:pPr>
        <w:spacing w:line="360" w:lineRule="auto"/>
        <w:ind w:firstLine="600" w:firstLineChars="200"/>
        <w:jc w:val="left"/>
        <w:rPr>
          <w:rFonts w:ascii="Times New Roman" w:hAnsi="Times New Roman" w:eastAsia="仿宋_GB2312"/>
          <w:sz w:val="30"/>
          <w:szCs w:val="32"/>
          <w:highlight w:val="none"/>
          <w:u w:val="single"/>
        </w:rPr>
      </w:pPr>
      <w:r>
        <w:rPr>
          <w:rFonts w:ascii="Times New Roman" w:hAnsi="Times New Roman" w:eastAsia="仿宋_GB2312"/>
          <w:sz w:val="30"/>
          <w:szCs w:val="32"/>
          <w:highlight w:val="none"/>
        </w:rPr>
        <w:t>（7）因发包人原因导致工期延误的其他情形：</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7</w:t>
      </w:r>
      <w:bookmarkStart w:id="712" w:name="_Toc318581169"/>
      <w:bookmarkStart w:id="713" w:name="_Toc312677486"/>
      <w:bookmarkStart w:id="714" w:name="_Toc312678012"/>
      <w:bookmarkStart w:id="715" w:name="_Toc304295548"/>
      <w:bookmarkStart w:id="716" w:name="_Toc303539127"/>
      <w:bookmarkStart w:id="717" w:name="_Toc300934970"/>
      <w:bookmarkStart w:id="718" w:name="_Toc297123518"/>
      <w:bookmarkStart w:id="719" w:name="_Toc297216177"/>
      <w:r>
        <w:rPr>
          <w:rFonts w:ascii="Times New Roman" w:hAnsi="Times New Roman" w:eastAsia="仿宋_GB2312"/>
          <w:sz w:val="30"/>
          <w:szCs w:val="32"/>
          <w:highlight w:val="none"/>
        </w:rPr>
        <w:t>.5.2 因承包人原因导致工期延误</w:t>
      </w:r>
    </w:p>
    <w:bookmarkEnd w:id="712"/>
    <w:bookmarkEnd w:id="713"/>
    <w:bookmarkEnd w:id="714"/>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因</w:t>
      </w:r>
      <w:bookmarkStart w:id="720" w:name="_Toc312678013"/>
      <w:bookmarkStart w:id="721" w:name="_Toc312677487"/>
      <w:bookmarkStart w:id="722" w:name="_Toc318581170"/>
      <w:r>
        <w:rPr>
          <w:rFonts w:ascii="Times New Roman" w:hAnsi="Times New Roman" w:eastAsia="仿宋_GB2312"/>
          <w:sz w:val="30"/>
          <w:szCs w:val="32"/>
          <w:highlight w:val="none"/>
        </w:rPr>
        <w:t>承包人原因造成工期延误，逾期竣工违约金的计算方法为：</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bookmarkEnd w:id="715"/>
      <w:bookmarkEnd w:id="716"/>
      <w:bookmarkEnd w:id="717"/>
      <w:bookmarkEnd w:id="718"/>
      <w:bookmarkEnd w:id="719"/>
      <w:bookmarkEnd w:id="720"/>
      <w:bookmarkEnd w:id="721"/>
    </w:p>
    <w:bookmarkEnd w:id="722"/>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因承包人原因造成工期延误，逾</w:t>
      </w:r>
      <w:bookmarkStart w:id="723" w:name="_Toc318581171"/>
      <w:bookmarkStart w:id="724" w:name="_Toc312678014"/>
      <w:r>
        <w:rPr>
          <w:rFonts w:ascii="Times New Roman" w:hAnsi="Times New Roman" w:eastAsia="仿宋_GB2312"/>
          <w:sz w:val="30"/>
          <w:szCs w:val="32"/>
          <w:highlight w:val="none"/>
        </w:rPr>
        <w:t>期竣工违约金的上限：</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bookmarkEnd w:id="723"/>
    <w:bookmarkEnd w:id="724"/>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7</w:t>
      </w:r>
      <w:bookmarkStart w:id="725" w:name="_Toc297123519"/>
      <w:bookmarkStart w:id="726" w:name="_Toc297216178"/>
      <w:bookmarkStart w:id="727" w:name="_Toc304295549"/>
      <w:bookmarkStart w:id="728" w:name="_Toc312678015"/>
      <w:bookmarkStart w:id="729" w:name="_Toc303539128"/>
      <w:bookmarkStart w:id="730" w:name="_Toc300934971"/>
      <w:r>
        <w:rPr>
          <w:rFonts w:ascii="Times New Roman" w:hAnsi="Times New Roman" w:eastAsia="黑体"/>
          <w:color w:val="000000"/>
          <w:sz w:val="30"/>
          <w:szCs w:val="32"/>
          <w:highlight w:val="none"/>
        </w:rPr>
        <w:t>.6 不</w:t>
      </w:r>
      <w:bookmarkEnd w:id="725"/>
      <w:bookmarkEnd w:id="726"/>
      <w:bookmarkEnd w:id="727"/>
      <w:bookmarkEnd w:id="728"/>
      <w:bookmarkEnd w:id="729"/>
      <w:bookmarkEnd w:id="730"/>
      <w:r>
        <w:rPr>
          <w:rFonts w:ascii="Times New Roman" w:hAnsi="Times New Roman" w:eastAsia="黑体"/>
          <w:color w:val="000000"/>
          <w:sz w:val="30"/>
          <w:szCs w:val="32"/>
          <w:highlight w:val="none"/>
        </w:rPr>
        <w:t>利物质条件</w:t>
      </w:r>
    </w:p>
    <w:p>
      <w:pPr>
        <w:spacing w:line="360" w:lineRule="auto"/>
        <w:ind w:firstLine="600" w:firstLineChars="200"/>
        <w:jc w:val="left"/>
        <w:rPr>
          <w:rFonts w:ascii="Times New Roman" w:hAnsi="Times New Roman" w:eastAsia="仿宋_GB2312"/>
          <w:sz w:val="30"/>
          <w:szCs w:val="32"/>
          <w:highlight w:val="none"/>
          <w:u w:val="single"/>
        </w:rPr>
      </w:pPr>
      <w:bookmarkStart w:id="731" w:name="_Toc303539129"/>
      <w:bookmarkStart w:id="732" w:name="_Toc297216179"/>
      <w:bookmarkStart w:id="733" w:name="_Toc300934972"/>
      <w:bookmarkStart w:id="734" w:name="_Toc297123520"/>
      <w:bookmarkStart w:id="735" w:name="_Toc312678016"/>
      <w:bookmarkStart w:id="736" w:name="_Toc318581172"/>
      <w:bookmarkStart w:id="737" w:name="_Toc304295550"/>
      <w:r>
        <w:rPr>
          <w:rFonts w:ascii="Times New Roman" w:hAnsi="Times New Roman" w:eastAsia="仿宋_GB2312"/>
          <w:sz w:val="30"/>
          <w:szCs w:val="32"/>
          <w:highlight w:val="none"/>
        </w:rPr>
        <w:t>不利物质条件的其他情形和有关约定：</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bookmarkEnd w:id="731"/>
    <w:bookmarkEnd w:id="732"/>
    <w:bookmarkEnd w:id="733"/>
    <w:bookmarkEnd w:id="734"/>
    <w:bookmarkEnd w:id="735"/>
    <w:bookmarkEnd w:id="736"/>
    <w:bookmarkEnd w:id="737"/>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7</w:t>
      </w:r>
      <w:bookmarkStart w:id="738" w:name="_Toc303539130"/>
      <w:bookmarkStart w:id="739" w:name="_Toc297216180"/>
      <w:bookmarkStart w:id="740" w:name="_Toc297123521"/>
      <w:bookmarkStart w:id="741" w:name="_Toc304295551"/>
      <w:bookmarkStart w:id="742" w:name="_Toc300934973"/>
      <w:bookmarkStart w:id="743" w:name="_Toc312678017"/>
      <w:r>
        <w:rPr>
          <w:rFonts w:ascii="Times New Roman" w:hAnsi="Times New Roman" w:eastAsia="黑体"/>
          <w:color w:val="000000"/>
          <w:sz w:val="30"/>
          <w:szCs w:val="32"/>
          <w:highlight w:val="none"/>
        </w:rPr>
        <w:t>.7异常恶劣的气候条件</w:t>
      </w:r>
    </w:p>
    <w:bookmarkEnd w:id="738"/>
    <w:bookmarkEnd w:id="739"/>
    <w:bookmarkEnd w:id="740"/>
    <w:bookmarkEnd w:id="741"/>
    <w:bookmarkEnd w:id="742"/>
    <w:bookmarkEnd w:id="743"/>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发包人和承包人同意以下情形视为异常恶劣的气候条件：</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（1）</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（2）</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（3）</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744" w:name="_Toc2866"/>
      <w:bookmarkStart w:id="745" w:name="_Toc26627"/>
      <w:r>
        <w:rPr>
          <w:rFonts w:ascii="Times New Roman" w:hAnsi="Times New Roman" w:eastAsia="黑体"/>
          <w:color w:val="000000"/>
          <w:sz w:val="30"/>
          <w:szCs w:val="32"/>
          <w:highlight w:val="none"/>
        </w:rPr>
        <w:t>7.9 提前竣工的奖励</w:t>
      </w:r>
      <w:bookmarkEnd w:id="744"/>
      <w:bookmarkEnd w:id="745"/>
    </w:p>
    <w:p>
      <w:pPr>
        <w:spacing w:line="360" w:lineRule="auto"/>
        <w:ind w:firstLine="600" w:firstLineChars="200"/>
        <w:jc w:val="left"/>
        <w:rPr>
          <w:rFonts w:hint="eastAsia" w:ascii="Times New Roman" w:hAnsi="Times New Roman" w:eastAsia="仿宋_GB2312"/>
          <w:sz w:val="30"/>
          <w:szCs w:val="32"/>
          <w:highlight w:val="none"/>
        </w:rPr>
      </w:pPr>
      <w:r>
        <w:rPr>
          <w:rFonts w:ascii="Times New Roman" w:hAnsi="Times New Roman" w:eastAsia="仿宋_GB2312"/>
          <w:sz w:val="30"/>
          <w:szCs w:val="32"/>
          <w:highlight w:val="none"/>
        </w:rPr>
        <w:t>7.9.2提前竣工的奖励：</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pStyle w:val="6"/>
        <w:spacing w:before="120" w:after="120" w:line="360" w:lineRule="auto"/>
        <w:rPr>
          <w:rFonts w:ascii="Times New Roman" w:hAnsi="Times New Roman" w:eastAsia="黑体"/>
          <w:b w:val="0"/>
          <w:color w:val="000000"/>
          <w:sz w:val="32"/>
          <w:szCs w:val="32"/>
          <w:highlight w:val="none"/>
        </w:rPr>
      </w:pPr>
      <w:bookmarkStart w:id="746" w:name="_Toc351203640"/>
      <w:r>
        <w:rPr>
          <w:rFonts w:ascii="Times New Roman" w:hAnsi="Times New Roman" w:eastAsia="黑体"/>
          <w:b w:val="0"/>
          <w:color w:val="000000"/>
          <w:sz w:val="32"/>
          <w:szCs w:val="32"/>
          <w:highlight w:val="none"/>
        </w:rPr>
        <w:t>8. 材料与设备</w:t>
      </w:r>
      <w:bookmarkEnd w:id="746"/>
    </w:p>
    <w:bookmarkEnd w:id="675"/>
    <w:bookmarkEnd w:id="676"/>
    <w:bookmarkEnd w:id="677"/>
    <w:bookmarkEnd w:id="678"/>
    <w:bookmarkEnd w:id="679"/>
    <w:bookmarkEnd w:id="680"/>
    <w:bookmarkEnd w:id="681"/>
    <w:bookmarkEnd w:id="682"/>
    <w:bookmarkEnd w:id="683"/>
    <w:bookmarkEnd w:id="684"/>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8</w:t>
      </w:r>
      <w:bookmarkStart w:id="747" w:name="_Toc292559877"/>
      <w:bookmarkStart w:id="748" w:name="_Toc297216186"/>
      <w:bookmarkStart w:id="749" w:name="_Toc296503167"/>
      <w:bookmarkStart w:id="750" w:name="_Toc312677493"/>
      <w:bookmarkStart w:id="751" w:name="_Toc297048353"/>
      <w:bookmarkStart w:id="752" w:name="_Toc296890995"/>
      <w:bookmarkStart w:id="753" w:name="_Toc296891207"/>
      <w:bookmarkStart w:id="754" w:name="_Toc292559372"/>
      <w:bookmarkStart w:id="755" w:name="_Toc300934979"/>
      <w:bookmarkStart w:id="756" w:name="_Toc296346668"/>
      <w:bookmarkStart w:id="757" w:name="_Toc312678019"/>
      <w:bookmarkStart w:id="758" w:name="_Toc280868654"/>
      <w:bookmarkStart w:id="759" w:name="_Toc296944506"/>
      <w:bookmarkStart w:id="760" w:name="_Toc297123527"/>
      <w:bookmarkStart w:id="761" w:name="_Toc296347166"/>
      <w:bookmarkStart w:id="762" w:name="_Toc297120467"/>
      <w:bookmarkStart w:id="763" w:name="_Toc304295556"/>
      <w:bookmarkStart w:id="764" w:name="_Toc303539136"/>
      <w:bookmarkStart w:id="765" w:name="_Toc280868656"/>
      <w:bookmarkStart w:id="766" w:name="_Toc267251424"/>
      <w:bookmarkStart w:id="767" w:name="_Toc280868655"/>
      <w:r>
        <w:rPr>
          <w:rFonts w:ascii="Times New Roman" w:hAnsi="Times New Roman" w:eastAsia="黑体"/>
          <w:color w:val="000000"/>
          <w:sz w:val="30"/>
          <w:szCs w:val="32"/>
          <w:highlight w:val="none"/>
        </w:rPr>
        <w:t>.4材料与工程设备的保管与使用</w:t>
      </w:r>
    </w:p>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Pr>
        <w:spacing w:line="360" w:lineRule="auto"/>
        <w:ind w:firstLine="600" w:firstLineChars="200"/>
        <w:jc w:val="left"/>
        <w:rPr>
          <w:rFonts w:ascii="Times New Roman" w:hAnsi="Times New Roman" w:eastAsia="仿宋_GB2312"/>
          <w:sz w:val="30"/>
          <w:szCs w:val="32"/>
          <w:highlight w:val="none"/>
          <w:u w:val="single"/>
        </w:rPr>
      </w:pPr>
      <w:r>
        <w:rPr>
          <w:rFonts w:ascii="Times New Roman" w:hAnsi="Times New Roman" w:eastAsia="仿宋_GB2312"/>
          <w:sz w:val="30"/>
          <w:szCs w:val="32"/>
          <w:highlight w:val="none"/>
        </w:rPr>
        <w:t>8</w:t>
      </w:r>
      <w:bookmarkStart w:id="768" w:name="_Toc292559878"/>
      <w:bookmarkStart w:id="769" w:name="_Toc292559373"/>
      <w:bookmarkStart w:id="770" w:name="_Toc312678020"/>
      <w:bookmarkStart w:id="771" w:name="_Toc296944507"/>
      <w:bookmarkStart w:id="772" w:name="_Toc296891208"/>
      <w:bookmarkStart w:id="773" w:name="_Toc297216187"/>
      <w:bookmarkStart w:id="774" w:name="_Toc296347167"/>
      <w:bookmarkStart w:id="775" w:name="_Toc312677494"/>
      <w:bookmarkStart w:id="776" w:name="_Toc296890996"/>
      <w:bookmarkStart w:id="777" w:name="_Toc304295557"/>
      <w:bookmarkStart w:id="778" w:name="_Toc303539137"/>
      <w:bookmarkStart w:id="779" w:name="_Toc300934980"/>
      <w:bookmarkStart w:id="780" w:name="_Toc296503168"/>
      <w:bookmarkStart w:id="781" w:name="_Toc297048354"/>
      <w:bookmarkStart w:id="782" w:name="_Toc318581173"/>
      <w:bookmarkStart w:id="783" w:name="_Toc296346669"/>
      <w:bookmarkStart w:id="784" w:name="_Toc297120468"/>
      <w:bookmarkStart w:id="785" w:name="_Toc297123528"/>
      <w:r>
        <w:rPr>
          <w:rFonts w:ascii="Times New Roman" w:hAnsi="Times New Roman" w:eastAsia="仿宋_GB2312"/>
          <w:sz w:val="30"/>
          <w:szCs w:val="32"/>
          <w:highlight w:val="none"/>
        </w:rPr>
        <w:t>.4.1发包人供应的材料设备的保管费用的承担：</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bookmarkEnd w:id="768"/>
      <w:bookmarkEnd w:id="769"/>
    </w:p>
    <w:p>
      <w:pPr>
        <w:spacing w:after="120" w:line="360" w:lineRule="auto"/>
        <w:ind w:firstLine="600" w:firstLineChars="200"/>
        <w:outlineLvl w:val="0"/>
        <w:rPr>
          <w:rFonts w:ascii="Times New Roman" w:hAnsi="Times New Roman" w:eastAsia="黑体"/>
          <w:color w:val="000000"/>
          <w:sz w:val="30"/>
          <w:szCs w:val="32"/>
          <w:highlight w:val="none"/>
        </w:rPr>
      </w:pPr>
      <w:bookmarkStart w:id="786" w:name="_Toc7637"/>
      <w:bookmarkStart w:id="787" w:name="_Toc20564"/>
      <w:r>
        <w:rPr>
          <w:rFonts w:ascii="Times New Roman" w:hAnsi="Times New Roman" w:eastAsia="黑体"/>
          <w:color w:val="000000"/>
          <w:sz w:val="30"/>
          <w:szCs w:val="32"/>
          <w:highlight w:val="none"/>
        </w:rPr>
        <w:t>8.6 样品</w:t>
      </w:r>
      <w:bookmarkEnd w:id="786"/>
      <w:bookmarkEnd w:id="787"/>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8.6.1</w:t>
      </w:r>
      <w:r>
        <w:rPr>
          <w:rFonts w:ascii="Times New Roman" w:hAnsi="Times New Roman" w:eastAsia="仿宋_GB2312"/>
          <w:color w:val="000000"/>
          <w:kern w:val="0"/>
          <w:sz w:val="30"/>
          <w:szCs w:val="32"/>
          <w:highlight w:val="none"/>
        </w:rPr>
        <w:tab/>
      </w:r>
      <w:r>
        <w:rPr>
          <w:rFonts w:ascii="Times New Roman" w:hAnsi="Times New Roman" w:eastAsia="仿宋_GB2312"/>
          <w:color w:val="000000"/>
          <w:kern w:val="0"/>
          <w:sz w:val="30"/>
          <w:szCs w:val="32"/>
          <w:highlight w:val="none"/>
        </w:rPr>
        <w:t>样品的报送</w:t>
      </w:r>
      <w:r>
        <w:rPr>
          <w:rFonts w:hint="eastAsia" w:ascii="Times New Roman" w:hAnsi="Times New Roman" w:eastAsia="仿宋_GB2312"/>
          <w:color w:val="000000"/>
          <w:kern w:val="0"/>
          <w:sz w:val="30"/>
          <w:szCs w:val="32"/>
          <w:highlight w:val="none"/>
        </w:rPr>
        <w:t>与封存</w:t>
      </w:r>
    </w:p>
    <w:p>
      <w:pPr>
        <w:autoSpaceDE w:val="0"/>
        <w:autoSpaceDN w:val="0"/>
        <w:adjustRightInd w:val="0"/>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color w:val="000000"/>
          <w:kern w:val="0"/>
          <w:sz w:val="30"/>
          <w:szCs w:val="32"/>
          <w:highlight w:val="none"/>
        </w:rPr>
        <w:t>需要承包人报送样品的材料或工程设备，样品的种类、名称、规格、数量要求：</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autoSpaceDE w:val="0"/>
        <w:autoSpaceDN w:val="0"/>
        <w:adjustRightInd w:val="0"/>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788" w:name="_Toc19369"/>
      <w:bookmarkStart w:id="789" w:name="_Toc3216"/>
      <w:r>
        <w:rPr>
          <w:rFonts w:ascii="Times New Roman" w:hAnsi="Times New Roman" w:eastAsia="黑体"/>
          <w:color w:val="000000"/>
          <w:sz w:val="30"/>
          <w:szCs w:val="32"/>
          <w:highlight w:val="none"/>
        </w:rPr>
        <w:t>8.8 施工设备和临时设施</w:t>
      </w:r>
      <w:bookmarkEnd w:id="788"/>
      <w:bookmarkEnd w:id="789"/>
    </w:p>
    <w:p>
      <w:pPr>
        <w:autoSpaceDE w:val="0"/>
        <w:autoSpaceDN w:val="0"/>
        <w:adjustRightInd w:val="0"/>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8.8.1 承包人提供的施工设备和临时设施</w:t>
      </w:r>
    </w:p>
    <w:p>
      <w:pPr>
        <w:autoSpaceDE w:val="0"/>
        <w:autoSpaceDN w:val="0"/>
        <w:adjustRightInd w:val="0"/>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关于修建临时设施费用承担的约定：</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p>
    <w:p>
      <w:pPr>
        <w:autoSpaceDE w:val="0"/>
        <w:autoSpaceDN w:val="0"/>
        <w:adjustRightInd w:val="0"/>
        <w:spacing w:line="360" w:lineRule="auto"/>
        <w:jc w:val="left"/>
        <w:rPr>
          <w:rFonts w:ascii="Times New Roman" w:hAnsi="Times New Roman" w:eastAsia="仿宋_GB2312"/>
          <w:sz w:val="30"/>
          <w:szCs w:val="32"/>
          <w:highlight w:val="none"/>
        </w:rPr>
      </w:pP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Pr>
        <w:pStyle w:val="6"/>
        <w:spacing w:before="120" w:after="120" w:line="360" w:lineRule="auto"/>
        <w:rPr>
          <w:rFonts w:ascii="Times New Roman" w:hAnsi="Times New Roman" w:eastAsia="黑体"/>
          <w:b w:val="0"/>
          <w:color w:val="000000"/>
          <w:sz w:val="32"/>
          <w:szCs w:val="32"/>
          <w:highlight w:val="none"/>
        </w:rPr>
      </w:pPr>
      <w:bookmarkStart w:id="790" w:name="_Toc351203641"/>
      <w:r>
        <w:rPr>
          <w:rFonts w:ascii="Times New Roman" w:hAnsi="Times New Roman" w:eastAsia="黑体"/>
          <w:b w:val="0"/>
          <w:color w:val="000000"/>
          <w:sz w:val="32"/>
          <w:szCs w:val="32"/>
          <w:highlight w:val="none"/>
        </w:rPr>
        <w:t>9</w:t>
      </w:r>
      <w:bookmarkEnd w:id="765"/>
      <w:bookmarkEnd w:id="766"/>
      <w:bookmarkEnd w:id="767"/>
      <w:bookmarkStart w:id="791" w:name="_Toc312678021"/>
      <w:bookmarkStart w:id="792" w:name="_Toc304295559"/>
      <w:bookmarkStart w:id="793" w:name="_Toc312677495"/>
      <w:bookmarkStart w:id="794" w:name="_Toc297123533"/>
      <w:bookmarkStart w:id="795" w:name="_Toc297216192"/>
      <w:bookmarkStart w:id="796" w:name="_Toc300934982"/>
      <w:bookmarkStart w:id="797" w:name="_Toc303539139"/>
      <w:bookmarkStart w:id="798" w:name="_Toc296347172"/>
      <w:bookmarkStart w:id="799" w:name="_Toc296346674"/>
      <w:bookmarkStart w:id="800" w:name="_Toc296503173"/>
      <w:bookmarkStart w:id="801" w:name="_Toc297120473"/>
      <w:bookmarkStart w:id="802" w:name="_Toc296944512"/>
      <w:bookmarkStart w:id="803" w:name="_Toc296891213"/>
      <w:bookmarkStart w:id="804" w:name="_Toc267251427"/>
      <w:bookmarkStart w:id="805" w:name="_Toc267251428"/>
      <w:bookmarkStart w:id="806" w:name="_Toc292559883"/>
      <w:bookmarkStart w:id="807" w:name="_Toc296891001"/>
      <w:bookmarkStart w:id="808" w:name="_Toc297048359"/>
      <w:bookmarkStart w:id="809" w:name="_Toc292559378"/>
      <w:r>
        <w:rPr>
          <w:rFonts w:ascii="Times New Roman" w:hAnsi="Times New Roman" w:eastAsia="黑体"/>
          <w:b w:val="0"/>
          <w:color w:val="000000"/>
          <w:sz w:val="32"/>
          <w:szCs w:val="32"/>
          <w:highlight w:val="none"/>
        </w:rPr>
        <w:t>. 试验与检验</w:t>
      </w:r>
      <w:bookmarkEnd w:id="790"/>
    </w:p>
    <w:bookmarkEnd w:id="791"/>
    <w:bookmarkEnd w:id="792"/>
    <w:bookmarkEnd w:id="793"/>
    <w:bookmarkEnd w:id="794"/>
    <w:bookmarkEnd w:id="795"/>
    <w:bookmarkEnd w:id="796"/>
    <w:bookmarkEnd w:id="797"/>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9</w:t>
      </w:r>
      <w:bookmarkStart w:id="810" w:name="_Toc303539140"/>
      <w:bookmarkStart w:id="811" w:name="_Toc297123534"/>
      <w:bookmarkStart w:id="812" w:name="_Toc312677496"/>
      <w:bookmarkStart w:id="813" w:name="_Toc297216193"/>
      <w:bookmarkStart w:id="814" w:name="_Toc312678022"/>
      <w:bookmarkStart w:id="815" w:name="_Toc300934983"/>
      <w:bookmarkStart w:id="816" w:name="_Toc304295560"/>
      <w:r>
        <w:rPr>
          <w:rFonts w:ascii="Times New Roman" w:hAnsi="Times New Roman" w:eastAsia="黑体"/>
          <w:color w:val="000000"/>
          <w:sz w:val="30"/>
          <w:szCs w:val="32"/>
          <w:highlight w:val="none"/>
        </w:rPr>
        <w:t>.1试验设备与试验人员</w:t>
      </w:r>
    </w:p>
    <w:bookmarkEnd w:id="810"/>
    <w:bookmarkEnd w:id="811"/>
    <w:bookmarkEnd w:id="812"/>
    <w:bookmarkEnd w:id="813"/>
    <w:bookmarkEnd w:id="814"/>
    <w:bookmarkEnd w:id="815"/>
    <w:bookmarkEnd w:id="816"/>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9</w:t>
      </w:r>
      <w:bookmarkStart w:id="817" w:name="_Toc312678023"/>
      <w:bookmarkStart w:id="818" w:name="_Toc300934984"/>
      <w:bookmarkStart w:id="819" w:name="_Toc304295561"/>
      <w:bookmarkStart w:id="820" w:name="_Toc297123535"/>
      <w:bookmarkStart w:id="821" w:name="_Toc312677497"/>
      <w:bookmarkStart w:id="822" w:name="_Toc303539141"/>
      <w:bookmarkStart w:id="823" w:name="_Toc297216194"/>
      <w:bookmarkStart w:id="824" w:name="_Toc318581174"/>
      <w:r>
        <w:rPr>
          <w:rFonts w:ascii="Times New Roman" w:hAnsi="Times New Roman" w:eastAsia="仿宋_GB2312"/>
          <w:sz w:val="30"/>
          <w:szCs w:val="32"/>
          <w:highlight w:val="none"/>
        </w:rPr>
        <w:t>.1.2 试验设备</w:t>
      </w:r>
    </w:p>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施工现场需要配置的试验场所：</w:t>
      </w:r>
      <w:bookmarkEnd w:id="817"/>
      <w:bookmarkEnd w:id="818"/>
      <w:bookmarkEnd w:id="819"/>
      <w:bookmarkEnd w:id="820"/>
      <w:bookmarkEnd w:id="821"/>
      <w:bookmarkEnd w:id="822"/>
      <w:bookmarkEnd w:id="823"/>
      <w:bookmarkStart w:id="825" w:name="_Toc303539142"/>
      <w:bookmarkStart w:id="826" w:name="_Toc300934985"/>
      <w:bookmarkStart w:id="827" w:name="_Toc297216195"/>
      <w:bookmarkStart w:id="828" w:name="_Toc312677498"/>
      <w:bookmarkStart w:id="829" w:name="_Toc304295562"/>
      <w:bookmarkStart w:id="830" w:name="_Toc312678024"/>
      <w:bookmarkStart w:id="831" w:name="_Toc297123536"/>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r>
        <w:rPr>
          <w:rFonts w:hint="eastAsia" w:ascii="Times New Roman" w:hAnsi="Times New Roman" w:eastAsia="仿宋_GB2312"/>
          <w:sz w:val="30"/>
          <w:szCs w:val="32"/>
          <w:highlight w:val="none"/>
        </w:rPr>
        <w:t xml:space="preserve"> </w:t>
      </w:r>
    </w:p>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施工现场需要配备的试验设备：</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施工现场需要具备的其他试验条件：</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832" w:name="_Toc1024"/>
      <w:bookmarkStart w:id="833" w:name="_Toc27043"/>
      <w:r>
        <w:rPr>
          <w:rFonts w:ascii="Times New Roman" w:hAnsi="Times New Roman" w:eastAsia="黑体"/>
          <w:color w:val="000000"/>
          <w:sz w:val="30"/>
          <w:szCs w:val="32"/>
          <w:highlight w:val="none"/>
        </w:rPr>
        <w:t>9.4 现场工艺试验</w:t>
      </w:r>
      <w:bookmarkEnd w:id="832"/>
      <w:bookmarkEnd w:id="833"/>
      <w:r>
        <w:rPr>
          <w:rFonts w:hint="eastAsia" w:ascii="Times New Roman" w:hAnsi="Times New Roman" w:eastAsia="黑体"/>
          <w:color w:val="000000"/>
          <w:sz w:val="30"/>
          <w:szCs w:val="32"/>
          <w:highlight w:val="none"/>
        </w:rPr>
        <w:t xml:space="preserve"> </w:t>
      </w:r>
    </w:p>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现场工艺试验的有关约定：</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spacing w:line="360" w:lineRule="auto"/>
        <w:jc w:val="left"/>
        <w:rPr>
          <w:rFonts w:hint="eastAsia" w:ascii="Times New Roman" w:hAnsi="Times New Roman" w:eastAsia="仿宋_GB2312"/>
          <w:sz w:val="30"/>
          <w:szCs w:val="32"/>
          <w:highlight w:val="none"/>
        </w:rPr>
      </w:pP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bookmarkEnd w:id="824"/>
    <w:bookmarkEnd w:id="825"/>
    <w:bookmarkEnd w:id="826"/>
    <w:bookmarkEnd w:id="827"/>
    <w:bookmarkEnd w:id="828"/>
    <w:bookmarkEnd w:id="829"/>
    <w:bookmarkEnd w:id="830"/>
    <w:bookmarkEnd w:id="831"/>
    <w:p>
      <w:pPr>
        <w:pStyle w:val="6"/>
        <w:spacing w:before="120" w:after="120" w:line="360" w:lineRule="auto"/>
        <w:rPr>
          <w:rFonts w:ascii="Times New Roman" w:hAnsi="Times New Roman" w:eastAsia="黑体"/>
          <w:b w:val="0"/>
          <w:color w:val="000000"/>
          <w:sz w:val="32"/>
          <w:szCs w:val="32"/>
          <w:highlight w:val="none"/>
        </w:rPr>
      </w:pPr>
      <w:bookmarkStart w:id="834" w:name="_Toc351203642"/>
      <w:r>
        <w:rPr>
          <w:rFonts w:ascii="Times New Roman" w:hAnsi="Times New Roman" w:eastAsia="黑体"/>
          <w:b w:val="0"/>
          <w:color w:val="000000"/>
          <w:sz w:val="32"/>
          <w:szCs w:val="32"/>
          <w:highlight w:val="none"/>
        </w:rPr>
        <w:t>1</w:t>
      </w:r>
      <w:bookmarkEnd w:id="798"/>
      <w:bookmarkEnd w:id="799"/>
      <w:bookmarkEnd w:id="800"/>
      <w:bookmarkEnd w:id="801"/>
      <w:bookmarkEnd w:id="802"/>
      <w:bookmarkEnd w:id="803"/>
      <w:bookmarkEnd w:id="804"/>
      <w:bookmarkEnd w:id="805"/>
      <w:bookmarkEnd w:id="806"/>
      <w:bookmarkEnd w:id="807"/>
      <w:bookmarkEnd w:id="808"/>
      <w:bookmarkEnd w:id="809"/>
      <w:bookmarkStart w:id="835" w:name="_Toc304295566"/>
      <w:bookmarkStart w:id="836" w:name="_Toc303539146"/>
      <w:bookmarkStart w:id="837" w:name="_Toc297216199"/>
      <w:bookmarkStart w:id="838" w:name="_Toc296347192"/>
      <w:bookmarkStart w:id="839" w:name="_Toc300934989"/>
      <w:bookmarkStart w:id="840" w:name="_Toc296944532"/>
      <w:bookmarkStart w:id="841" w:name="_Toc297123540"/>
      <w:bookmarkStart w:id="842" w:name="_Toc296891233"/>
      <w:bookmarkStart w:id="843" w:name="_Toc297120493"/>
      <w:bookmarkStart w:id="844" w:name="_Toc292559903"/>
      <w:bookmarkStart w:id="845" w:name="_Toc296346694"/>
      <w:bookmarkStart w:id="846" w:name="_Toc296503193"/>
      <w:bookmarkStart w:id="847" w:name="_Toc297048379"/>
      <w:bookmarkStart w:id="848" w:name="_Toc296891021"/>
      <w:bookmarkStart w:id="849" w:name="_Toc292559398"/>
      <w:bookmarkStart w:id="850" w:name="_Toc312678025"/>
      <w:bookmarkStart w:id="851" w:name="_Toc312677499"/>
      <w:bookmarkStart w:id="852" w:name="_Toc267251441"/>
      <w:bookmarkStart w:id="853" w:name="_Toc267251437"/>
      <w:bookmarkStart w:id="854" w:name="_Toc267251439"/>
      <w:bookmarkStart w:id="855" w:name="_Toc267251440"/>
      <w:bookmarkStart w:id="856" w:name="_Toc267251435"/>
      <w:bookmarkStart w:id="857" w:name="_Toc267251433"/>
      <w:bookmarkStart w:id="858" w:name="_Toc267251442"/>
      <w:r>
        <w:rPr>
          <w:rFonts w:ascii="Times New Roman" w:hAnsi="Times New Roman" w:eastAsia="黑体"/>
          <w:b w:val="0"/>
          <w:color w:val="000000"/>
          <w:sz w:val="32"/>
          <w:szCs w:val="32"/>
          <w:highlight w:val="none"/>
        </w:rPr>
        <w:t>0. 变更</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bookmarkEnd w:id="850"/>
    <w:bookmarkEnd w:id="851"/>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w:t>
      </w:r>
      <w:bookmarkStart w:id="859" w:name="_Toc304295567"/>
      <w:bookmarkStart w:id="860" w:name="_Toc297216200"/>
      <w:bookmarkStart w:id="861" w:name="_Toc297120494"/>
      <w:bookmarkStart w:id="862" w:name="_Toc296346695"/>
      <w:bookmarkStart w:id="863" w:name="_Toc312678026"/>
      <w:bookmarkStart w:id="864" w:name="_Toc296944533"/>
      <w:bookmarkStart w:id="865" w:name="_Toc296891234"/>
      <w:bookmarkStart w:id="866" w:name="_Toc292559904"/>
      <w:bookmarkStart w:id="867" w:name="_Toc296891022"/>
      <w:bookmarkStart w:id="868" w:name="_Toc296503194"/>
      <w:bookmarkStart w:id="869" w:name="_Toc292559399"/>
      <w:bookmarkStart w:id="870" w:name="_Toc297123541"/>
      <w:bookmarkStart w:id="871" w:name="_Toc300934990"/>
      <w:bookmarkStart w:id="872" w:name="_Toc303539147"/>
      <w:bookmarkStart w:id="873" w:name="_Toc296347193"/>
      <w:bookmarkStart w:id="874" w:name="_Toc312677500"/>
      <w:bookmarkStart w:id="875" w:name="_Toc297048380"/>
      <w:r>
        <w:rPr>
          <w:rFonts w:ascii="Times New Roman" w:hAnsi="Times New Roman" w:eastAsia="黑体"/>
          <w:color w:val="000000"/>
          <w:sz w:val="30"/>
          <w:szCs w:val="32"/>
          <w:highlight w:val="none"/>
        </w:rPr>
        <w:t>0.1变更的范围</w:t>
      </w:r>
    </w:p>
    <w:p>
      <w:pPr>
        <w:spacing w:line="360" w:lineRule="auto"/>
        <w:ind w:firstLine="6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关于变更的范围的约定：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876" w:name="_Toc20294"/>
      <w:bookmarkStart w:id="877" w:name="_Toc13879"/>
      <w:r>
        <w:rPr>
          <w:rFonts w:ascii="Times New Roman" w:hAnsi="Times New Roman" w:eastAsia="黑体"/>
          <w:color w:val="000000"/>
          <w:sz w:val="30"/>
          <w:szCs w:val="32"/>
          <w:highlight w:val="none"/>
        </w:rPr>
        <w:t>10.4 变更估价</w:t>
      </w:r>
      <w:bookmarkEnd w:id="876"/>
      <w:bookmarkEnd w:id="877"/>
    </w:p>
    <w:p>
      <w:pPr>
        <w:spacing w:line="360" w:lineRule="auto"/>
        <w:ind w:firstLine="600" w:firstLineChars="200"/>
        <w:jc w:val="left"/>
        <w:rPr>
          <w:rFonts w:hint="eastAsia" w:ascii="Times New Roman" w:hAnsi="Times New Roman" w:eastAsia="仿宋_GB2312"/>
          <w:sz w:val="30"/>
          <w:szCs w:val="32"/>
          <w:highlight w:val="none"/>
        </w:rPr>
      </w:pPr>
      <w:r>
        <w:rPr>
          <w:rFonts w:hint="eastAsia" w:ascii="Times New Roman" w:hAnsi="Times New Roman" w:eastAsia="仿宋_GB2312"/>
          <w:sz w:val="30"/>
          <w:szCs w:val="32"/>
          <w:highlight w:val="none"/>
        </w:rPr>
        <w:t>10.4.1 变更估价原则</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 xml:space="preserve">关于变更估价的约定: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Start w:id="878" w:name="_Toc297216203"/>
      <w:bookmarkStart w:id="879" w:name="_Toc297120497"/>
      <w:bookmarkStart w:id="880" w:name="_Toc297123544"/>
      <w:bookmarkStart w:id="881" w:name="_Toc303539150"/>
      <w:bookmarkStart w:id="882" w:name="_Toc296891025"/>
      <w:bookmarkStart w:id="883" w:name="_Toc296503197"/>
      <w:bookmarkStart w:id="884" w:name="_Toc300934993"/>
      <w:bookmarkStart w:id="885" w:name="_Toc296944536"/>
      <w:bookmarkStart w:id="886" w:name="_Toc292559907"/>
      <w:bookmarkStart w:id="887" w:name="_Toc296347196"/>
      <w:bookmarkStart w:id="888" w:name="_Toc297048383"/>
      <w:bookmarkStart w:id="889" w:name="_Toc296346698"/>
      <w:bookmarkStart w:id="890" w:name="_Toc296891237"/>
      <w:bookmarkStart w:id="891" w:name="_Toc292559402"/>
      <w:bookmarkStart w:id="892" w:name="_Toc312678029"/>
      <w:bookmarkStart w:id="893" w:name="_Toc312677503"/>
      <w:bookmarkStart w:id="894" w:name="_Toc304295570"/>
      <w:r>
        <w:rPr>
          <w:rFonts w:ascii="Times New Roman" w:hAnsi="Times New Roman" w:eastAsia="黑体"/>
          <w:color w:val="000000"/>
          <w:sz w:val="30"/>
          <w:szCs w:val="32"/>
          <w:highlight w:val="none"/>
        </w:rPr>
        <w:t>0.5承</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Start w:id="895" w:name="_Toc292559408"/>
      <w:bookmarkStart w:id="896" w:name="_Toc296891243"/>
      <w:bookmarkStart w:id="897" w:name="_Toc303539151"/>
      <w:bookmarkStart w:id="898" w:name="_Toc296944542"/>
      <w:bookmarkStart w:id="899" w:name="_Toc297123545"/>
      <w:bookmarkStart w:id="900" w:name="_Toc300934994"/>
      <w:bookmarkStart w:id="901" w:name="_Toc292559913"/>
      <w:bookmarkStart w:id="902" w:name="_Toc296346704"/>
      <w:bookmarkStart w:id="903" w:name="_Toc297120503"/>
      <w:bookmarkStart w:id="904" w:name="_Toc296891031"/>
      <w:bookmarkStart w:id="905" w:name="_Toc297048389"/>
      <w:bookmarkStart w:id="906" w:name="_Toc296347202"/>
      <w:bookmarkStart w:id="907" w:name="_Toc296503203"/>
      <w:bookmarkStart w:id="908" w:name="_Toc297216204"/>
      <w:r>
        <w:rPr>
          <w:rFonts w:ascii="Times New Roman" w:hAnsi="Times New Roman" w:eastAsia="黑体"/>
          <w:color w:val="000000"/>
          <w:sz w:val="30"/>
          <w:szCs w:val="32"/>
          <w:highlight w:val="none"/>
        </w:rPr>
        <w:t>包人的合理化建议</w:t>
      </w:r>
    </w:p>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监理人审查承包人合理化建议的期限：</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发包人审批承包人合理化建议的期限：</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hint="eastAsia" w:ascii="Times New Roman" w:hAnsi="Times New Roman" w:eastAsia="仿宋_GB2312"/>
          <w:sz w:val="30"/>
          <w:szCs w:val="32"/>
          <w:highlight w:val="none"/>
          <w:u w:val="single"/>
        </w:rPr>
      </w:pPr>
      <w:r>
        <w:rPr>
          <w:rFonts w:ascii="Times New Roman" w:hAnsi="Times New Roman" w:eastAsia="仿宋_GB2312"/>
          <w:sz w:val="30"/>
          <w:szCs w:val="32"/>
          <w:highlight w:val="none"/>
        </w:rPr>
        <w:t>承</w:t>
      </w:r>
      <w:bookmarkStart w:id="909" w:name="_Toc296346705"/>
      <w:bookmarkStart w:id="910" w:name="_Toc296347203"/>
      <w:bookmarkStart w:id="911" w:name="_Toc296503204"/>
      <w:bookmarkStart w:id="912" w:name="_Toc296891032"/>
      <w:bookmarkStart w:id="913" w:name="_Toc318581175"/>
      <w:bookmarkStart w:id="914" w:name="_Toc304295571"/>
      <w:bookmarkStart w:id="915" w:name="_Toc292559409"/>
      <w:bookmarkStart w:id="916" w:name="_Toc296891244"/>
      <w:bookmarkStart w:id="917" w:name="_Toc297216205"/>
      <w:bookmarkStart w:id="918" w:name="_Toc297120504"/>
      <w:bookmarkStart w:id="919" w:name="_Toc292559914"/>
      <w:bookmarkStart w:id="920" w:name="_Toc303539152"/>
      <w:bookmarkStart w:id="921" w:name="_Toc312678030"/>
      <w:bookmarkStart w:id="922" w:name="_Toc297048390"/>
      <w:bookmarkStart w:id="923" w:name="_Toc312677504"/>
      <w:bookmarkStart w:id="924" w:name="_Toc296944543"/>
      <w:bookmarkStart w:id="925" w:name="_Toc297123546"/>
      <w:bookmarkStart w:id="926" w:name="_Toc300934995"/>
      <w:r>
        <w:rPr>
          <w:rFonts w:ascii="Times New Roman" w:hAnsi="Times New Roman" w:eastAsia="仿宋_GB2312"/>
          <w:sz w:val="30"/>
          <w:szCs w:val="32"/>
          <w:highlight w:val="none"/>
        </w:rPr>
        <w:t>包人提出的合理化建议降低了合同价格或者提高了工程经济效益的奖励的方法和金额为：</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p>
    <w:p>
      <w:pPr>
        <w:spacing w:line="360" w:lineRule="auto"/>
        <w:jc w:val="left"/>
        <w:rPr>
          <w:rFonts w:ascii="Times New Roman" w:hAnsi="Times New Roman" w:eastAsia="仿宋_GB2312"/>
          <w:sz w:val="30"/>
          <w:szCs w:val="32"/>
          <w:highlight w:val="none"/>
          <w:u w:val="single"/>
        </w:rPr>
      </w:pP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Pr>
        <w:spacing w:after="120" w:line="360" w:lineRule="auto"/>
        <w:ind w:firstLine="600" w:firstLineChars="200"/>
        <w:outlineLvl w:val="0"/>
        <w:rPr>
          <w:rFonts w:ascii="Times New Roman" w:hAnsi="Times New Roman" w:eastAsia="黑体"/>
          <w:color w:val="000000"/>
          <w:sz w:val="30"/>
          <w:szCs w:val="32"/>
          <w:highlight w:val="none"/>
        </w:rPr>
      </w:pPr>
      <w:bookmarkStart w:id="927" w:name="_Toc32216"/>
      <w:bookmarkStart w:id="928" w:name="_Toc16169"/>
      <w:r>
        <w:rPr>
          <w:rFonts w:ascii="Times New Roman" w:hAnsi="Times New Roman" w:eastAsia="黑体"/>
          <w:color w:val="000000"/>
          <w:sz w:val="30"/>
          <w:szCs w:val="32"/>
          <w:highlight w:val="none"/>
        </w:rPr>
        <w:t>1</w:t>
      </w:r>
      <w:bookmarkStart w:id="929" w:name="_Toc303539154"/>
      <w:bookmarkStart w:id="930" w:name="_Toc297123548"/>
      <w:bookmarkStart w:id="931" w:name="_Toc297048385"/>
      <w:bookmarkStart w:id="932" w:name="_Toc296347198"/>
      <w:bookmarkStart w:id="933" w:name="_Toc296503199"/>
      <w:bookmarkStart w:id="934" w:name="_Toc296891027"/>
      <w:bookmarkStart w:id="935" w:name="_Toc296346700"/>
      <w:bookmarkStart w:id="936" w:name="_Toc296944538"/>
      <w:bookmarkStart w:id="937" w:name="_Toc297216207"/>
      <w:bookmarkStart w:id="938" w:name="_Toc312677507"/>
      <w:bookmarkStart w:id="939" w:name="_Toc292559909"/>
      <w:bookmarkStart w:id="940" w:name="_Toc300934997"/>
      <w:bookmarkStart w:id="941" w:name="_Toc292559404"/>
      <w:bookmarkStart w:id="942" w:name="_Toc296891239"/>
      <w:bookmarkStart w:id="943" w:name="_Toc304295574"/>
      <w:bookmarkStart w:id="944" w:name="_Toc297120499"/>
      <w:bookmarkStart w:id="945" w:name="_Toc312678033"/>
      <w:r>
        <w:rPr>
          <w:rFonts w:ascii="Times New Roman" w:hAnsi="Times New Roman" w:eastAsia="黑体"/>
          <w:color w:val="000000"/>
          <w:sz w:val="30"/>
          <w:szCs w:val="32"/>
          <w:highlight w:val="none"/>
        </w:rPr>
        <w:t>0.7 暂估价</w:t>
      </w:r>
      <w:bookmarkEnd w:id="927"/>
      <w:bookmarkEnd w:id="928"/>
    </w:p>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kern w:val="0"/>
          <w:sz w:val="30"/>
          <w:szCs w:val="32"/>
          <w:highlight w:val="none"/>
        </w:rPr>
        <w:t>暂</w:t>
      </w:r>
      <w:bookmarkStart w:id="946" w:name="_Toc318581176"/>
      <w:bookmarkStart w:id="947" w:name="_Toc312677508"/>
      <w:bookmarkStart w:id="948" w:name="_Toc312678034"/>
      <w:r>
        <w:rPr>
          <w:rFonts w:ascii="Times New Roman" w:hAnsi="Times New Roman" w:eastAsia="仿宋_GB2312"/>
          <w:kern w:val="0"/>
          <w:sz w:val="30"/>
          <w:szCs w:val="32"/>
          <w:highlight w:val="none"/>
        </w:rPr>
        <w:t>估价材料和工程设备的明细详见附件</w:t>
      </w:r>
      <w:r>
        <w:rPr>
          <w:rFonts w:hint="eastAsia" w:ascii="Times New Roman" w:hAnsi="Times New Roman" w:eastAsia="仿宋_GB2312"/>
          <w:kern w:val="0"/>
          <w:sz w:val="30"/>
          <w:szCs w:val="32"/>
          <w:highlight w:val="none"/>
        </w:rPr>
        <w:t>11：《</w:t>
      </w:r>
      <w:r>
        <w:rPr>
          <w:rFonts w:ascii="Times New Roman" w:hAnsi="Times New Roman" w:eastAsia="仿宋_GB2312"/>
          <w:color w:val="000000"/>
          <w:sz w:val="30"/>
          <w:szCs w:val="32"/>
          <w:highlight w:val="none"/>
        </w:rPr>
        <w:t>暂估价一览表</w:t>
      </w:r>
      <w:r>
        <w:rPr>
          <w:rFonts w:hint="eastAsia" w:ascii="Times New Roman" w:hAnsi="Times New Roman" w:eastAsia="仿宋_GB2312"/>
          <w:color w:val="000000"/>
          <w:sz w:val="30"/>
          <w:szCs w:val="32"/>
          <w:highlight w:val="none"/>
        </w:rPr>
        <w:t>》</w:t>
      </w:r>
      <w:r>
        <w:rPr>
          <w:rFonts w:hint="eastAsia" w:ascii="Times New Roman" w:hAnsi="Times New Roman" w:eastAsia="仿宋_GB2312"/>
          <w:kern w:val="0"/>
          <w:sz w:val="30"/>
          <w:szCs w:val="32"/>
          <w:highlight w:val="none"/>
        </w:rPr>
        <w:t>。</w:t>
      </w:r>
    </w:p>
    <w:bookmarkEnd w:id="946"/>
    <w:bookmarkEnd w:id="947"/>
    <w:bookmarkEnd w:id="948"/>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1</w:t>
      </w:r>
      <w:bookmarkStart w:id="949" w:name="_Toc312678035"/>
      <w:bookmarkStart w:id="950" w:name="_Toc312677509"/>
      <w:bookmarkStart w:id="951" w:name="_Toc318581177"/>
      <w:r>
        <w:rPr>
          <w:rFonts w:ascii="Times New Roman" w:hAnsi="Times New Roman" w:eastAsia="仿宋_GB2312"/>
          <w:sz w:val="30"/>
          <w:szCs w:val="32"/>
          <w:highlight w:val="none"/>
        </w:rPr>
        <w:t>0.7.1 依法必须招标的暂估价项目</w:t>
      </w:r>
    </w:p>
    <w:bookmarkEnd w:id="949"/>
    <w:bookmarkEnd w:id="950"/>
    <w:bookmarkEnd w:id="951"/>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对于依法必须招标的暂估价项目的确认和批准采取第</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种方式确定。</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10.7.2 不属于依法必须招标的暂估价项目</w:t>
      </w:r>
    </w:p>
    <w:p>
      <w:pPr>
        <w:spacing w:line="360" w:lineRule="auto"/>
        <w:ind w:firstLine="600" w:firstLineChars="200"/>
        <w:jc w:val="left"/>
        <w:rPr>
          <w:rFonts w:hint="eastAsia" w:ascii="Times New Roman" w:hAnsi="Times New Roman" w:eastAsia="仿宋_GB2312"/>
          <w:sz w:val="30"/>
          <w:szCs w:val="32"/>
          <w:highlight w:val="none"/>
        </w:rPr>
      </w:pPr>
      <w:r>
        <w:rPr>
          <w:rFonts w:ascii="Times New Roman" w:hAnsi="Times New Roman" w:eastAsia="仿宋_GB2312"/>
          <w:sz w:val="30"/>
          <w:szCs w:val="32"/>
          <w:highlight w:val="none"/>
        </w:rPr>
        <w:t>对于不属于依法必须招标的暂估价项目的确认和批准采取第</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 xml:space="preserve"> 种方式确定。</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第3种方式：</w:t>
      </w:r>
      <w:r>
        <w:rPr>
          <w:rFonts w:ascii="Times New Roman" w:hAnsi="Times New Roman" w:eastAsia="仿宋_GB2312"/>
          <w:color w:val="000000"/>
          <w:kern w:val="0"/>
          <w:sz w:val="30"/>
          <w:szCs w:val="32"/>
          <w:highlight w:val="none"/>
        </w:rPr>
        <w:t>承包人直接实施的暂估价项目</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承包人直接实施的暂估价项目的约定：</w:t>
      </w:r>
      <w:r>
        <w:rPr>
          <w:rFonts w:ascii="Times New Roman" w:hAnsi="Times New Roman" w:eastAsia="仿宋_GB2312"/>
          <w:sz w:val="30"/>
          <w:szCs w:val="32"/>
          <w:highlight w:val="none"/>
          <w:u w:val="single"/>
        </w:rPr>
        <w:t xml:space="preserve">                     </w:t>
      </w:r>
    </w:p>
    <w:p>
      <w:pPr>
        <w:spacing w:line="360" w:lineRule="auto"/>
        <w:jc w:val="left"/>
        <w:rPr>
          <w:rFonts w:hint="eastAsia" w:ascii="Times New Roman" w:hAnsi="Times New Roman" w:eastAsia="仿宋_GB2312"/>
          <w:sz w:val="30"/>
          <w:szCs w:val="32"/>
          <w:highlight w:val="none"/>
        </w:rPr>
      </w:pPr>
      <w:r>
        <w:rPr>
          <w:rFonts w:hint="eastAsia"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10.8 暂列金额</w:t>
      </w:r>
    </w:p>
    <w:p>
      <w:pPr>
        <w:autoSpaceDE w:val="0"/>
        <w:autoSpaceDN w:val="0"/>
        <w:adjustRightInd w:val="0"/>
        <w:spacing w:line="360" w:lineRule="auto"/>
        <w:ind w:firstLine="600" w:firstLineChars="200"/>
        <w:jc w:val="left"/>
        <w:rPr>
          <w:rFonts w:hint="eastAsia" w:ascii="Times New Roman" w:hAnsi="Times New Roman" w:eastAsia="仿宋_GB2312"/>
          <w:sz w:val="30"/>
          <w:szCs w:val="32"/>
          <w:highlight w:val="none"/>
          <w:u w:val="single"/>
        </w:rPr>
      </w:pPr>
      <w:r>
        <w:rPr>
          <w:rFonts w:hint="eastAsia" w:ascii="Times New Roman" w:hAnsi="Times New Roman" w:eastAsia="仿宋_GB2312"/>
          <w:color w:val="000000"/>
          <w:kern w:val="0"/>
          <w:sz w:val="30"/>
          <w:szCs w:val="32"/>
          <w:highlight w:val="none"/>
        </w:rPr>
        <w:t>合同当事人关于暂列金额使用的约定：</w:t>
      </w:r>
      <w:r>
        <w:rPr>
          <w:rFonts w:ascii="Times New Roman" w:hAnsi="Times New Roman" w:eastAsia="仿宋_GB2312"/>
          <w:sz w:val="30"/>
          <w:szCs w:val="32"/>
          <w:highlight w:val="none"/>
          <w:u w:val="single"/>
        </w:rPr>
        <w:t xml:space="preserve">               </w:t>
      </w:r>
      <w:r>
        <w:rPr>
          <w:rFonts w:hint="eastAsia" w:ascii="Times New Roman" w:hAnsi="Times New Roman" w:eastAsia="仿宋_GB2312"/>
          <w:sz w:val="30"/>
          <w:szCs w:val="32"/>
          <w:highlight w:val="none"/>
          <w:u w:val="single"/>
        </w:rPr>
        <w:t xml:space="preserve">      </w:t>
      </w:r>
    </w:p>
    <w:p>
      <w:pPr>
        <w:autoSpaceDE w:val="0"/>
        <w:autoSpaceDN w:val="0"/>
        <w:adjustRightInd w:val="0"/>
        <w:spacing w:line="360" w:lineRule="auto"/>
        <w:jc w:val="left"/>
        <w:rPr>
          <w:rFonts w:ascii="Times New Roman" w:hAnsi="Times New Roman" w:eastAsia="仿宋_GB2312"/>
          <w:color w:val="000000"/>
          <w:kern w:val="0"/>
          <w:sz w:val="30"/>
          <w:szCs w:val="32"/>
          <w:highlight w:val="none"/>
        </w:rPr>
      </w:pPr>
      <w:r>
        <w:rPr>
          <w:rFonts w:hint="eastAsia" w:ascii="Times New Roman" w:hAnsi="Times New Roman" w:eastAsia="仿宋_GB2312"/>
          <w:sz w:val="30"/>
          <w:szCs w:val="32"/>
          <w:highlight w:val="none"/>
          <w:u w:val="single"/>
        </w:rPr>
        <w:t xml:space="preserve">                                                         </w:t>
      </w:r>
      <w:r>
        <w:rPr>
          <w:rFonts w:hint="eastAsia" w:ascii="Times New Roman" w:hAnsi="Times New Roman" w:eastAsia="仿宋_GB2312"/>
          <w:color w:val="000000"/>
          <w:kern w:val="0"/>
          <w:sz w:val="30"/>
          <w:szCs w:val="32"/>
          <w:highlight w:val="none"/>
        </w:rPr>
        <w:t>。</w:t>
      </w:r>
    </w:p>
    <w:p>
      <w:pPr>
        <w:pStyle w:val="6"/>
        <w:spacing w:before="120" w:after="120" w:line="360" w:lineRule="auto"/>
        <w:rPr>
          <w:rFonts w:ascii="Times New Roman" w:hAnsi="Times New Roman" w:eastAsia="黑体"/>
          <w:b w:val="0"/>
          <w:color w:val="000000"/>
          <w:sz w:val="32"/>
          <w:szCs w:val="32"/>
          <w:highlight w:val="none"/>
        </w:rPr>
      </w:pPr>
      <w:bookmarkStart w:id="952" w:name="_Toc351203643"/>
      <w:r>
        <w:rPr>
          <w:rFonts w:ascii="Times New Roman" w:hAnsi="Times New Roman" w:eastAsia="黑体"/>
          <w:b w:val="0"/>
          <w:color w:val="000000"/>
          <w:sz w:val="32"/>
          <w:szCs w:val="32"/>
          <w:highlight w:val="none"/>
        </w:rPr>
        <w:t>11. 价格调整</w:t>
      </w:r>
      <w:bookmarkEnd w:id="952"/>
    </w:p>
    <w:p>
      <w:pPr>
        <w:spacing w:after="120" w:line="360" w:lineRule="auto"/>
        <w:ind w:firstLine="600" w:firstLineChars="200"/>
        <w:rPr>
          <w:rFonts w:ascii="Times New Roman" w:hAnsi="Times New Roman" w:eastAsia="黑体"/>
          <w:color w:val="000000"/>
          <w:sz w:val="30"/>
          <w:szCs w:val="32"/>
          <w:highlight w:val="none"/>
        </w:rPr>
      </w:pPr>
      <w:bookmarkStart w:id="953" w:name="_Toc303539157"/>
      <w:bookmarkStart w:id="954" w:name="_Toc296347200"/>
      <w:bookmarkStart w:id="955" w:name="_Toc296346702"/>
      <w:bookmarkStart w:id="956" w:name="_Toc296503201"/>
      <w:bookmarkStart w:id="957" w:name="_Toc297048387"/>
      <w:bookmarkStart w:id="958" w:name="_Toc296891029"/>
      <w:bookmarkStart w:id="959" w:name="_Toc300935000"/>
      <w:bookmarkStart w:id="960" w:name="_Toc292559911"/>
      <w:bookmarkStart w:id="961" w:name="_Toc297216209"/>
      <w:bookmarkStart w:id="962" w:name="_Toc312678039"/>
      <w:bookmarkStart w:id="963" w:name="_Toc304295577"/>
      <w:bookmarkStart w:id="964" w:name="_Toc297120501"/>
      <w:bookmarkStart w:id="965" w:name="_Toc296944540"/>
      <w:bookmarkStart w:id="966" w:name="_Toc297123550"/>
      <w:bookmarkStart w:id="967" w:name="_Toc296891241"/>
      <w:bookmarkStart w:id="968" w:name="_Toc292559406"/>
      <w:r>
        <w:rPr>
          <w:rFonts w:ascii="Times New Roman" w:hAnsi="Times New Roman" w:eastAsia="黑体"/>
          <w:color w:val="000000"/>
          <w:sz w:val="30"/>
          <w:szCs w:val="32"/>
          <w:highlight w:val="none"/>
        </w:rPr>
        <w:t>11.1 市场价格波动引起的调整</w:t>
      </w:r>
    </w:p>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kern w:val="0"/>
          <w:sz w:val="30"/>
          <w:szCs w:val="32"/>
          <w:highlight w:val="none"/>
        </w:rPr>
        <w:t>市场价格波动是否调整合同价格的约定：</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因市场价格波动调整合同价格，采用以下</w:t>
      </w:r>
      <w:r>
        <w:rPr>
          <w:rFonts w:ascii="Times New Roman" w:hAnsi="Times New Roman" w:eastAsia="仿宋_GB2312"/>
          <w:sz w:val="30"/>
          <w:szCs w:val="32"/>
          <w:highlight w:val="none"/>
        </w:rPr>
        <w:t>第</w:t>
      </w:r>
      <w:r>
        <w:rPr>
          <w:rFonts w:ascii="Times New Roman" w:hAnsi="Times New Roman" w:eastAsia="仿宋_GB2312"/>
          <w:sz w:val="30"/>
          <w:szCs w:val="32"/>
          <w:highlight w:val="none"/>
          <w:u w:val="single"/>
        </w:rPr>
        <w:t xml:space="preserve">    </w:t>
      </w:r>
      <w:r>
        <w:rPr>
          <w:rFonts w:ascii="Times New Roman" w:hAnsi="Times New Roman" w:eastAsia="仿宋_GB2312"/>
          <w:color w:val="000000"/>
          <w:sz w:val="30"/>
          <w:szCs w:val="32"/>
          <w:highlight w:val="none"/>
        </w:rPr>
        <w:t>种方式对合同价格进行调整：</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第1种方式：采用价格指数</w:t>
      </w:r>
      <w:r>
        <w:rPr>
          <w:rFonts w:hint="eastAsia" w:ascii="Times New Roman" w:hAnsi="Times New Roman" w:eastAsia="仿宋_GB2312"/>
          <w:color w:val="000000"/>
          <w:sz w:val="30"/>
          <w:szCs w:val="32"/>
          <w:highlight w:val="none"/>
        </w:rPr>
        <w:t>进行价格</w:t>
      </w:r>
      <w:r>
        <w:rPr>
          <w:rFonts w:ascii="Times New Roman" w:hAnsi="Times New Roman" w:eastAsia="仿宋_GB2312"/>
          <w:color w:val="000000"/>
          <w:sz w:val="30"/>
          <w:szCs w:val="32"/>
          <w:highlight w:val="none"/>
        </w:rPr>
        <w:t>调整。</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关于各可调因子、定值和变值权重，以及基本价格指数及其来源的约定：</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第2种方式：采用造价信息</w:t>
      </w:r>
      <w:r>
        <w:rPr>
          <w:rFonts w:hint="eastAsia" w:ascii="Times New Roman" w:hAnsi="Times New Roman" w:eastAsia="仿宋_GB2312"/>
          <w:color w:val="000000"/>
          <w:sz w:val="30"/>
          <w:szCs w:val="32"/>
          <w:highlight w:val="none"/>
        </w:rPr>
        <w:t>进行价格</w:t>
      </w:r>
      <w:r>
        <w:rPr>
          <w:rFonts w:ascii="Times New Roman" w:hAnsi="Times New Roman" w:eastAsia="仿宋_GB2312"/>
          <w:color w:val="000000"/>
          <w:sz w:val="30"/>
          <w:szCs w:val="32"/>
          <w:highlight w:val="none"/>
        </w:rPr>
        <w:t>调整。</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（2）关于基准价格的约定：</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专用合同条款</w:t>
      </w:r>
      <w:r>
        <w:rPr>
          <w:rFonts w:hint="eastAsia" w:ascii="宋体" w:hAnsi="宋体" w:cs="宋体"/>
          <w:color w:val="000000"/>
          <w:sz w:val="30"/>
          <w:szCs w:val="32"/>
          <w:highlight w:val="none"/>
        </w:rPr>
        <w:t>①</w:t>
      </w:r>
      <w:r>
        <w:rPr>
          <w:rFonts w:ascii="Times New Roman" w:hAnsi="Times New Roman" w:eastAsia="仿宋_GB2312"/>
          <w:color w:val="000000"/>
          <w:sz w:val="30"/>
          <w:szCs w:val="32"/>
          <w:highlight w:val="none"/>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%时，或材料单价跌幅以已标价工程量清单或预算书中载明材料单价为基础超过</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%时，其超过部分据实调整。</w:t>
      </w:r>
    </w:p>
    <w:p>
      <w:pPr>
        <w:spacing w:line="360" w:lineRule="auto"/>
        <w:ind w:firstLine="600" w:firstLineChars="200"/>
        <w:jc w:val="left"/>
        <w:rPr>
          <w:rFonts w:ascii="Times New Roman" w:hAnsi="Times New Roman" w:eastAsia="仿宋_GB2312"/>
          <w:color w:val="000000"/>
          <w:sz w:val="30"/>
          <w:szCs w:val="32"/>
          <w:highlight w:val="none"/>
        </w:rPr>
      </w:pPr>
      <w:r>
        <w:rPr>
          <w:rFonts w:hint="eastAsia" w:ascii="宋体" w:hAnsi="宋体" w:cs="宋体"/>
          <w:color w:val="000000"/>
          <w:sz w:val="30"/>
          <w:szCs w:val="32"/>
          <w:highlight w:val="none"/>
        </w:rPr>
        <w:t>②</w:t>
      </w:r>
      <w:r>
        <w:rPr>
          <w:rFonts w:ascii="Times New Roman" w:hAnsi="Times New Roman" w:eastAsia="仿宋_GB2312"/>
          <w:color w:val="000000"/>
          <w:sz w:val="30"/>
          <w:szCs w:val="32"/>
          <w:highlight w:val="none"/>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%时，材料单价涨幅以已标价工程量清单或预算书中载明材料单价为基础超过</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%时，其超过部分据实调整。</w:t>
      </w:r>
    </w:p>
    <w:p>
      <w:pPr>
        <w:spacing w:line="360" w:lineRule="auto"/>
        <w:ind w:firstLine="645"/>
        <w:jc w:val="left"/>
        <w:rPr>
          <w:rFonts w:ascii="Times New Roman" w:hAnsi="Times New Roman" w:eastAsia="仿宋_GB2312"/>
          <w:color w:val="000000"/>
          <w:sz w:val="30"/>
          <w:szCs w:val="32"/>
          <w:highlight w:val="none"/>
        </w:rPr>
      </w:pPr>
      <w:r>
        <w:rPr>
          <w:rFonts w:hint="eastAsia" w:ascii="宋体" w:hAnsi="宋体" w:cs="宋体"/>
          <w:color w:val="000000"/>
          <w:sz w:val="30"/>
          <w:szCs w:val="32"/>
          <w:highlight w:val="none"/>
        </w:rPr>
        <w:t>③</w:t>
      </w:r>
      <w:r>
        <w:rPr>
          <w:rFonts w:ascii="Times New Roman" w:hAnsi="Times New Roman" w:eastAsia="仿宋_GB2312"/>
          <w:color w:val="000000"/>
          <w:sz w:val="30"/>
          <w:szCs w:val="32"/>
          <w:highlight w:val="none"/>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%时，其超过部分据实调整。</w:t>
      </w:r>
    </w:p>
    <w:p>
      <w:pPr>
        <w:spacing w:line="360" w:lineRule="auto"/>
        <w:ind w:firstLine="645"/>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第3种方式：其他价格调整方式：</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bookmarkEnd w:id="852"/>
    <w:bookmarkEnd w:id="853"/>
    <w:bookmarkEnd w:id="854"/>
    <w:bookmarkEnd w:id="855"/>
    <w:bookmarkEnd w:id="856"/>
    <w:bookmarkEnd w:id="857"/>
    <w:p>
      <w:pPr>
        <w:pStyle w:val="6"/>
        <w:spacing w:before="120" w:after="120" w:line="360" w:lineRule="auto"/>
        <w:rPr>
          <w:rFonts w:ascii="Times New Roman" w:hAnsi="Times New Roman" w:eastAsia="黑体"/>
          <w:b w:val="0"/>
          <w:color w:val="000000"/>
          <w:sz w:val="32"/>
          <w:szCs w:val="32"/>
          <w:highlight w:val="none"/>
        </w:rPr>
      </w:pPr>
      <w:bookmarkStart w:id="969" w:name="_Toc296503205"/>
      <w:bookmarkStart w:id="970" w:name="_Toc296346706"/>
      <w:bookmarkStart w:id="971" w:name="_Toc297120505"/>
      <w:bookmarkStart w:id="972" w:name="_Toc296944544"/>
      <w:bookmarkStart w:id="973" w:name="_Toc296891033"/>
      <w:bookmarkStart w:id="974" w:name="_Toc292559410"/>
      <w:bookmarkStart w:id="975" w:name="_Toc292559915"/>
      <w:bookmarkStart w:id="976" w:name="_Toc296891245"/>
      <w:bookmarkStart w:id="977" w:name="_Toc297048391"/>
      <w:bookmarkStart w:id="978" w:name="_Toc296347204"/>
      <w:bookmarkStart w:id="979" w:name="_Toc351203644"/>
      <w:bookmarkStart w:id="980" w:name="_Toc312678040"/>
      <w:bookmarkStart w:id="981" w:name="_Toc297123552"/>
      <w:bookmarkStart w:id="982" w:name="_Toc297216211"/>
      <w:bookmarkStart w:id="983" w:name="_Toc303539159"/>
      <w:bookmarkStart w:id="984" w:name="_Toc304295579"/>
      <w:bookmarkStart w:id="985" w:name="_Toc300935002"/>
      <w:r>
        <w:rPr>
          <w:rFonts w:ascii="Times New Roman" w:hAnsi="Times New Roman" w:eastAsia="黑体"/>
          <w:b w:val="0"/>
          <w:color w:val="000000"/>
          <w:sz w:val="32"/>
          <w:szCs w:val="32"/>
          <w:highlight w:val="none"/>
        </w:rPr>
        <w:t xml:space="preserve">12. </w:t>
      </w:r>
      <w:bookmarkEnd w:id="969"/>
      <w:bookmarkEnd w:id="970"/>
      <w:bookmarkEnd w:id="971"/>
      <w:bookmarkEnd w:id="972"/>
      <w:bookmarkEnd w:id="973"/>
      <w:bookmarkEnd w:id="974"/>
      <w:bookmarkEnd w:id="975"/>
      <w:bookmarkEnd w:id="976"/>
      <w:bookmarkEnd w:id="977"/>
      <w:bookmarkEnd w:id="978"/>
      <w:r>
        <w:rPr>
          <w:rFonts w:ascii="Times New Roman" w:hAnsi="Times New Roman" w:eastAsia="黑体"/>
          <w:b w:val="0"/>
          <w:color w:val="000000"/>
          <w:sz w:val="32"/>
          <w:szCs w:val="32"/>
          <w:highlight w:val="none"/>
        </w:rPr>
        <w:t>合同价格、计量与支付</w:t>
      </w:r>
      <w:bookmarkEnd w:id="979"/>
    </w:p>
    <w:bookmarkEnd w:id="980"/>
    <w:bookmarkEnd w:id="981"/>
    <w:bookmarkEnd w:id="982"/>
    <w:bookmarkEnd w:id="983"/>
    <w:bookmarkEnd w:id="984"/>
    <w:bookmarkEnd w:id="985"/>
    <w:p>
      <w:pPr>
        <w:spacing w:after="120" w:line="360" w:lineRule="auto"/>
        <w:ind w:firstLine="600" w:firstLineChars="200"/>
        <w:rPr>
          <w:rFonts w:ascii="Times New Roman" w:hAnsi="Times New Roman" w:eastAsia="黑体"/>
          <w:color w:val="000000"/>
          <w:sz w:val="30"/>
          <w:szCs w:val="32"/>
          <w:highlight w:val="none"/>
        </w:rPr>
      </w:pPr>
      <w:bookmarkStart w:id="986" w:name="_Toc267251461"/>
      <w:bookmarkStart w:id="987" w:name="_Toc292559916"/>
      <w:bookmarkStart w:id="988" w:name="_Toc292559411"/>
      <w:bookmarkStart w:id="989" w:name="_Toc296891246"/>
      <w:bookmarkStart w:id="990" w:name="_Toc296891034"/>
      <w:bookmarkStart w:id="991" w:name="_Toc296944545"/>
      <w:bookmarkStart w:id="992" w:name="_Toc296346707"/>
      <w:bookmarkStart w:id="993" w:name="_Toc296503206"/>
      <w:bookmarkStart w:id="994" w:name="_Toc297048392"/>
      <w:bookmarkStart w:id="995" w:name="_Toc297120506"/>
      <w:bookmarkStart w:id="996" w:name="_Toc296347205"/>
      <w:bookmarkStart w:id="997" w:name="_Toc303539160"/>
      <w:bookmarkStart w:id="998" w:name="_Toc304295580"/>
      <w:bookmarkStart w:id="999" w:name="_Toc297123553"/>
      <w:bookmarkStart w:id="1000" w:name="_Toc297216212"/>
      <w:bookmarkStart w:id="1001" w:name="_Toc312678041"/>
      <w:bookmarkStart w:id="1002" w:name="_Toc300935003"/>
      <w:r>
        <w:rPr>
          <w:rFonts w:ascii="Times New Roman" w:hAnsi="Times New Roman" w:eastAsia="黑体"/>
          <w:color w:val="000000"/>
          <w:sz w:val="30"/>
          <w:szCs w:val="32"/>
          <w:highlight w:val="none"/>
        </w:rPr>
        <w:t>12.1 合</w:t>
      </w:r>
      <w:bookmarkEnd w:id="986"/>
      <w:bookmarkEnd w:id="987"/>
      <w:bookmarkEnd w:id="988"/>
      <w:r>
        <w:rPr>
          <w:rFonts w:ascii="Times New Roman" w:hAnsi="Times New Roman" w:eastAsia="黑体"/>
          <w:color w:val="000000"/>
          <w:sz w:val="30"/>
          <w:szCs w:val="32"/>
          <w:highlight w:val="none"/>
        </w:rPr>
        <w:t>同价</w:t>
      </w:r>
      <w:bookmarkEnd w:id="989"/>
      <w:bookmarkEnd w:id="990"/>
      <w:bookmarkEnd w:id="991"/>
      <w:bookmarkEnd w:id="992"/>
      <w:bookmarkEnd w:id="993"/>
      <w:bookmarkEnd w:id="994"/>
      <w:bookmarkEnd w:id="995"/>
      <w:bookmarkEnd w:id="996"/>
      <w:r>
        <w:rPr>
          <w:rFonts w:ascii="Times New Roman" w:hAnsi="Times New Roman" w:eastAsia="黑体"/>
          <w:color w:val="000000"/>
          <w:sz w:val="30"/>
          <w:szCs w:val="32"/>
          <w:highlight w:val="none"/>
        </w:rPr>
        <w:t>格形式</w:t>
      </w:r>
    </w:p>
    <w:bookmarkEnd w:id="997"/>
    <w:bookmarkEnd w:id="998"/>
    <w:bookmarkEnd w:id="999"/>
    <w:bookmarkEnd w:id="1000"/>
    <w:bookmarkEnd w:id="1001"/>
    <w:bookmarkEnd w:id="1002"/>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1、单价合同。</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综合单价包含的风险范围：</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风险费用的计算方法：</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风险范围以外合同价格的调整方法：</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2、总价合同。</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总价包含的风险范围：</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风险费用的计算方法：</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风险范围以外合同价格的调整方法：</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3、其他价格方式：</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bookmarkStart w:id="1003" w:name="_Toc312678042"/>
      <w:bookmarkStart w:id="1004" w:name="_Toc300935004"/>
      <w:bookmarkStart w:id="1005" w:name="_Toc297123554"/>
      <w:bookmarkStart w:id="1006" w:name="_Toc303539161"/>
      <w:bookmarkStart w:id="1007" w:name="_Toc297216213"/>
      <w:bookmarkStart w:id="1008" w:name="_Toc304295581"/>
      <w:bookmarkStart w:id="1009" w:name="_Toc297048393"/>
      <w:bookmarkStart w:id="1010" w:name="_Toc296347206"/>
      <w:bookmarkStart w:id="1011" w:name="_Toc292559917"/>
      <w:bookmarkStart w:id="1012" w:name="_Toc296944546"/>
      <w:bookmarkStart w:id="1013" w:name="_Toc296346708"/>
      <w:bookmarkStart w:id="1014" w:name="_Toc296891035"/>
      <w:bookmarkStart w:id="1015" w:name="_Toc296891247"/>
      <w:bookmarkStart w:id="1016" w:name="_Toc292559412"/>
      <w:bookmarkStart w:id="1017" w:name="_Toc296503207"/>
      <w:bookmarkStart w:id="1018" w:name="_Toc297120507"/>
      <w:r>
        <w:rPr>
          <w:rFonts w:ascii="Times New Roman" w:hAnsi="Times New Roman" w:eastAsia="黑体"/>
          <w:color w:val="000000"/>
          <w:sz w:val="30"/>
          <w:szCs w:val="32"/>
          <w:highlight w:val="none"/>
        </w:rPr>
        <w:t>12.2 预付款</w:t>
      </w:r>
    </w:p>
    <w:bookmarkEnd w:id="1003"/>
    <w:bookmarkEnd w:id="1004"/>
    <w:bookmarkEnd w:id="1005"/>
    <w:bookmarkEnd w:id="1006"/>
    <w:bookmarkEnd w:id="1007"/>
    <w:bookmarkEnd w:id="1008"/>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12.2.1 预付款的支付</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预付款支付比例或金额：</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预付款支付期限：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预付款扣回的方式：</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12.2.2 预付款担保</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承包人提交预付款担保的期限：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预付款担保的形式为：</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bookmarkEnd w:id="1009"/>
    <w:bookmarkEnd w:id="1010"/>
    <w:bookmarkEnd w:id="1011"/>
    <w:bookmarkEnd w:id="1012"/>
    <w:bookmarkEnd w:id="1013"/>
    <w:bookmarkEnd w:id="1014"/>
    <w:bookmarkEnd w:id="1015"/>
    <w:bookmarkEnd w:id="1016"/>
    <w:bookmarkEnd w:id="1017"/>
    <w:bookmarkEnd w:id="1018"/>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12.3 计量</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12.3.1 计量原则</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工程量计算规则：</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12.3.2 计量周期</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关于计量周期的约定：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12.3.3 单价合同的计量</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关于单价合同计量的约定：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12.3.4 总价合同的计量</w:t>
      </w:r>
    </w:p>
    <w:p>
      <w:pPr>
        <w:spacing w:line="360" w:lineRule="auto"/>
        <w:ind w:firstLine="600" w:firstLineChars="200"/>
        <w:jc w:val="left"/>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关于总价合同计量的约定：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12.3.5总价合同采用支付分解表计量支付的，是否适用第</w:t>
      </w:r>
      <w:r>
        <w:rPr>
          <w:rFonts w:ascii="Times New Roman" w:hAnsi="Times New Roman" w:eastAsia="仿宋_GB2312"/>
          <w:color w:val="000000"/>
          <w:kern w:val="0"/>
          <w:sz w:val="30"/>
          <w:szCs w:val="32"/>
          <w:highlight w:val="none"/>
        </w:rPr>
        <w:t xml:space="preserve">12.3.4 </w:t>
      </w:r>
      <w:r>
        <w:rPr>
          <w:rFonts w:ascii="Times New Roman" w:hAnsi="Times New Roman" w:eastAsia="仿宋_GB2312"/>
          <w:color w:val="000000"/>
          <w:sz w:val="30"/>
          <w:szCs w:val="32"/>
          <w:highlight w:val="none"/>
        </w:rPr>
        <w:t>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总价合同的计量</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sz w:val="30"/>
          <w:szCs w:val="32"/>
          <w:highlight w:val="none"/>
        </w:rPr>
        <w:t>约定</w:t>
      </w:r>
      <w:r>
        <w:rPr>
          <w:rFonts w:hint="eastAsia" w:ascii="Times New Roman" w:hAnsi="Times New Roman" w:eastAsia="仿宋_GB2312"/>
          <w:color w:val="000000"/>
          <w:sz w:val="30"/>
          <w:szCs w:val="32"/>
          <w:highlight w:val="none"/>
        </w:rPr>
        <w:t>进行计量：</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12.3.6 其他价格形式合同的计量</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其他价格形式的计量方式和程序：</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12.4 工程进度款支付</w:t>
      </w:r>
    </w:p>
    <w:p>
      <w:pPr>
        <w:spacing w:line="360" w:lineRule="auto"/>
        <w:ind w:firstLine="600" w:firstLineChars="200"/>
        <w:jc w:val="left"/>
        <w:rPr>
          <w:rFonts w:ascii="Times New Roman" w:hAnsi="Times New Roman" w:eastAsia="仿宋_GB2312"/>
          <w:color w:val="000000"/>
          <w:sz w:val="30"/>
          <w:szCs w:val="32"/>
          <w:highlight w:val="none"/>
        </w:rPr>
      </w:pPr>
      <w:bookmarkStart w:id="1019" w:name="_Toc296891039"/>
      <w:bookmarkStart w:id="1020" w:name="_Toc292559921"/>
      <w:bookmarkStart w:id="1021" w:name="_Toc296347210"/>
      <w:bookmarkStart w:id="1022" w:name="_Toc297048397"/>
      <w:bookmarkStart w:id="1023" w:name="_Toc297216215"/>
      <w:bookmarkStart w:id="1024" w:name="_Toc303539163"/>
      <w:bookmarkStart w:id="1025" w:name="_Toc296891251"/>
      <w:bookmarkStart w:id="1026" w:name="_Toc296346712"/>
      <w:bookmarkStart w:id="1027" w:name="_Toc296944550"/>
      <w:bookmarkStart w:id="1028" w:name="_Toc297123556"/>
      <w:bookmarkStart w:id="1029" w:name="_Toc296503211"/>
      <w:bookmarkStart w:id="1030" w:name="_Toc297120511"/>
      <w:bookmarkStart w:id="1031" w:name="_Toc300935006"/>
      <w:bookmarkStart w:id="1032" w:name="_Toc292559416"/>
      <w:r>
        <w:rPr>
          <w:rFonts w:ascii="Times New Roman" w:hAnsi="Times New Roman" w:eastAsia="仿宋_GB2312"/>
          <w:color w:val="000000"/>
          <w:sz w:val="30"/>
          <w:szCs w:val="32"/>
          <w:highlight w:val="none"/>
        </w:rPr>
        <w:t>12.4.1 付款周期</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关于付款周期的约定：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12.4.2 进度付款申请单的编制</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关于进度付款申请单编制的约定：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Fonts w:ascii="Times New Roman" w:hAnsi="Times New Roman" w:eastAsia="仿宋_GB2312"/>
          <w:color w:val="000000"/>
          <w:sz w:val="30"/>
          <w:szCs w:val="32"/>
          <w:highlight w:val="none"/>
        </w:rPr>
        <w:t>2.4.3 进度付款申请单的提交</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（1）单价合同进度付款申请单提交的约定</w:t>
      </w:r>
      <w:r>
        <w:rPr>
          <w:rFonts w:hint="eastAsia" w:ascii="Times New Roman" w:hAnsi="Times New Roman" w:eastAsia="仿宋_GB2312"/>
          <w:color w:val="000000"/>
          <w:sz w:val="30"/>
          <w:szCs w:val="32"/>
          <w:highlight w:val="none"/>
        </w:rPr>
        <w:t>：</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（2）总价合同进度付款申请单提交的约定</w:t>
      </w:r>
      <w:r>
        <w:rPr>
          <w:rFonts w:hint="eastAsia" w:ascii="Times New Roman" w:hAnsi="Times New Roman" w:eastAsia="仿宋_GB2312"/>
          <w:color w:val="000000"/>
          <w:sz w:val="30"/>
          <w:szCs w:val="32"/>
          <w:highlight w:val="none"/>
        </w:rPr>
        <w:t>：</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（3）其他价格形式合同进度付款申请单提交的约定：</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12.4.4 进度款审核和支付</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（1）监理人审查并报送发包人的期限：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发包人完成审批并签发进度款支付证书的期限：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（2）发包人支付进度款的期限：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750" w:firstLineChars="25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发包人逾期支付进度款的违约金的计算方式：</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p>
    <w:p>
      <w:pPr>
        <w:spacing w:line="360" w:lineRule="auto"/>
        <w:jc w:val="left"/>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750" w:firstLineChars="250"/>
        <w:jc w:val="left"/>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12.4.6 支付分解表的编制</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2、总价合同支付分解表的编制与审批：</w:t>
      </w:r>
      <w:r>
        <w:rPr>
          <w:rFonts w:ascii="Times New Roman" w:hAnsi="Times New Roman" w:eastAsia="仿宋_GB2312"/>
          <w:color w:val="000000"/>
          <w:sz w:val="30"/>
          <w:szCs w:val="32"/>
          <w:highlight w:val="none"/>
          <w:u w:val="single"/>
        </w:rPr>
        <w:t xml:space="preserve">                  </w:t>
      </w:r>
    </w:p>
    <w:p>
      <w:pPr>
        <w:spacing w:line="360" w:lineRule="auto"/>
        <w:ind w:left="6000" w:hanging="6000" w:hangingChars="20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3、单价合同的总价项目支付分解表的编制与审批：</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bookmarkEnd w:id="858"/>
    <w:p>
      <w:pPr>
        <w:pStyle w:val="6"/>
        <w:spacing w:before="120" w:after="120" w:line="360" w:lineRule="auto"/>
        <w:rPr>
          <w:rFonts w:ascii="Times New Roman" w:hAnsi="Times New Roman" w:eastAsia="黑体"/>
          <w:b w:val="0"/>
          <w:color w:val="000000"/>
          <w:sz w:val="32"/>
          <w:szCs w:val="32"/>
          <w:highlight w:val="none"/>
        </w:rPr>
      </w:pPr>
      <w:bookmarkStart w:id="1033" w:name="_Toc351203645"/>
      <w:bookmarkStart w:id="1034" w:name="_Toc292559424"/>
      <w:bookmarkStart w:id="1035" w:name="_Toc296891259"/>
      <w:bookmarkStart w:id="1036" w:name="_Toc297123564"/>
      <w:bookmarkStart w:id="1037" w:name="_Toc304295593"/>
      <w:bookmarkStart w:id="1038" w:name="_Toc303539172"/>
      <w:bookmarkStart w:id="1039" w:name="_Toc312678053"/>
      <w:bookmarkStart w:id="1040" w:name="_Toc297120519"/>
      <w:bookmarkStart w:id="1041" w:name="_Toc296944558"/>
      <w:bookmarkStart w:id="1042" w:name="_Toc296346720"/>
      <w:bookmarkStart w:id="1043" w:name="_Toc292559929"/>
      <w:bookmarkStart w:id="1044" w:name="_Toc296347218"/>
      <w:bookmarkStart w:id="1045" w:name="_Toc300935015"/>
      <w:bookmarkStart w:id="1046" w:name="_Toc297048405"/>
      <w:bookmarkStart w:id="1047" w:name="_Toc297216223"/>
      <w:bookmarkStart w:id="1048" w:name="_Toc296503219"/>
      <w:bookmarkStart w:id="1049" w:name="_Toc296891047"/>
      <w:r>
        <w:rPr>
          <w:rFonts w:ascii="Times New Roman" w:hAnsi="Times New Roman" w:eastAsia="黑体"/>
          <w:b w:val="0"/>
          <w:color w:val="000000"/>
          <w:sz w:val="32"/>
          <w:szCs w:val="32"/>
          <w:highlight w:val="none"/>
        </w:rPr>
        <w:t>13.</w:t>
      </w:r>
      <w:r>
        <w:rPr>
          <w:rFonts w:hint="eastAsia" w:ascii="Times New Roman" w:hAnsi="Times New Roman" w:eastAsia="黑体"/>
          <w:b w:val="0"/>
          <w:color w:val="000000"/>
          <w:sz w:val="32"/>
          <w:szCs w:val="32"/>
          <w:highlight w:val="none"/>
        </w:rPr>
        <w:t xml:space="preserve"> </w:t>
      </w:r>
      <w:r>
        <w:rPr>
          <w:rFonts w:ascii="Times New Roman" w:hAnsi="Times New Roman" w:eastAsia="黑体"/>
          <w:b w:val="0"/>
          <w:color w:val="000000"/>
          <w:sz w:val="32"/>
          <w:szCs w:val="32"/>
          <w:highlight w:val="none"/>
        </w:rPr>
        <w:t>验收和工程试车</w:t>
      </w:r>
      <w:bookmarkEnd w:id="1033"/>
    </w:p>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13.1 分部分项工程验收</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13.1.2监理人不能按时进行验收时，应提前</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小时提交书面延期要求。</w:t>
      </w:r>
    </w:p>
    <w:p>
      <w:pPr>
        <w:spacing w:line="360" w:lineRule="auto"/>
        <w:ind w:firstLine="600" w:firstLineChars="200"/>
        <w:jc w:val="left"/>
        <w:rPr>
          <w:rFonts w:ascii="Times New Roman" w:hAnsi="Times New Roman" w:eastAsia="仿宋_GB2312"/>
          <w:b/>
          <w:color w:val="000000"/>
          <w:sz w:val="30"/>
          <w:szCs w:val="32"/>
          <w:highlight w:val="none"/>
        </w:rPr>
      </w:pPr>
      <w:r>
        <w:rPr>
          <w:rFonts w:ascii="Times New Roman" w:hAnsi="Times New Roman" w:eastAsia="仿宋_GB2312"/>
          <w:sz w:val="30"/>
          <w:szCs w:val="32"/>
          <w:highlight w:val="none"/>
        </w:rPr>
        <w:t>关于延期最长不得超过：</w:t>
      </w:r>
      <w:r>
        <w:rPr>
          <w:rFonts w:ascii="Times New Roman" w:hAnsi="Times New Roman" w:eastAsia="仿宋_GB2312"/>
          <w:sz w:val="30"/>
          <w:szCs w:val="32"/>
          <w:highlight w:val="none"/>
          <w:u w:val="single"/>
        </w:rPr>
        <w:t xml:space="preserve">         </w:t>
      </w:r>
      <w:r>
        <w:rPr>
          <w:rFonts w:ascii="Times New Roman" w:hAnsi="Times New Roman" w:eastAsia="仿宋_GB2312"/>
          <w:sz w:val="30"/>
          <w:szCs w:val="32"/>
          <w:highlight w:val="none"/>
        </w:rPr>
        <w:t>小时。</w:t>
      </w:r>
    </w:p>
    <w:p>
      <w:pPr>
        <w:spacing w:after="120" w:line="360" w:lineRule="auto"/>
        <w:ind w:firstLine="600" w:firstLineChars="200"/>
        <w:rPr>
          <w:rFonts w:ascii="Times New Roman" w:hAnsi="Times New Roman" w:eastAsia="黑体"/>
          <w:color w:val="000000"/>
          <w:sz w:val="30"/>
          <w:szCs w:val="32"/>
          <w:highlight w:val="none"/>
        </w:rPr>
      </w:pPr>
      <w:bookmarkStart w:id="1050" w:name="_Toc296891051"/>
      <w:bookmarkStart w:id="1051" w:name="_Toc312678056"/>
      <w:bookmarkStart w:id="1052" w:name="_Toc297120523"/>
      <w:bookmarkStart w:id="1053" w:name="_Toc300935016"/>
      <w:bookmarkStart w:id="1054" w:name="_Toc296347222"/>
      <w:bookmarkStart w:id="1055" w:name="_Toc296891263"/>
      <w:bookmarkStart w:id="1056" w:name="_Toc296944562"/>
      <w:bookmarkStart w:id="1057" w:name="_Toc297123565"/>
      <w:bookmarkStart w:id="1058" w:name="_Toc297216224"/>
      <w:bookmarkStart w:id="1059" w:name="_Toc297048409"/>
      <w:bookmarkStart w:id="1060" w:name="_Toc296503223"/>
      <w:bookmarkStart w:id="1061" w:name="_Toc303539173"/>
      <w:bookmarkStart w:id="1062" w:name="_Toc296346724"/>
      <w:bookmarkStart w:id="1063" w:name="_Toc304295596"/>
      <w:bookmarkStart w:id="1064" w:name="_Toc292559428"/>
      <w:bookmarkStart w:id="1065" w:name="_Toc292559933"/>
      <w:bookmarkStart w:id="1066" w:name="_Toc267251475"/>
      <w:bookmarkStart w:id="1067" w:name="_Toc267251473"/>
      <w:bookmarkStart w:id="1068" w:name="_Toc267251476"/>
      <w:bookmarkStart w:id="1069" w:name="_Toc267251474"/>
      <w:bookmarkStart w:id="1070" w:name="_Toc267251471"/>
      <w:bookmarkStart w:id="1071" w:name="_Toc267251472"/>
      <w:bookmarkStart w:id="1072" w:name="_Toc267251470"/>
      <w:r>
        <w:rPr>
          <w:rFonts w:ascii="Times New Roman" w:hAnsi="Times New Roman" w:eastAsia="黑体"/>
          <w:color w:val="000000"/>
          <w:sz w:val="30"/>
          <w:szCs w:val="32"/>
          <w:highlight w:val="none"/>
        </w:rPr>
        <w:t>13.2 竣工验收</w:t>
      </w:r>
    </w:p>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Pr>
        <w:spacing w:line="360" w:lineRule="auto"/>
        <w:ind w:firstLine="600" w:firstLineChars="200"/>
        <w:jc w:val="left"/>
        <w:rPr>
          <w:rFonts w:ascii="Times New Roman" w:hAnsi="Times New Roman" w:eastAsia="仿宋_GB2312"/>
          <w:color w:val="000000"/>
          <w:sz w:val="30"/>
          <w:szCs w:val="32"/>
          <w:highlight w:val="none"/>
        </w:rPr>
      </w:pPr>
      <w:bookmarkStart w:id="1073" w:name="_Toc280868704"/>
      <w:bookmarkStart w:id="1074" w:name="_Toc280868705"/>
      <w:bookmarkStart w:id="1075" w:name="_Toc280868706"/>
      <w:bookmarkStart w:id="1076" w:name="_Toc280868707"/>
      <w:bookmarkStart w:id="1077" w:name="_Toc280868708"/>
      <w:bookmarkStart w:id="1078" w:name="_Toc280868709"/>
      <w:r>
        <w:rPr>
          <w:rFonts w:ascii="Times New Roman" w:hAnsi="Times New Roman" w:eastAsia="仿宋_GB2312"/>
          <w:color w:val="000000"/>
          <w:sz w:val="30"/>
          <w:szCs w:val="32"/>
          <w:highlight w:val="none"/>
        </w:rPr>
        <w:t>13.2.2竣工验收程序</w:t>
      </w:r>
    </w:p>
    <w:bookmarkEnd w:id="1073"/>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kern w:val="0"/>
          <w:sz w:val="30"/>
          <w:szCs w:val="32"/>
          <w:highlight w:val="none"/>
        </w:rPr>
        <w:t>关于竣工验收程序的约定：</w:t>
      </w:r>
      <w:r>
        <w:rPr>
          <w:rFonts w:ascii="Times New Roman" w:hAnsi="Times New Roman" w:eastAsia="仿宋_GB2312"/>
          <w:color w:val="000000"/>
          <w:sz w:val="30"/>
          <w:szCs w:val="32"/>
          <w:highlight w:val="none"/>
          <w:u w:val="single"/>
        </w:rPr>
        <w:t xml:space="preserve">                              </w:t>
      </w:r>
    </w:p>
    <w:p>
      <w:pPr>
        <w:spacing w:line="360" w:lineRule="auto"/>
        <w:ind w:left="6000" w:hanging="6000" w:hangingChars="20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kern w:val="0"/>
          <w:sz w:val="30"/>
          <w:szCs w:val="32"/>
          <w:highlight w:val="none"/>
        </w:rPr>
        <w:t>发包人不按照本项约定组织竣工验收、颁发工程接收证书的违约金的计算方法：</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bookmarkEnd w:id="1074"/>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13.2.5移交、接收全部与部分工程</w:t>
      </w:r>
    </w:p>
    <w:bookmarkEnd w:id="1075"/>
    <w:p>
      <w:pPr>
        <w:spacing w:line="360" w:lineRule="auto"/>
        <w:ind w:firstLine="600" w:firstLineChars="200"/>
        <w:jc w:val="left"/>
        <w:rPr>
          <w:rFonts w:hint="eastAsia" w:ascii="Times New Roman" w:hAnsi="Times New Roman" w:eastAsia="仿宋_GB2312"/>
          <w:color w:val="000000"/>
          <w:kern w:val="0"/>
          <w:sz w:val="30"/>
          <w:szCs w:val="32"/>
          <w:highlight w:val="none"/>
        </w:rPr>
      </w:pPr>
      <w:r>
        <w:rPr>
          <w:rFonts w:hint="eastAsia" w:ascii="Times New Roman" w:hAnsi="Times New Roman" w:eastAsia="仿宋_GB2312"/>
          <w:color w:val="000000"/>
          <w:kern w:val="0"/>
          <w:sz w:val="30"/>
          <w:szCs w:val="32"/>
          <w:highlight w:val="none"/>
        </w:rPr>
        <w:t>承包人向发包人移交工程的期限：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kern w:val="0"/>
          <w:sz w:val="30"/>
          <w:szCs w:val="32"/>
          <w:highlight w:val="none"/>
        </w:rPr>
        <w:t>发包人未按本合同约定接收全部或部分工程的，违约金的计算方法为：</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bookmarkEnd w:id="1076"/>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承包人未按时移交工程的，违约金的计算方法为：</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13.3 工程试车</w:t>
      </w:r>
    </w:p>
    <w:bookmarkEnd w:id="1077"/>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13.3.1 试车程序</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kern w:val="0"/>
          <w:sz w:val="30"/>
          <w:szCs w:val="32"/>
          <w:highlight w:val="none"/>
        </w:rPr>
        <w:t>工程试车内容：</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（1）单机无负荷试车费用由</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kern w:val="0"/>
          <w:sz w:val="30"/>
          <w:szCs w:val="32"/>
          <w:highlight w:val="none"/>
        </w:rPr>
        <w:t>承担；</w:t>
      </w:r>
    </w:p>
    <w:p>
      <w:pPr>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（2）无负荷联动试车费用由</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kern w:val="0"/>
          <w:sz w:val="30"/>
          <w:szCs w:val="32"/>
          <w:highlight w:val="none"/>
        </w:rPr>
        <w:t>承担。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13.3.3 投料试车</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hint="eastAsia" w:ascii="Times New Roman" w:hAnsi="Times New Roman" w:eastAsia="仿宋_GB2312"/>
          <w:color w:val="000000"/>
          <w:kern w:val="0"/>
          <w:sz w:val="30"/>
          <w:szCs w:val="32"/>
          <w:highlight w:val="none"/>
        </w:rPr>
        <w:t>关于投料试车相关事项的约定：</w:t>
      </w:r>
      <w:r>
        <w:rPr>
          <w:rFonts w:hint="eastAsia"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kern w:val="0"/>
          <w:sz w:val="30"/>
          <w:szCs w:val="32"/>
          <w:highlight w:val="none"/>
        </w:rPr>
      </w:pP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1079" w:name="_Toc14627"/>
      <w:bookmarkStart w:id="1080" w:name="_Toc18945"/>
      <w:r>
        <w:rPr>
          <w:rFonts w:ascii="Times New Roman" w:hAnsi="Times New Roman" w:eastAsia="黑体"/>
          <w:color w:val="000000"/>
          <w:sz w:val="30"/>
          <w:szCs w:val="32"/>
          <w:highlight w:val="none"/>
        </w:rPr>
        <w:t>13.6 竣工退场</w:t>
      </w:r>
      <w:bookmarkEnd w:id="1079"/>
      <w:bookmarkEnd w:id="1080"/>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13.6.1 竣工退场</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承包人完成竣工退场的期限：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kern w:val="0"/>
          <w:sz w:val="30"/>
          <w:szCs w:val="32"/>
          <w:highlight w:val="none"/>
        </w:rPr>
        <w:t>。</w:t>
      </w:r>
    </w:p>
    <w:p>
      <w:pPr>
        <w:pStyle w:val="6"/>
        <w:spacing w:before="120" w:after="120" w:line="360" w:lineRule="auto"/>
        <w:rPr>
          <w:rFonts w:ascii="Times New Roman" w:hAnsi="Times New Roman" w:eastAsia="黑体"/>
          <w:b w:val="0"/>
          <w:color w:val="000000"/>
          <w:sz w:val="32"/>
          <w:szCs w:val="32"/>
          <w:highlight w:val="none"/>
        </w:rPr>
      </w:pPr>
      <w:bookmarkStart w:id="1081" w:name="_Toc351203646"/>
      <w:r>
        <w:rPr>
          <w:rFonts w:ascii="Times New Roman" w:hAnsi="Times New Roman" w:eastAsia="黑体"/>
          <w:b w:val="0"/>
          <w:color w:val="000000"/>
          <w:sz w:val="32"/>
          <w:szCs w:val="32"/>
          <w:highlight w:val="none"/>
        </w:rPr>
        <w:t>14. 竣工结算</w:t>
      </w:r>
      <w:bookmarkEnd w:id="1081"/>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14.1 竣工</w:t>
      </w:r>
      <w:r>
        <w:rPr>
          <w:rFonts w:hint="eastAsia" w:ascii="Times New Roman" w:hAnsi="Times New Roman" w:eastAsia="黑体"/>
          <w:color w:val="000000"/>
          <w:sz w:val="30"/>
          <w:szCs w:val="32"/>
          <w:highlight w:val="none"/>
        </w:rPr>
        <w:t>结算</w:t>
      </w:r>
      <w:r>
        <w:rPr>
          <w:rFonts w:ascii="Times New Roman" w:hAnsi="Times New Roman" w:eastAsia="黑体"/>
          <w:color w:val="000000"/>
          <w:sz w:val="30"/>
          <w:szCs w:val="32"/>
          <w:highlight w:val="none"/>
        </w:rPr>
        <w:t>申请</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sz w:val="30"/>
          <w:szCs w:val="32"/>
          <w:highlight w:val="none"/>
        </w:rPr>
        <w:t>承包人提交竣工</w:t>
      </w:r>
      <w:r>
        <w:rPr>
          <w:rFonts w:hint="eastAsia" w:ascii="Times New Roman" w:hAnsi="Times New Roman" w:eastAsia="仿宋_GB2312"/>
          <w:sz w:val="30"/>
          <w:szCs w:val="32"/>
          <w:highlight w:val="none"/>
        </w:rPr>
        <w:t>结算</w:t>
      </w:r>
      <w:r>
        <w:rPr>
          <w:rFonts w:ascii="Times New Roman" w:hAnsi="Times New Roman" w:eastAsia="仿宋_GB2312"/>
          <w:sz w:val="30"/>
          <w:szCs w:val="32"/>
          <w:highlight w:val="none"/>
        </w:rPr>
        <w:t>申请单的期限：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竣工</w:t>
      </w:r>
      <w:r>
        <w:rPr>
          <w:rFonts w:hint="eastAsia" w:ascii="Times New Roman" w:hAnsi="Times New Roman" w:eastAsia="仿宋_GB2312"/>
          <w:color w:val="000000"/>
          <w:sz w:val="30"/>
          <w:szCs w:val="32"/>
          <w:highlight w:val="none"/>
        </w:rPr>
        <w:t>结算</w:t>
      </w:r>
      <w:r>
        <w:rPr>
          <w:rFonts w:ascii="Times New Roman" w:hAnsi="Times New Roman" w:eastAsia="仿宋_GB2312"/>
          <w:color w:val="000000"/>
          <w:sz w:val="30"/>
          <w:szCs w:val="32"/>
          <w:highlight w:val="none"/>
        </w:rPr>
        <w:t>申请单应包括的内容：</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1082" w:name="_Toc16880"/>
      <w:bookmarkStart w:id="1083" w:name="_Toc27427"/>
      <w:r>
        <w:rPr>
          <w:rFonts w:ascii="Times New Roman" w:hAnsi="Times New Roman" w:eastAsia="黑体"/>
          <w:color w:val="000000"/>
          <w:sz w:val="30"/>
          <w:szCs w:val="32"/>
          <w:highlight w:val="none"/>
        </w:rPr>
        <w:t>14.2 竣工结算审核</w:t>
      </w:r>
      <w:bookmarkEnd w:id="1082"/>
      <w:bookmarkEnd w:id="1083"/>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发包人</w:t>
      </w:r>
      <w:r>
        <w:rPr>
          <w:rFonts w:hint="eastAsia" w:ascii="Times New Roman" w:hAnsi="Times New Roman" w:eastAsia="仿宋_GB2312"/>
          <w:sz w:val="30"/>
          <w:szCs w:val="32"/>
          <w:highlight w:val="none"/>
        </w:rPr>
        <w:t>审批</w:t>
      </w:r>
      <w:r>
        <w:rPr>
          <w:rFonts w:ascii="Times New Roman" w:hAnsi="Times New Roman" w:eastAsia="仿宋_GB2312"/>
          <w:sz w:val="30"/>
          <w:szCs w:val="32"/>
          <w:highlight w:val="none"/>
        </w:rPr>
        <w:t>竣工付款申请单的期限：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hint="eastAsia" w:ascii="Times New Roman" w:hAnsi="Times New Roman" w:eastAsia="仿宋_GB2312"/>
          <w:color w:val="000000"/>
          <w:sz w:val="30"/>
          <w:szCs w:val="32"/>
          <w:highlight w:val="none"/>
        </w:rPr>
      </w:pPr>
      <w:r>
        <w:rPr>
          <w:rFonts w:ascii="Times New Roman" w:hAnsi="Times New Roman" w:eastAsia="仿宋_GB2312"/>
          <w:sz w:val="30"/>
          <w:szCs w:val="32"/>
          <w:highlight w:val="none"/>
        </w:rPr>
        <w:t>发包人完成竣工付款的期限：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hint="eastAsia" w:ascii="Times New Roman" w:hAnsi="Times New Roman" w:eastAsia="仿宋_GB2312"/>
          <w:color w:val="000000"/>
          <w:sz w:val="30"/>
          <w:szCs w:val="32"/>
          <w:highlight w:val="none"/>
        </w:rPr>
        <w:t>关于竣工付款证书异议部分复核的方式和程序：</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14.4 最终结清</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14.4.1 最终结清申请单</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承包人提交最终结清申请单的份数：</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color w:val="000000"/>
          <w:kern w:val="0"/>
          <w:sz w:val="30"/>
          <w:szCs w:val="32"/>
          <w:highlight w:val="none"/>
        </w:rPr>
        <w:t>承包人提交最终结算申请单的期限：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r>
        <w:rPr>
          <w:rFonts w:ascii="Times New Roman" w:hAnsi="Times New Roman" w:eastAsia="仿宋_GB2312"/>
          <w:sz w:val="30"/>
          <w:szCs w:val="32"/>
          <w:highlight w:val="none"/>
        </w:rPr>
        <w:t xml:space="preserve"> </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14.4.2 最终结清证书和支付</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（1）发包人完成最终结清申请单的</w:t>
      </w:r>
      <w:r>
        <w:rPr>
          <w:rFonts w:hint="eastAsia" w:ascii="Times New Roman" w:hAnsi="Times New Roman" w:eastAsia="仿宋_GB2312"/>
          <w:sz w:val="30"/>
          <w:szCs w:val="32"/>
          <w:highlight w:val="none"/>
        </w:rPr>
        <w:t>审批</w:t>
      </w:r>
      <w:r>
        <w:rPr>
          <w:rFonts w:ascii="Times New Roman" w:hAnsi="Times New Roman" w:eastAsia="仿宋_GB2312"/>
          <w:sz w:val="30"/>
          <w:szCs w:val="32"/>
          <w:highlight w:val="none"/>
        </w:rPr>
        <w:t>并颁发最终结清证书的期限：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sz w:val="30"/>
          <w:szCs w:val="32"/>
          <w:highlight w:val="none"/>
        </w:rPr>
      </w:pPr>
      <w:r>
        <w:rPr>
          <w:rFonts w:ascii="Times New Roman" w:hAnsi="Times New Roman" w:eastAsia="仿宋_GB2312"/>
          <w:sz w:val="30"/>
          <w:szCs w:val="32"/>
          <w:highlight w:val="none"/>
        </w:rPr>
        <w:t>（2）发包人完成支付的期限：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bookmarkEnd w:id="1066"/>
    <w:bookmarkEnd w:id="1067"/>
    <w:bookmarkEnd w:id="1068"/>
    <w:bookmarkEnd w:id="1069"/>
    <w:bookmarkEnd w:id="1070"/>
    <w:bookmarkEnd w:id="1071"/>
    <w:bookmarkEnd w:id="1072"/>
    <w:bookmarkEnd w:id="1078"/>
    <w:p>
      <w:pPr>
        <w:pStyle w:val="6"/>
        <w:spacing w:before="120" w:after="120" w:line="360" w:lineRule="auto"/>
        <w:rPr>
          <w:rFonts w:ascii="Times New Roman" w:hAnsi="Times New Roman" w:eastAsia="黑体"/>
          <w:b w:val="0"/>
          <w:color w:val="000000"/>
          <w:sz w:val="32"/>
          <w:szCs w:val="32"/>
          <w:highlight w:val="none"/>
        </w:rPr>
      </w:pPr>
      <w:bookmarkStart w:id="1084" w:name="_Toc351203647"/>
      <w:bookmarkStart w:id="1085" w:name="_Toc267251483"/>
      <w:bookmarkStart w:id="1086" w:name="_Toc267251482"/>
      <w:bookmarkStart w:id="1087" w:name="_Toc267251484"/>
      <w:bookmarkStart w:id="1088" w:name="_Toc267251485"/>
      <w:bookmarkStart w:id="1089" w:name="_Toc267251488"/>
      <w:bookmarkStart w:id="1090" w:name="_Toc267251490"/>
      <w:bookmarkStart w:id="1091" w:name="_Toc267251486"/>
      <w:bookmarkStart w:id="1092" w:name="_Toc267251489"/>
      <w:bookmarkStart w:id="1093" w:name="_Toc267251492"/>
      <w:bookmarkStart w:id="1094" w:name="_Toc267251502"/>
      <w:bookmarkStart w:id="1095" w:name="_Toc267251496"/>
      <w:bookmarkStart w:id="1096" w:name="_Toc267251497"/>
      <w:bookmarkStart w:id="1097" w:name="_Toc267251498"/>
      <w:bookmarkStart w:id="1098" w:name="_Toc267251491"/>
      <w:bookmarkStart w:id="1099" w:name="_Toc267251493"/>
      <w:bookmarkStart w:id="1100" w:name="_Toc267251495"/>
      <w:bookmarkStart w:id="1101" w:name="_Toc267251503"/>
      <w:bookmarkStart w:id="1102" w:name="_Toc267251494"/>
      <w:bookmarkStart w:id="1103" w:name="_Toc267251501"/>
      <w:bookmarkStart w:id="1104" w:name="_Toc267251499"/>
      <w:bookmarkStart w:id="1105" w:name="_Toc267251506"/>
      <w:bookmarkStart w:id="1106" w:name="_Toc267251504"/>
      <w:bookmarkStart w:id="1107" w:name="_Toc267251507"/>
      <w:bookmarkStart w:id="1108" w:name="_Toc267251508"/>
      <w:bookmarkStart w:id="1109" w:name="_Toc267251514"/>
      <w:bookmarkStart w:id="1110" w:name="_Toc267251513"/>
      <w:bookmarkStart w:id="1111" w:name="_Toc267251511"/>
      <w:bookmarkStart w:id="1112" w:name="_Toc267251509"/>
      <w:bookmarkStart w:id="1113" w:name="_Toc267251510"/>
      <w:bookmarkStart w:id="1114" w:name="_Toc267251515"/>
      <w:r>
        <w:rPr>
          <w:rFonts w:ascii="Times New Roman" w:hAnsi="Times New Roman" w:eastAsia="黑体"/>
          <w:b w:val="0"/>
          <w:color w:val="000000"/>
          <w:sz w:val="32"/>
          <w:szCs w:val="32"/>
          <w:highlight w:val="none"/>
        </w:rPr>
        <w:t>15. 缺陷责任期与保修</w:t>
      </w:r>
      <w:bookmarkEnd w:id="1084"/>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15.2缺陷责任期</w:t>
      </w:r>
      <w:bookmarkEnd w:id="1085"/>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缺陷责任期的具体期限：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1115" w:name="_Toc27311"/>
      <w:bookmarkStart w:id="1116" w:name="_Toc2155"/>
      <w:r>
        <w:rPr>
          <w:rFonts w:ascii="Times New Roman" w:hAnsi="Times New Roman" w:eastAsia="黑体"/>
          <w:color w:val="000000"/>
          <w:sz w:val="30"/>
          <w:szCs w:val="32"/>
          <w:highlight w:val="none"/>
        </w:rPr>
        <w:t>15.3 质量保证金</w:t>
      </w:r>
      <w:bookmarkEnd w:id="1115"/>
      <w:bookmarkEnd w:id="1116"/>
    </w:p>
    <w:p>
      <w:pPr>
        <w:spacing w:line="360" w:lineRule="auto"/>
        <w:ind w:firstLine="600" w:firstLineChars="200"/>
        <w:jc w:val="left"/>
        <w:rPr>
          <w:rFonts w:eastAsia="仿宋_GB2312"/>
          <w:color w:val="000000"/>
          <w:sz w:val="30"/>
          <w:szCs w:val="32"/>
          <w:highlight w:val="none"/>
        </w:rPr>
      </w:pPr>
      <w:r>
        <w:rPr>
          <w:rFonts w:hint="eastAsia" w:ascii="Times New Roman" w:hAnsi="Times New Roman" w:eastAsia="仿宋_GB2312"/>
          <w:color w:val="000000"/>
          <w:sz w:val="30"/>
          <w:szCs w:val="32"/>
          <w:highlight w:val="none"/>
        </w:rPr>
        <w:t>关于是否扣留质量保证金的约定：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r>
        <w:rPr>
          <w:rFonts w:hint="eastAsia" w:eastAsia="仿宋_GB2312"/>
          <w:color w:val="000000"/>
          <w:sz w:val="30"/>
          <w:szCs w:val="32"/>
          <w:highlight w:val="none"/>
        </w:rPr>
        <w:t>在工程项目竣工前，承包人按专用合同条款第3.7条提供履约担保的，发包人不得同时预留工程质量保证金。</w:t>
      </w:r>
    </w:p>
    <w:p>
      <w:pPr>
        <w:spacing w:line="360" w:lineRule="auto"/>
        <w:ind w:firstLine="600" w:firstLineChars="200"/>
        <w:jc w:val="left"/>
        <w:rPr>
          <w:rFonts w:hint="eastAsia" w:ascii="Times New Roman" w:hAnsi="Times New Roman" w:eastAsia="仿宋_GB2312"/>
          <w:color w:val="000000"/>
          <w:sz w:val="30"/>
          <w:szCs w:val="32"/>
          <w:highlight w:val="none"/>
        </w:rPr>
      </w:pPr>
    </w:p>
    <w:p>
      <w:pPr>
        <w:spacing w:line="360" w:lineRule="auto"/>
        <w:ind w:firstLine="600" w:firstLineChars="200"/>
        <w:jc w:val="left"/>
        <w:outlineLvl w:val="0"/>
        <w:rPr>
          <w:rFonts w:ascii="Times New Roman" w:hAnsi="Times New Roman" w:eastAsia="仿宋_GB2312"/>
          <w:color w:val="000000"/>
          <w:sz w:val="30"/>
          <w:szCs w:val="32"/>
          <w:highlight w:val="none"/>
        </w:rPr>
      </w:pPr>
      <w:bookmarkStart w:id="1117" w:name="_Toc8069"/>
      <w:bookmarkStart w:id="1118" w:name="_Toc2910"/>
      <w:r>
        <w:rPr>
          <w:rFonts w:ascii="Times New Roman" w:hAnsi="Times New Roman" w:eastAsia="仿宋_GB2312"/>
          <w:color w:val="000000"/>
          <w:sz w:val="30"/>
          <w:szCs w:val="32"/>
          <w:highlight w:val="none"/>
        </w:rPr>
        <w:t xml:space="preserve">15.3.1 </w:t>
      </w:r>
      <w:r>
        <w:rPr>
          <w:rFonts w:hint="eastAsia" w:ascii="Times New Roman" w:hAnsi="Times New Roman" w:eastAsia="仿宋_GB2312"/>
          <w:color w:val="000000"/>
          <w:sz w:val="30"/>
          <w:szCs w:val="32"/>
          <w:highlight w:val="none"/>
        </w:rPr>
        <w:t>承包人提供</w:t>
      </w:r>
      <w:r>
        <w:rPr>
          <w:rFonts w:ascii="Times New Roman" w:hAnsi="Times New Roman" w:eastAsia="仿宋_GB2312"/>
          <w:color w:val="000000"/>
          <w:sz w:val="30"/>
          <w:szCs w:val="32"/>
          <w:highlight w:val="none"/>
        </w:rPr>
        <w:t>质量保证金的</w:t>
      </w:r>
      <w:r>
        <w:rPr>
          <w:rFonts w:hint="eastAsia" w:ascii="Times New Roman" w:hAnsi="Times New Roman" w:eastAsia="仿宋_GB2312"/>
          <w:color w:val="000000"/>
          <w:sz w:val="30"/>
          <w:szCs w:val="32"/>
          <w:highlight w:val="none"/>
        </w:rPr>
        <w:t>方</w:t>
      </w:r>
      <w:r>
        <w:rPr>
          <w:rFonts w:ascii="Times New Roman" w:hAnsi="Times New Roman" w:eastAsia="仿宋_GB2312"/>
          <w:color w:val="000000"/>
          <w:sz w:val="30"/>
          <w:szCs w:val="32"/>
          <w:highlight w:val="none"/>
        </w:rPr>
        <w:t>式</w:t>
      </w:r>
      <w:bookmarkEnd w:id="1117"/>
      <w:bookmarkEnd w:id="1118"/>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质量保证金采用以下第</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种方式：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（1）质量保证金保函，保证金额为：</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 xml:space="preserve">；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%的工程款；</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（3）其他</w:t>
      </w:r>
      <w:r>
        <w:rPr>
          <w:rFonts w:hint="eastAsia" w:ascii="Times New Roman" w:hAnsi="Times New Roman" w:eastAsia="仿宋_GB2312"/>
          <w:color w:val="000000"/>
          <w:kern w:val="0"/>
          <w:sz w:val="30"/>
          <w:szCs w:val="32"/>
          <w:highlight w:val="none"/>
        </w:rPr>
        <w:t>方</w:t>
      </w:r>
      <w:r>
        <w:rPr>
          <w:rFonts w:ascii="Times New Roman" w:hAnsi="Times New Roman" w:eastAsia="仿宋_GB2312"/>
          <w:color w:val="000000"/>
          <w:kern w:val="0"/>
          <w:sz w:val="30"/>
          <w:szCs w:val="32"/>
          <w:highlight w:val="none"/>
        </w:rPr>
        <w:t>式:</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outlineLvl w:val="0"/>
        <w:rPr>
          <w:rFonts w:ascii="Times New Roman" w:hAnsi="Times New Roman" w:eastAsia="仿宋_GB2312"/>
          <w:color w:val="000000"/>
          <w:sz w:val="30"/>
          <w:szCs w:val="32"/>
          <w:highlight w:val="none"/>
        </w:rPr>
      </w:pPr>
      <w:bookmarkStart w:id="1119" w:name="_Toc13061"/>
      <w:bookmarkStart w:id="1120" w:name="_Toc13001"/>
      <w:r>
        <w:rPr>
          <w:rFonts w:ascii="Times New Roman" w:hAnsi="Times New Roman" w:eastAsia="仿宋_GB2312"/>
          <w:color w:val="000000"/>
          <w:sz w:val="30"/>
          <w:szCs w:val="32"/>
          <w:highlight w:val="none"/>
        </w:rPr>
        <w:t>15.3.2 质量保证金的扣留</w:t>
      </w:r>
      <w:bookmarkEnd w:id="1119"/>
      <w:bookmarkEnd w:id="1120"/>
      <w:r>
        <w:rPr>
          <w:rFonts w:ascii="Times New Roman" w:hAnsi="Times New Roman" w:eastAsia="仿宋_GB2312"/>
          <w:color w:val="000000"/>
          <w:sz w:val="30"/>
          <w:szCs w:val="32"/>
          <w:highlight w:val="none"/>
        </w:rPr>
        <w:t xml:space="preserve"> </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质量保证金的扣留采取以下第</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种方式：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highlight w:val="none"/>
        </w:rPr>
      </w:pPr>
      <w:bookmarkStart w:id="1121" w:name="_Toc25804"/>
      <w:bookmarkStart w:id="1122" w:name="_Toc10709"/>
      <w:r>
        <w:rPr>
          <w:rFonts w:ascii="Times New Roman" w:hAnsi="Times New Roman" w:eastAsia="仿宋_GB2312"/>
          <w:color w:val="000000"/>
          <w:kern w:val="0"/>
          <w:sz w:val="30"/>
          <w:szCs w:val="32"/>
          <w:highlight w:val="none"/>
        </w:rPr>
        <w:t>（2）工程竣工结算时一次性扣留质量保证金；</w:t>
      </w:r>
      <w:bookmarkEnd w:id="1121"/>
      <w:bookmarkEnd w:id="1122"/>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（3）其他扣留方式:</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hint="eastAsia" w:ascii="Times New Roman" w:hAnsi="Times New Roman" w:eastAsia="仿宋_GB2312"/>
          <w:color w:val="000000"/>
          <w:kern w:val="0"/>
          <w:sz w:val="30"/>
          <w:szCs w:val="32"/>
          <w:highlight w:val="none"/>
          <w:u w:val="single"/>
        </w:rPr>
      </w:pPr>
      <w:r>
        <w:rPr>
          <w:rFonts w:ascii="Times New Roman" w:hAnsi="Times New Roman" w:eastAsia="仿宋_GB2312"/>
          <w:color w:val="000000"/>
          <w:sz w:val="30"/>
          <w:szCs w:val="32"/>
          <w:highlight w:val="none"/>
        </w:rPr>
        <w:t>关于质量保证金的补充约定：</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bookmarkEnd w:id="1086"/>
    <w:bookmarkEnd w:id="1087"/>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15.4保修</w:t>
      </w:r>
    </w:p>
    <w:bookmarkEnd w:id="1088"/>
    <w:p>
      <w:pPr>
        <w:spacing w:line="360" w:lineRule="auto"/>
        <w:ind w:firstLine="585" w:firstLineChars="195"/>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15.4.1 保修责任</w:t>
      </w:r>
    </w:p>
    <w:p>
      <w:pPr>
        <w:spacing w:line="360" w:lineRule="auto"/>
        <w:ind w:firstLine="585" w:firstLineChars="195"/>
        <w:jc w:val="left"/>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sz w:val="30"/>
          <w:szCs w:val="32"/>
          <w:highlight w:val="none"/>
        </w:rPr>
        <w:t>工程保修期为：</w:t>
      </w:r>
      <w:r>
        <w:rPr>
          <w:rFonts w:ascii="Times New Roman" w:hAnsi="Times New Roman" w:eastAsia="仿宋_GB2312"/>
          <w:color w:val="000000"/>
          <w:kern w:val="0"/>
          <w:sz w:val="30"/>
          <w:szCs w:val="32"/>
          <w:highlight w:val="none"/>
          <w:u w:val="single"/>
        </w:rPr>
        <w:t xml:space="preserve">                                        </w:t>
      </w:r>
    </w:p>
    <w:p>
      <w:pPr>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585" w:firstLineChars="195"/>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15.4.3 修复通知</w:t>
      </w:r>
    </w:p>
    <w:p>
      <w:pPr>
        <w:spacing w:line="360" w:lineRule="auto"/>
        <w:ind w:firstLine="585" w:firstLineChars="195"/>
        <w:jc w:val="left"/>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rPr>
        <w:t>承包人收到保修通知并到达工程现场的合理时间：</w:t>
      </w:r>
      <w:r>
        <w:rPr>
          <w:rFonts w:ascii="Times New Roman" w:hAnsi="Times New Roman" w:eastAsia="仿宋_GB2312"/>
          <w:color w:val="000000"/>
          <w:kern w:val="0"/>
          <w:sz w:val="30"/>
          <w:szCs w:val="32"/>
          <w:highlight w:val="none"/>
          <w:u w:val="single"/>
        </w:rPr>
        <w:t xml:space="preserve">          </w:t>
      </w:r>
    </w:p>
    <w:p>
      <w:pPr>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bookmarkEnd w:id="1089"/>
    <w:bookmarkEnd w:id="1090"/>
    <w:bookmarkEnd w:id="1091"/>
    <w:bookmarkEnd w:id="1092"/>
    <w:p>
      <w:pPr>
        <w:pStyle w:val="6"/>
        <w:spacing w:before="120" w:after="120" w:line="360" w:lineRule="auto"/>
        <w:rPr>
          <w:rFonts w:ascii="Times New Roman" w:hAnsi="Times New Roman" w:eastAsia="黑体"/>
          <w:b w:val="0"/>
          <w:color w:val="000000"/>
          <w:sz w:val="32"/>
          <w:szCs w:val="32"/>
          <w:highlight w:val="none"/>
        </w:rPr>
      </w:pPr>
      <w:bookmarkStart w:id="1123" w:name="_Toc351203648"/>
      <w:bookmarkStart w:id="1124" w:name="_Toc280868717"/>
      <w:bookmarkStart w:id="1125" w:name="_Toc280868718"/>
      <w:r>
        <w:rPr>
          <w:rFonts w:ascii="Times New Roman" w:hAnsi="Times New Roman" w:eastAsia="黑体"/>
          <w:b w:val="0"/>
          <w:color w:val="000000"/>
          <w:sz w:val="32"/>
          <w:szCs w:val="32"/>
          <w:highlight w:val="none"/>
        </w:rPr>
        <w:t>16. 违约</w:t>
      </w:r>
      <w:bookmarkEnd w:id="1123"/>
    </w:p>
    <w:p>
      <w:pPr>
        <w:spacing w:after="120" w:line="360" w:lineRule="auto"/>
        <w:ind w:firstLine="600" w:firstLineChars="200"/>
        <w:outlineLvl w:val="0"/>
        <w:rPr>
          <w:rFonts w:ascii="Times New Roman" w:hAnsi="Times New Roman" w:eastAsia="黑体"/>
          <w:color w:val="000000"/>
          <w:sz w:val="30"/>
          <w:szCs w:val="32"/>
          <w:highlight w:val="none"/>
        </w:rPr>
      </w:pPr>
      <w:bookmarkStart w:id="1126" w:name="_Toc26259"/>
      <w:bookmarkStart w:id="1127" w:name="_Toc8124"/>
      <w:r>
        <w:rPr>
          <w:rFonts w:ascii="Times New Roman" w:hAnsi="Times New Roman" w:eastAsia="黑体"/>
          <w:color w:val="000000"/>
          <w:sz w:val="30"/>
          <w:szCs w:val="32"/>
          <w:highlight w:val="none"/>
        </w:rPr>
        <w:t>16.1 发包人违约</w:t>
      </w:r>
      <w:bookmarkEnd w:id="1126"/>
      <w:bookmarkEnd w:id="1127"/>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16.1.1发包人违约的情形</w:t>
      </w:r>
    </w:p>
    <w:p>
      <w:pPr>
        <w:spacing w:line="360" w:lineRule="auto"/>
        <w:ind w:firstLine="600" w:firstLineChars="200"/>
        <w:jc w:val="left"/>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rPr>
        <w:t>发包人违约的其他情形：</w:t>
      </w:r>
      <w:r>
        <w:rPr>
          <w:rFonts w:ascii="Times New Roman" w:hAnsi="Times New Roman" w:eastAsia="仿宋_GB2312"/>
          <w:color w:val="000000"/>
          <w:kern w:val="0"/>
          <w:sz w:val="30"/>
          <w:szCs w:val="32"/>
          <w:highlight w:val="none"/>
          <w:u w:val="single"/>
        </w:rPr>
        <w:t xml:space="preserve">                                </w:t>
      </w:r>
    </w:p>
    <w:p>
      <w:pPr>
        <w:spacing w:line="360" w:lineRule="auto"/>
        <w:ind w:left="1500" w:hanging="1500" w:hangingChars="5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left="1500" w:hanging="1500" w:hangingChars="5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 xml:space="preserve">    16.1.2 发包人违约的责任</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发包人违约责任的承担方式和计算方法：</w:t>
      </w:r>
    </w:p>
    <w:p>
      <w:pPr>
        <w:spacing w:line="360" w:lineRule="auto"/>
        <w:ind w:firstLine="600" w:firstLineChars="200"/>
        <w:jc w:val="left"/>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rPr>
        <w:t>（1）因发包人原因未能在计划开工日期前7天内下达开工通知的违约责任：</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（2）因发包人原因未能按合同约定支付合同价款的违约责任：</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hint="eastAsia"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rPr>
        <w:t>（3）发包人违反第10.1款</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变更的范围</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第（2）项约定，自行实施被取消的工作或转由他人实施的违约责任：</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p>
    <w:p>
      <w:pPr>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rPr>
        <w:t>（5）因发包人违反合同约定造成暂停施工的违约责任：</w:t>
      </w:r>
      <w:r>
        <w:rPr>
          <w:rFonts w:ascii="Times New Roman" w:hAnsi="Times New Roman" w:eastAsia="仿宋_GB2312"/>
          <w:color w:val="000000"/>
          <w:kern w:val="0"/>
          <w:sz w:val="30"/>
          <w:szCs w:val="32"/>
          <w:highlight w:val="none"/>
          <w:u w:val="single"/>
        </w:rPr>
        <w:t xml:space="preserve">     </w:t>
      </w:r>
    </w:p>
    <w:p>
      <w:pPr>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（6）发包人无正当理由没有在约定期限内发出复工指示，导致承包人无法复工的违约责任：</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（7）</w:t>
      </w:r>
      <w:r>
        <w:rPr>
          <w:rFonts w:hint="eastAsia" w:ascii="Times New Roman" w:hAnsi="Times New Roman" w:eastAsia="仿宋_GB2312"/>
          <w:color w:val="000000"/>
          <w:kern w:val="0"/>
          <w:sz w:val="30"/>
          <w:szCs w:val="32"/>
          <w:highlight w:val="none"/>
        </w:rPr>
        <w:t>其他：</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16.1.3 因发包人违约解除合同</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承包人按16.1.1项</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发包人违约的情形</w:t>
      </w:r>
      <w:r>
        <w:rPr>
          <w:rFonts w:hint="eastAsia"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rPr>
        <w:t>约定暂停施工满</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天后发包人仍不纠正其违约行为并致使合同目的不能实现的，承包人有权解除合同。</w:t>
      </w:r>
    </w:p>
    <w:p>
      <w:pPr>
        <w:spacing w:after="120" w:line="360" w:lineRule="auto"/>
        <w:ind w:firstLine="600" w:firstLineChars="200"/>
        <w:outlineLvl w:val="0"/>
        <w:rPr>
          <w:rFonts w:ascii="Times New Roman" w:hAnsi="Times New Roman" w:eastAsia="黑体"/>
          <w:color w:val="000000"/>
          <w:sz w:val="30"/>
          <w:szCs w:val="32"/>
          <w:highlight w:val="none"/>
        </w:rPr>
      </w:pPr>
      <w:bookmarkStart w:id="1128" w:name="_Toc18456"/>
      <w:bookmarkStart w:id="1129" w:name="_Toc1043"/>
      <w:r>
        <w:rPr>
          <w:rFonts w:ascii="Times New Roman" w:hAnsi="Times New Roman" w:eastAsia="黑体"/>
          <w:color w:val="000000"/>
          <w:sz w:val="30"/>
          <w:szCs w:val="32"/>
          <w:highlight w:val="none"/>
        </w:rPr>
        <w:t>16.2 承包人违约</w:t>
      </w:r>
      <w:bookmarkEnd w:id="1128"/>
      <w:bookmarkEnd w:id="1129"/>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16.2.1 承包人违约的情形</w:t>
      </w:r>
    </w:p>
    <w:p>
      <w:pPr>
        <w:spacing w:line="360" w:lineRule="auto"/>
        <w:ind w:firstLine="600" w:firstLineChars="200"/>
        <w:jc w:val="left"/>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rPr>
        <w:t>承包人违约的其他情形：</w:t>
      </w:r>
      <w:r>
        <w:rPr>
          <w:rFonts w:ascii="Times New Roman" w:hAnsi="Times New Roman" w:eastAsia="仿宋_GB2312"/>
          <w:color w:val="000000"/>
          <w:kern w:val="0"/>
          <w:sz w:val="30"/>
          <w:szCs w:val="32"/>
          <w:highlight w:val="none"/>
          <w:u w:val="single"/>
        </w:rPr>
        <w:t xml:space="preserve">                                </w:t>
      </w:r>
    </w:p>
    <w:p>
      <w:pPr>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16.2.2承包人违约的责任</w:t>
      </w:r>
    </w:p>
    <w:p>
      <w:pPr>
        <w:spacing w:line="360" w:lineRule="auto"/>
        <w:ind w:firstLine="600" w:firstLineChars="200"/>
        <w:jc w:val="left"/>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rPr>
        <w:t>承包人违约责任的承担方式和计算方法：</w:t>
      </w:r>
      <w:r>
        <w:rPr>
          <w:rFonts w:ascii="Times New Roman" w:hAnsi="Times New Roman" w:eastAsia="仿宋_GB2312"/>
          <w:color w:val="000000"/>
          <w:kern w:val="0"/>
          <w:sz w:val="30"/>
          <w:szCs w:val="32"/>
          <w:highlight w:val="none"/>
          <w:u w:val="single"/>
        </w:rPr>
        <w:t xml:space="preserve">                  </w:t>
      </w:r>
    </w:p>
    <w:p>
      <w:pPr>
        <w:spacing w:line="360" w:lineRule="auto"/>
        <w:ind w:left="1500" w:hanging="1500" w:hangingChars="500"/>
        <w:jc w:val="left"/>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r>
        <w:rPr>
          <w:rFonts w:ascii="Times New Roman" w:hAnsi="Times New Roman" w:eastAsia="仿宋_GB2312"/>
          <w:color w:val="000000"/>
          <w:sz w:val="30"/>
          <w:szCs w:val="32"/>
          <w:highlight w:val="none"/>
        </w:rPr>
        <w:t xml:space="preserve">    </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16.2.3 因承包人违约解除合同</w:t>
      </w:r>
    </w:p>
    <w:p>
      <w:pPr>
        <w:spacing w:before="120" w:after="120" w:line="360" w:lineRule="auto"/>
        <w:ind w:firstLine="600" w:firstLineChars="200"/>
        <w:rPr>
          <w:rFonts w:hint="eastAsia" w:ascii="Times New Roman" w:hAnsi="Times New Roman" w:eastAsia="仿宋_GB2312"/>
          <w:color w:val="000000"/>
          <w:kern w:val="0"/>
          <w:sz w:val="30"/>
          <w:szCs w:val="32"/>
          <w:highlight w:val="none"/>
          <w:u w:val="single"/>
        </w:rPr>
      </w:pPr>
      <w:r>
        <w:rPr>
          <w:rFonts w:ascii="Times New Roman" w:hAnsi="Times New Roman" w:eastAsia="仿宋_GB2312"/>
          <w:color w:val="000000"/>
          <w:kern w:val="0"/>
          <w:sz w:val="30"/>
          <w:szCs w:val="32"/>
          <w:highlight w:val="none"/>
        </w:rPr>
        <w:t>关于承包人违约解除合同的特别约定：</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p>
    <w:p>
      <w:pPr>
        <w:spacing w:before="120" w:after="120" w:line="360" w:lineRule="auto"/>
        <w:rPr>
          <w:rFonts w:hint="eastAsia"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before="120" w:after="120" w:line="360" w:lineRule="auto"/>
        <w:ind w:firstLine="600" w:firstLineChars="200"/>
        <w:rPr>
          <w:rFonts w:ascii="Times New Roman" w:hAnsi="Times New Roman" w:eastAsia="仿宋_GB2312"/>
          <w:color w:val="000000"/>
          <w:kern w:val="0"/>
          <w:sz w:val="30"/>
          <w:szCs w:val="32"/>
          <w:highlight w:val="none"/>
        </w:rPr>
      </w:pPr>
      <w:r>
        <w:rPr>
          <w:rFonts w:ascii="Times New Roman" w:hAnsi="Times New Roman" w:eastAsia="仿宋_GB2312"/>
          <w:color w:val="000000"/>
          <w:kern w:val="0"/>
          <w:sz w:val="30"/>
          <w:szCs w:val="32"/>
          <w:highlight w:val="none"/>
        </w:rPr>
        <w:t>发包人</w:t>
      </w:r>
      <w:r>
        <w:rPr>
          <w:rFonts w:hint="eastAsia" w:ascii="Times New Roman" w:hAnsi="Times New Roman" w:eastAsia="仿宋_GB2312"/>
          <w:color w:val="000000"/>
          <w:kern w:val="0"/>
          <w:sz w:val="30"/>
          <w:szCs w:val="32"/>
          <w:highlight w:val="none"/>
        </w:rPr>
        <w:t>继续</w:t>
      </w:r>
      <w:r>
        <w:rPr>
          <w:rFonts w:ascii="Times New Roman" w:hAnsi="Times New Roman" w:eastAsia="仿宋_GB2312"/>
          <w:color w:val="000000"/>
          <w:kern w:val="0"/>
          <w:sz w:val="30"/>
          <w:szCs w:val="32"/>
          <w:highlight w:val="none"/>
        </w:rPr>
        <w:t>使用承包人在施工现场的材料、设备、临时工程、承包人文件和由承包人或以其名义编制的其他文件</w:t>
      </w:r>
      <w:r>
        <w:rPr>
          <w:rFonts w:hint="eastAsia" w:ascii="Times New Roman" w:hAnsi="Times New Roman" w:eastAsia="仿宋_GB2312"/>
          <w:color w:val="000000"/>
          <w:kern w:val="0"/>
          <w:sz w:val="30"/>
          <w:szCs w:val="32"/>
          <w:highlight w:val="none"/>
        </w:rPr>
        <w:t>的费用承担方式</w:t>
      </w:r>
      <w:r>
        <w:rPr>
          <w:rFonts w:ascii="Times New Roman" w:hAnsi="Times New Roman" w:eastAsia="仿宋_GB2312"/>
          <w:color w:val="000000"/>
          <w:kern w:val="0"/>
          <w:sz w:val="30"/>
          <w:szCs w:val="32"/>
          <w:highlight w:val="none"/>
        </w:rPr>
        <w:t>：</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rPr>
        <w:t>。</w:t>
      </w:r>
    </w:p>
    <w:p>
      <w:pPr>
        <w:pStyle w:val="6"/>
        <w:spacing w:before="120" w:after="120" w:line="360" w:lineRule="auto"/>
        <w:rPr>
          <w:rFonts w:ascii="Times New Roman" w:hAnsi="Times New Roman" w:eastAsia="黑体"/>
          <w:b w:val="0"/>
          <w:color w:val="000000"/>
          <w:sz w:val="32"/>
          <w:szCs w:val="32"/>
          <w:highlight w:val="none"/>
        </w:rPr>
      </w:pPr>
      <w:bookmarkStart w:id="1130" w:name="_Toc351203649"/>
      <w:r>
        <w:rPr>
          <w:rFonts w:ascii="Times New Roman" w:hAnsi="Times New Roman" w:eastAsia="黑体"/>
          <w:b w:val="0"/>
          <w:color w:val="000000"/>
          <w:sz w:val="32"/>
          <w:szCs w:val="32"/>
          <w:highlight w:val="none"/>
        </w:rPr>
        <w:t>17. 不可抗力</w:t>
      </w:r>
      <w:bookmarkEnd w:id="1130"/>
      <w:r>
        <w:rPr>
          <w:rFonts w:ascii="Times New Roman" w:hAnsi="Times New Roman" w:eastAsia="黑体"/>
          <w:b w:val="0"/>
          <w:color w:val="000000"/>
          <w:sz w:val="32"/>
          <w:szCs w:val="32"/>
          <w:highlight w:val="none"/>
        </w:rPr>
        <w:t xml:space="preserve"> </w:t>
      </w:r>
      <w:bookmarkEnd w:id="1124"/>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17.1 不可抗力的确认</w:t>
      </w:r>
    </w:p>
    <w:p>
      <w:pPr>
        <w:spacing w:line="360" w:lineRule="auto"/>
        <w:ind w:firstLine="600" w:firstLineChars="200"/>
        <w:jc w:val="left"/>
        <w:rPr>
          <w:rFonts w:ascii="Times New Roman" w:hAnsi="Times New Roman" w:eastAsia="仿宋_GB2312"/>
          <w:color w:val="000000"/>
          <w:kern w:val="0"/>
          <w:sz w:val="30"/>
          <w:szCs w:val="32"/>
          <w:highlight w:val="none"/>
          <w:u w:val="single"/>
        </w:rPr>
      </w:pPr>
      <w:r>
        <w:rPr>
          <w:rFonts w:ascii="Times New Roman" w:hAnsi="Times New Roman" w:eastAsia="仿宋_GB2312"/>
          <w:color w:val="000000"/>
          <w:sz w:val="30"/>
          <w:szCs w:val="32"/>
          <w:highlight w:val="none"/>
        </w:rPr>
        <w:t xml:space="preserve">除通用合同条款约定的不可抗力事件之外，视为不可抗力的其他情形：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1131" w:name="_Toc10864"/>
      <w:bookmarkStart w:id="1132" w:name="_Toc16218"/>
      <w:r>
        <w:rPr>
          <w:rFonts w:ascii="Times New Roman" w:hAnsi="Times New Roman" w:eastAsia="黑体"/>
          <w:color w:val="000000"/>
          <w:sz w:val="30"/>
          <w:szCs w:val="32"/>
          <w:highlight w:val="none"/>
        </w:rPr>
        <w:t>17.4 因不可抗力解除合同</w:t>
      </w:r>
      <w:bookmarkEnd w:id="1131"/>
      <w:bookmarkEnd w:id="1132"/>
    </w:p>
    <w:p>
      <w:pPr>
        <w:spacing w:line="360" w:lineRule="auto"/>
        <w:ind w:firstLine="600" w:firstLineChars="200"/>
        <w:jc w:val="left"/>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合同解除后，发包人应在商定或确定发包人应支付款项后</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天内完成款项的支付。</w:t>
      </w:r>
    </w:p>
    <w:p>
      <w:pPr>
        <w:pStyle w:val="6"/>
        <w:spacing w:before="120" w:after="120" w:line="360" w:lineRule="auto"/>
        <w:rPr>
          <w:rFonts w:ascii="Times New Roman" w:hAnsi="Times New Roman" w:eastAsia="黑体"/>
          <w:b w:val="0"/>
          <w:color w:val="000000"/>
          <w:sz w:val="32"/>
          <w:szCs w:val="32"/>
          <w:highlight w:val="none"/>
        </w:rPr>
      </w:pPr>
      <w:bookmarkStart w:id="1133" w:name="_Toc351203650"/>
      <w:r>
        <w:rPr>
          <w:rFonts w:ascii="Times New Roman" w:hAnsi="Times New Roman" w:eastAsia="黑体"/>
          <w:b w:val="0"/>
          <w:color w:val="000000"/>
          <w:sz w:val="32"/>
          <w:szCs w:val="32"/>
          <w:highlight w:val="none"/>
        </w:rPr>
        <w:t>18. 保险</w:t>
      </w:r>
      <w:bookmarkEnd w:id="1133"/>
    </w:p>
    <w:bookmarkEnd w:id="1125"/>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18.1 工程保险</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关于工程保险的特别约定：</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after="120" w:line="360" w:lineRule="auto"/>
        <w:ind w:firstLine="600" w:firstLineChars="200"/>
        <w:outlineLvl w:val="0"/>
        <w:rPr>
          <w:rFonts w:ascii="Times New Roman" w:hAnsi="Times New Roman" w:eastAsia="黑体"/>
          <w:color w:val="000000"/>
          <w:sz w:val="30"/>
          <w:szCs w:val="32"/>
          <w:highlight w:val="none"/>
        </w:rPr>
      </w:pPr>
      <w:bookmarkStart w:id="1134" w:name="_Toc31842"/>
      <w:bookmarkStart w:id="1135" w:name="_Toc25934"/>
      <w:r>
        <w:rPr>
          <w:rFonts w:ascii="Times New Roman" w:hAnsi="Times New Roman" w:eastAsia="黑体"/>
          <w:color w:val="000000"/>
          <w:sz w:val="30"/>
          <w:szCs w:val="32"/>
          <w:highlight w:val="none"/>
        </w:rPr>
        <w:t>18.3 其他保险</w:t>
      </w:r>
      <w:bookmarkEnd w:id="1134"/>
      <w:bookmarkEnd w:id="1135"/>
    </w:p>
    <w:p>
      <w:pPr>
        <w:spacing w:line="360" w:lineRule="auto"/>
        <w:ind w:firstLine="600" w:firstLineChars="200"/>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rPr>
        <w:t>关于其他保险的约定：</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hint="eastAsia"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u w:val="single"/>
        </w:rPr>
        <w:t xml:space="preserve">     </w:t>
      </w:r>
      <w:r>
        <w:rPr>
          <w:rFonts w:ascii="Times New Roman" w:hAnsi="Times New Roman" w:eastAsia="仿宋_GB2312"/>
          <w:color w:val="000000"/>
          <w:kern w:val="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承包人是否应为其施工设备等办理财产保险：</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kern w:val="0"/>
          <w:sz w:val="30"/>
          <w:szCs w:val="32"/>
          <w:highlight w:val="none"/>
        </w:rPr>
      </w:pP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黑体"/>
          <w:color w:val="000000"/>
          <w:sz w:val="30"/>
          <w:szCs w:val="32"/>
          <w:highlight w:val="none"/>
        </w:rPr>
        <w:t>18.7 通知义务</w:t>
      </w:r>
    </w:p>
    <w:p>
      <w:pPr>
        <w:spacing w:line="360" w:lineRule="auto"/>
        <w:ind w:firstLine="600" w:firstLineChars="20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kern w:val="0"/>
          <w:sz w:val="30"/>
          <w:szCs w:val="32"/>
          <w:highlight w:val="none"/>
        </w:rPr>
        <w:t>关于变更保险合同时的通知义务的约定：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bookmarkEnd w:id="1093"/>
    <w:bookmarkEnd w:id="1094"/>
    <w:bookmarkEnd w:id="1095"/>
    <w:bookmarkEnd w:id="1096"/>
    <w:bookmarkEnd w:id="1097"/>
    <w:bookmarkEnd w:id="1098"/>
    <w:bookmarkEnd w:id="1099"/>
    <w:bookmarkEnd w:id="1100"/>
    <w:bookmarkEnd w:id="1101"/>
    <w:bookmarkEnd w:id="1102"/>
    <w:bookmarkEnd w:id="1103"/>
    <w:bookmarkEnd w:id="1104"/>
    <w:p>
      <w:pPr>
        <w:pStyle w:val="6"/>
        <w:spacing w:before="120" w:after="120" w:line="360" w:lineRule="auto"/>
        <w:rPr>
          <w:rFonts w:ascii="Times New Roman" w:hAnsi="Times New Roman" w:eastAsia="黑体"/>
          <w:b w:val="0"/>
          <w:color w:val="000000"/>
          <w:sz w:val="32"/>
          <w:szCs w:val="32"/>
          <w:highlight w:val="none"/>
        </w:rPr>
      </w:pPr>
      <w:bookmarkStart w:id="1136" w:name="_Toc351203651"/>
      <w:r>
        <w:rPr>
          <w:rFonts w:ascii="Times New Roman" w:hAnsi="Times New Roman" w:eastAsia="黑体"/>
          <w:b w:val="0"/>
          <w:color w:val="000000"/>
          <w:sz w:val="32"/>
          <w:szCs w:val="32"/>
          <w:highlight w:val="none"/>
        </w:rPr>
        <w:t>20. 争议解决</w:t>
      </w:r>
      <w:bookmarkEnd w:id="1136"/>
    </w:p>
    <w:bookmarkEnd w:id="1105"/>
    <w:bookmarkEnd w:id="1106"/>
    <w:p>
      <w:pPr>
        <w:spacing w:after="120" w:line="360" w:lineRule="auto"/>
        <w:ind w:firstLine="600" w:firstLineChars="200"/>
        <w:outlineLvl w:val="0"/>
        <w:rPr>
          <w:rFonts w:ascii="Times New Roman" w:hAnsi="Times New Roman" w:eastAsia="黑体"/>
          <w:color w:val="000000"/>
          <w:sz w:val="30"/>
          <w:szCs w:val="32"/>
          <w:highlight w:val="none"/>
        </w:rPr>
      </w:pPr>
      <w:bookmarkStart w:id="1137" w:name="_Toc31234"/>
      <w:bookmarkStart w:id="1138" w:name="_Toc12944"/>
      <w:r>
        <w:rPr>
          <w:rFonts w:ascii="Times New Roman" w:hAnsi="Times New Roman" w:eastAsia="黑体"/>
          <w:color w:val="000000"/>
          <w:sz w:val="30"/>
          <w:szCs w:val="32"/>
          <w:highlight w:val="none"/>
        </w:rPr>
        <w:t>20.3 争</w:t>
      </w:r>
      <w:bookmarkEnd w:id="1107"/>
      <w:r>
        <w:rPr>
          <w:rFonts w:ascii="Times New Roman" w:hAnsi="Times New Roman" w:eastAsia="黑体"/>
          <w:color w:val="000000"/>
          <w:sz w:val="30"/>
          <w:szCs w:val="32"/>
          <w:highlight w:val="none"/>
        </w:rPr>
        <w:t>议评审</w:t>
      </w:r>
      <w:bookmarkEnd w:id="1137"/>
      <w:bookmarkEnd w:id="1138"/>
    </w:p>
    <w:p>
      <w:pPr>
        <w:spacing w:line="360" w:lineRule="auto"/>
        <w:ind w:left="149" w:leftChars="71" w:firstLine="450" w:firstLineChars="150"/>
        <w:jc w:val="left"/>
        <w:rPr>
          <w:rFonts w:hint="eastAsia"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合同当事人是否同意将工程争议提交争议评审小组决</w:t>
      </w:r>
      <w:r>
        <w:rPr>
          <w:rFonts w:hint="eastAsia" w:ascii="Times New Roman" w:hAnsi="Times New Roman" w:eastAsia="仿宋_GB2312"/>
          <w:color w:val="000000"/>
          <w:sz w:val="30"/>
          <w:szCs w:val="32"/>
          <w:highlight w:val="none"/>
        </w:rPr>
        <w:t>定：</w:t>
      </w:r>
      <w:r>
        <w:rPr>
          <w:rFonts w:hint="eastAsia" w:ascii="Times New Roman" w:hAnsi="Times New Roman" w:eastAsia="仿宋_GB2312"/>
          <w:color w:val="000000"/>
          <w:sz w:val="30"/>
          <w:szCs w:val="32"/>
          <w:highlight w:val="none"/>
          <w:u w:val="single"/>
        </w:rPr>
        <w:t xml:space="preserve">    </w:t>
      </w:r>
    </w:p>
    <w:p>
      <w:pPr>
        <w:spacing w:line="360" w:lineRule="auto"/>
        <w:jc w:val="left"/>
        <w:rPr>
          <w:rFonts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rPr>
        <w:t xml:space="preserve">。  </w:t>
      </w:r>
    </w:p>
    <w:p>
      <w:pPr>
        <w:spacing w:line="360" w:lineRule="auto"/>
        <w:ind w:firstLine="600" w:firstLineChars="200"/>
        <w:jc w:val="left"/>
        <w:outlineLvl w:val="0"/>
        <w:rPr>
          <w:rFonts w:ascii="Times New Roman" w:hAnsi="Times New Roman" w:eastAsia="仿宋_GB2312"/>
          <w:color w:val="000000"/>
          <w:sz w:val="30"/>
          <w:szCs w:val="32"/>
          <w:highlight w:val="none"/>
        </w:rPr>
      </w:pPr>
      <w:bookmarkStart w:id="1139" w:name="_Toc15975"/>
      <w:bookmarkStart w:id="1140" w:name="_Toc1830"/>
      <w:r>
        <w:rPr>
          <w:rFonts w:ascii="Times New Roman" w:hAnsi="Times New Roman" w:eastAsia="仿宋_GB2312"/>
          <w:color w:val="000000"/>
          <w:sz w:val="30"/>
          <w:szCs w:val="32"/>
          <w:highlight w:val="none"/>
        </w:rPr>
        <w:t>20.3.1 争议评审小组的确定</w:t>
      </w:r>
      <w:bookmarkEnd w:id="1139"/>
      <w:bookmarkEnd w:id="1140"/>
    </w:p>
    <w:p>
      <w:pPr>
        <w:spacing w:line="360" w:lineRule="auto"/>
        <w:ind w:firstLine="600" w:firstLineChars="200"/>
        <w:jc w:val="left"/>
        <w:rPr>
          <w:rFonts w:ascii="Times New Roman" w:hAnsi="Times New Roman" w:eastAsia="仿宋_GB2312"/>
          <w:color w:val="000000"/>
          <w:sz w:val="30"/>
          <w:szCs w:val="32"/>
          <w:highlight w:val="none"/>
          <w:u w:val="single"/>
        </w:rPr>
      </w:pPr>
      <w:r>
        <w:rPr>
          <w:rFonts w:ascii="Times New Roman" w:hAnsi="Times New Roman" w:eastAsia="仿宋_GB2312"/>
          <w:color w:val="000000"/>
          <w:sz w:val="30"/>
          <w:szCs w:val="32"/>
          <w:highlight w:val="none"/>
        </w:rPr>
        <w:t>争议评审小组成员的确定：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选定争议评审员的期限：</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争议评审小组成员的报酬承担方式：</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其他事项的约定：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highlight w:val="none"/>
        </w:rPr>
      </w:pPr>
      <w:bookmarkStart w:id="1141" w:name="_Toc26408"/>
      <w:bookmarkStart w:id="1142" w:name="_Toc29297"/>
      <w:r>
        <w:rPr>
          <w:rFonts w:ascii="Times New Roman" w:hAnsi="Times New Roman" w:eastAsia="仿宋_GB2312"/>
          <w:color w:val="000000"/>
          <w:kern w:val="0"/>
          <w:sz w:val="30"/>
          <w:szCs w:val="32"/>
          <w:highlight w:val="none"/>
        </w:rPr>
        <w:t>20.3.2 争议评审小组的决定</w:t>
      </w:r>
      <w:bookmarkEnd w:id="1141"/>
      <w:bookmarkEnd w:id="1142"/>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合同当事人关于本项的约定：</w:t>
      </w:r>
      <w:r>
        <w:rPr>
          <w:rFonts w:ascii="Times New Roman" w:hAnsi="Times New Roman" w:eastAsia="仿宋_GB2312"/>
          <w:color w:val="000000"/>
          <w:sz w:val="30"/>
          <w:szCs w:val="32"/>
          <w:highlight w:val="none"/>
          <w:u w:val="single"/>
        </w:rPr>
        <w:t xml:space="preserve">                      </w:t>
      </w:r>
      <w:r>
        <w:rPr>
          <w:rFonts w:hint="eastAsia"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w:t>
      </w:r>
    </w:p>
    <w:p>
      <w:pPr>
        <w:spacing w:after="120" w:line="360" w:lineRule="auto"/>
        <w:ind w:firstLine="600" w:firstLineChars="200"/>
        <w:outlineLvl w:val="0"/>
        <w:rPr>
          <w:rFonts w:hint="eastAsia" w:ascii="Times New Roman" w:hAnsi="Times New Roman" w:eastAsia="黑体"/>
          <w:color w:val="000000"/>
          <w:sz w:val="30"/>
          <w:szCs w:val="32"/>
          <w:highlight w:val="none"/>
        </w:rPr>
      </w:pPr>
      <w:bookmarkStart w:id="1143" w:name="_Toc18968"/>
      <w:bookmarkStart w:id="1144" w:name="_Toc21195"/>
      <w:r>
        <w:rPr>
          <w:rFonts w:ascii="Times New Roman" w:hAnsi="Times New Roman" w:eastAsia="黑体"/>
          <w:color w:val="000000"/>
          <w:sz w:val="30"/>
          <w:szCs w:val="32"/>
          <w:highlight w:val="none"/>
        </w:rPr>
        <w:t>20.4仲裁或诉讼</w:t>
      </w:r>
      <w:bookmarkEnd w:id="1108"/>
      <w:bookmarkEnd w:id="1143"/>
      <w:bookmarkEnd w:id="1144"/>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仿宋_GB2312"/>
          <w:color w:val="000000"/>
          <w:sz w:val="30"/>
          <w:szCs w:val="32"/>
          <w:highlight w:val="none"/>
        </w:rPr>
        <w:t>因合同及合同有关事项发生的争议，按下列第</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种方式</w:t>
      </w:r>
      <w:r>
        <w:rPr>
          <w:rFonts w:hint="eastAsia" w:ascii="Times New Roman" w:hAnsi="Times New Roman" w:eastAsia="仿宋_GB2312"/>
          <w:color w:val="000000"/>
          <w:sz w:val="30"/>
          <w:szCs w:val="32"/>
          <w:highlight w:val="none"/>
        </w:rPr>
        <w:t>解</w:t>
      </w:r>
      <w:r>
        <w:rPr>
          <w:rFonts w:ascii="Times New Roman" w:hAnsi="Times New Roman" w:eastAsia="仿宋_GB2312"/>
          <w:color w:val="000000"/>
          <w:sz w:val="30"/>
          <w:szCs w:val="32"/>
          <w:highlight w:val="none"/>
        </w:rPr>
        <w:t>决：</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（1）向</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仲裁委员会申请仲裁；</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（2）向</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人民法院起诉。</w:t>
      </w:r>
      <w:bookmarkEnd w:id="1109"/>
      <w:bookmarkEnd w:id="1110"/>
      <w:bookmarkEnd w:id="1111"/>
      <w:bookmarkEnd w:id="1112"/>
      <w:bookmarkEnd w:id="1113"/>
      <w:bookmarkEnd w:id="1114"/>
    </w:p>
    <w:p>
      <w:pPr>
        <w:spacing w:line="360" w:lineRule="auto"/>
        <w:jc w:val="left"/>
        <w:rPr>
          <w:rFonts w:ascii="Times New Roman" w:hAnsi="Times New Roman" w:eastAsia="黑体"/>
          <w:b/>
          <w:color w:val="000000"/>
          <w:sz w:val="32"/>
          <w:szCs w:val="32"/>
          <w:highlight w:val="none"/>
        </w:rPr>
      </w:pPr>
      <w:r>
        <w:rPr>
          <w:rFonts w:ascii="Times New Roman" w:hAnsi="Times New Roman" w:eastAsia="仿宋_GB2312"/>
          <w:color w:val="000000"/>
          <w:sz w:val="30"/>
          <w:szCs w:val="32"/>
          <w:highlight w:val="none"/>
        </w:rPr>
        <w:br w:type="page"/>
      </w:r>
      <w:bookmarkStart w:id="1145" w:name="_Toc351203652"/>
      <w:r>
        <w:rPr>
          <w:rFonts w:ascii="Times New Roman" w:hAnsi="Times New Roman" w:eastAsia="黑体"/>
          <w:b/>
          <w:color w:val="000000"/>
          <w:sz w:val="32"/>
          <w:szCs w:val="32"/>
          <w:highlight w:val="none"/>
        </w:rPr>
        <w:t>附件</w:t>
      </w:r>
      <w:bookmarkEnd w:id="1145"/>
    </w:p>
    <w:p>
      <w:pPr>
        <w:spacing w:line="360" w:lineRule="auto"/>
        <w:jc w:val="left"/>
        <w:rPr>
          <w:rFonts w:hint="eastAsia"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rPr>
        <w:t>协议书附件：</w:t>
      </w:r>
    </w:p>
    <w:p>
      <w:pPr>
        <w:spacing w:line="360" w:lineRule="auto"/>
        <w:jc w:val="left"/>
        <w:rPr>
          <w:rFonts w:hint="eastAsia"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附件1：承包人承揽工程项目一览表</w:t>
      </w:r>
    </w:p>
    <w:p>
      <w:pPr>
        <w:spacing w:line="360" w:lineRule="auto"/>
        <w:jc w:val="left"/>
        <w:rPr>
          <w:rFonts w:ascii="Times New Roman" w:hAnsi="Times New Roman" w:eastAsia="仿宋_GB2312"/>
          <w:color w:val="000000"/>
          <w:sz w:val="30"/>
          <w:szCs w:val="32"/>
          <w:highlight w:val="none"/>
        </w:rPr>
      </w:pPr>
      <w:r>
        <w:rPr>
          <w:rFonts w:hint="eastAsia" w:ascii="Times New Roman" w:hAnsi="Times New Roman" w:eastAsia="仿宋_GB2312"/>
          <w:color w:val="000000"/>
          <w:sz w:val="30"/>
          <w:szCs w:val="32"/>
          <w:highlight w:val="none"/>
        </w:rPr>
        <w:t>专用合同条款附件：</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附件2：发包人供应材料设备一览表</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附件3：工程质量保修书</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附件4：主要建设工程文件目录</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附件5：承包人用于本工程施工的机械设备表</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附件6：承包人主要施工管理人员表</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附件7：分包人主要施工管理人员表</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附件8：履约担保格式</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附件9：预付款担保格式</w:t>
      </w:r>
    </w:p>
    <w:p>
      <w:pPr>
        <w:spacing w:line="360" w:lineRule="auto"/>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附件10：支付担保格式</w:t>
      </w:r>
    </w:p>
    <w:p>
      <w:pPr>
        <w:spacing w:line="360" w:lineRule="auto"/>
        <w:jc w:val="left"/>
        <w:rPr>
          <w:rFonts w:ascii="Times New Roman" w:hAnsi="Times New Roman" w:eastAsia="黑体"/>
          <w:color w:val="000000"/>
          <w:sz w:val="30"/>
          <w:szCs w:val="30"/>
          <w:highlight w:val="none"/>
        </w:rPr>
        <w:sectPr>
          <w:pgSz w:w="11906" w:h="16838"/>
          <w:pgMar w:top="1418" w:right="1555" w:bottom="1418" w:left="1531" w:header="851" w:footer="992" w:gutter="0"/>
          <w:pgNumType w:fmt="decimal"/>
          <w:cols w:space="720" w:num="1"/>
          <w:titlePg/>
          <w:docGrid w:type="lines" w:linePitch="312" w:charSpace="0"/>
        </w:sectPr>
      </w:pPr>
      <w:r>
        <w:rPr>
          <w:rFonts w:ascii="Times New Roman" w:hAnsi="Times New Roman" w:eastAsia="仿宋_GB2312"/>
          <w:color w:val="000000"/>
          <w:sz w:val="30"/>
          <w:szCs w:val="32"/>
          <w:highlight w:val="none"/>
        </w:rPr>
        <w:t>附件11：暂估价一览表</w:t>
      </w:r>
    </w:p>
    <w:p>
      <w:pPr>
        <w:spacing w:before="156" w:beforeLines="50" w:after="156" w:afterLines="50" w:line="440" w:lineRule="exact"/>
        <w:jc w:val="left"/>
        <w:rPr>
          <w:rFonts w:hint="eastAsia" w:ascii="仿宋_GB2312" w:hAnsi="Times New Roman" w:eastAsia="仿宋_GB2312"/>
          <w:color w:val="000000"/>
          <w:sz w:val="30"/>
          <w:szCs w:val="30"/>
          <w:highlight w:val="none"/>
        </w:rPr>
      </w:pPr>
      <w:r>
        <w:rPr>
          <w:rFonts w:hint="eastAsia" w:ascii="仿宋_GB2312" w:hAnsi="Times New Roman" w:eastAsia="仿宋_GB2312"/>
          <w:color w:val="000000"/>
          <w:sz w:val="30"/>
          <w:szCs w:val="30"/>
          <w:highlight w:val="none"/>
        </w:rPr>
        <w:t>附件1：</w:t>
      </w:r>
    </w:p>
    <w:p>
      <w:pPr>
        <w:spacing w:before="156" w:beforeLines="50" w:after="156" w:afterLines="50" w:line="440" w:lineRule="exact"/>
        <w:jc w:val="center"/>
        <w:rPr>
          <w:rFonts w:hint="eastAsia" w:ascii="Times New Roman" w:hAnsi="Times New Roman" w:eastAsia="黑体"/>
          <w:color w:val="000000"/>
          <w:sz w:val="30"/>
          <w:szCs w:val="30"/>
          <w:highlight w:val="none"/>
        </w:rPr>
      </w:pPr>
      <w:r>
        <w:rPr>
          <w:rFonts w:ascii="Times New Roman" w:hAnsi="Times New Roman" w:eastAsia="黑体"/>
          <w:color w:val="000000"/>
          <w:sz w:val="30"/>
          <w:szCs w:val="30"/>
          <w:highlight w:val="none"/>
        </w:rPr>
        <w:t>承包人承揽工程项目一览表</w:t>
      </w:r>
    </w:p>
    <w:tbl>
      <w:tblPr>
        <w:tblStyle w:val="2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单位工程名称</w:t>
            </w:r>
          </w:p>
        </w:tc>
        <w:tc>
          <w:tcPr>
            <w:tcW w:w="1843"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建设规模</w:t>
            </w:r>
          </w:p>
        </w:tc>
        <w:tc>
          <w:tcPr>
            <w:tcW w:w="1417"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建筑面积(平方米)</w:t>
            </w:r>
          </w:p>
        </w:tc>
        <w:tc>
          <w:tcPr>
            <w:tcW w:w="241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结构</w:t>
            </w:r>
            <w:r>
              <w:rPr>
                <w:rFonts w:hint="eastAsia" w:eastAsia="仿宋_GB2312"/>
                <w:color w:val="000000"/>
                <w:kern w:val="2"/>
                <w:sz w:val="28"/>
                <w:szCs w:val="30"/>
                <w:highlight w:val="none"/>
                <w:lang w:val="en-US" w:eastAsia="zh-CN"/>
              </w:rPr>
              <w:t>形式</w:t>
            </w:r>
          </w:p>
        </w:tc>
        <w:tc>
          <w:tcPr>
            <w:tcW w:w="85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层数</w:t>
            </w:r>
          </w:p>
        </w:tc>
        <w:tc>
          <w:tcPr>
            <w:tcW w:w="156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生产能力</w:t>
            </w:r>
          </w:p>
        </w:tc>
        <w:tc>
          <w:tcPr>
            <w:tcW w:w="2126"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设备安装内容</w:t>
            </w:r>
          </w:p>
        </w:tc>
        <w:tc>
          <w:tcPr>
            <w:tcW w:w="1417"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合同价格（元）</w:t>
            </w:r>
          </w:p>
        </w:tc>
        <w:tc>
          <w:tcPr>
            <w:tcW w:w="851"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开工日期</w:t>
            </w:r>
          </w:p>
        </w:tc>
        <w:tc>
          <w:tcPr>
            <w:tcW w:w="85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8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41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56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212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bl>
    <w:p>
      <w:pPr>
        <w:spacing w:line="440" w:lineRule="exact"/>
        <w:rPr>
          <w:rFonts w:ascii="Times New Roman" w:hAnsi="Times New Roman" w:eastAsia="仿宋_GB2312"/>
          <w:b/>
          <w:color w:val="000000"/>
          <w:sz w:val="30"/>
          <w:szCs w:val="30"/>
          <w:highlight w:val="none"/>
        </w:rPr>
        <w:sectPr>
          <w:pgSz w:w="16838" w:h="11906" w:orient="landscape"/>
          <w:pgMar w:top="1554" w:right="1418" w:bottom="1531" w:left="1418" w:header="851" w:footer="992" w:gutter="0"/>
          <w:pgNumType w:fmt="decimal"/>
          <w:cols w:space="720" w:num="1"/>
          <w:titlePg/>
          <w:docGrid w:type="linesAndChars" w:linePitch="312" w:charSpace="0"/>
        </w:sectPr>
      </w:pPr>
    </w:p>
    <w:p>
      <w:pPr>
        <w:spacing w:line="440" w:lineRule="exact"/>
        <w:rPr>
          <w:rFonts w:ascii="Times New Roman" w:hAnsi="Times New Roman" w:eastAsia="黑体"/>
          <w:color w:val="000000"/>
          <w:sz w:val="30"/>
          <w:szCs w:val="30"/>
          <w:highlight w:val="none"/>
        </w:rPr>
      </w:pPr>
      <w:r>
        <w:rPr>
          <w:rFonts w:ascii="Times New Roman" w:hAnsi="Times New Roman" w:eastAsia="仿宋_GB2312"/>
          <w:color w:val="000000"/>
          <w:sz w:val="30"/>
          <w:szCs w:val="30"/>
          <w:highlight w:val="none"/>
        </w:rPr>
        <w:t>附</w:t>
      </w:r>
      <w:bookmarkStart w:id="1146" w:name="_Toc296944564"/>
      <w:bookmarkStart w:id="1147" w:name="_Toc296346726"/>
      <w:bookmarkStart w:id="1148" w:name="_Toc296891053"/>
      <w:bookmarkStart w:id="1149" w:name="_Toc296891265"/>
      <w:bookmarkStart w:id="1150" w:name="_Toc296347224"/>
      <w:bookmarkStart w:id="1151" w:name="_Toc296503225"/>
      <w:bookmarkStart w:id="1152" w:name="_Toc267261692"/>
      <w:r>
        <w:rPr>
          <w:rFonts w:ascii="Times New Roman" w:hAnsi="Times New Roman" w:eastAsia="仿宋_GB2312"/>
          <w:color w:val="000000"/>
          <w:sz w:val="30"/>
          <w:szCs w:val="30"/>
          <w:highlight w:val="none"/>
        </w:rPr>
        <w:t>件2：</w:t>
      </w:r>
    </w:p>
    <w:bookmarkEnd w:id="1146"/>
    <w:bookmarkEnd w:id="1147"/>
    <w:bookmarkEnd w:id="1148"/>
    <w:bookmarkEnd w:id="1149"/>
    <w:bookmarkEnd w:id="1150"/>
    <w:bookmarkEnd w:id="1151"/>
    <w:bookmarkEnd w:id="1152"/>
    <w:p>
      <w:pPr>
        <w:spacing w:before="156" w:beforeLines="50" w:after="156" w:afterLines="50" w:line="440" w:lineRule="exact"/>
        <w:jc w:val="center"/>
        <w:rPr>
          <w:rFonts w:hint="eastAsia" w:ascii="Times New Roman" w:hAnsi="Times New Roman" w:eastAsia="黑体"/>
          <w:color w:val="000000"/>
          <w:sz w:val="30"/>
          <w:szCs w:val="30"/>
          <w:highlight w:val="none"/>
        </w:rPr>
      </w:pPr>
      <w:r>
        <w:rPr>
          <w:rFonts w:ascii="Times New Roman" w:hAnsi="Times New Roman" w:eastAsia="黑体"/>
          <w:color w:val="000000"/>
          <w:sz w:val="30"/>
          <w:szCs w:val="30"/>
          <w:highlight w:val="none"/>
        </w:rPr>
        <w:t>发包人供应材料设备一览表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序号</w:t>
            </w:r>
          </w:p>
        </w:tc>
        <w:tc>
          <w:tcPr>
            <w:tcW w:w="1276" w:type="dxa"/>
            <w:tcBorders>
              <w:top w:val="single" w:color="auto" w:sz="12" w:space="0"/>
              <w:bottom w:val="double" w:color="auto" w:sz="6" w:space="0"/>
            </w:tcBorders>
            <w:noWrap w:val="0"/>
            <w:vAlign w:val="center"/>
          </w:tcPr>
          <w:p>
            <w:pPr>
              <w:pStyle w:val="10"/>
              <w:keepNext/>
              <w:spacing w:after="0" w:line="440" w:lineRule="exact"/>
              <w:ind w:left="63" w:right="63"/>
              <w:rPr>
                <w:rFonts w:hint="eastAsia" w:eastAsia="仿宋_GB2312"/>
                <w:color w:val="000000"/>
                <w:kern w:val="2"/>
                <w:sz w:val="28"/>
                <w:szCs w:val="30"/>
                <w:highlight w:val="none"/>
                <w:lang w:val="en-US" w:eastAsia="zh-CN"/>
              </w:rPr>
            </w:pPr>
            <w:r>
              <w:rPr>
                <w:rFonts w:hint="eastAsia" w:eastAsia="仿宋_GB2312"/>
                <w:color w:val="000000"/>
                <w:kern w:val="2"/>
                <w:sz w:val="28"/>
                <w:szCs w:val="30"/>
                <w:highlight w:val="none"/>
                <w:lang w:val="en-US" w:eastAsia="zh-CN"/>
              </w:rPr>
              <w:t xml:space="preserve">  </w:t>
            </w:r>
            <w:r>
              <w:rPr>
                <w:rFonts w:eastAsia="仿宋_GB2312"/>
                <w:color w:val="000000"/>
                <w:kern w:val="2"/>
                <w:sz w:val="28"/>
                <w:szCs w:val="30"/>
                <w:highlight w:val="none"/>
                <w:lang w:val="en-US" w:eastAsia="zh-CN"/>
              </w:rPr>
              <w:t>材料、</w:t>
            </w:r>
          </w:p>
          <w:p>
            <w:pPr>
              <w:pStyle w:val="10"/>
              <w:keepNext/>
              <w:spacing w:after="0" w:line="440" w:lineRule="exact"/>
              <w:ind w:left="0" w:leftChars="0" w:right="63"/>
              <w:jc w:val="both"/>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设备品种</w:t>
            </w:r>
          </w:p>
        </w:tc>
        <w:tc>
          <w:tcPr>
            <w:tcW w:w="1418"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规格型号</w:t>
            </w:r>
          </w:p>
        </w:tc>
        <w:tc>
          <w:tcPr>
            <w:tcW w:w="94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单位</w:t>
            </w:r>
          </w:p>
        </w:tc>
        <w:tc>
          <w:tcPr>
            <w:tcW w:w="851"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数量</w:t>
            </w:r>
          </w:p>
        </w:tc>
        <w:tc>
          <w:tcPr>
            <w:tcW w:w="1044"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单价</w:t>
            </w:r>
            <w:r>
              <w:rPr>
                <w:rFonts w:hint="eastAsia" w:eastAsia="仿宋_GB2312"/>
                <w:color w:val="000000"/>
                <w:kern w:val="2"/>
                <w:sz w:val="28"/>
                <w:szCs w:val="30"/>
                <w:highlight w:val="none"/>
                <w:lang w:val="en-US" w:eastAsia="zh-CN"/>
              </w:rPr>
              <w:t>（元）</w:t>
            </w:r>
          </w:p>
        </w:tc>
        <w:tc>
          <w:tcPr>
            <w:tcW w:w="992"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质量等级</w:t>
            </w:r>
          </w:p>
        </w:tc>
        <w:tc>
          <w:tcPr>
            <w:tcW w:w="851"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供应时间</w:t>
            </w:r>
          </w:p>
        </w:tc>
        <w:tc>
          <w:tcPr>
            <w:tcW w:w="1487"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送达地点</w:t>
            </w:r>
          </w:p>
        </w:tc>
        <w:tc>
          <w:tcPr>
            <w:tcW w:w="992"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4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44"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7"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4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44"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4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4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4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4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4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4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4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4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4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4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4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4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highlight w:val="none"/>
              </w:rPr>
            </w:pPr>
          </w:p>
        </w:tc>
        <w:tc>
          <w:tcPr>
            <w:tcW w:w="1276" w:type="dxa"/>
            <w:noWrap w:val="0"/>
            <w:vAlign w:val="center"/>
          </w:tcPr>
          <w:p>
            <w:pPr>
              <w:jc w:val="center"/>
              <w:rPr>
                <w:rFonts w:eastAsia="仿宋_GB2312"/>
                <w:color w:val="000000"/>
                <w:sz w:val="30"/>
                <w:szCs w:val="30"/>
                <w:highlight w:val="none"/>
              </w:rPr>
            </w:pPr>
          </w:p>
        </w:tc>
        <w:tc>
          <w:tcPr>
            <w:tcW w:w="1418" w:type="dxa"/>
            <w:noWrap w:val="0"/>
            <w:vAlign w:val="center"/>
          </w:tcPr>
          <w:p>
            <w:pPr>
              <w:jc w:val="center"/>
              <w:rPr>
                <w:rFonts w:eastAsia="仿宋_GB2312"/>
                <w:color w:val="000000"/>
                <w:sz w:val="30"/>
                <w:szCs w:val="30"/>
                <w:highlight w:val="none"/>
              </w:rPr>
            </w:pPr>
          </w:p>
        </w:tc>
        <w:tc>
          <w:tcPr>
            <w:tcW w:w="940"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044"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487"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4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4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9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highlight w:val="none"/>
              </w:rPr>
            </w:pPr>
          </w:p>
        </w:tc>
        <w:tc>
          <w:tcPr>
            <w:tcW w:w="1276" w:type="dxa"/>
            <w:noWrap w:val="0"/>
            <w:vAlign w:val="center"/>
          </w:tcPr>
          <w:p>
            <w:pPr>
              <w:jc w:val="center"/>
              <w:rPr>
                <w:rFonts w:eastAsia="仿宋_GB2312"/>
                <w:color w:val="000000"/>
                <w:sz w:val="30"/>
                <w:szCs w:val="30"/>
                <w:highlight w:val="none"/>
              </w:rPr>
            </w:pPr>
          </w:p>
        </w:tc>
        <w:tc>
          <w:tcPr>
            <w:tcW w:w="1418" w:type="dxa"/>
            <w:noWrap w:val="0"/>
            <w:vAlign w:val="center"/>
          </w:tcPr>
          <w:p>
            <w:pPr>
              <w:jc w:val="center"/>
              <w:rPr>
                <w:rFonts w:eastAsia="仿宋_GB2312"/>
                <w:color w:val="000000"/>
                <w:sz w:val="30"/>
                <w:szCs w:val="30"/>
                <w:highlight w:val="none"/>
              </w:rPr>
            </w:pPr>
          </w:p>
        </w:tc>
        <w:tc>
          <w:tcPr>
            <w:tcW w:w="940"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044"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487"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highlight w:val="none"/>
              </w:rPr>
            </w:pPr>
          </w:p>
        </w:tc>
        <w:tc>
          <w:tcPr>
            <w:tcW w:w="1276" w:type="dxa"/>
            <w:noWrap w:val="0"/>
            <w:vAlign w:val="center"/>
          </w:tcPr>
          <w:p>
            <w:pPr>
              <w:jc w:val="center"/>
              <w:rPr>
                <w:rFonts w:eastAsia="仿宋_GB2312"/>
                <w:color w:val="000000"/>
                <w:sz w:val="30"/>
                <w:szCs w:val="30"/>
                <w:highlight w:val="none"/>
              </w:rPr>
            </w:pPr>
          </w:p>
        </w:tc>
        <w:tc>
          <w:tcPr>
            <w:tcW w:w="1418" w:type="dxa"/>
            <w:noWrap w:val="0"/>
            <w:vAlign w:val="center"/>
          </w:tcPr>
          <w:p>
            <w:pPr>
              <w:jc w:val="center"/>
              <w:rPr>
                <w:rFonts w:eastAsia="仿宋_GB2312"/>
                <w:color w:val="000000"/>
                <w:sz w:val="30"/>
                <w:szCs w:val="30"/>
                <w:highlight w:val="none"/>
              </w:rPr>
            </w:pPr>
          </w:p>
        </w:tc>
        <w:tc>
          <w:tcPr>
            <w:tcW w:w="940"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044"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487"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highlight w:val="none"/>
              </w:rPr>
            </w:pPr>
          </w:p>
        </w:tc>
        <w:tc>
          <w:tcPr>
            <w:tcW w:w="1276" w:type="dxa"/>
            <w:noWrap w:val="0"/>
            <w:vAlign w:val="center"/>
          </w:tcPr>
          <w:p>
            <w:pPr>
              <w:jc w:val="center"/>
              <w:rPr>
                <w:rFonts w:eastAsia="仿宋_GB2312"/>
                <w:color w:val="000000"/>
                <w:sz w:val="30"/>
                <w:szCs w:val="30"/>
                <w:highlight w:val="none"/>
              </w:rPr>
            </w:pPr>
          </w:p>
        </w:tc>
        <w:tc>
          <w:tcPr>
            <w:tcW w:w="1418" w:type="dxa"/>
            <w:noWrap w:val="0"/>
            <w:vAlign w:val="center"/>
          </w:tcPr>
          <w:p>
            <w:pPr>
              <w:jc w:val="center"/>
              <w:rPr>
                <w:rFonts w:eastAsia="仿宋_GB2312"/>
                <w:color w:val="000000"/>
                <w:sz w:val="30"/>
                <w:szCs w:val="30"/>
                <w:highlight w:val="none"/>
              </w:rPr>
            </w:pPr>
          </w:p>
        </w:tc>
        <w:tc>
          <w:tcPr>
            <w:tcW w:w="940"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044"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487"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highlight w:val="none"/>
              </w:rPr>
            </w:pPr>
          </w:p>
        </w:tc>
        <w:tc>
          <w:tcPr>
            <w:tcW w:w="1276" w:type="dxa"/>
            <w:noWrap w:val="0"/>
            <w:vAlign w:val="center"/>
          </w:tcPr>
          <w:p>
            <w:pPr>
              <w:jc w:val="center"/>
              <w:rPr>
                <w:rFonts w:eastAsia="仿宋_GB2312"/>
                <w:color w:val="000000"/>
                <w:sz w:val="30"/>
                <w:szCs w:val="30"/>
                <w:highlight w:val="none"/>
              </w:rPr>
            </w:pPr>
          </w:p>
        </w:tc>
        <w:tc>
          <w:tcPr>
            <w:tcW w:w="1418" w:type="dxa"/>
            <w:noWrap w:val="0"/>
            <w:vAlign w:val="center"/>
          </w:tcPr>
          <w:p>
            <w:pPr>
              <w:jc w:val="center"/>
              <w:rPr>
                <w:rFonts w:eastAsia="仿宋_GB2312"/>
                <w:color w:val="000000"/>
                <w:sz w:val="30"/>
                <w:szCs w:val="30"/>
                <w:highlight w:val="none"/>
              </w:rPr>
            </w:pPr>
          </w:p>
        </w:tc>
        <w:tc>
          <w:tcPr>
            <w:tcW w:w="940"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044"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487"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highlight w:val="none"/>
              </w:rPr>
            </w:pPr>
          </w:p>
        </w:tc>
        <w:tc>
          <w:tcPr>
            <w:tcW w:w="1276" w:type="dxa"/>
            <w:noWrap w:val="0"/>
            <w:vAlign w:val="center"/>
          </w:tcPr>
          <w:p>
            <w:pPr>
              <w:jc w:val="center"/>
              <w:rPr>
                <w:rFonts w:eastAsia="仿宋_GB2312"/>
                <w:color w:val="000000"/>
                <w:sz w:val="30"/>
                <w:szCs w:val="30"/>
                <w:highlight w:val="none"/>
              </w:rPr>
            </w:pPr>
          </w:p>
        </w:tc>
        <w:tc>
          <w:tcPr>
            <w:tcW w:w="1418" w:type="dxa"/>
            <w:noWrap w:val="0"/>
            <w:vAlign w:val="center"/>
          </w:tcPr>
          <w:p>
            <w:pPr>
              <w:jc w:val="center"/>
              <w:rPr>
                <w:rFonts w:eastAsia="仿宋_GB2312"/>
                <w:color w:val="000000"/>
                <w:sz w:val="30"/>
                <w:szCs w:val="30"/>
                <w:highlight w:val="none"/>
              </w:rPr>
            </w:pPr>
          </w:p>
        </w:tc>
        <w:tc>
          <w:tcPr>
            <w:tcW w:w="940"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044"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487"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highlight w:val="none"/>
              </w:rPr>
            </w:pPr>
          </w:p>
        </w:tc>
        <w:tc>
          <w:tcPr>
            <w:tcW w:w="1276" w:type="dxa"/>
            <w:noWrap w:val="0"/>
            <w:vAlign w:val="center"/>
          </w:tcPr>
          <w:p>
            <w:pPr>
              <w:jc w:val="center"/>
              <w:rPr>
                <w:rFonts w:eastAsia="仿宋_GB2312"/>
                <w:color w:val="000000"/>
                <w:sz w:val="30"/>
                <w:szCs w:val="30"/>
                <w:highlight w:val="none"/>
              </w:rPr>
            </w:pPr>
          </w:p>
        </w:tc>
        <w:tc>
          <w:tcPr>
            <w:tcW w:w="1418" w:type="dxa"/>
            <w:noWrap w:val="0"/>
            <w:vAlign w:val="center"/>
          </w:tcPr>
          <w:p>
            <w:pPr>
              <w:jc w:val="center"/>
              <w:rPr>
                <w:rFonts w:eastAsia="仿宋_GB2312"/>
                <w:color w:val="000000"/>
                <w:sz w:val="30"/>
                <w:szCs w:val="30"/>
                <w:highlight w:val="none"/>
              </w:rPr>
            </w:pPr>
          </w:p>
        </w:tc>
        <w:tc>
          <w:tcPr>
            <w:tcW w:w="940"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044"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487"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highlight w:val="none"/>
              </w:rPr>
            </w:pPr>
          </w:p>
        </w:tc>
        <w:tc>
          <w:tcPr>
            <w:tcW w:w="1276" w:type="dxa"/>
            <w:noWrap w:val="0"/>
            <w:vAlign w:val="center"/>
          </w:tcPr>
          <w:p>
            <w:pPr>
              <w:jc w:val="center"/>
              <w:rPr>
                <w:rFonts w:eastAsia="仿宋_GB2312"/>
                <w:color w:val="000000"/>
                <w:sz w:val="30"/>
                <w:szCs w:val="30"/>
                <w:highlight w:val="none"/>
              </w:rPr>
            </w:pPr>
          </w:p>
        </w:tc>
        <w:tc>
          <w:tcPr>
            <w:tcW w:w="1418" w:type="dxa"/>
            <w:noWrap w:val="0"/>
            <w:vAlign w:val="center"/>
          </w:tcPr>
          <w:p>
            <w:pPr>
              <w:jc w:val="center"/>
              <w:rPr>
                <w:rFonts w:eastAsia="仿宋_GB2312"/>
                <w:color w:val="000000"/>
                <w:sz w:val="30"/>
                <w:szCs w:val="30"/>
                <w:highlight w:val="none"/>
              </w:rPr>
            </w:pPr>
          </w:p>
        </w:tc>
        <w:tc>
          <w:tcPr>
            <w:tcW w:w="940"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044"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487"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highlight w:val="none"/>
              </w:rPr>
            </w:pPr>
          </w:p>
        </w:tc>
        <w:tc>
          <w:tcPr>
            <w:tcW w:w="1276" w:type="dxa"/>
            <w:noWrap w:val="0"/>
            <w:vAlign w:val="center"/>
          </w:tcPr>
          <w:p>
            <w:pPr>
              <w:jc w:val="center"/>
              <w:rPr>
                <w:rFonts w:eastAsia="仿宋_GB2312"/>
                <w:color w:val="000000"/>
                <w:sz w:val="30"/>
                <w:szCs w:val="30"/>
                <w:highlight w:val="none"/>
              </w:rPr>
            </w:pPr>
          </w:p>
        </w:tc>
        <w:tc>
          <w:tcPr>
            <w:tcW w:w="1418" w:type="dxa"/>
            <w:noWrap w:val="0"/>
            <w:vAlign w:val="center"/>
          </w:tcPr>
          <w:p>
            <w:pPr>
              <w:jc w:val="center"/>
              <w:rPr>
                <w:rFonts w:eastAsia="仿宋_GB2312"/>
                <w:color w:val="000000"/>
                <w:sz w:val="30"/>
                <w:szCs w:val="30"/>
                <w:highlight w:val="none"/>
              </w:rPr>
            </w:pPr>
          </w:p>
        </w:tc>
        <w:tc>
          <w:tcPr>
            <w:tcW w:w="940"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044"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c>
          <w:tcPr>
            <w:tcW w:w="851" w:type="dxa"/>
            <w:noWrap w:val="0"/>
            <w:vAlign w:val="center"/>
          </w:tcPr>
          <w:p>
            <w:pPr>
              <w:jc w:val="center"/>
              <w:rPr>
                <w:rFonts w:eastAsia="仿宋_GB2312"/>
                <w:color w:val="000000"/>
                <w:sz w:val="30"/>
                <w:szCs w:val="30"/>
                <w:highlight w:val="none"/>
              </w:rPr>
            </w:pPr>
          </w:p>
        </w:tc>
        <w:tc>
          <w:tcPr>
            <w:tcW w:w="1487" w:type="dxa"/>
            <w:noWrap w:val="0"/>
            <w:vAlign w:val="center"/>
          </w:tcPr>
          <w:p>
            <w:pPr>
              <w:jc w:val="center"/>
              <w:rPr>
                <w:rFonts w:eastAsia="仿宋_GB2312"/>
                <w:color w:val="000000"/>
                <w:sz w:val="30"/>
                <w:szCs w:val="30"/>
                <w:highlight w:val="none"/>
              </w:rPr>
            </w:pPr>
          </w:p>
        </w:tc>
        <w:tc>
          <w:tcPr>
            <w:tcW w:w="992" w:type="dxa"/>
            <w:noWrap w:val="0"/>
            <w:vAlign w:val="center"/>
          </w:tcPr>
          <w:p>
            <w:pPr>
              <w:jc w:val="center"/>
              <w:rPr>
                <w:rFonts w:eastAsia="仿宋_GB2312"/>
                <w:color w:val="000000"/>
                <w:sz w:val="30"/>
                <w:szCs w:val="30"/>
                <w:highlight w:val="none"/>
              </w:rPr>
            </w:pPr>
          </w:p>
        </w:tc>
      </w:tr>
    </w:tbl>
    <w:p>
      <w:pPr>
        <w:spacing w:line="440" w:lineRule="exact"/>
        <w:rPr>
          <w:rFonts w:ascii="Times New Roman" w:hAnsi="Times New Roman" w:eastAsia="仿宋_GB2312"/>
          <w:color w:val="000000"/>
          <w:sz w:val="30"/>
          <w:szCs w:val="30"/>
          <w:highlight w:val="none"/>
        </w:rPr>
      </w:pPr>
    </w:p>
    <w:p>
      <w:pPr>
        <w:spacing w:line="440" w:lineRule="exact"/>
        <w:rPr>
          <w:rFonts w:ascii="Times New Roman" w:hAnsi="Times New Roman" w:eastAsia="黑体"/>
          <w:color w:val="000000"/>
          <w:sz w:val="30"/>
          <w:szCs w:val="30"/>
          <w:highlight w:val="none"/>
        </w:rPr>
      </w:pPr>
      <w:r>
        <w:rPr>
          <w:rFonts w:ascii="Times New Roman" w:hAnsi="Times New Roman" w:eastAsia="仿宋_GB2312"/>
          <w:color w:val="000000"/>
          <w:sz w:val="30"/>
          <w:szCs w:val="30"/>
          <w:highlight w:val="none"/>
        </w:rPr>
        <w:t>附</w:t>
      </w:r>
      <w:bookmarkStart w:id="1153" w:name="_Toc296347225"/>
      <w:bookmarkStart w:id="1154" w:name="_Toc296503226"/>
      <w:bookmarkStart w:id="1155" w:name="_Toc296944565"/>
      <w:bookmarkStart w:id="1156" w:name="_Toc296346727"/>
      <w:bookmarkStart w:id="1157" w:name="_Toc296891054"/>
      <w:bookmarkStart w:id="1158" w:name="_Toc267261693"/>
      <w:bookmarkStart w:id="1159" w:name="_Toc296891266"/>
      <w:r>
        <w:rPr>
          <w:rFonts w:ascii="Times New Roman" w:hAnsi="Times New Roman" w:eastAsia="仿宋_GB2312"/>
          <w:color w:val="000000"/>
          <w:sz w:val="30"/>
          <w:szCs w:val="30"/>
          <w:highlight w:val="none"/>
        </w:rPr>
        <w:t>件3：</w:t>
      </w:r>
      <w:bookmarkEnd w:id="1153"/>
      <w:bookmarkEnd w:id="1154"/>
      <w:bookmarkEnd w:id="1155"/>
      <w:bookmarkEnd w:id="1156"/>
      <w:bookmarkEnd w:id="1157"/>
      <w:bookmarkEnd w:id="1158"/>
      <w:bookmarkEnd w:id="1159"/>
      <w:r>
        <w:rPr>
          <w:rFonts w:ascii="Times New Roman" w:hAnsi="Times New Roman" w:eastAsia="黑体"/>
          <w:color w:val="000000"/>
          <w:sz w:val="30"/>
          <w:szCs w:val="30"/>
          <w:highlight w:val="none"/>
        </w:rPr>
        <w:t xml:space="preserve">    </w:t>
      </w:r>
    </w:p>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工程质量保修书</w:t>
      </w:r>
    </w:p>
    <w:p>
      <w:pPr>
        <w:spacing w:line="440" w:lineRule="exact"/>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发包人（全称）：</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p>
    <w:p>
      <w:pPr>
        <w:spacing w:line="440" w:lineRule="exac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承包人（全称）：</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w:t>
      </w:r>
    </w:p>
    <w:p>
      <w:pPr>
        <w:spacing w:line="440" w:lineRule="exact"/>
        <w:rPr>
          <w:rFonts w:ascii="Times New Roman" w:hAnsi="Times New Roman" w:eastAsia="仿宋_GB2312"/>
          <w:color w:val="000000"/>
          <w:sz w:val="30"/>
          <w:szCs w:val="30"/>
          <w:highlight w:val="none"/>
        </w:rPr>
      </w:pP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发包人和承包人根据《中华人民共和国建筑法》和《建设工程质量管理条例》，经协商一致就</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（工程全称）签订工程质量保修书。</w:t>
      </w:r>
    </w:p>
    <w:p>
      <w:pPr>
        <w:spacing w:line="360" w:lineRule="auto"/>
        <w:outlineLvl w:val="0"/>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　　</w:t>
      </w:r>
      <w:bookmarkStart w:id="1160" w:name="_Toc18210"/>
      <w:bookmarkStart w:id="1161" w:name="_Toc14460"/>
      <w:r>
        <w:rPr>
          <w:rFonts w:ascii="Times New Roman" w:hAnsi="Times New Roman" w:eastAsia="黑体"/>
          <w:color w:val="000000"/>
          <w:sz w:val="30"/>
          <w:szCs w:val="30"/>
          <w:highlight w:val="none"/>
        </w:rPr>
        <w:t>一、工程质量保修范围和内容</w:t>
      </w:r>
      <w:bookmarkEnd w:id="1160"/>
      <w:bookmarkEnd w:id="1161"/>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承包人在质量保修期内，按照有关法律规定和合同约定，承担工程质量保修责任。</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p>
    <w:p>
      <w:pPr>
        <w:spacing w:line="360" w:lineRule="auto"/>
        <w:outlineLvl w:val="0"/>
        <w:rPr>
          <w:rFonts w:ascii="Times New Roman" w:hAnsi="Times New Roman" w:eastAsia="黑体"/>
          <w:color w:val="000000"/>
          <w:sz w:val="30"/>
          <w:szCs w:val="30"/>
          <w:highlight w:val="none"/>
        </w:rPr>
      </w:pPr>
      <w:r>
        <w:rPr>
          <w:rFonts w:ascii="Times New Roman" w:hAnsi="Times New Roman" w:eastAsia="仿宋_GB2312"/>
          <w:b/>
          <w:color w:val="000000"/>
          <w:sz w:val="30"/>
          <w:szCs w:val="30"/>
          <w:highlight w:val="none"/>
        </w:rPr>
        <w:t>　　</w:t>
      </w:r>
      <w:bookmarkStart w:id="1162" w:name="_Toc1910"/>
      <w:bookmarkStart w:id="1163" w:name="_Toc18830"/>
      <w:r>
        <w:rPr>
          <w:rFonts w:ascii="Times New Roman" w:hAnsi="Times New Roman" w:eastAsia="黑体"/>
          <w:color w:val="000000"/>
          <w:sz w:val="30"/>
          <w:szCs w:val="30"/>
          <w:highlight w:val="none"/>
        </w:rPr>
        <w:t>二、质量保修期</w:t>
      </w:r>
      <w:bookmarkEnd w:id="1162"/>
      <w:bookmarkEnd w:id="1163"/>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根据《建设工程质量管理条例》及有关规定，工程的质量保修期如下：</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1</w:t>
      </w:r>
      <w:r>
        <w:rPr>
          <w:rFonts w:hint="eastAsia" w:ascii="Times New Roman" w:hAnsi="Times New Roman" w:eastAsia="仿宋_GB2312"/>
          <w:color w:val="000000"/>
          <w:sz w:val="30"/>
          <w:szCs w:val="30"/>
          <w:highlight w:val="none"/>
        </w:rPr>
        <w:t>．</w:t>
      </w:r>
      <w:r>
        <w:rPr>
          <w:rFonts w:hint="eastAsia" w:ascii="仿宋_GB2312" w:eastAsia="仿宋_GB2312"/>
          <w:sz w:val="30"/>
          <w:szCs w:val="30"/>
          <w:highlight w:val="none"/>
        </w:rPr>
        <w:t>地基基础工程和主体结构工程为设计文件规定的工程合理使用年限；</w:t>
      </w:r>
    </w:p>
    <w:p>
      <w:pPr>
        <w:spacing w:line="360" w:lineRule="auto"/>
        <w:ind w:firstLine="600" w:firstLineChars="20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2</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屋面防水工程、有防水要求的卫生间、房间和外墙面的防渗</w:t>
      </w:r>
      <w:r>
        <w:rPr>
          <w:rFonts w:hint="eastAsia" w:ascii="Times New Roman" w:hAnsi="Times New Roman" w:eastAsia="仿宋_GB2312"/>
          <w:color w:val="000000"/>
          <w:sz w:val="30"/>
          <w:szCs w:val="30"/>
          <w:highlight w:val="none"/>
        </w:rPr>
        <w:t xml:space="preserve">     为</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p>
    <w:p>
      <w:pPr>
        <w:spacing w:line="360" w:lineRule="auto"/>
        <w:ind w:left="420" w:leftChars="200" w:firstLine="150" w:firstLineChars="5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3</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装修工程为</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p>
    <w:p>
      <w:pPr>
        <w:spacing w:line="360" w:lineRule="auto"/>
        <w:ind w:left="420" w:leftChars="200" w:firstLine="150" w:firstLineChars="5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4</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电气管线、给排水管道、设备安装工程为</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p>
    <w:p>
      <w:pPr>
        <w:spacing w:line="360" w:lineRule="auto"/>
        <w:ind w:left="420" w:leftChars="200" w:firstLine="150" w:firstLineChars="5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5</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供热与供冷系统为</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个采暖期、供冷期；</w:t>
      </w:r>
    </w:p>
    <w:p>
      <w:pPr>
        <w:spacing w:line="360" w:lineRule="auto"/>
        <w:ind w:left="420" w:leftChars="200" w:firstLine="150" w:firstLineChars="5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6</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住宅小区内的给排水设施、道路等配套工程为</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p>
    <w:p>
      <w:pPr>
        <w:spacing w:line="360" w:lineRule="auto"/>
        <w:ind w:left="420" w:leftChars="200" w:firstLine="150" w:firstLineChars="5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7</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其他项目保修期限约定如下：</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质量保修期自工程竣工验收合格之日起计算。</w:t>
      </w:r>
    </w:p>
    <w:p>
      <w:pPr>
        <w:spacing w:line="360" w:lineRule="auto"/>
        <w:ind w:firstLine="600" w:firstLineChars="200"/>
        <w:outlineLvl w:val="0"/>
        <w:rPr>
          <w:rFonts w:ascii="Times New Roman" w:hAnsi="Times New Roman" w:eastAsia="黑体"/>
          <w:color w:val="000000"/>
          <w:sz w:val="30"/>
          <w:szCs w:val="30"/>
          <w:highlight w:val="none"/>
        </w:rPr>
      </w:pPr>
      <w:bookmarkStart w:id="1164" w:name="_Toc21605"/>
      <w:bookmarkStart w:id="1165" w:name="_Toc7558"/>
      <w:r>
        <w:rPr>
          <w:rFonts w:ascii="Times New Roman" w:hAnsi="Times New Roman" w:eastAsia="黑体"/>
          <w:color w:val="000000"/>
          <w:sz w:val="30"/>
          <w:szCs w:val="30"/>
          <w:highlight w:val="none"/>
        </w:rPr>
        <w:t>三、缺陷责任期</w:t>
      </w:r>
      <w:bookmarkEnd w:id="1164"/>
      <w:bookmarkEnd w:id="1165"/>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工程缺陷责任期为</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个月，缺陷责任期自工程</w:t>
      </w:r>
      <w:r>
        <w:rPr>
          <w:rFonts w:hint="eastAsia" w:ascii="Times New Roman" w:hAnsi="Times New Roman" w:eastAsia="仿宋_GB2312"/>
          <w:color w:val="000000"/>
          <w:sz w:val="30"/>
          <w:szCs w:val="30"/>
          <w:highlight w:val="none"/>
        </w:rPr>
        <w:t>通过竣工验收</w:t>
      </w:r>
      <w:r>
        <w:rPr>
          <w:rFonts w:ascii="Times New Roman" w:hAnsi="Times New Roman" w:eastAsia="仿宋_GB2312"/>
          <w:color w:val="000000"/>
          <w:sz w:val="30"/>
          <w:szCs w:val="30"/>
          <w:highlight w:val="none"/>
        </w:rPr>
        <w:t>之日起计算。单位工程先于全部工程进行验收，单位工程缺陷责任期自单位工程验收合格之日起算。</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缺陷责任期终止后，发包人应退还剩余的质量保证金。</w:t>
      </w:r>
    </w:p>
    <w:p>
      <w:pPr>
        <w:spacing w:line="360" w:lineRule="auto"/>
        <w:outlineLvl w:val="0"/>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 xml:space="preserve">    </w:t>
      </w:r>
      <w:bookmarkStart w:id="1166" w:name="_Toc11323"/>
      <w:bookmarkStart w:id="1167" w:name="_Toc7689"/>
      <w:r>
        <w:rPr>
          <w:rFonts w:ascii="Times New Roman" w:hAnsi="Times New Roman" w:eastAsia="黑体"/>
          <w:color w:val="000000"/>
          <w:sz w:val="30"/>
          <w:szCs w:val="30"/>
          <w:highlight w:val="none"/>
        </w:rPr>
        <w:t>四、质量保修责任</w:t>
      </w:r>
      <w:bookmarkEnd w:id="1166"/>
      <w:bookmarkEnd w:id="1167"/>
    </w:p>
    <w:p>
      <w:pPr>
        <w:spacing w:line="360" w:lineRule="auto"/>
        <w:ind w:left="105" w:leftChars="50" w:firstLine="615" w:firstLineChars="205"/>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1</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属于保修范围、内容的项目，承包人应当在接到保修通知之日起7天内派人保修。承包人不在约定期限内派人保修的，发包人可以委托他人修理。</w:t>
      </w:r>
    </w:p>
    <w:p>
      <w:pPr>
        <w:spacing w:line="360" w:lineRule="auto"/>
        <w:ind w:left="105" w:leftChars="50" w:firstLine="615" w:firstLineChars="205"/>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2</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发生紧急事故需抢修的，承包人在接到事故通知后，应当立即到达事故现场抢修。</w:t>
      </w:r>
    </w:p>
    <w:p>
      <w:pPr>
        <w:spacing w:line="360" w:lineRule="auto"/>
        <w:ind w:left="105" w:leftChars="50" w:firstLine="615" w:firstLineChars="205"/>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3</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50" w:firstLineChars="5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4</w:t>
      </w:r>
      <w:r>
        <w:rPr>
          <w:rFonts w:hint="eastAsia" w:ascii="仿宋_GB2312" w:eastAsia="仿宋_GB2312"/>
          <w:sz w:val="30"/>
          <w:szCs w:val="30"/>
          <w:highlight w:val="none"/>
        </w:rPr>
        <w:t>．</w:t>
      </w:r>
      <w:r>
        <w:rPr>
          <w:rFonts w:ascii="Times New Roman" w:hAnsi="Times New Roman" w:eastAsia="仿宋_GB2312"/>
          <w:color w:val="000000"/>
          <w:sz w:val="30"/>
          <w:szCs w:val="30"/>
          <w:highlight w:val="none"/>
        </w:rPr>
        <w:t>质量保修完成后，由发包人组织验收。</w:t>
      </w:r>
    </w:p>
    <w:p>
      <w:pPr>
        <w:spacing w:line="360" w:lineRule="auto"/>
        <w:outlineLvl w:val="0"/>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　　</w:t>
      </w:r>
      <w:bookmarkStart w:id="1168" w:name="_Toc12632"/>
      <w:bookmarkStart w:id="1169" w:name="_Toc28566"/>
      <w:r>
        <w:rPr>
          <w:rFonts w:ascii="Times New Roman" w:hAnsi="Times New Roman" w:eastAsia="黑体"/>
          <w:color w:val="000000"/>
          <w:sz w:val="30"/>
          <w:szCs w:val="30"/>
          <w:highlight w:val="none"/>
        </w:rPr>
        <w:t>五、保修费用</w:t>
      </w:r>
      <w:bookmarkEnd w:id="1168"/>
      <w:bookmarkEnd w:id="1169"/>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保修费用由造成质量缺陷的责任方承担。</w:t>
      </w:r>
    </w:p>
    <w:p>
      <w:pPr>
        <w:spacing w:line="360" w:lineRule="auto"/>
        <w:ind w:firstLine="600"/>
        <w:jc w:val="left"/>
        <w:outlineLvl w:val="0"/>
        <w:rPr>
          <w:rFonts w:ascii="Times New Roman" w:hAnsi="Times New Roman" w:eastAsia="仿宋_GB2312"/>
          <w:color w:val="000000"/>
          <w:sz w:val="30"/>
          <w:szCs w:val="30"/>
          <w:highlight w:val="none"/>
          <w:u w:val="single"/>
        </w:rPr>
      </w:pPr>
      <w:bookmarkStart w:id="1170" w:name="_Toc26916"/>
      <w:bookmarkStart w:id="1171" w:name="_Toc25107"/>
      <w:r>
        <w:rPr>
          <w:rFonts w:ascii="Times New Roman" w:hAnsi="Times New Roman" w:eastAsia="黑体"/>
          <w:b/>
          <w:color w:val="000000"/>
          <w:sz w:val="30"/>
          <w:szCs w:val="30"/>
          <w:highlight w:val="none"/>
        </w:rPr>
        <w:t>六</w:t>
      </w:r>
      <w:r>
        <w:rPr>
          <w:rFonts w:ascii="Times New Roman" w:hAnsi="Times New Roman" w:eastAsia="黑体"/>
          <w:color w:val="000000"/>
          <w:sz w:val="30"/>
          <w:szCs w:val="30"/>
          <w:highlight w:val="none"/>
        </w:rPr>
        <w:t>、双方约定的其他工程质量保修事项</w:t>
      </w:r>
      <w:r>
        <w:rPr>
          <w:rFonts w:ascii="Times New Roman" w:hAnsi="Times New Roman" w:eastAsia="仿宋_GB2312"/>
          <w:color w:val="000000"/>
          <w:sz w:val="30"/>
          <w:szCs w:val="30"/>
          <w:highlight w:val="none"/>
        </w:rPr>
        <w:t>：</w:t>
      </w:r>
      <w:bookmarkEnd w:id="1170"/>
      <w:bookmarkEnd w:id="1171"/>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p>
    <w:p>
      <w:pPr>
        <w:spacing w:line="360" w:lineRule="auto"/>
        <w:ind w:firstLine="570" w:firstLineChars="19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工程质量保修书由发包人、承包人在工程竣工验收前共同签署，作为施工合同附件，其有效期限至保修期满。</w:t>
      </w:r>
    </w:p>
    <w:p>
      <w:pPr>
        <w:spacing w:line="360" w:lineRule="auto"/>
        <w:ind w:firstLine="420"/>
        <w:rPr>
          <w:rFonts w:ascii="Times New Roman" w:hAnsi="Times New Roman" w:eastAsia="仿宋_GB2312"/>
          <w:color w:val="000000"/>
          <w:sz w:val="30"/>
          <w:szCs w:val="30"/>
          <w:highlight w:val="none"/>
        </w:rPr>
      </w:pP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发包人(公章)：</w:t>
      </w:r>
      <w:r>
        <w:rPr>
          <w:rFonts w:ascii="Times New Roman" w:hAnsi="Times New Roman" w:eastAsia="仿宋_GB2312"/>
          <w:color w:val="000000"/>
          <w:sz w:val="30"/>
          <w:szCs w:val="30"/>
          <w:highlight w:val="none"/>
          <w:u w:val="single"/>
        </w:rPr>
        <w:t xml:space="preserve">        </w:t>
      </w:r>
      <w:r>
        <w:rPr>
          <w:rFonts w:ascii="Times New Roman" w:hAnsi="Times New Roman" w:eastAsia="仿宋_GB2312"/>
          <w:color w:val="000000"/>
          <w:sz w:val="30"/>
          <w:szCs w:val="30"/>
          <w:highlight w:val="none"/>
        </w:rPr>
        <w:t xml:space="preserve"> 承包人(公章)：</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地  址：</w:t>
      </w:r>
      <w:r>
        <w:rPr>
          <w:rFonts w:ascii="Times New Roman" w:hAnsi="Times New Roman" w:eastAsia="仿宋_GB2312"/>
          <w:color w:val="000000"/>
          <w:sz w:val="30"/>
          <w:szCs w:val="30"/>
          <w:highlight w:val="none"/>
          <w:u w:val="single"/>
        </w:rPr>
        <w:t xml:space="preserve"> 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地  址：</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法定代表人(签字)：</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法定代表人(签字)：</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委托代理人(签字)：</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委托代理人(签字)：</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电  话：</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电  话：</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传  真：</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传  真：</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开户银行：</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开户银行：</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账  号：</w:t>
      </w:r>
      <w:r>
        <w:rPr>
          <w:rFonts w:ascii="Times New Roman" w:hAnsi="Times New Roman" w:eastAsia="仿宋_GB2312"/>
          <w:color w:val="000000"/>
          <w:sz w:val="30"/>
          <w:szCs w:val="30"/>
          <w:highlight w:val="none"/>
          <w:u w:val="single"/>
        </w:rPr>
        <w:t xml:space="preserve"> 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账</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rPr>
        <w:t xml:space="preserve"> 号：</w:t>
      </w:r>
      <w:r>
        <w:rPr>
          <w:rFonts w:ascii="Times New Roman" w:hAnsi="Times New Roman" w:eastAsia="仿宋_GB2312"/>
          <w:color w:val="000000"/>
          <w:sz w:val="30"/>
          <w:szCs w:val="30"/>
          <w:highlight w:val="none"/>
          <w:u w:val="single"/>
        </w:rPr>
        <w:t></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邮政编码：</w:t>
      </w:r>
      <w:r>
        <w:rPr>
          <w:rFonts w:ascii="Times New Roman" w:hAnsi="Times New Roman" w:eastAsia="仿宋_GB2312"/>
          <w:color w:val="000000"/>
          <w:sz w:val="30"/>
          <w:szCs w:val="30"/>
          <w:highlight w:val="none"/>
          <w:u w:val="single"/>
        </w:rPr>
        <w:t xml:space="preserve">     </w:t>
      </w:r>
      <w:r>
        <w:rPr>
          <w:rFonts w:ascii="Times New Roman" w:hAnsi="Times New Roman" w:eastAsia="仿宋_GB2312"/>
          <w:color w:val="000000"/>
          <w:sz w:val="30"/>
          <w:szCs w:val="30"/>
          <w:highlight w:val="none"/>
        </w:rPr>
        <w:t xml:space="preserve"> 邮政编码：</w:t>
      </w:r>
      <w:r>
        <w:rPr>
          <w:rFonts w:ascii="Times New Roman" w:hAnsi="Times New Roman" w:eastAsia="仿宋_GB2312"/>
          <w:color w:val="000000"/>
          <w:sz w:val="30"/>
          <w:szCs w:val="30"/>
          <w:highlight w:val="none"/>
          <w:u w:val="single"/>
        </w:rPr>
        <w:t xml:space="preserve">   </w:t>
      </w:r>
    </w:p>
    <w:p>
      <w:pPr>
        <w:spacing w:line="440" w:lineRule="exact"/>
        <w:rPr>
          <w:rFonts w:ascii="Times New Roman" w:hAnsi="Times New Roman" w:eastAsia="黑体"/>
          <w:color w:val="000000"/>
          <w:sz w:val="30"/>
          <w:szCs w:val="30"/>
          <w:highlight w:val="none"/>
        </w:rPr>
      </w:pPr>
      <w:r>
        <w:rPr>
          <w:rFonts w:ascii="Times New Roman" w:hAnsi="Times New Roman" w:eastAsia="仿宋_GB2312"/>
          <w:b/>
          <w:color w:val="000000"/>
          <w:sz w:val="30"/>
          <w:szCs w:val="30"/>
          <w:highlight w:val="none"/>
        </w:rPr>
        <w:br w:type="page"/>
      </w:r>
      <w:r>
        <w:rPr>
          <w:rFonts w:ascii="Times New Roman" w:hAnsi="Times New Roman" w:eastAsia="仿宋_GB2312"/>
          <w:color w:val="000000"/>
          <w:sz w:val="30"/>
          <w:szCs w:val="30"/>
          <w:highlight w:val="none"/>
        </w:rPr>
        <w:t>附件4：</w:t>
      </w:r>
    </w:p>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主要建设工程文件目录</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文件名称</w:t>
            </w:r>
          </w:p>
        </w:tc>
        <w:tc>
          <w:tcPr>
            <w:tcW w:w="1276"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套数</w:t>
            </w:r>
          </w:p>
        </w:tc>
        <w:tc>
          <w:tcPr>
            <w:tcW w:w="145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费用</w:t>
            </w:r>
            <w:r>
              <w:rPr>
                <w:rFonts w:hint="eastAsia" w:eastAsia="仿宋_GB2312"/>
                <w:color w:val="000000"/>
                <w:kern w:val="2"/>
                <w:sz w:val="28"/>
                <w:szCs w:val="30"/>
                <w:highlight w:val="none"/>
                <w:lang w:val="en-US" w:eastAsia="zh-CN"/>
              </w:rPr>
              <w:t>（元）</w:t>
            </w:r>
          </w:p>
        </w:tc>
        <w:tc>
          <w:tcPr>
            <w:tcW w:w="1243"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质量</w:t>
            </w:r>
          </w:p>
        </w:tc>
        <w:tc>
          <w:tcPr>
            <w:tcW w:w="1450" w:type="dxa"/>
            <w:tcBorders>
              <w:top w:val="single" w:color="auto" w:sz="12" w:space="0"/>
              <w:bottom w:val="double" w:color="auto" w:sz="6" w:space="0"/>
            </w:tcBorders>
            <w:noWrap w:val="0"/>
            <w:vAlign w:val="top"/>
          </w:tcPr>
          <w:p>
            <w:pPr>
              <w:spacing w:line="440" w:lineRule="exact"/>
              <w:jc w:val="center"/>
              <w:rPr>
                <w:rFonts w:ascii="Times New Roman" w:hAnsi="Times New Roman" w:eastAsia="仿宋_GB2312"/>
                <w:color w:val="000000"/>
                <w:sz w:val="28"/>
                <w:szCs w:val="30"/>
                <w:highlight w:val="none"/>
              </w:rPr>
            </w:pPr>
            <w:r>
              <w:rPr>
                <w:rFonts w:ascii="Times New Roman" w:hAnsi="Times New Roman" w:eastAsia="仿宋_GB2312"/>
                <w:color w:val="000000"/>
                <w:sz w:val="28"/>
                <w:szCs w:val="30"/>
                <w:highlight w:val="none"/>
              </w:rPr>
              <w:t>移交时间</w:t>
            </w:r>
          </w:p>
        </w:tc>
        <w:tc>
          <w:tcPr>
            <w:tcW w:w="1667" w:type="dxa"/>
            <w:tcBorders>
              <w:top w:val="single" w:color="auto" w:sz="12" w:space="0"/>
              <w:bottom w:val="double" w:color="auto" w:sz="6" w:space="0"/>
            </w:tcBorders>
            <w:noWrap w:val="0"/>
            <w:vAlign w:val="top"/>
          </w:tcPr>
          <w:p>
            <w:pPr>
              <w:spacing w:line="440" w:lineRule="exact"/>
              <w:jc w:val="center"/>
              <w:rPr>
                <w:rFonts w:ascii="Times New Roman" w:hAnsi="Times New Roman" w:eastAsia="仿宋_GB2312"/>
                <w:color w:val="000000"/>
                <w:sz w:val="28"/>
                <w:szCs w:val="30"/>
                <w:highlight w:val="none"/>
              </w:rPr>
            </w:pPr>
            <w:r>
              <w:rPr>
                <w:rFonts w:ascii="Times New Roman" w:hAnsi="Times New Roman" w:eastAsia="仿宋_GB2312"/>
                <w:color w:val="000000"/>
                <w:sz w:val="28"/>
                <w:szCs w:val="30"/>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43"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667"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43"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667"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66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66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66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66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66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66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76"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243"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667"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highlight w:val="none"/>
              </w:rPr>
            </w:pPr>
          </w:p>
        </w:tc>
        <w:tc>
          <w:tcPr>
            <w:tcW w:w="1276"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243" w:type="dxa"/>
            <w:noWrap w:val="0"/>
            <w:vAlign w:val="top"/>
          </w:tcPr>
          <w:p>
            <w:pPr>
              <w:rPr>
                <w:rFonts w:eastAsia="仿宋_GB2312"/>
                <w:color w:val="000000"/>
                <w:sz w:val="30"/>
                <w:szCs w:val="30"/>
                <w:highlight w:val="none"/>
              </w:rPr>
            </w:pPr>
          </w:p>
        </w:tc>
        <w:tc>
          <w:tcPr>
            <w:tcW w:w="1450" w:type="dxa"/>
            <w:noWrap w:val="0"/>
            <w:vAlign w:val="top"/>
          </w:tcPr>
          <w:p>
            <w:pPr>
              <w:rPr>
                <w:rFonts w:eastAsia="仿宋_GB2312"/>
                <w:color w:val="000000"/>
                <w:sz w:val="30"/>
                <w:szCs w:val="30"/>
                <w:highlight w:val="none"/>
              </w:rPr>
            </w:pPr>
          </w:p>
        </w:tc>
        <w:tc>
          <w:tcPr>
            <w:tcW w:w="1667" w:type="dxa"/>
            <w:noWrap w:val="0"/>
            <w:vAlign w:val="top"/>
          </w:tcPr>
          <w:p>
            <w:pPr>
              <w:rPr>
                <w:rFonts w:eastAsia="仿宋_GB2312"/>
                <w:color w:val="000000"/>
                <w:sz w:val="30"/>
                <w:szCs w:val="30"/>
                <w:highlight w:val="none"/>
              </w:rPr>
            </w:pPr>
          </w:p>
        </w:tc>
      </w:tr>
    </w:tbl>
    <w:p>
      <w:pPr>
        <w:spacing w:line="440" w:lineRule="exact"/>
        <w:rPr>
          <w:rFonts w:hint="eastAsia" w:ascii="Times New Roman" w:hAnsi="Times New Roman" w:eastAsia="仿宋_GB2312"/>
          <w:color w:val="000000"/>
          <w:sz w:val="30"/>
          <w:szCs w:val="30"/>
          <w:highlight w:val="none"/>
        </w:rPr>
      </w:pPr>
    </w:p>
    <w:p>
      <w:pPr>
        <w:spacing w:line="440" w:lineRule="exact"/>
        <w:rPr>
          <w:rFonts w:ascii="Times New Roman" w:hAnsi="Times New Roman" w:eastAsia="黑体"/>
          <w:color w:val="000000"/>
          <w:sz w:val="30"/>
          <w:szCs w:val="30"/>
          <w:highlight w:val="none"/>
        </w:rPr>
      </w:pPr>
      <w:r>
        <w:rPr>
          <w:rFonts w:ascii="Times New Roman" w:hAnsi="Times New Roman" w:eastAsia="仿宋_GB2312"/>
          <w:color w:val="000000"/>
          <w:sz w:val="30"/>
          <w:szCs w:val="30"/>
          <w:highlight w:val="none"/>
        </w:rPr>
        <w:br w:type="page"/>
      </w:r>
      <w:r>
        <w:rPr>
          <w:rFonts w:ascii="Times New Roman" w:hAnsi="Times New Roman" w:eastAsia="仿宋_GB2312"/>
          <w:color w:val="000000"/>
          <w:sz w:val="30"/>
          <w:szCs w:val="30"/>
          <w:highlight w:val="none"/>
        </w:rPr>
        <w:t>附</w:t>
      </w:r>
      <w:bookmarkStart w:id="1172" w:name="_Toc296503227"/>
      <w:bookmarkStart w:id="1173" w:name="_Toc296891267"/>
      <w:bookmarkStart w:id="1174" w:name="_Toc296944566"/>
      <w:bookmarkStart w:id="1175" w:name="_Toc296346728"/>
      <w:bookmarkStart w:id="1176" w:name="_Toc267261698"/>
      <w:bookmarkStart w:id="1177" w:name="_Toc296891055"/>
      <w:bookmarkStart w:id="1178" w:name="_Toc296347226"/>
      <w:r>
        <w:rPr>
          <w:rFonts w:ascii="Times New Roman" w:hAnsi="Times New Roman" w:eastAsia="仿宋_GB2312"/>
          <w:color w:val="000000"/>
          <w:sz w:val="30"/>
          <w:szCs w:val="30"/>
          <w:highlight w:val="none"/>
        </w:rPr>
        <w:t>件5：</w:t>
      </w:r>
    </w:p>
    <w:bookmarkEnd w:id="1172"/>
    <w:bookmarkEnd w:id="1173"/>
    <w:bookmarkEnd w:id="1174"/>
    <w:bookmarkEnd w:id="1175"/>
    <w:bookmarkEnd w:id="1176"/>
    <w:bookmarkEnd w:id="1177"/>
    <w:bookmarkEnd w:id="1178"/>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承包人用于本工程施工的机械设备表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序号</w:t>
            </w:r>
          </w:p>
        </w:tc>
        <w:tc>
          <w:tcPr>
            <w:tcW w:w="1418"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机械或设备名称</w:t>
            </w:r>
          </w:p>
        </w:tc>
        <w:tc>
          <w:tcPr>
            <w:tcW w:w="85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规格型号</w:t>
            </w:r>
          </w:p>
        </w:tc>
        <w:tc>
          <w:tcPr>
            <w:tcW w:w="1058"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数量</w:t>
            </w:r>
          </w:p>
        </w:tc>
        <w:tc>
          <w:tcPr>
            <w:tcW w:w="88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产地</w:t>
            </w:r>
          </w:p>
        </w:tc>
        <w:tc>
          <w:tcPr>
            <w:tcW w:w="102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制造年份</w:t>
            </w:r>
          </w:p>
        </w:tc>
        <w:tc>
          <w:tcPr>
            <w:tcW w:w="148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额定功率(kW)</w:t>
            </w:r>
          </w:p>
        </w:tc>
        <w:tc>
          <w:tcPr>
            <w:tcW w:w="1020"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生产能力</w:t>
            </w:r>
          </w:p>
        </w:tc>
        <w:tc>
          <w:tcPr>
            <w:tcW w:w="921"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58"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8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21" w:type="dxa"/>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58"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8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21"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5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2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5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2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5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2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5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2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5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2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5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2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5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58"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8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48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020"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921"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highlight w:val="none"/>
              </w:rPr>
            </w:pPr>
          </w:p>
        </w:tc>
        <w:tc>
          <w:tcPr>
            <w:tcW w:w="1418" w:type="dxa"/>
            <w:noWrap w:val="0"/>
            <w:vAlign w:val="top"/>
          </w:tcPr>
          <w:p>
            <w:pPr>
              <w:rPr>
                <w:rFonts w:eastAsia="仿宋_GB2312"/>
                <w:color w:val="000000"/>
                <w:sz w:val="30"/>
                <w:szCs w:val="30"/>
                <w:highlight w:val="none"/>
              </w:rPr>
            </w:pPr>
          </w:p>
        </w:tc>
        <w:tc>
          <w:tcPr>
            <w:tcW w:w="850" w:type="dxa"/>
            <w:noWrap w:val="0"/>
            <w:vAlign w:val="top"/>
          </w:tcPr>
          <w:p>
            <w:pPr>
              <w:rPr>
                <w:rFonts w:eastAsia="仿宋_GB2312"/>
                <w:color w:val="000000"/>
                <w:sz w:val="30"/>
                <w:szCs w:val="30"/>
                <w:highlight w:val="none"/>
              </w:rPr>
            </w:pPr>
          </w:p>
        </w:tc>
        <w:tc>
          <w:tcPr>
            <w:tcW w:w="1058" w:type="dxa"/>
            <w:noWrap w:val="0"/>
            <w:vAlign w:val="top"/>
          </w:tcPr>
          <w:p>
            <w:pPr>
              <w:rPr>
                <w:rFonts w:eastAsia="仿宋_GB2312"/>
                <w:color w:val="000000"/>
                <w:sz w:val="30"/>
                <w:szCs w:val="30"/>
                <w:highlight w:val="none"/>
              </w:rPr>
            </w:pPr>
          </w:p>
        </w:tc>
        <w:tc>
          <w:tcPr>
            <w:tcW w:w="8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1480" w:type="dxa"/>
            <w:noWrap w:val="0"/>
            <w:vAlign w:val="top"/>
          </w:tcPr>
          <w:p>
            <w:pPr>
              <w:rPr>
                <w:rFonts w:eastAsia="仿宋_GB2312"/>
                <w:color w:val="000000"/>
                <w:sz w:val="30"/>
                <w:szCs w:val="30"/>
                <w:highlight w:val="none"/>
              </w:rPr>
            </w:pPr>
          </w:p>
        </w:tc>
        <w:tc>
          <w:tcPr>
            <w:tcW w:w="1020" w:type="dxa"/>
            <w:noWrap w:val="0"/>
            <w:vAlign w:val="top"/>
          </w:tcPr>
          <w:p>
            <w:pPr>
              <w:rPr>
                <w:rFonts w:eastAsia="仿宋_GB2312"/>
                <w:color w:val="000000"/>
                <w:sz w:val="30"/>
                <w:szCs w:val="30"/>
                <w:highlight w:val="none"/>
              </w:rPr>
            </w:pPr>
          </w:p>
        </w:tc>
        <w:tc>
          <w:tcPr>
            <w:tcW w:w="921" w:type="dxa"/>
            <w:noWrap w:val="0"/>
            <w:vAlign w:val="top"/>
          </w:tcPr>
          <w:p>
            <w:pPr>
              <w:rPr>
                <w:rFonts w:eastAsia="仿宋_GB2312"/>
                <w:color w:val="000000"/>
                <w:sz w:val="30"/>
                <w:szCs w:val="30"/>
                <w:highlight w:val="none"/>
              </w:rPr>
            </w:pPr>
          </w:p>
        </w:tc>
      </w:tr>
    </w:tbl>
    <w:p>
      <w:pPr>
        <w:spacing w:line="440" w:lineRule="exact"/>
        <w:rPr>
          <w:rFonts w:ascii="Times New Roman" w:hAnsi="Times New Roman" w:eastAsia="黑体"/>
          <w:color w:val="000000"/>
          <w:sz w:val="30"/>
          <w:szCs w:val="30"/>
          <w:highlight w:val="none"/>
        </w:rPr>
      </w:pPr>
      <w:r>
        <w:rPr>
          <w:rFonts w:ascii="Times New Roman" w:hAnsi="Times New Roman" w:eastAsia="仿宋_GB2312"/>
          <w:color w:val="000000"/>
          <w:sz w:val="30"/>
          <w:szCs w:val="30"/>
          <w:highlight w:val="none"/>
        </w:rPr>
        <w:t>附</w:t>
      </w:r>
      <w:bookmarkStart w:id="1179" w:name="_Toc296891056"/>
      <w:bookmarkStart w:id="1180" w:name="_Toc296503228"/>
      <w:bookmarkStart w:id="1181" w:name="_Toc296347227"/>
      <w:bookmarkStart w:id="1182" w:name="_Toc296346729"/>
      <w:bookmarkStart w:id="1183" w:name="_Toc296944567"/>
      <w:bookmarkStart w:id="1184" w:name="_Toc296891268"/>
      <w:bookmarkStart w:id="1185" w:name="_Toc267261699"/>
      <w:r>
        <w:rPr>
          <w:rFonts w:ascii="Times New Roman" w:hAnsi="Times New Roman" w:eastAsia="仿宋_GB2312"/>
          <w:color w:val="000000"/>
          <w:sz w:val="30"/>
          <w:szCs w:val="30"/>
          <w:highlight w:val="none"/>
        </w:rPr>
        <w:t>件6：</w:t>
      </w:r>
    </w:p>
    <w:bookmarkEnd w:id="1179"/>
    <w:bookmarkEnd w:id="1180"/>
    <w:bookmarkEnd w:id="1181"/>
    <w:bookmarkEnd w:id="1182"/>
    <w:bookmarkEnd w:id="1183"/>
    <w:bookmarkEnd w:id="1184"/>
    <w:bookmarkEnd w:id="1185"/>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承包人主要施工管理人员表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名    称</w:t>
            </w:r>
          </w:p>
        </w:tc>
        <w:tc>
          <w:tcPr>
            <w:tcW w:w="1418"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姓名</w:t>
            </w:r>
          </w:p>
        </w:tc>
        <w:tc>
          <w:tcPr>
            <w:tcW w:w="1134"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r>
              <w:rPr>
                <w:rFonts w:eastAsia="仿宋_GB2312"/>
                <w:color w:val="000000"/>
                <w:kern w:val="2"/>
                <w:sz w:val="30"/>
                <w:szCs w:val="30"/>
                <w:highlight w:val="none"/>
                <w:lang w:val="en-US" w:eastAsia="zh-CN"/>
              </w:rPr>
              <w:t>职务</w:t>
            </w:r>
          </w:p>
        </w:tc>
        <w:tc>
          <w:tcPr>
            <w:tcW w:w="1134"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r>
              <w:rPr>
                <w:rFonts w:eastAsia="仿宋_GB2312"/>
                <w:color w:val="000000"/>
                <w:kern w:val="2"/>
                <w:sz w:val="30"/>
                <w:szCs w:val="30"/>
                <w:highlight w:val="none"/>
                <w:lang w:val="en-US" w:eastAsia="zh-CN"/>
              </w:rPr>
              <w:t>职称</w:t>
            </w:r>
          </w:p>
        </w:tc>
        <w:tc>
          <w:tcPr>
            <w:tcW w:w="4252"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r>
              <w:rPr>
                <w:rFonts w:eastAsia="仿宋_GB2312"/>
                <w:color w:val="000000"/>
                <w:kern w:val="2"/>
                <w:sz w:val="30"/>
                <w:szCs w:val="30"/>
                <w:highlight w:val="none"/>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项目主管</w:t>
            </w:r>
          </w:p>
        </w:tc>
        <w:tc>
          <w:tcPr>
            <w:tcW w:w="1418" w:type="dxa"/>
            <w:tcBorders>
              <w:top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其他人员</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项目经理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项目副经理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技术负责人</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造价管理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质量管理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材料管理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计划管理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安全管理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其他人员</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tcBorders>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tcBorders>
              <w:bottom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tcBorders>
              <w:bottom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tcBorders>
              <w:bottom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tcBorders>
              <w:bottom w:val="single" w:color="auto" w:sz="12"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tcBorders>
              <w:bottom w:val="single" w:color="auto" w:sz="12"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tcBorders>
              <w:bottom w:val="single" w:color="auto" w:sz="12"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tcBorders>
              <w:bottom w:val="single" w:color="auto" w:sz="12"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bl>
    <w:p>
      <w:pPr>
        <w:spacing w:line="440" w:lineRule="exact"/>
        <w:rPr>
          <w:rFonts w:ascii="Times New Roman" w:hAnsi="Times New Roman" w:eastAsia="黑体"/>
          <w:color w:val="000000"/>
          <w:sz w:val="30"/>
          <w:szCs w:val="30"/>
          <w:highlight w:val="none"/>
        </w:rPr>
      </w:pPr>
      <w:r>
        <w:rPr>
          <w:rFonts w:ascii="Times New Roman" w:hAnsi="Times New Roman" w:eastAsia="仿宋_GB2312"/>
          <w:color w:val="000000"/>
          <w:sz w:val="30"/>
          <w:szCs w:val="30"/>
          <w:highlight w:val="none"/>
        </w:rPr>
        <w:br w:type="page"/>
      </w:r>
      <w:r>
        <w:rPr>
          <w:rFonts w:ascii="Times New Roman" w:hAnsi="Times New Roman" w:eastAsia="仿宋_GB2312"/>
          <w:color w:val="000000"/>
          <w:sz w:val="30"/>
          <w:szCs w:val="30"/>
          <w:highlight w:val="none"/>
        </w:rPr>
        <w:t>附</w:t>
      </w:r>
      <w:bookmarkStart w:id="1186" w:name="_Toc296347228"/>
      <w:bookmarkStart w:id="1187" w:name="_Toc296346730"/>
      <w:bookmarkStart w:id="1188" w:name="_Toc296944568"/>
      <w:bookmarkStart w:id="1189" w:name="_Toc296891057"/>
      <w:bookmarkStart w:id="1190" w:name="_Toc296503229"/>
      <w:bookmarkStart w:id="1191" w:name="_Toc296891269"/>
      <w:r>
        <w:rPr>
          <w:rFonts w:ascii="Times New Roman" w:hAnsi="Times New Roman" w:eastAsia="仿宋_GB2312"/>
          <w:color w:val="000000"/>
          <w:sz w:val="30"/>
          <w:szCs w:val="30"/>
          <w:highlight w:val="none"/>
        </w:rPr>
        <w:t>件7：</w:t>
      </w:r>
    </w:p>
    <w:bookmarkEnd w:id="1186"/>
    <w:bookmarkEnd w:id="1187"/>
    <w:bookmarkEnd w:id="1188"/>
    <w:bookmarkEnd w:id="1189"/>
    <w:bookmarkEnd w:id="1190"/>
    <w:bookmarkEnd w:id="1191"/>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分包人主要施工管理人员表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名    称</w:t>
            </w:r>
          </w:p>
        </w:tc>
        <w:tc>
          <w:tcPr>
            <w:tcW w:w="1418"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姓名</w:t>
            </w:r>
          </w:p>
        </w:tc>
        <w:tc>
          <w:tcPr>
            <w:tcW w:w="1134"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r>
              <w:rPr>
                <w:rFonts w:eastAsia="仿宋_GB2312"/>
                <w:color w:val="000000"/>
                <w:kern w:val="2"/>
                <w:sz w:val="30"/>
                <w:szCs w:val="30"/>
                <w:highlight w:val="none"/>
                <w:lang w:val="en-US" w:eastAsia="zh-CN"/>
              </w:rPr>
              <w:t>职务</w:t>
            </w:r>
          </w:p>
        </w:tc>
        <w:tc>
          <w:tcPr>
            <w:tcW w:w="1134"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r>
              <w:rPr>
                <w:rFonts w:eastAsia="仿宋_GB2312"/>
                <w:color w:val="000000"/>
                <w:kern w:val="2"/>
                <w:sz w:val="30"/>
                <w:szCs w:val="30"/>
                <w:highlight w:val="none"/>
                <w:lang w:val="en-US" w:eastAsia="zh-CN"/>
              </w:rPr>
              <w:t>职称</w:t>
            </w:r>
          </w:p>
        </w:tc>
        <w:tc>
          <w:tcPr>
            <w:tcW w:w="4252" w:type="dxa"/>
            <w:tcBorders>
              <w:top w:val="single" w:color="auto" w:sz="12" w:space="0"/>
              <w:bottom w:val="double" w:color="auto" w:sz="6"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r>
              <w:rPr>
                <w:rFonts w:eastAsia="仿宋_GB2312"/>
                <w:color w:val="000000"/>
                <w:kern w:val="2"/>
                <w:sz w:val="30"/>
                <w:szCs w:val="30"/>
                <w:highlight w:val="none"/>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项目主管</w:t>
            </w:r>
          </w:p>
        </w:tc>
        <w:tc>
          <w:tcPr>
            <w:tcW w:w="1418" w:type="dxa"/>
            <w:tcBorders>
              <w:top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tcBorders>
              <w:top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其他人员</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项目经理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项目副经理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技术负责人</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造价管理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质量管理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材料管理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计划管理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安全管理</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其他人员</w:t>
            </w: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tcBorders>
              <w:bottom w:val="nil"/>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tcBorders>
              <w:bottom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tcBorders>
              <w:bottom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tcBorders>
              <w:bottom w:val="nil"/>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tcBorders>
              <w:bottom w:val="single" w:color="auto" w:sz="12" w:space="0"/>
            </w:tcBorders>
            <w:noWrap w:val="0"/>
            <w:vAlign w:val="center"/>
          </w:tcPr>
          <w:p>
            <w:pPr>
              <w:pStyle w:val="10"/>
              <w:keepNext/>
              <w:spacing w:after="0" w:line="440" w:lineRule="exact"/>
              <w:ind w:left="63" w:right="63"/>
              <w:rPr>
                <w:rFonts w:eastAsia="仿宋_GB2312"/>
                <w:color w:val="000000"/>
                <w:kern w:val="2"/>
                <w:sz w:val="28"/>
                <w:szCs w:val="30"/>
                <w:highlight w:val="none"/>
                <w:lang w:val="en-US" w:eastAsia="zh-CN"/>
              </w:rPr>
            </w:pPr>
          </w:p>
        </w:tc>
        <w:tc>
          <w:tcPr>
            <w:tcW w:w="1134" w:type="dxa"/>
            <w:tcBorders>
              <w:bottom w:val="single" w:color="auto" w:sz="12"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1134" w:type="dxa"/>
            <w:tcBorders>
              <w:bottom w:val="single" w:color="auto" w:sz="12"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c>
          <w:tcPr>
            <w:tcW w:w="4252" w:type="dxa"/>
            <w:tcBorders>
              <w:bottom w:val="single" w:color="auto" w:sz="12" w:space="0"/>
            </w:tcBorders>
            <w:noWrap w:val="0"/>
            <w:vAlign w:val="center"/>
          </w:tcPr>
          <w:p>
            <w:pPr>
              <w:pStyle w:val="10"/>
              <w:keepNext/>
              <w:spacing w:after="0" w:line="440" w:lineRule="exact"/>
              <w:ind w:left="63" w:right="63"/>
              <w:rPr>
                <w:rFonts w:eastAsia="仿宋_GB2312"/>
                <w:color w:val="000000"/>
                <w:kern w:val="2"/>
                <w:sz w:val="30"/>
                <w:szCs w:val="30"/>
                <w:highlight w:val="none"/>
                <w:lang w:val="en-US" w:eastAsia="zh-CN"/>
              </w:rPr>
            </w:pPr>
          </w:p>
        </w:tc>
      </w:tr>
    </w:tbl>
    <w:p>
      <w:pPr>
        <w:spacing w:line="440" w:lineRule="exact"/>
        <w:rPr>
          <w:rFonts w:ascii="Times New Roman" w:hAnsi="Times New Roman" w:eastAsia="黑体"/>
          <w:color w:val="000000"/>
          <w:sz w:val="30"/>
          <w:szCs w:val="30"/>
          <w:highlight w:val="none"/>
        </w:rPr>
      </w:pPr>
      <w:r>
        <w:rPr>
          <w:rFonts w:ascii="Times New Roman" w:hAnsi="Times New Roman" w:eastAsia="仿宋_GB2312"/>
          <w:color w:val="000000"/>
          <w:sz w:val="30"/>
          <w:szCs w:val="30"/>
          <w:highlight w:val="none"/>
        </w:rPr>
        <w:br w:type="page"/>
      </w:r>
      <w:bookmarkStart w:id="1192" w:name="_Toc267261701"/>
      <w:r>
        <w:rPr>
          <w:rFonts w:ascii="Times New Roman" w:hAnsi="Times New Roman" w:eastAsia="仿宋_GB2312"/>
          <w:color w:val="000000"/>
          <w:sz w:val="30"/>
          <w:szCs w:val="30"/>
          <w:highlight w:val="none"/>
        </w:rPr>
        <w:t>附</w:t>
      </w:r>
      <w:bookmarkStart w:id="1193" w:name="_Toc296891271"/>
      <w:bookmarkStart w:id="1194" w:name="_Toc296347230"/>
      <w:bookmarkStart w:id="1195" w:name="_Toc296346732"/>
      <w:bookmarkStart w:id="1196" w:name="_Toc296944570"/>
      <w:bookmarkStart w:id="1197" w:name="_Toc296503231"/>
      <w:bookmarkStart w:id="1198" w:name="_Toc296891059"/>
      <w:r>
        <w:rPr>
          <w:rFonts w:ascii="Times New Roman" w:hAnsi="Times New Roman" w:eastAsia="仿宋_GB2312"/>
          <w:color w:val="000000"/>
          <w:sz w:val="30"/>
          <w:szCs w:val="30"/>
          <w:highlight w:val="none"/>
        </w:rPr>
        <w:t>件8：</w:t>
      </w:r>
    </w:p>
    <w:bookmarkEnd w:id="1192"/>
    <w:bookmarkEnd w:id="1193"/>
    <w:bookmarkEnd w:id="1194"/>
    <w:bookmarkEnd w:id="1195"/>
    <w:bookmarkEnd w:id="1196"/>
    <w:bookmarkEnd w:id="1197"/>
    <w:bookmarkEnd w:id="1198"/>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履约担保</w:t>
      </w:r>
    </w:p>
    <w:p>
      <w:pPr>
        <w:spacing w:line="440" w:lineRule="exac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rPr>
        <w:t>（发包人名称）：</w:t>
      </w:r>
    </w:p>
    <w:p>
      <w:pPr>
        <w:spacing w:line="440" w:lineRule="exact"/>
        <w:rPr>
          <w:rFonts w:ascii="Times New Roman" w:hAnsi="Times New Roman" w:eastAsia="仿宋_GB2312"/>
          <w:color w:val="000000"/>
          <w:sz w:val="30"/>
          <w:szCs w:val="30"/>
          <w:highlight w:val="none"/>
        </w:rPr>
      </w:pP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鉴于</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（发包人名称，以下简称“发包人”）与</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（承包人名称）（以下称“承包人”）于</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月</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日就</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1. 担保金额人民币（大写）</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元（¥</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2. 担保有效期自你方与承包人签订的合同生效之日起至你方签发或应签发工程接收证书之日止。</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4. 你方和承包人按合同约定变更合同时，我方承担本担保规定的义务不变。</w:t>
      </w: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5. 因本保函发生的纠纷，可由双方协商解决，协商不成的，任何一方均可提请</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仲裁委员会仲裁。</w:t>
      </w:r>
    </w:p>
    <w:p>
      <w:pPr>
        <w:spacing w:line="360" w:lineRule="auto"/>
        <w:ind w:firstLine="600" w:firstLineChars="200"/>
        <w:rPr>
          <w:rFonts w:hint="eastAsia"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6. 本保函自我方法定代表人（或其授权代理人）签字并加盖公章之日起生效。</w:t>
      </w:r>
    </w:p>
    <w:p>
      <w:pPr>
        <w:spacing w:line="360" w:lineRule="auto"/>
        <w:rPr>
          <w:rFonts w:hint="eastAsia" w:ascii="Times New Roman" w:hAnsi="Times New Roman" w:eastAsia="仿宋_GB2312"/>
          <w:color w:val="000000"/>
          <w:sz w:val="30"/>
          <w:szCs w:val="30"/>
          <w:highlight w:val="none"/>
        </w:rPr>
      </w:pP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担 保 人：</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（盖单位章）</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法定代表人或其委托代理人：</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（签字）</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地    址：</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邮政编码：</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u w:val="single"/>
        </w:rPr>
      </w:pPr>
      <w:r>
        <w:rPr>
          <w:rFonts w:ascii="Times New Roman" w:hAnsi="Times New Roman" w:eastAsia="仿宋_GB2312"/>
          <w:color w:val="000000"/>
          <w:sz w:val="30"/>
          <w:szCs w:val="30"/>
          <w:highlight w:val="none"/>
        </w:rPr>
        <w:t>电    话：</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传    真：</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jc w:val="left"/>
        <w:rPr>
          <w:rFonts w:ascii="Times New Roman" w:hAnsi="Times New Roman" w:eastAsia="仿宋_GB2312"/>
          <w:color w:val="000000"/>
          <w:sz w:val="30"/>
          <w:szCs w:val="30"/>
          <w:highlight w:val="none"/>
          <w:u w:val="single"/>
        </w:rPr>
      </w:pPr>
    </w:p>
    <w:p>
      <w:pPr>
        <w:spacing w:line="360" w:lineRule="auto"/>
        <w:ind w:left="1899" w:hanging="1899" w:hangingChars="633"/>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xml:space="preserve">             </w:t>
      </w:r>
      <w:r>
        <w:rPr>
          <w:rFonts w:hint="eastAsia"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月</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日</w:t>
      </w: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ascii="Times New Roman" w:hAnsi="Times New Roman" w:eastAsia="仿宋_GB2312"/>
          <w:color w:val="000000"/>
          <w:sz w:val="30"/>
          <w:szCs w:val="30"/>
          <w:highlight w:val="none"/>
        </w:rPr>
      </w:pPr>
    </w:p>
    <w:p>
      <w:pPr>
        <w:spacing w:line="360" w:lineRule="auto"/>
        <w:ind w:left="1899" w:hanging="1899" w:hangingChars="633"/>
        <w:rPr>
          <w:rFonts w:hint="eastAsia" w:ascii="Times New Roman" w:hAnsi="Times New Roman" w:eastAsia="仿宋_GB2312"/>
          <w:color w:val="000000"/>
          <w:sz w:val="30"/>
          <w:szCs w:val="30"/>
          <w:highlight w:val="none"/>
        </w:rPr>
      </w:pPr>
    </w:p>
    <w:p>
      <w:pPr>
        <w:spacing w:line="360" w:lineRule="auto"/>
        <w:rPr>
          <w:rFonts w:hint="eastAsia" w:ascii="Times New Roman" w:hAnsi="Times New Roman" w:eastAsia="仿宋_GB2312"/>
          <w:color w:val="000000"/>
          <w:sz w:val="30"/>
          <w:szCs w:val="30"/>
          <w:highlight w:val="none"/>
        </w:rPr>
      </w:pPr>
    </w:p>
    <w:p>
      <w:pPr>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br w:type="page"/>
      </w:r>
    </w:p>
    <w:p>
      <w:pPr>
        <w:spacing w:line="360" w:lineRule="auto"/>
        <w:rPr>
          <w:rFonts w:ascii="Times New Roman" w:hAnsi="Times New Roman" w:eastAsia="黑体"/>
          <w:color w:val="000000"/>
          <w:sz w:val="30"/>
          <w:szCs w:val="30"/>
          <w:highlight w:val="none"/>
        </w:rPr>
      </w:pPr>
      <w:r>
        <w:rPr>
          <w:rFonts w:ascii="Times New Roman" w:hAnsi="Times New Roman" w:eastAsia="仿宋_GB2312"/>
          <w:color w:val="000000"/>
          <w:sz w:val="30"/>
          <w:szCs w:val="30"/>
          <w:highlight w:val="none"/>
        </w:rPr>
        <w:t>附</w:t>
      </w:r>
      <w:bookmarkStart w:id="1199" w:name="_Toc296944571"/>
      <w:bookmarkStart w:id="1200" w:name="_Toc296346733"/>
      <w:bookmarkStart w:id="1201" w:name="_Toc296891060"/>
      <w:bookmarkStart w:id="1202" w:name="_Toc296891272"/>
      <w:bookmarkStart w:id="1203" w:name="_Toc296347231"/>
      <w:bookmarkStart w:id="1204" w:name="_Toc296503232"/>
      <w:bookmarkStart w:id="1205" w:name="_Toc267261702"/>
      <w:r>
        <w:rPr>
          <w:rFonts w:ascii="Times New Roman" w:hAnsi="Times New Roman" w:eastAsia="仿宋_GB2312"/>
          <w:color w:val="000000"/>
          <w:sz w:val="30"/>
          <w:szCs w:val="30"/>
          <w:highlight w:val="none"/>
        </w:rPr>
        <w:t>件9 ：</w:t>
      </w:r>
    </w:p>
    <w:bookmarkEnd w:id="1199"/>
    <w:bookmarkEnd w:id="1200"/>
    <w:bookmarkEnd w:id="1201"/>
    <w:bookmarkEnd w:id="1202"/>
    <w:bookmarkEnd w:id="1203"/>
    <w:bookmarkEnd w:id="1204"/>
    <w:bookmarkEnd w:id="1205"/>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预付款担保</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 xml:space="preserve"> （发包人名称）：</w:t>
      </w:r>
    </w:p>
    <w:p>
      <w:pPr>
        <w:spacing w:line="360" w:lineRule="auto"/>
        <w:rPr>
          <w:rFonts w:ascii="Times New Roman" w:hAnsi="Times New Roman" w:eastAsia="仿宋_GB2312"/>
          <w:color w:val="000000"/>
          <w:sz w:val="30"/>
          <w:szCs w:val="30"/>
          <w:highlight w:val="none"/>
        </w:rPr>
      </w:pPr>
    </w:p>
    <w:p>
      <w:pPr>
        <w:spacing w:line="360" w:lineRule="auto"/>
        <w:ind w:firstLine="600" w:firstLineChars="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根据</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（承包人名称）（以下称</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承包人</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）与</w:t>
      </w:r>
    </w:p>
    <w:p>
      <w:pPr>
        <w:spacing w:line="360" w:lineRule="auto"/>
        <w:outlineLvl w:val="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u w:val="single"/>
        </w:rPr>
        <w:t xml:space="preserve">                        </w:t>
      </w:r>
      <w:bookmarkStart w:id="1206" w:name="_Toc21598"/>
      <w:bookmarkStart w:id="1207" w:name="_Toc1295"/>
      <w:r>
        <w:rPr>
          <w:rFonts w:ascii="Times New Roman" w:hAnsi="Times New Roman" w:eastAsia="仿宋_GB2312"/>
          <w:color w:val="000000"/>
          <w:sz w:val="30"/>
          <w:szCs w:val="30"/>
          <w:highlight w:val="none"/>
        </w:rPr>
        <w:t>（发包人名称）（以下简称</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发包人</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w:t>
      </w:r>
      <w:bookmarkEnd w:id="1206"/>
      <w:bookmarkEnd w:id="1207"/>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于</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月</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日签订的</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（工程名称）《建设工程施工合同》，承包人按约定的金额向</w:t>
      </w:r>
      <w:r>
        <w:rPr>
          <w:rFonts w:hint="eastAsia" w:ascii="Times New Roman" w:hAnsi="Times New Roman" w:eastAsia="仿宋_GB2312"/>
          <w:color w:val="000000"/>
          <w:sz w:val="30"/>
          <w:szCs w:val="30"/>
          <w:highlight w:val="none"/>
        </w:rPr>
        <w:t>你方</w:t>
      </w:r>
      <w:r>
        <w:rPr>
          <w:rFonts w:ascii="Times New Roman" w:hAnsi="Times New Roman" w:eastAsia="仿宋_GB2312"/>
          <w:color w:val="000000"/>
          <w:sz w:val="30"/>
          <w:szCs w:val="30"/>
          <w:highlight w:val="none"/>
        </w:rPr>
        <w:t>提交一份预付款担保，即有权得到</w:t>
      </w:r>
      <w:r>
        <w:rPr>
          <w:rFonts w:hint="eastAsia" w:ascii="Times New Roman" w:hAnsi="Times New Roman" w:eastAsia="仿宋_GB2312"/>
          <w:color w:val="000000"/>
          <w:sz w:val="30"/>
          <w:szCs w:val="30"/>
          <w:highlight w:val="none"/>
        </w:rPr>
        <w:t>你方</w:t>
      </w:r>
      <w:r>
        <w:rPr>
          <w:rFonts w:ascii="Times New Roman" w:hAnsi="Times New Roman" w:eastAsia="仿宋_GB2312"/>
          <w:color w:val="000000"/>
          <w:sz w:val="30"/>
          <w:szCs w:val="30"/>
          <w:highlight w:val="none"/>
        </w:rPr>
        <w:t>支付相等金额的预付款。我方愿意就你方提供给承包人的预付款</w:t>
      </w:r>
      <w:r>
        <w:rPr>
          <w:rFonts w:hint="eastAsia" w:ascii="Times New Roman" w:hAnsi="Times New Roman" w:eastAsia="仿宋_GB2312"/>
          <w:color w:val="000000"/>
          <w:sz w:val="30"/>
          <w:szCs w:val="30"/>
          <w:highlight w:val="none"/>
        </w:rPr>
        <w:t>为承包人</w:t>
      </w:r>
      <w:r>
        <w:rPr>
          <w:rFonts w:ascii="Times New Roman" w:hAnsi="Times New Roman" w:eastAsia="仿宋_GB2312"/>
          <w:color w:val="000000"/>
          <w:sz w:val="30"/>
          <w:szCs w:val="30"/>
          <w:highlight w:val="none"/>
        </w:rPr>
        <w:t>提供连带责任担保。</w:t>
      </w:r>
    </w:p>
    <w:p>
      <w:pPr>
        <w:spacing w:line="360" w:lineRule="auto"/>
        <w:ind w:firstLine="600" w:firstLineChars="20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1. </w:t>
      </w:r>
      <w:r>
        <w:rPr>
          <w:rFonts w:ascii="Times New Roman" w:hAnsi="Times New Roman" w:eastAsia="仿宋_GB2312"/>
          <w:color w:val="000000"/>
          <w:sz w:val="30"/>
          <w:szCs w:val="30"/>
          <w:highlight w:val="none"/>
        </w:rPr>
        <w:t>担保金额人民币（大写）</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rPr>
        <w:t>元</w:t>
      </w:r>
      <w:r>
        <w:rPr>
          <w:rFonts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p>
    <w:p>
      <w:pPr>
        <w:spacing w:line="360" w:lineRule="auto"/>
        <w:ind w:firstLine="600" w:firstLineChars="20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2. </w:t>
      </w:r>
      <w:r>
        <w:rPr>
          <w:rFonts w:ascii="Times New Roman" w:hAnsi="Times New Roman" w:eastAsia="仿宋_GB2312"/>
          <w:color w:val="000000"/>
          <w:sz w:val="30"/>
          <w:szCs w:val="30"/>
          <w:highlight w:val="none"/>
        </w:rPr>
        <w:t>担保有效期自预付款支付给承包人起生效，至</w:t>
      </w:r>
      <w:r>
        <w:rPr>
          <w:rFonts w:hint="eastAsia" w:ascii="Times New Roman" w:hAnsi="Times New Roman" w:eastAsia="仿宋_GB2312"/>
          <w:color w:val="000000"/>
          <w:sz w:val="30"/>
          <w:szCs w:val="30"/>
          <w:highlight w:val="none"/>
        </w:rPr>
        <w:t>你方</w:t>
      </w:r>
      <w:r>
        <w:rPr>
          <w:rFonts w:ascii="Times New Roman" w:hAnsi="Times New Roman" w:eastAsia="仿宋_GB2312"/>
          <w:color w:val="000000"/>
          <w:sz w:val="30"/>
          <w:szCs w:val="30"/>
          <w:highlight w:val="none"/>
        </w:rPr>
        <w:t>签发的</w:t>
      </w:r>
      <w:r>
        <w:rPr>
          <w:rFonts w:hint="eastAsia" w:ascii="Times New Roman" w:hAnsi="Times New Roman" w:eastAsia="仿宋_GB2312"/>
          <w:color w:val="000000"/>
          <w:sz w:val="30"/>
          <w:szCs w:val="30"/>
          <w:highlight w:val="none"/>
        </w:rPr>
        <w:t>进</w:t>
      </w:r>
      <w:r>
        <w:rPr>
          <w:rFonts w:ascii="Times New Roman" w:hAnsi="Times New Roman" w:eastAsia="仿宋_GB2312"/>
          <w:color w:val="000000"/>
          <w:sz w:val="30"/>
          <w:szCs w:val="30"/>
          <w:highlight w:val="none"/>
        </w:rPr>
        <w:t>度款支付证书说明已完全扣清止。</w:t>
      </w:r>
    </w:p>
    <w:p>
      <w:pPr>
        <w:spacing w:line="360" w:lineRule="auto"/>
        <w:ind w:firstLine="600" w:firstLineChars="200"/>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3. </w:t>
      </w:r>
      <w:r>
        <w:rPr>
          <w:rFonts w:ascii="Times New Roman" w:hAnsi="Times New Roman" w:eastAsia="仿宋_GB2312"/>
          <w:color w:val="000000"/>
          <w:sz w:val="30"/>
          <w:szCs w:val="30"/>
          <w:highlight w:val="none"/>
        </w:rPr>
        <w:t>在本保函有效期内，因承包人违反合同约定的义务而要求</w:t>
      </w:r>
      <w:r>
        <w:rPr>
          <w:rFonts w:hint="eastAsia" w:ascii="Times New Roman" w:hAnsi="Times New Roman" w:eastAsia="仿宋_GB2312"/>
          <w:color w:val="000000"/>
          <w:sz w:val="30"/>
          <w:szCs w:val="30"/>
          <w:highlight w:val="none"/>
        </w:rPr>
        <w:t>收</w:t>
      </w:r>
      <w:r>
        <w:rPr>
          <w:rFonts w:ascii="Times New Roman" w:hAnsi="Times New Roman" w:eastAsia="仿宋_GB2312"/>
          <w:color w:val="000000"/>
          <w:sz w:val="30"/>
          <w:szCs w:val="30"/>
          <w:highlight w:val="none"/>
        </w:rPr>
        <w:t>回预付款时，我方在收到你方的书面通知后，在７天内无条件支付。但本保函的担保金额，在任何时候不应超过预付款金额减去</w:t>
      </w:r>
      <w:r>
        <w:rPr>
          <w:rFonts w:hint="eastAsia" w:ascii="Times New Roman" w:hAnsi="Times New Roman" w:eastAsia="仿宋_GB2312"/>
          <w:color w:val="000000"/>
          <w:sz w:val="30"/>
          <w:szCs w:val="30"/>
          <w:highlight w:val="none"/>
        </w:rPr>
        <w:t>你方</w:t>
      </w:r>
      <w:r>
        <w:rPr>
          <w:rFonts w:ascii="Times New Roman" w:hAnsi="Times New Roman" w:eastAsia="仿宋_GB2312"/>
          <w:color w:val="000000"/>
          <w:sz w:val="30"/>
          <w:szCs w:val="30"/>
          <w:highlight w:val="none"/>
        </w:rPr>
        <w:t>按合同约定在向承包人签发的进度款支付证书中扣除的金额。</w:t>
      </w:r>
    </w:p>
    <w:p>
      <w:pPr>
        <w:spacing w:line="360" w:lineRule="auto"/>
        <w:ind w:firstLine="600" w:firstLineChars="200"/>
        <w:rPr>
          <w:rFonts w:hint="eastAsia"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4. 你方</w:t>
      </w:r>
      <w:r>
        <w:rPr>
          <w:rFonts w:ascii="Times New Roman" w:hAnsi="Times New Roman" w:eastAsia="仿宋_GB2312"/>
          <w:color w:val="000000"/>
          <w:sz w:val="30"/>
          <w:szCs w:val="30"/>
          <w:highlight w:val="none"/>
        </w:rPr>
        <w:t>和承包人按合同约定变更合同时，我方承担本保函规定的义务不变。</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5. </w:t>
      </w:r>
      <w:r>
        <w:rPr>
          <w:rFonts w:ascii="Times New Roman" w:hAnsi="Times New Roman" w:eastAsia="仿宋_GB2312"/>
          <w:color w:val="000000"/>
          <w:sz w:val="30"/>
          <w:szCs w:val="30"/>
          <w:highlight w:val="none"/>
        </w:rPr>
        <w:t>因本保函发生的纠纷，可由双方协商解决，协商不成的，任何一方均可提请</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仲裁委员会仲裁。</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6. </w:t>
      </w:r>
      <w:r>
        <w:rPr>
          <w:rFonts w:ascii="Times New Roman" w:hAnsi="Times New Roman" w:eastAsia="仿宋_GB2312"/>
          <w:color w:val="000000"/>
          <w:sz w:val="30"/>
          <w:szCs w:val="30"/>
          <w:highlight w:val="none"/>
        </w:rPr>
        <w:t>本保函自我方法定代表人（或其授权代理人）签字并加盖公章之日起生效。</w:t>
      </w:r>
    </w:p>
    <w:p>
      <w:pPr>
        <w:spacing w:line="360" w:lineRule="auto"/>
        <w:rPr>
          <w:rFonts w:hint="eastAsia" w:ascii="Times New Roman" w:hAnsi="Times New Roman" w:eastAsia="仿宋_GB2312"/>
          <w:color w:val="000000"/>
          <w:sz w:val="30"/>
          <w:szCs w:val="30"/>
          <w:highlight w:val="none"/>
        </w:rPr>
      </w:pPr>
    </w:p>
    <w:p>
      <w:pPr>
        <w:spacing w:line="360" w:lineRule="auto"/>
        <w:rPr>
          <w:rFonts w:hint="eastAsia" w:ascii="Times New Roman" w:hAnsi="Times New Roman" w:eastAsia="仿宋_GB2312"/>
          <w:color w:val="000000"/>
          <w:sz w:val="30"/>
          <w:szCs w:val="30"/>
          <w:highlight w:val="none"/>
        </w:rPr>
      </w:pP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担保人：</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（盖单位章）</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法定代表人或其委托代理人：</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（签字）</w:t>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地    址：</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p>
    <w:p>
      <w:pPr>
        <w:spacing w:line="360" w:lineRule="auto"/>
        <w:rPr>
          <w:rFonts w:ascii="Times New Roman" w:hAnsi="Times New Roman" w:eastAsia="仿宋_GB2312"/>
          <w:color w:val="000000"/>
          <w:sz w:val="30"/>
          <w:szCs w:val="30"/>
          <w:highlight w:val="none"/>
          <w:u w:val="single"/>
        </w:rPr>
      </w:pPr>
      <w:r>
        <w:rPr>
          <w:rFonts w:ascii="Times New Roman" w:hAnsi="Times New Roman" w:eastAsia="仿宋_GB2312"/>
          <w:color w:val="000000"/>
          <w:sz w:val="30"/>
          <w:szCs w:val="30"/>
          <w:highlight w:val="none"/>
        </w:rPr>
        <w:t>邮政编码：</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p>
    <w:p>
      <w:pPr>
        <w:spacing w:line="360" w:lineRule="auto"/>
        <w:rPr>
          <w:rFonts w:ascii="Times New Roman" w:hAnsi="Times New Roman" w:eastAsia="仿宋_GB2312"/>
          <w:color w:val="000000"/>
          <w:sz w:val="30"/>
          <w:szCs w:val="30"/>
          <w:highlight w:val="none"/>
          <w:u w:val="single"/>
        </w:rPr>
      </w:pPr>
      <w:r>
        <w:rPr>
          <w:rFonts w:ascii="Times New Roman" w:hAnsi="Times New Roman" w:eastAsia="仿宋_GB2312"/>
          <w:color w:val="000000"/>
          <w:sz w:val="30"/>
          <w:szCs w:val="30"/>
          <w:highlight w:val="none"/>
        </w:rPr>
        <w:t>电    话：</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p>
    <w:p>
      <w:pPr>
        <w:spacing w:line="360" w:lineRule="auto"/>
        <w:rPr>
          <w:rFonts w:ascii="Times New Roman" w:hAnsi="Times New Roman" w:eastAsia="仿宋_GB2312"/>
          <w:color w:val="000000"/>
          <w:sz w:val="30"/>
          <w:szCs w:val="30"/>
          <w:highlight w:val="none"/>
          <w:u w:val="single"/>
        </w:rPr>
      </w:pPr>
      <w:r>
        <w:rPr>
          <w:rFonts w:ascii="Times New Roman" w:hAnsi="Times New Roman" w:eastAsia="仿宋_GB2312"/>
          <w:color w:val="000000"/>
          <w:sz w:val="30"/>
          <w:szCs w:val="30"/>
          <w:highlight w:val="none"/>
        </w:rPr>
        <w:t>传    真：</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r>
        <w:rPr>
          <w:rFonts w:ascii="Times New Roman" w:hAnsi="Times New Roman" w:eastAsia="仿宋_GB2312"/>
          <w:color w:val="000000"/>
          <w:sz w:val="30"/>
          <w:szCs w:val="30"/>
          <w:highlight w:val="none"/>
          <w:u w:val="single"/>
        </w:rPr>
        <w:tab/>
      </w: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xml:space="preserve">  </w:t>
      </w:r>
    </w:p>
    <w:p>
      <w:pPr>
        <w:spacing w:line="360" w:lineRule="auto"/>
        <w:rPr>
          <w:rFonts w:ascii="Times New Roman" w:hAnsi="Times New Roman" w:eastAsia="仿宋_GB2312"/>
          <w:color w:val="000000"/>
          <w:sz w:val="30"/>
          <w:szCs w:val="30"/>
          <w:highlight w:val="none"/>
          <w:u w:val="single"/>
        </w:rPr>
      </w:pPr>
    </w:p>
    <w:p>
      <w:pPr>
        <w:spacing w:line="360" w:lineRule="auto"/>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月</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日</w:t>
      </w:r>
    </w:p>
    <w:p>
      <w:pPr>
        <w:spacing w:line="440" w:lineRule="exact"/>
        <w:rPr>
          <w:rFonts w:ascii="Times New Roman" w:hAnsi="Times New Roman" w:eastAsia="黑体"/>
          <w:color w:val="000000"/>
          <w:sz w:val="30"/>
          <w:szCs w:val="30"/>
          <w:highlight w:val="none"/>
        </w:rPr>
      </w:pPr>
      <w:r>
        <w:rPr>
          <w:rFonts w:ascii="Times New Roman" w:hAnsi="Times New Roman" w:eastAsia="仿宋_GB2312"/>
          <w:b/>
          <w:color w:val="000000"/>
          <w:sz w:val="30"/>
          <w:szCs w:val="30"/>
          <w:highlight w:val="none"/>
        </w:rPr>
        <w:br w:type="page"/>
      </w:r>
      <w:r>
        <w:rPr>
          <w:rFonts w:ascii="Times New Roman" w:hAnsi="Times New Roman" w:eastAsia="仿宋_GB2312"/>
          <w:color w:val="000000"/>
          <w:sz w:val="30"/>
          <w:szCs w:val="30"/>
          <w:highlight w:val="none"/>
        </w:rPr>
        <w:t>附</w:t>
      </w:r>
      <w:bookmarkStart w:id="1208" w:name="_Toc296944572"/>
      <w:bookmarkStart w:id="1209" w:name="_Toc296891061"/>
      <w:bookmarkStart w:id="1210" w:name="_Toc296346734"/>
      <w:bookmarkStart w:id="1211" w:name="_Toc296891273"/>
      <w:bookmarkStart w:id="1212" w:name="_Toc296347232"/>
      <w:bookmarkStart w:id="1213" w:name="_Toc296503233"/>
      <w:r>
        <w:rPr>
          <w:rFonts w:ascii="Times New Roman" w:hAnsi="Times New Roman" w:eastAsia="仿宋_GB2312"/>
          <w:color w:val="000000"/>
          <w:sz w:val="30"/>
          <w:szCs w:val="30"/>
          <w:highlight w:val="none"/>
        </w:rPr>
        <w:t xml:space="preserve">件10: </w:t>
      </w:r>
      <w:r>
        <w:rPr>
          <w:rFonts w:ascii="Times New Roman" w:hAnsi="Times New Roman" w:eastAsia="黑体"/>
          <w:color w:val="000000"/>
          <w:sz w:val="30"/>
          <w:szCs w:val="30"/>
          <w:highlight w:val="none"/>
        </w:rPr>
        <w:t xml:space="preserve"> </w:t>
      </w:r>
    </w:p>
    <w:bookmarkEnd w:id="1208"/>
    <w:bookmarkEnd w:id="1209"/>
    <w:bookmarkEnd w:id="1210"/>
    <w:bookmarkEnd w:id="1211"/>
    <w:bookmarkEnd w:id="1212"/>
    <w:bookmarkEnd w:id="1213"/>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支付担保</w:t>
      </w:r>
    </w:p>
    <w:p>
      <w:pPr>
        <w:spacing w:line="440" w:lineRule="exact"/>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（承包人）：</w:t>
      </w:r>
    </w:p>
    <w:p>
      <w:pPr>
        <w:spacing w:line="440" w:lineRule="exact"/>
        <w:jc w:val="left"/>
        <w:rPr>
          <w:rFonts w:ascii="Times New Roman" w:hAnsi="Times New Roman" w:eastAsia="仿宋_GB2312"/>
          <w:color w:val="000000"/>
          <w:sz w:val="30"/>
          <w:szCs w:val="30"/>
          <w:highlight w:val="none"/>
        </w:rPr>
      </w:pPr>
    </w:p>
    <w:p>
      <w:pPr>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鉴于你方作为承包人已经与</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（发包人名称）（以下称</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发包人</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）于</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月</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日签订了</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（工程名称）《建设工程施工合同》（以下称</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主合同</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），应发包人的申请，我方愿就发包人履行主合同约定的工程款支付义务以保证的方式向你方提供如下担保：</w:t>
      </w:r>
    </w:p>
    <w:p>
      <w:pPr>
        <w:spacing w:line="360" w:lineRule="auto"/>
        <w:ind w:firstLine="600" w:firstLineChars="200"/>
        <w:jc w:val="left"/>
        <w:outlineLvl w:val="0"/>
        <w:rPr>
          <w:rFonts w:ascii="Times New Roman" w:hAnsi="Times New Roman" w:eastAsia="黑体"/>
          <w:color w:val="000000"/>
          <w:sz w:val="30"/>
          <w:szCs w:val="30"/>
          <w:highlight w:val="none"/>
        </w:rPr>
      </w:pPr>
      <w:bookmarkStart w:id="1214" w:name="_Toc25270"/>
      <w:bookmarkStart w:id="1215" w:name="_Toc23867"/>
      <w:r>
        <w:rPr>
          <w:rFonts w:ascii="Times New Roman" w:hAnsi="Times New Roman" w:eastAsia="黑体"/>
          <w:color w:val="000000"/>
          <w:sz w:val="30"/>
          <w:szCs w:val="30"/>
          <w:highlight w:val="none"/>
        </w:rPr>
        <w:t>一、保证的范围及保证金额</w:t>
      </w:r>
      <w:bookmarkEnd w:id="1214"/>
      <w:bookmarkEnd w:id="1215"/>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1. </w:t>
      </w:r>
      <w:r>
        <w:rPr>
          <w:rFonts w:ascii="Times New Roman" w:hAnsi="Times New Roman" w:eastAsia="仿宋_GB2312"/>
          <w:color w:val="000000"/>
          <w:sz w:val="30"/>
          <w:szCs w:val="30"/>
          <w:highlight w:val="none"/>
        </w:rPr>
        <w:t>我方的保证范围是主合同约定的工程款。</w:t>
      </w:r>
    </w:p>
    <w:p>
      <w:pPr>
        <w:spacing w:line="360" w:lineRule="auto"/>
        <w:ind w:firstLine="600" w:firstLineChars="200"/>
        <w:jc w:val="left"/>
        <w:rPr>
          <w:rFonts w:hint="eastAsia"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2. </w:t>
      </w:r>
      <w:r>
        <w:rPr>
          <w:rFonts w:ascii="Times New Roman" w:hAnsi="Times New Roman" w:eastAsia="仿宋_GB2312"/>
          <w:color w:val="000000"/>
          <w:sz w:val="30"/>
          <w:szCs w:val="30"/>
          <w:highlight w:val="none"/>
        </w:rPr>
        <w:t>本保函所称主合同约定的工程款是指主合同约定的除工程质量保证金以外的合同价款。</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3. </w:t>
      </w:r>
      <w:r>
        <w:rPr>
          <w:rFonts w:ascii="Times New Roman" w:hAnsi="Times New Roman" w:eastAsia="仿宋_GB2312"/>
          <w:color w:val="000000"/>
          <w:sz w:val="30"/>
          <w:szCs w:val="30"/>
          <w:highlight w:val="none"/>
        </w:rPr>
        <w:t>我方保证的金额是主合同约定的工程款的</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%，数额最高不超过人民币元（大写：</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w:t>
      </w:r>
    </w:p>
    <w:p>
      <w:pPr>
        <w:spacing w:line="360" w:lineRule="auto"/>
        <w:ind w:firstLine="600" w:firstLineChars="200"/>
        <w:jc w:val="left"/>
        <w:outlineLvl w:val="0"/>
        <w:rPr>
          <w:rFonts w:ascii="Times New Roman" w:hAnsi="Times New Roman" w:eastAsia="黑体"/>
          <w:color w:val="000000"/>
          <w:sz w:val="30"/>
          <w:szCs w:val="30"/>
          <w:highlight w:val="none"/>
        </w:rPr>
      </w:pPr>
      <w:bookmarkStart w:id="1216" w:name="_Toc16348"/>
      <w:bookmarkStart w:id="1217" w:name="_Toc28659"/>
      <w:r>
        <w:rPr>
          <w:rFonts w:ascii="Times New Roman" w:hAnsi="Times New Roman" w:eastAsia="黑体"/>
          <w:color w:val="000000"/>
          <w:sz w:val="30"/>
          <w:szCs w:val="30"/>
          <w:highlight w:val="none"/>
        </w:rPr>
        <w:t>二、保证的方式及保证期间</w:t>
      </w:r>
      <w:bookmarkEnd w:id="1216"/>
      <w:bookmarkEnd w:id="1217"/>
    </w:p>
    <w:p>
      <w:pPr>
        <w:spacing w:line="360" w:lineRule="auto"/>
        <w:ind w:firstLine="600" w:firstLineChars="200"/>
        <w:jc w:val="left"/>
        <w:rPr>
          <w:rFonts w:hint="eastAsia"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1. </w:t>
      </w:r>
      <w:r>
        <w:rPr>
          <w:rFonts w:ascii="Times New Roman" w:hAnsi="Times New Roman" w:eastAsia="仿宋_GB2312"/>
          <w:color w:val="000000"/>
          <w:sz w:val="30"/>
          <w:szCs w:val="30"/>
          <w:highlight w:val="none"/>
        </w:rPr>
        <w:t>我方保证的方式为：连带责任保证。</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2. </w:t>
      </w:r>
      <w:r>
        <w:rPr>
          <w:rFonts w:ascii="Times New Roman" w:hAnsi="Times New Roman" w:eastAsia="仿宋_GB2312"/>
          <w:color w:val="000000"/>
          <w:sz w:val="30"/>
          <w:szCs w:val="30"/>
          <w:highlight w:val="none"/>
        </w:rPr>
        <w:t>我方保证的期间为：自本合同生效之日起至主合同约定的工程款支付完毕之日后</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日内。</w:t>
      </w:r>
    </w:p>
    <w:p>
      <w:pPr>
        <w:spacing w:line="360" w:lineRule="auto"/>
        <w:ind w:firstLine="600" w:firstLineChars="200"/>
        <w:jc w:val="left"/>
        <w:rPr>
          <w:rFonts w:hint="eastAsia"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3. </w:t>
      </w:r>
      <w:r>
        <w:rPr>
          <w:rFonts w:ascii="Times New Roman" w:hAnsi="Times New Roman" w:eastAsia="仿宋_GB2312"/>
          <w:color w:val="000000"/>
          <w:sz w:val="30"/>
          <w:szCs w:val="30"/>
          <w:highlight w:val="none"/>
        </w:rPr>
        <w:t>你方与发包人协议变更工程款支付日期的，经我方书面同意后，保证期间按照变更后的支付日期做相应调整。</w:t>
      </w:r>
    </w:p>
    <w:p>
      <w:pPr>
        <w:spacing w:line="360" w:lineRule="auto"/>
        <w:ind w:firstLine="600" w:firstLineChars="200"/>
        <w:jc w:val="left"/>
        <w:outlineLvl w:val="0"/>
        <w:rPr>
          <w:rFonts w:ascii="Times New Roman" w:hAnsi="Times New Roman" w:eastAsia="黑体"/>
          <w:color w:val="000000"/>
          <w:sz w:val="30"/>
          <w:szCs w:val="30"/>
          <w:highlight w:val="none"/>
        </w:rPr>
      </w:pPr>
      <w:bookmarkStart w:id="1218" w:name="_Toc10143"/>
      <w:bookmarkStart w:id="1219" w:name="_Toc18880"/>
      <w:r>
        <w:rPr>
          <w:rFonts w:ascii="Times New Roman" w:hAnsi="Times New Roman" w:eastAsia="黑体"/>
          <w:color w:val="000000"/>
          <w:sz w:val="30"/>
          <w:szCs w:val="30"/>
          <w:highlight w:val="none"/>
        </w:rPr>
        <w:t>三、承担保证责任的形式</w:t>
      </w:r>
      <w:bookmarkEnd w:id="1218"/>
      <w:bookmarkEnd w:id="1219"/>
    </w:p>
    <w:p>
      <w:pPr>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我方承担保证责任的形式是代为支付。发包人未按主合同约定向你方支付工程款的，由我方在保证金额内代为支付。</w:t>
      </w:r>
    </w:p>
    <w:p>
      <w:pPr>
        <w:spacing w:line="360" w:lineRule="auto"/>
        <w:ind w:firstLine="600" w:firstLineChars="200"/>
        <w:jc w:val="left"/>
        <w:outlineLvl w:val="0"/>
        <w:rPr>
          <w:rFonts w:ascii="Times New Roman" w:hAnsi="Times New Roman" w:eastAsia="黑体"/>
          <w:color w:val="000000"/>
          <w:sz w:val="30"/>
          <w:szCs w:val="30"/>
          <w:highlight w:val="none"/>
        </w:rPr>
      </w:pPr>
      <w:bookmarkStart w:id="1220" w:name="_Toc32045"/>
      <w:bookmarkStart w:id="1221" w:name="_Toc2529"/>
      <w:r>
        <w:rPr>
          <w:rFonts w:ascii="Times New Roman" w:hAnsi="Times New Roman" w:eastAsia="黑体"/>
          <w:color w:val="000000"/>
          <w:sz w:val="30"/>
          <w:szCs w:val="30"/>
          <w:highlight w:val="none"/>
        </w:rPr>
        <w:t>四、代偿的安排</w:t>
      </w:r>
      <w:bookmarkEnd w:id="1220"/>
      <w:bookmarkEnd w:id="1221"/>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1. </w:t>
      </w:r>
      <w:r>
        <w:rPr>
          <w:rFonts w:ascii="Times New Roman" w:hAnsi="Times New Roman" w:eastAsia="仿宋_GB2312"/>
          <w:color w:val="000000"/>
          <w:sz w:val="30"/>
          <w:szCs w:val="30"/>
          <w:highlight w:val="none"/>
        </w:rPr>
        <w:t>你方要求我方承担保证责任的，应向我方发出书面索赔通知及发包人未支付主合同约定工程款的证明材料。索赔通知应写明要求索赔的金额，支付款项应到达的账号。</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2. </w:t>
      </w:r>
      <w:r>
        <w:rPr>
          <w:rFonts w:ascii="Times New Roman" w:hAnsi="Times New Roman" w:eastAsia="仿宋_GB2312"/>
          <w:color w:val="000000"/>
          <w:sz w:val="30"/>
          <w:szCs w:val="30"/>
          <w:highlight w:val="none"/>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3. </w:t>
      </w:r>
      <w:r>
        <w:rPr>
          <w:rFonts w:ascii="Times New Roman" w:hAnsi="Times New Roman" w:eastAsia="仿宋_GB2312"/>
          <w:color w:val="000000"/>
          <w:sz w:val="30"/>
          <w:szCs w:val="30"/>
          <w:highlight w:val="none"/>
        </w:rPr>
        <w:t>我方收到你方的书面索赔通知及相应的证明材料后７天内无条件支付。</w:t>
      </w:r>
    </w:p>
    <w:p>
      <w:pPr>
        <w:spacing w:line="360" w:lineRule="auto"/>
        <w:ind w:firstLine="600" w:firstLineChars="200"/>
        <w:jc w:val="left"/>
        <w:outlineLvl w:val="0"/>
        <w:rPr>
          <w:rFonts w:ascii="Times New Roman" w:hAnsi="Times New Roman" w:eastAsia="黑体"/>
          <w:color w:val="000000"/>
          <w:sz w:val="30"/>
          <w:szCs w:val="30"/>
          <w:highlight w:val="none"/>
        </w:rPr>
      </w:pPr>
      <w:bookmarkStart w:id="1222" w:name="_Toc31812"/>
      <w:bookmarkStart w:id="1223" w:name="_Toc4344"/>
      <w:r>
        <w:rPr>
          <w:rFonts w:ascii="Times New Roman" w:hAnsi="Times New Roman" w:eastAsia="黑体"/>
          <w:color w:val="000000"/>
          <w:sz w:val="30"/>
          <w:szCs w:val="30"/>
          <w:highlight w:val="none"/>
        </w:rPr>
        <w:t>五、保证责任的解除</w:t>
      </w:r>
      <w:bookmarkEnd w:id="1222"/>
      <w:bookmarkEnd w:id="1223"/>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1. </w:t>
      </w:r>
      <w:r>
        <w:rPr>
          <w:rFonts w:ascii="Times New Roman" w:hAnsi="Times New Roman" w:eastAsia="仿宋_GB2312"/>
          <w:color w:val="000000"/>
          <w:sz w:val="30"/>
          <w:szCs w:val="30"/>
          <w:highlight w:val="none"/>
        </w:rPr>
        <w:t>在本保函承诺的保证期间内，你方未书面向我方主张保证责任的，自保证期间届满次日起，我方保证责任解除。</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2. </w:t>
      </w:r>
      <w:r>
        <w:rPr>
          <w:rFonts w:ascii="Times New Roman" w:hAnsi="Times New Roman" w:eastAsia="仿宋_GB2312"/>
          <w:color w:val="000000"/>
          <w:sz w:val="30"/>
          <w:szCs w:val="30"/>
          <w:highlight w:val="none"/>
        </w:rPr>
        <w:t>发包人按主合同约定履行了工程款的全部支付义务的，自本保函承诺的保证期间届满次日起，我方保证责任解除。</w:t>
      </w:r>
    </w:p>
    <w:p>
      <w:pPr>
        <w:spacing w:line="360" w:lineRule="auto"/>
        <w:ind w:firstLine="600" w:firstLineChars="200"/>
        <w:jc w:val="left"/>
        <w:rPr>
          <w:rFonts w:hint="eastAsia"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3. </w:t>
      </w:r>
      <w:r>
        <w:rPr>
          <w:rFonts w:ascii="Times New Roman" w:hAnsi="Times New Roman" w:eastAsia="仿宋_GB2312"/>
          <w:color w:val="000000"/>
          <w:sz w:val="30"/>
          <w:szCs w:val="30"/>
          <w:highlight w:val="none"/>
        </w:rPr>
        <w:t>我方按照本保函向你方履行保证责任所支付金额达到本保函保证金额时，自我方向你方支付（支付款项从我方账户划出）之日起，保证责任即解除。</w:t>
      </w:r>
    </w:p>
    <w:p>
      <w:pPr>
        <w:spacing w:line="360" w:lineRule="auto"/>
        <w:ind w:firstLine="600" w:firstLineChars="200"/>
        <w:jc w:val="left"/>
        <w:rPr>
          <w:rFonts w:hint="eastAsia"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4. </w:t>
      </w:r>
      <w:r>
        <w:rPr>
          <w:rFonts w:ascii="Times New Roman" w:hAnsi="Times New Roman" w:eastAsia="仿宋_GB2312"/>
          <w:color w:val="000000"/>
          <w:sz w:val="30"/>
          <w:szCs w:val="30"/>
          <w:highlight w:val="none"/>
        </w:rPr>
        <w:t>按照法律法规的规定或出现应解除我方保证责任的其他情形的，我方在本保函项下的保证责任亦解除。</w:t>
      </w:r>
    </w:p>
    <w:p>
      <w:pPr>
        <w:spacing w:line="360" w:lineRule="auto"/>
        <w:jc w:val="left"/>
        <w:rPr>
          <w:rFonts w:hint="eastAsia" w:ascii="Times New Roman" w:hAnsi="Times New Roman" w:eastAsia="仿宋_GB2312"/>
          <w:color w:val="000000"/>
          <w:sz w:val="30"/>
          <w:szCs w:val="30"/>
          <w:highlight w:val="none"/>
        </w:rPr>
      </w:pP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5. </w:t>
      </w:r>
      <w:r>
        <w:rPr>
          <w:rFonts w:ascii="Times New Roman" w:hAnsi="Times New Roman" w:eastAsia="仿宋_GB2312"/>
          <w:color w:val="000000"/>
          <w:sz w:val="30"/>
          <w:szCs w:val="30"/>
          <w:highlight w:val="none"/>
        </w:rPr>
        <w:t>我方解除保证责任后，你方应自我方保证责任解除之日起</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个工作日内，将本保函原件返还我方。</w:t>
      </w:r>
    </w:p>
    <w:p>
      <w:pPr>
        <w:spacing w:line="360" w:lineRule="auto"/>
        <w:ind w:firstLine="600" w:firstLineChars="200"/>
        <w:jc w:val="left"/>
        <w:outlineLvl w:val="0"/>
        <w:rPr>
          <w:rFonts w:ascii="Times New Roman" w:hAnsi="Times New Roman" w:eastAsia="黑体"/>
          <w:color w:val="000000"/>
          <w:sz w:val="30"/>
          <w:szCs w:val="30"/>
          <w:highlight w:val="none"/>
        </w:rPr>
      </w:pPr>
      <w:bookmarkStart w:id="1224" w:name="_Toc21773"/>
      <w:bookmarkStart w:id="1225" w:name="_Toc19670"/>
      <w:r>
        <w:rPr>
          <w:rFonts w:ascii="Times New Roman" w:hAnsi="Times New Roman" w:eastAsia="黑体"/>
          <w:color w:val="000000"/>
          <w:sz w:val="30"/>
          <w:szCs w:val="30"/>
          <w:highlight w:val="none"/>
        </w:rPr>
        <w:t>六、免责条款</w:t>
      </w:r>
      <w:bookmarkEnd w:id="1224"/>
      <w:bookmarkEnd w:id="1225"/>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1. </w:t>
      </w:r>
      <w:r>
        <w:rPr>
          <w:rFonts w:ascii="Times New Roman" w:hAnsi="Times New Roman" w:eastAsia="仿宋_GB2312"/>
          <w:color w:val="000000"/>
          <w:sz w:val="30"/>
          <w:szCs w:val="30"/>
          <w:highlight w:val="none"/>
        </w:rPr>
        <w:t>因你方违约致使发包人不能履行义务的，我方不承担保证责任。</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2. </w:t>
      </w:r>
      <w:r>
        <w:rPr>
          <w:rFonts w:ascii="Times New Roman" w:hAnsi="Times New Roman" w:eastAsia="仿宋_GB2312"/>
          <w:color w:val="000000"/>
          <w:sz w:val="30"/>
          <w:szCs w:val="30"/>
          <w:highlight w:val="none"/>
        </w:rPr>
        <w:t>依照法律法规的规定或你方与发包人的另行约定，免除发包人部分或全部义务的，我方亦免除其相应的保证责任。</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3. </w:t>
      </w:r>
      <w:r>
        <w:rPr>
          <w:rFonts w:ascii="Times New Roman" w:hAnsi="Times New Roman" w:eastAsia="仿宋_GB2312"/>
          <w:color w:val="000000"/>
          <w:sz w:val="30"/>
          <w:szCs w:val="30"/>
          <w:highlight w:val="none"/>
        </w:rPr>
        <w:t>你方与发包人协议变更主合同的，如加重发包人责任致使我方保证责任加重的，需征得我方书面同意，否则我方不再承担因此而加重部分的保证责任，但主合同第10条</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变更</w:t>
      </w:r>
      <w:r>
        <w:rPr>
          <w:rFonts w:hint="eastAsia" w:ascii="Times New Roman" w:hAnsi="Times New Roman" w:eastAsia="仿宋_GB2312"/>
          <w:color w:val="000000"/>
          <w:sz w:val="30"/>
          <w:szCs w:val="30"/>
          <w:highlight w:val="none"/>
        </w:rPr>
        <w:t>〕</w:t>
      </w:r>
      <w:r>
        <w:rPr>
          <w:rFonts w:ascii="Times New Roman" w:hAnsi="Times New Roman" w:eastAsia="仿宋_GB2312"/>
          <w:color w:val="000000"/>
          <w:sz w:val="30"/>
          <w:szCs w:val="30"/>
          <w:highlight w:val="none"/>
        </w:rPr>
        <w:t>约定的变更不受本款限制。</w:t>
      </w:r>
    </w:p>
    <w:p>
      <w:pPr>
        <w:spacing w:line="360" w:lineRule="auto"/>
        <w:ind w:firstLine="600" w:firstLineChars="200"/>
        <w:jc w:val="left"/>
        <w:rPr>
          <w:rFonts w:ascii="Times New Roman" w:hAnsi="Times New Roman" w:eastAsia="仿宋_GB2312"/>
          <w:color w:val="000000"/>
          <w:sz w:val="30"/>
          <w:szCs w:val="30"/>
          <w:highlight w:val="none"/>
        </w:rPr>
      </w:pPr>
      <w:r>
        <w:rPr>
          <w:rFonts w:hint="eastAsia" w:ascii="Times New Roman" w:hAnsi="Times New Roman" w:eastAsia="仿宋_GB2312"/>
          <w:color w:val="000000"/>
          <w:sz w:val="30"/>
          <w:szCs w:val="30"/>
          <w:highlight w:val="none"/>
        </w:rPr>
        <w:t xml:space="preserve">4. </w:t>
      </w:r>
      <w:r>
        <w:rPr>
          <w:rFonts w:ascii="Times New Roman" w:hAnsi="Times New Roman" w:eastAsia="仿宋_GB2312"/>
          <w:color w:val="000000"/>
          <w:sz w:val="30"/>
          <w:szCs w:val="30"/>
          <w:highlight w:val="none"/>
        </w:rPr>
        <w:t>因不可抗力造成发包人不能履行义务的，我方不承担保证责任。</w:t>
      </w:r>
    </w:p>
    <w:p>
      <w:pPr>
        <w:spacing w:line="360" w:lineRule="auto"/>
        <w:ind w:firstLine="600" w:firstLineChars="200"/>
        <w:jc w:val="left"/>
        <w:outlineLvl w:val="0"/>
        <w:rPr>
          <w:rFonts w:ascii="Times New Roman" w:hAnsi="Times New Roman" w:eastAsia="黑体"/>
          <w:color w:val="000000"/>
          <w:sz w:val="30"/>
          <w:szCs w:val="30"/>
          <w:highlight w:val="none"/>
        </w:rPr>
      </w:pPr>
      <w:bookmarkStart w:id="1226" w:name="_Toc5098"/>
      <w:bookmarkStart w:id="1227" w:name="_Toc25549"/>
      <w:r>
        <w:rPr>
          <w:rFonts w:ascii="Times New Roman" w:hAnsi="Times New Roman" w:eastAsia="黑体"/>
          <w:color w:val="000000"/>
          <w:sz w:val="30"/>
          <w:szCs w:val="30"/>
          <w:highlight w:val="none"/>
        </w:rPr>
        <w:t>七、争议解决</w:t>
      </w:r>
      <w:bookmarkEnd w:id="1226"/>
      <w:bookmarkEnd w:id="1227"/>
    </w:p>
    <w:p>
      <w:pPr>
        <w:spacing w:after="120" w:line="360" w:lineRule="auto"/>
        <w:ind w:firstLine="600" w:firstLineChars="200"/>
        <w:rPr>
          <w:rFonts w:ascii="Times New Roman" w:hAnsi="Times New Roman" w:eastAsia="黑体"/>
          <w:color w:val="000000"/>
          <w:sz w:val="30"/>
          <w:szCs w:val="32"/>
          <w:highlight w:val="none"/>
        </w:rPr>
      </w:pPr>
      <w:r>
        <w:rPr>
          <w:rFonts w:ascii="Times New Roman" w:hAnsi="Times New Roman" w:eastAsia="仿宋_GB2312"/>
          <w:color w:val="000000"/>
          <w:sz w:val="30"/>
          <w:szCs w:val="30"/>
          <w:highlight w:val="none"/>
        </w:rPr>
        <w:t>因本保函</w:t>
      </w:r>
      <w:r>
        <w:rPr>
          <w:rFonts w:hint="eastAsia" w:ascii="Times New Roman" w:hAnsi="Times New Roman" w:eastAsia="仿宋_GB2312"/>
          <w:color w:val="000000"/>
          <w:sz w:val="30"/>
          <w:szCs w:val="30"/>
          <w:highlight w:val="none"/>
        </w:rPr>
        <w:t>或本保函相关事项</w:t>
      </w:r>
      <w:r>
        <w:rPr>
          <w:rFonts w:ascii="Times New Roman" w:hAnsi="Times New Roman" w:eastAsia="仿宋_GB2312"/>
          <w:color w:val="000000"/>
          <w:sz w:val="30"/>
          <w:szCs w:val="30"/>
          <w:highlight w:val="none"/>
        </w:rPr>
        <w:t>发生的纠纷，可由双方协商解决，协商不成的，</w:t>
      </w:r>
      <w:r>
        <w:rPr>
          <w:rFonts w:ascii="Times New Roman" w:hAnsi="Times New Roman" w:eastAsia="仿宋_GB2312"/>
          <w:color w:val="000000"/>
          <w:sz w:val="30"/>
          <w:szCs w:val="32"/>
          <w:highlight w:val="none"/>
        </w:rPr>
        <w:t>按下列第</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种方式</w:t>
      </w:r>
      <w:r>
        <w:rPr>
          <w:rFonts w:hint="eastAsia" w:ascii="Times New Roman" w:hAnsi="Times New Roman" w:eastAsia="仿宋_GB2312"/>
          <w:color w:val="000000"/>
          <w:sz w:val="30"/>
          <w:szCs w:val="32"/>
          <w:highlight w:val="none"/>
        </w:rPr>
        <w:t>解</w:t>
      </w:r>
      <w:r>
        <w:rPr>
          <w:rFonts w:ascii="Times New Roman" w:hAnsi="Times New Roman" w:eastAsia="仿宋_GB2312"/>
          <w:color w:val="000000"/>
          <w:sz w:val="30"/>
          <w:szCs w:val="32"/>
          <w:highlight w:val="none"/>
        </w:rPr>
        <w:t>决：</w:t>
      </w:r>
    </w:p>
    <w:p>
      <w:pPr>
        <w:spacing w:line="360" w:lineRule="auto"/>
        <w:ind w:firstLine="600" w:firstLineChars="200"/>
        <w:jc w:val="left"/>
        <w:rPr>
          <w:rFonts w:ascii="Times New Roman" w:hAnsi="Times New Roman" w:eastAsia="仿宋_GB2312"/>
          <w:color w:val="000000"/>
          <w:sz w:val="30"/>
          <w:szCs w:val="32"/>
          <w:highlight w:val="none"/>
        </w:rPr>
      </w:pPr>
      <w:r>
        <w:rPr>
          <w:rFonts w:ascii="Times New Roman" w:hAnsi="Times New Roman" w:eastAsia="仿宋_GB2312"/>
          <w:color w:val="000000"/>
          <w:sz w:val="30"/>
          <w:szCs w:val="32"/>
          <w:highlight w:val="none"/>
        </w:rPr>
        <w:t>（1）向</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仲裁委员会申请仲裁；</w:t>
      </w:r>
    </w:p>
    <w:p>
      <w:pPr>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2"/>
          <w:highlight w:val="none"/>
        </w:rPr>
        <w:t>（2）向</w:t>
      </w:r>
      <w:r>
        <w:rPr>
          <w:rFonts w:ascii="Times New Roman" w:hAnsi="Times New Roman" w:eastAsia="仿宋_GB2312"/>
          <w:color w:val="000000"/>
          <w:sz w:val="30"/>
          <w:szCs w:val="32"/>
          <w:highlight w:val="none"/>
          <w:u w:val="single"/>
        </w:rPr>
        <w:t xml:space="preserve">                     </w:t>
      </w:r>
      <w:r>
        <w:rPr>
          <w:rFonts w:ascii="Times New Roman" w:hAnsi="Times New Roman" w:eastAsia="仿宋_GB2312"/>
          <w:color w:val="000000"/>
          <w:sz w:val="30"/>
          <w:szCs w:val="32"/>
          <w:highlight w:val="none"/>
        </w:rPr>
        <w:t>人民法院起诉。</w:t>
      </w:r>
    </w:p>
    <w:p>
      <w:pPr>
        <w:spacing w:line="360" w:lineRule="auto"/>
        <w:ind w:firstLine="600" w:firstLineChars="200"/>
        <w:jc w:val="left"/>
        <w:outlineLvl w:val="0"/>
        <w:rPr>
          <w:rFonts w:ascii="Times New Roman" w:hAnsi="Times New Roman" w:eastAsia="黑体"/>
          <w:color w:val="000000"/>
          <w:sz w:val="30"/>
          <w:szCs w:val="30"/>
          <w:highlight w:val="none"/>
        </w:rPr>
      </w:pPr>
      <w:bookmarkStart w:id="1228" w:name="_Toc12400"/>
      <w:bookmarkStart w:id="1229" w:name="_Toc28246"/>
      <w:r>
        <w:rPr>
          <w:rFonts w:ascii="Times New Roman" w:hAnsi="Times New Roman" w:eastAsia="黑体"/>
          <w:color w:val="000000"/>
          <w:sz w:val="30"/>
          <w:szCs w:val="30"/>
          <w:highlight w:val="none"/>
        </w:rPr>
        <w:t>八、保函的生效</w:t>
      </w:r>
      <w:bookmarkEnd w:id="1228"/>
      <w:bookmarkEnd w:id="1229"/>
    </w:p>
    <w:p>
      <w:pPr>
        <w:spacing w:line="360" w:lineRule="auto"/>
        <w:ind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本保函自我方法定代表人（或其授权代理人）签字并加盖公章之日起生效。</w:t>
      </w:r>
    </w:p>
    <w:p>
      <w:pPr>
        <w:spacing w:line="360" w:lineRule="auto"/>
        <w:ind w:firstLine="600" w:firstLineChars="200"/>
        <w:jc w:val="left"/>
        <w:rPr>
          <w:rFonts w:hint="eastAsia" w:ascii="Times New Roman" w:hAnsi="Times New Roman" w:eastAsia="仿宋_GB2312"/>
          <w:color w:val="000000"/>
          <w:sz w:val="30"/>
          <w:szCs w:val="30"/>
          <w:highlight w:val="none"/>
        </w:rPr>
      </w:pPr>
    </w:p>
    <w:p>
      <w:pPr>
        <w:spacing w:line="360" w:lineRule="auto"/>
        <w:ind w:right="600"/>
        <w:jc w:val="left"/>
        <w:rPr>
          <w:rFonts w:hint="eastAsia" w:ascii="Times New Roman" w:hAnsi="Times New Roman" w:eastAsia="仿宋_GB2312"/>
          <w:color w:val="000000"/>
          <w:sz w:val="30"/>
          <w:szCs w:val="30"/>
          <w:highlight w:val="none"/>
        </w:rPr>
      </w:pPr>
    </w:p>
    <w:p>
      <w:pPr>
        <w:spacing w:line="360" w:lineRule="auto"/>
        <w:ind w:right="6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担保人：</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（盖章）</w:t>
      </w:r>
    </w:p>
    <w:p>
      <w:pPr>
        <w:spacing w:line="360" w:lineRule="auto"/>
        <w:ind w:right="1200"/>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法定代表人或委托代理人：</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（签字）</w:t>
      </w:r>
    </w:p>
    <w:p>
      <w:pPr>
        <w:spacing w:line="360" w:lineRule="auto"/>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地    址：</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邮政编码：</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传    真：</w:t>
      </w:r>
      <w:r>
        <w:rPr>
          <w:rFonts w:ascii="Times New Roman" w:hAnsi="Times New Roman" w:eastAsia="仿宋_GB2312"/>
          <w:color w:val="000000"/>
          <w:sz w:val="30"/>
          <w:szCs w:val="30"/>
          <w:highlight w:val="none"/>
          <w:u w:val="single"/>
        </w:rPr>
        <w:t xml:space="preserve">      </w:t>
      </w:r>
      <w:r>
        <w:rPr>
          <w:rFonts w:hint="eastAsia"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u w:val="single"/>
        </w:rPr>
        <w:t xml:space="preserve">                          </w:t>
      </w:r>
    </w:p>
    <w:p>
      <w:pPr>
        <w:spacing w:line="360" w:lineRule="auto"/>
        <w:ind w:right="150" w:firstLine="600" w:firstLineChars="200"/>
        <w:jc w:val="left"/>
        <w:rPr>
          <w:rFonts w:ascii="Times New Roman" w:hAnsi="Times New Roman" w:eastAsia="仿宋_GB2312"/>
          <w:color w:val="000000"/>
          <w:sz w:val="30"/>
          <w:szCs w:val="30"/>
          <w:highlight w:val="none"/>
          <w:u w:val="single"/>
        </w:rPr>
      </w:pPr>
    </w:p>
    <w:p>
      <w:pPr>
        <w:spacing w:line="360" w:lineRule="auto"/>
        <w:ind w:right="150" w:firstLine="600" w:firstLineChars="200"/>
        <w:jc w:val="left"/>
        <w:rPr>
          <w:rFonts w:ascii="Times New Roman" w:hAnsi="Times New Roman" w:eastAsia="仿宋_GB2312"/>
          <w:color w:val="000000"/>
          <w:sz w:val="30"/>
          <w:szCs w:val="30"/>
          <w:highlight w:val="none"/>
        </w:rPr>
      </w:pPr>
      <w:r>
        <w:rPr>
          <w:rFonts w:ascii="Times New Roman" w:hAnsi="Times New Roman" w:eastAsia="仿宋_GB2312"/>
          <w:color w:val="000000"/>
          <w:sz w:val="30"/>
          <w:szCs w:val="30"/>
          <w:highlight w:val="none"/>
        </w:rPr>
        <w:t xml:space="preserve">             </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年</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月</w:t>
      </w:r>
      <w:r>
        <w:rPr>
          <w:rFonts w:ascii="Times New Roman" w:hAnsi="Times New Roman" w:eastAsia="仿宋_GB2312"/>
          <w:color w:val="000000"/>
          <w:sz w:val="30"/>
          <w:szCs w:val="30"/>
          <w:highlight w:val="none"/>
          <w:u w:val="single"/>
        </w:rPr>
        <w:t xml:space="preserve">      </w:t>
      </w:r>
      <w:r>
        <w:rPr>
          <w:rFonts w:ascii="Times New Roman" w:hAnsi="Times New Roman" w:eastAsia="仿宋_GB2312"/>
          <w:color w:val="000000"/>
          <w:sz w:val="30"/>
          <w:szCs w:val="30"/>
          <w:highlight w:val="none"/>
        </w:rPr>
        <w:t>日</w:t>
      </w:r>
    </w:p>
    <w:p>
      <w:pPr>
        <w:spacing w:line="440" w:lineRule="exact"/>
        <w:rPr>
          <w:rFonts w:ascii="Times New Roman" w:hAnsi="Times New Roman" w:eastAsia="黑体"/>
          <w:color w:val="000000"/>
          <w:sz w:val="30"/>
          <w:szCs w:val="30"/>
          <w:highlight w:val="none"/>
        </w:rPr>
      </w:pPr>
      <w:r>
        <w:rPr>
          <w:rFonts w:ascii="Times New Roman" w:hAnsi="Times New Roman" w:eastAsia="仿宋_GB2312"/>
          <w:color w:val="000000"/>
          <w:sz w:val="30"/>
          <w:szCs w:val="30"/>
          <w:highlight w:val="none"/>
        </w:rPr>
        <w:br w:type="page"/>
      </w:r>
      <w:r>
        <w:rPr>
          <w:rFonts w:ascii="Times New Roman" w:hAnsi="Times New Roman" w:eastAsia="仿宋_GB2312"/>
          <w:color w:val="000000"/>
          <w:sz w:val="30"/>
          <w:szCs w:val="30"/>
          <w:highlight w:val="none"/>
        </w:rPr>
        <w:t>附件11：</w:t>
      </w:r>
    </w:p>
    <w:p>
      <w:pPr>
        <w:spacing w:before="156" w:beforeLines="50" w:after="156" w:afterLines="50" w:line="440" w:lineRule="exact"/>
        <w:jc w:val="center"/>
        <w:outlineLvl w:val="0"/>
        <w:rPr>
          <w:rFonts w:ascii="Times New Roman" w:hAnsi="Times New Roman" w:eastAsia="黑体"/>
          <w:color w:val="000000"/>
          <w:sz w:val="30"/>
          <w:szCs w:val="30"/>
          <w:highlight w:val="none"/>
        </w:rPr>
      </w:pPr>
      <w:bookmarkStart w:id="1230" w:name="_Toc8250"/>
      <w:bookmarkStart w:id="1231" w:name="_Toc25635"/>
      <w:r>
        <w:rPr>
          <w:rFonts w:ascii="Times New Roman" w:hAnsi="Times New Roman" w:eastAsia="黑体"/>
          <w:color w:val="000000"/>
          <w:sz w:val="30"/>
          <w:szCs w:val="30"/>
          <w:highlight w:val="none"/>
        </w:rPr>
        <w:t>11-1：材料暂估价表</w:t>
      </w:r>
      <w:bookmarkEnd w:id="1230"/>
      <w:bookmarkEnd w:id="1231"/>
    </w:p>
    <w:tbl>
      <w:tblPr>
        <w:tblStyle w:val="2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序号</w:t>
            </w:r>
          </w:p>
        </w:tc>
        <w:tc>
          <w:tcPr>
            <w:tcW w:w="1984"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名称</w:t>
            </w:r>
          </w:p>
        </w:tc>
        <w:tc>
          <w:tcPr>
            <w:tcW w:w="851"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单位</w:t>
            </w:r>
          </w:p>
        </w:tc>
        <w:tc>
          <w:tcPr>
            <w:tcW w:w="774"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数量</w:t>
            </w:r>
          </w:p>
        </w:tc>
        <w:tc>
          <w:tcPr>
            <w:tcW w:w="1352"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单价</w:t>
            </w:r>
            <w:r>
              <w:rPr>
                <w:rFonts w:hint="eastAsia" w:eastAsia="仿宋_GB2312"/>
                <w:color w:val="000000"/>
                <w:kern w:val="2"/>
                <w:sz w:val="28"/>
                <w:szCs w:val="30"/>
                <w:highlight w:val="none"/>
                <w:lang w:val="en-US" w:eastAsia="zh-CN"/>
              </w:rPr>
              <w:t>（元）</w:t>
            </w:r>
          </w:p>
        </w:tc>
        <w:tc>
          <w:tcPr>
            <w:tcW w:w="1418"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合价</w:t>
            </w:r>
            <w:r>
              <w:rPr>
                <w:rFonts w:hint="eastAsia" w:eastAsia="仿宋_GB2312"/>
                <w:color w:val="000000"/>
                <w:kern w:val="2"/>
                <w:sz w:val="28"/>
                <w:szCs w:val="30"/>
                <w:highlight w:val="none"/>
                <w:lang w:val="en-US" w:eastAsia="zh-CN"/>
              </w:rPr>
              <w:t>（元）</w:t>
            </w:r>
          </w:p>
        </w:tc>
        <w:tc>
          <w:tcPr>
            <w:tcW w:w="1701"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bl>
    <w:p>
      <w:pPr>
        <w:spacing w:before="156" w:beforeLines="50" w:after="156" w:afterLines="50" w:line="440" w:lineRule="exact"/>
        <w:rPr>
          <w:rFonts w:hint="eastAsia" w:ascii="Times New Roman" w:hAnsi="Times New Roman" w:eastAsia="黑体"/>
          <w:color w:val="000000"/>
          <w:sz w:val="30"/>
          <w:szCs w:val="30"/>
          <w:highlight w:val="none"/>
        </w:rPr>
      </w:pPr>
    </w:p>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11-2：工程设备暂估价表</w:t>
      </w:r>
    </w:p>
    <w:tbl>
      <w:tblPr>
        <w:tblStyle w:val="2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序号</w:t>
            </w:r>
          </w:p>
        </w:tc>
        <w:tc>
          <w:tcPr>
            <w:tcW w:w="1984"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名称</w:t>
            </w:r>
          </w:p>
        </w:tc>
        <w:tc>
          <w:tcPr>
            <w:tcW w:w="851"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单位</w:t>
            </w:r>
          </w:p>
        </w:tc>
        <w:tc>
          <w:tcPr>
            <w:tcW w:w="774"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数量</w:t>
            </w:r>
          </w:p>
        </w:tc>
        <w:tc>
          <w:tcPr>
            <w:tcW w:w="1352"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单价</w:t>
            </w:r>
            <w:r>
              <w:rPr>
                <w:rFonts w:hint="eastAsia" w:eastAsia="仿宋_GB2312"/>
                <w:color w:val="000000"/>
                <w:kern w:val="2"/>
                <w:sz w:val="28"/>
                <w:szCs w:val="30"/>
                <w:highlight w:val="none"/>
                <w:lang w:val="en-US" w:eastAsia="zh-CN"/>
              </w:rPr>
              <w:t>（元）</w:t>
            </w:r>
          </w:p>
        </w:tc>
        <w:tc>
          <w:tcPr>
            <w:tcW w:w="1418"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合价</w:t>
            </w:r>
            <w:r>
              <w:rPr>
                <w:rFonts w:hint="eastAsia" w:eastAsia="仿宋_GB2312"/>
                <w:color w:val="000000"/>
                <w:kern w:val="2"/>
                <w:sz w:val="28"/>
                <w:szCs w:val="30"/>
                <w:highlight w:val="none"/>
                <w:lang w:val="en-US" w:eastAsia="zh-CN"/>
              </w:rPr>
              <w:t>（元）</w:t>
            </w:r>
          </w:p>
        </w:tc>
        <w:tc>
          <w:tcPr>
            <w:tcW w:w="1701"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tcBorders>
              <w:top w:val="double" w:color="auto" w:sz="6" w:space="0"/>
              <w:bottom w:val="sing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tcBorders>
              <w:top w:val="nil"/>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98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85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774"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352"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418"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c>
          <w:tcPr>
            <w:tcW w:w="1701" w:type="dxa"/>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p>
        </w:tc>
      </w:tr>
    </w:tbl>
    <w:p>
      <w:pPr>
        <w:spacing w:line="440" w:lineRule="exact"/>
        <w:rPr>
          <w:rFonts w:ascii="Times New Roman" w:hAnsi="Times New Roman" w:eastAsia="仿宋_GB2312"/>
          <w:color w:val="000000"/>
          <w:sz w:val="30"/>
          <w:szCs w:val="30"/>
          <w:highlight w:val="none"/>
        </w:rPr>
      </w:pPr>
    </w:p>
    <w:p>
      <w:pPr>
        <w:spacing w:before="156" w:beforeLines="50" w:after="156" w:afterLines="50" w:line="440" w:lineRule="exact"/>
        <w:jc w:val="center"/>
        <w:rPr>
          <w:rFonts w:ascii="Times New Roman" w:hAnsi="Times New Roman" w:eastAsia="黑体"/>
          <w:color w:val="000000"/>
          <w:sz w:val="30"/>
          <w:szCs w:val="30"/>
          <w:highlight w:val="none"/>
        </w:rPr>
      </w:pPr>
      <w:r>
        <w:rPr>
          <w:rFonts w:ascii="Times New Roman" w:hAnsi="Times New Roman" w:eastAsia="仿宋_GB2312"/>
          <w:color w:val="000000"/>
          <w:sz w:val="30"/>
          <w:szCs w:val="30"/>
          <w:highlight w:val="none"/>
        </w:rPr>
        <w:br w:type="page"/>
      </w:r>
      <w:r>
        <w:rPr>
          <w:rFonts w:ascii="Times New Roman" w:hAnsi="Times New Roman" w:eastAsia="黑体"/>
          <w:color w:val="000000"/>
          <w:sz w:val="30"/>
          <w:szCs w:val="30"/>
          <w:highlight w:val="none"/>
        </w:rPr>
        <w:t>11-3：专业工程暂估价表</w:t>
      </w:r>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序号</w:t>
            </w:r>
          </w:p>
        </w:tc>
        <w:tc>
          <w:tcPr>
            <w:tcW w:w="1984"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专业工程名称</w:t>
            </w:r>
          </w:p>
        </w:tc>
        <w:tc>
          <w:tcPr>
            <w:tcW w:w="4678"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工程内容</w:t>
            </w:r>
          </w:p>
        </w:tc>
        <w:tc>
          <w:tcPr>
            <w:tcW w:w="1276" w:type="dxa"/>
            <w:tcBorders>
              <w:top w:val="single" w:color="auto" w:sz="12" w:space="0"/>
              <w:bottom w:val="double" w:color="auto" w:sz="6" w:space="0"/>
            </w:tcBorders>
            <w:noWrap w:val="0"/>
            <w:vAlign w:val="top"/>
          </w:tcPr>
          <w:p>
            <w:pPr>
              <w:pStyle w:val="10"/>
              <w:keepNext/>
              <w:spacing w:after="0" w:line="440" w:lineRule="exact"/>
              <w:ind w:left="63" w:right="63"/>
              <w:rPr>
                <w:rFonts w:eastAsia="仿宋_GB2312"/>
                <w:color w:val="000000"/>
                <w:kern w:val="2"/>
                <w:sz w:val="28"/>
                <w:szCs w:val="30"/>
                <w:highlight w:val="none"/>
                <w:lang w:val="en-US" w:eastAsia="zh-CN"/>
              </w:rPr>
            </w:pPr>
            <w:r>
              <w:rPr>
                <w:rFonts w:eastAsia="仿宋_GB2312"/>
                <w:color w:val="000000"/>
                <w:kern w:val="2"/>
                <w:sz w:val="28"/>
                <w:szCs w:val="30"/>
                <w:highlight w:val="none"/>
                <w:lang w:val="en-US" w:eastAsia="zh-CN"/>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tcBorders>
              <w:top w:val="double" w:color="auto" w:sz="6" w:space="0"/>
              <w:bottom w:val="single" w:color="auto" w:sz="6" w:space="0"/>
            </w:tcBorders>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tcBorders>
              <w:top w:val="double" w:color="auto" w:sz="6" w:space="0"/>
              <w:bottom w:val="single" w:color="auto" w:sz="6" w:space="0"/>
            </w:tcBorders>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tcBorders>
              <w:top w:val="double" w:color="auto" w:sz="6" w:space="0"/>
              <w:bottom w:val="single" w:color="auto" w:sz="6" w:space="0"/>
            </w:tcBorders>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tcBorders>
              <w:top w:val="nil"/>
            </w:tcBorders>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tcBorders>
              <w:top w:val="nil"/>
            </w:tcBorders>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tcBorders>
              <w:top w:val="nil"/>
            </w:tcBorders>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tcBorders>
              <w:top w:val="nil"/>
            </w:tcBorders>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tcBorders>
              <w:top w:val="nil"/>
            </w:tcBorders>
            <w:noWrap w:val="0"/>
            <w:vAlign w:val="top"/>
          </w:tcPr>
          <w:p>
            <w:pPr>
              <w:pStyle w:val="10"/>
              <w:keepNext/>
              <w:spacing w:after="0" w:line="440" w:lineRule="exact"/>
              <w:ind w:left="63" w:right="63"/>
              <w:jc w:val="center"/>
              <w:rPr>
                <w:color w:val="000000"/>
                <w:kern w:val="2"/>
                <w:sz w:val="21"/>
                <w:szCs w:val="21"/>
                <w:highlight w:val="none"/>
                <w:lang w:val="en-US" w:eastAsia="zh-CN"/>
              </w:rPr>
            </w:pPr>
          </w:p>
        </w:tc>
        <w:tc>
          <w:tcPr>
            <w:tcW w:w="1276" w:type="dxa"/>
            <w:tcBorders>
              <w:top w:val="nil"/>
            </w:tcBorders>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984"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4678" w:type="dxa"/>
            <w:noWrap w:val="0"/>
            <w:vAlign w:val="top"/>
          </w:tcPr>
          <w:p>
            <w:pPr>
              <w:pStyle w:val="10"/>
              <w:keepNext/>
              <w:spacing w:after="0" w:line="440" w:lineRule="exact"/>
              <w:ind w:left="63" w:right="63"/>
              <w:rPr>
                <w:color w:val="000000"/>
                <w:kern w:val="2"/>
                <w:sz w:val="21"/>
                <w:szCs w:val="21"/>
                <w:highlight w:val="none"/>
                <w:lang w:val="en-US" w:eastAsia="zh-CN"/>
              </w:rPr>
            </w:pPr>
          </w:p>
        </w:tc>
        <w:tc>
          <w:tcPr>
            <w:tcW w:w="1276" w:type="dxa"/>
            <w:noWrap w:val="0"/>
            <w:vAlign w:val="top"/>
          </w:tcPr>
          <w:p>
            <w:pPr>
              <w:pStyle w:val="10"/>
              <w:keepNext/>
              <w:spacing w:after="0" w:line="440" w:lineRule="exact"/>
              <w:ind w:left="63" w:right="63"/>
              <w:rPr>
                <w:color w:val="000000"/>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pStyle w:val="10"/>
              <w:keepNext/>
              <w:spacing w:after="0" w:line="440" w:lineRule="exact"/>
              <w:ind w:left="63" w:right="63"/>
              <w:rPr>
                <w:color w:val="000000"/>
                <w:kern w:val="2"/>
                <w:sz w:val="21"/>
                <w:szCs w:val="21"/>
                <w:highlight w:val="none"/>
                <w:lang w:val="en-US" w:eastAsia="zh-CN"/>
              </w:rPr>
            </w:pPr>
            <w:r>
              <w:rPr>
                <w:rFonts w:eastAsia="仿宋_GB2312"/>
                <w:color w:val="000000"/>
                <w:kern w:val="2"/>
                <w:sz w:val="28"/>
                <w:szCs w:val="30"/>
                <w:highlight w:val="none"/>
                <w:lang w:val="en-US" w:eastAsia="zh-CN"/>
              </w:rPr>
              <w:t>小计：</w:t>
            </w:r>
          </w:p>
        </w:tc>
      </w:tr>
    </w:tbl>
    <w:p>
      <w:pPr>
        <w:rPr>
          <w:rFonts w:hint="eastAsia"/>
          <w:highlight w:val="none"/>
          <w:lang w:val="en-US" w:eastAsia="zh-CN"/>
        </w:rPr>
      </w:pPr>
      <w:r>
        <w:rPr>
          <w:rFonts w:hint="eastAsia"/>
          <w:highlight w:val="none"/>
          <w:lang w:val="en-US" w:eastAsia="zh-CN"/>
        </w:rPr>
        <w:br w:type="page"/>
      </w:r>
    </w:p>
    <w:p>
      <w:pPr>
        <w:pStyle w:val="20"/>
        <w:numPr>
          <w:ilvl w:val="0"/>
          <w:numId w:val="0"/>
        </w:numPr>
        <w:spacing w:line="360" w:lineRule="auto"/>
        <w:jc w:val="center"/>
        <w:rPr>
          <w:color w:val="auto"/>
          <w:sz w:val="36"/>
          <w:szCs w:val="36"/>
          <w:highlight w:val="none"/>
        </w:rPr>
      </w:pPr>
      <w:bookmarkStart w:id="1232" w:name="_Toc20157"/>
      <w:bookmarkStart w:id="1233" w:name="_Toc201719183"/>
      <w:r>
        <w:rPr>
          <w:rFonts w:hint="eastAsia"/>
          <w:color w:val="auto"/>
          <w:sz w:val="36"/>
          <w:szCs w:val="36"/>
          <w:highlight w:val="none"/>
          <w:lang w:val="en-US" w:eastAsia="zh-CN"/>
        </w:rPr>
        <w:t>第五章</w:t>
      </w:r>
      <w:r>
        <w:rPr>
          <w:rFonts w:hint="eastAsia"/>
          <w:color w:val="auto"/>
          <w:sz w:val="36"/>
          <w:szCs w:val="36"/>
          <w:highlight w:val="none"/>
        </w:rPr>
        <w:t xml:space="preserve"> </w:t>
      </w:r>
      <w:bookmarkStart w:id="1234" w:name="_Toc11729"/>
      <w:r>
        <w:rPr>
          <w:rFonts w:hint="eastAsia"/>
          <w:color w:val="auto"/>
          <w:sz w:val="36"/>
          <w:szCs w:val="36"/>
          <w:highlight w:val="none"/>
          <w:lang w:val="zh-CN"/>
        </w:rPr>
        <w:t>工程量</w:t>
      </w:r>
      <w:r>
        <w:rPr>
          <w:rFonts w:hint="eastAsia"/>
          <w:color w:val="auto"/>
          <w:sz w:val="36"/>
          <w:szCs w:val="36"/>
          <w:highlight w:val="none"/>
        </w:rPr>
        <w:t>清单</w:t>
      </w:r>
      <w:bookmarkEnd w:id="1232"/>
      <w:bookmarkEnd w:id="1234"/>
    </w:p>
    <w:p>
      <w:pPr>
        <w:spacing w:line="360" w:lineRule="auto"/>
        <w:ind w:firstLine="411" w:firstLineChars="196"/>
        <w:rPr>
          <w:rFonts w:ascii="宋体" w:hAnsi="宋体"/>
          <w:color w:val="auto"/>
          <w:szCs w:val="21"/>
          <w:highlight w:val="none"/>
        </w:rPr>
      </w:pPr>
    </w:p>
    <w:p>
      <w:pPr>
        <w:spacing w:line="360" w:lineRule="auto"/>
        <w:ind w:firstLine="413" w:firstLineChars="196"/>
        <w:jc w:val="center"/>
        <w:rPr>
          <w:rFonts w:ascii="宋体" w:hAnsi="宋体"/>
          <w:b/>
          <w:bCs/>
          <w:color w:val="auto"/>
          <w:szCs w:val="21"/>
          <w:highlight w:val="none"/>
        </w:rPr>
        <w:sectPr>
          <w:footerReference r:id="rId6" w:type="default"/>
          <w:pgSz w:w="11907" w:h="16840"/>
          <w:pgMar w:top="1247" w:right="1247" w:bottom="1247" w:left="1020" w:header="851" w:footer="992" w:gutter="397"/>
          <w:pgNumType w:fmt="decimal"/>
          <w:cols w:space="720" w:num="1"/>
          <w:docGrid w:linePitch="435" w:charSpace="0"/>
        </w:sectPr>
      </w:pPr>
      <w:r>
        <w:rPr>
          <w:rFonts w:hint="eastAsia" w:ascii="宋体" w:hAnsi="宋体"/>
          <w:b/>
          <w:bCs/>
          <w:color w:val="auto"/>
          <w:szCs w:val="21"/>
          <w:highlight w:val="none"/>
        </w:rPr>
        <w:t>（清单另附）</w:t>
      </w:r>
    </w:p>
    <w:bookmarkEnd w:id="1233"/>
    <w:p>
      <w:pPr>
        <w:pStyle w:val="20"/>
        <w:numPr>
          <w:ilvl w:val="0"/>
          <w:numId w:val="0"/>
        </w:numPr>
        <w:spacing w:line="360" w:lineRule="auto"/>
        <w:jc w:val="center"/>
        <w:rPr>
          <w:rFonts w:hint="eastAsia" w:eastAsia="宋体"/>
          <w:color w:val="auto"/>
          <w:sz w:val="36"/>
          <w:szCs w:val="36"/>
          <w:highlight w:val="none"/>
          <w:lang w:eastAsia="zh-CN"/>
        </w:rPr>
      </w:pPr>
      <w:bookmarkStart w:id="1235" w:name="_Toc8132"/>
      <w:r>
        <w:rPr>
          <w:rFonts w:hint="eastAsia"/>
          <w:color w:val="auto"/>
          <w:sz w:val="36"/>
          <w:szCs w:val="36"/>
          <w:highlight w:val="none"/>
          <w:lang w:val="en-US" w:eastAsia="zh-CN"/>
        </w:rPr>
        <w:t>第六章</w:t>
      </w:r>
      <w:r>
        <w:rPr>
          <w:rFonts w:hint="eastAsia"/>
          <w:color w:val="auto"/>
          <w:sz w:val="36"/>
          <w:szCs w:val="36"/>
          <w:highlight w:val="none"/>
        </w:rPr>
        <w:t xml:space="preserve"> </w:t>
      </w:r>
      <w:r>
        <w:rPr>
          <w:rFonts w:hint="eastAsia"/>
          <w:color w:val="auto"/>
          <w:sz w:val="36"/>
          <w:szCs w:val="36"/>
          <w:highlight w:val="none"/>
          <w:lang w:val="en-US" w:eastAsia="zh-CN"/>
        </w:rPr>
        <w:t>图纸</w:t>
      </w:r>
      <w:bookmarkEnd w:id="1235"/>
    </w:p>
    <w:p>
      <w:pPr>
        <w:spacing w:line="360" w:lineRule="auto"/>
        <w:ind w:firstLine="411" w:firstLineChars="196"/>
        <w:rPr>
          <w:rFonts w:ascii="宋体" w:hAnsi="宋体"/>
          <w:color w:val="auto"/>
          <w:szCs w:val="21"/>
          <w:highlight w:val="none"/>
        </w:rPr>
      </w:pPr>
    </w:p>
    <w:p>
      <w:pPr>
        <w:pStyle w:val="2"/>
        <w:jc w:val="center"/>
        <w:rPr>
          <w:rFonts w:hint="eastAsia"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lang w:val="en-US" w:eastAsia="zh-CN"/>
        </w:rPr>
        <w:t>图纸</w:t>
      </w:r>
      <w:r>
        <w:rPr>
          <w:rFonts w:hint="eastAsia" w:ascii="宋体" w:hAnsi="宋体"/>
          <w:b/>
          <w:bCs/>
          <w:color w:val="auto"/>
          <w:szCs w:val="21"/>
          <w:highlight w:val="none"/>
        </w:rPr>
        <w:t>另附）</w:t>
      </w:r>
    </w:p>
    <w:p>
      <w:pPr>
        <w:rPr>
          <w:rFonts w:hint="eastAsia" w:ascii="宋体" w:hAnsi="宋体"/>
          <w:b/>
          <w:bCs/>
          <w:color w:val="auto"/>
          <w:szCs w:val="21"/>
          <w:highlight w:val="none"/>
        </w:rPr>
      </w:pPr>
      <w:r>
        <w:rPr>
          <w:rFonts w:hint="eastAsia" w:ascii="宋体" w:hAnsi="宋体"/>
          <w:b/>
          <w:bCs/>
          <w:color w:val="auto"/>
          <w:szCs w:val="21"/>
          <w:highlight w:val="none"/>
        </w:rPr>
        <w:br w:type="page"/>
      </w:r>
    </w:p>
    <w:p>
      <w:pPr>
        <w:jc w:val="center"/>
        <w:outlineLvl w:val="0"/>
        <w:rPr>
          <w:rFonts w:hint="eastAsia" w:ascii="Arial" w:hAnsi="Arial"/>
          <w:b/>
          <w:bCs/>
          <w:color w:val="auto"/>
          <w:kern w:val="0"/>
          <w:sz w:val="36"/>
          <w:szCs w:val="36"/>
          <w:highlight w:val="none"/>
        </w:rPr>
      </w:pPr>
      <w:bookmarkStart w:id="1236" w:name="_Toc469666529"/>
      <w:bookmarkStart w:id="1237" w:name="_Toc311205808"/>
      <w:bookmarkStart w:id="1238" w:name="_Toc310088859"/>
      <w:bookmarkStart w:id="1239" w:name="_Toc515629898"/>
      <w:bookmarkStart w:id="1240" w:name="_Toc28757"/>
      <w:bookmarkStart w:id="1241" w:name="_Toc21614"/>
      <w:r>
        <w:rPr>
          <w:rFonts w:hint="eastAsia" w:ascii="Arial" w:hAnsi="Arial"/>
          <w:b/>
          <w:bCs/>
          <w:color w:val="auto"/>
          <w:kern w:val="0"/>
          <w:sz w:val="36"/>
          <w:szCs w:val="36"/>
          <w:highlight w:val="none"/>
        </w:rPr>
        <w:t>第七章  技术标准和要求</w:t>
      </w:r>
      <w:bookmarkEnd w:id="1236"/>
      <w:bookmarkEnd w:id="1237"/>
      <w:bookmarkEnd w:id="1238"/>
      <w:bookmarkEnd w:id="1239"/>
      <w:bookmarkEnd w:id="1240"/>
      <w:bookmarkEnd w:id="1241"/>
    </w:p>
    <w:p>
      <w:pPr>
        <w:bidi w:val="0"/>
        <w:rPr>
          <w:rFonts w:hint="eastAsia" w:ascii="Times New Roman" w:hAnsi="Times New Roman" w:eastAsia="宋体" w:cs="Times New Roman"/>
          <w:kern w:val="2"/>
          <w:sz w:val="21"/>
          <w:szCs w:val="24"/>
          <w:highlight w:val="none"/>
          <w:lang w:val="en-US" w:eastAsia="zh-CN" w:bidi="ar-SA"/>
        </w:rPr>
      </w:pPr>
    </w:p>
    <w:p>
      <w:pPr>
        <w:jc w:val="center"/>
        <w:rPr>
          <w:rFonts w:hint="eastAsia"/>
          <w:highlight w:val="none"/>
          <w:lang w:val="en-US" w:eastAsia="zh-CN"/>
        </w:rPr>
      </w:pPr>
      <w:r>
        <w:rPr>
          <w:rFonts w:hint="eastAsia" w:ascii="宋体" w:hAnsi="宋体" w:cs="宋体"/>
          <w:highlight w:val="none"/>
          <w:lang w:val="en-US" w:eastAsia="zh-CN"/>
        </w:rPr>
        <w:t>充分发挥职工文化服务阵地作用，将长春市工人文化宫一楼490平方米场馆空间装修改造为艺术剧场。具体详见工程量清单及图纸。</w:t>
      </w:r>
      <w:r>
        <w:rPr>
          <w:rFonts w:hint="eastAsia"/>
          <w:highlight w:val="none"/>
          <w:lang w:val="en-US" w:eastAsia="zh-CN"/>
        </w:rPr>
        <w:br w:type="page"/>
      </w:r>
    </w:p>
    <w:p>
      <w:pPr>
        <w:pStyle w:val="3"/>
        <w:jc w:val="center"/>
        <w:outlineLvl w:val="0"/>
        <w:rPr>
          <w:rFonts w:hint="eastAsia"/>
          <w:color w:val="auto"/>
          <w:sz w:val="36"/>
          <w:szCs w:val="36"/>
          <w:highlight w:val="none"/>
        </w:rPr>
      </w:pPr>
      <w:bookmarkStart w:id="1242" w:name="_Toc18148"/>
      <w:r>
        <w:rPr>
          <w:rFonts w:hint="eastAsia"/>
          <w:color w:val="auto"/>
          <w:sz w:val="36"/>
          <w:szCs w:val="36"/>
          <w:highlight w:val="none"/>
        </w:rPr>
        <w:t>第八章  磋商响应文件格式</w:t>
      </w:r>
      <w:bookmarkEnd w:id="1242"/>
    </w:p>
    <w:p>
      <w:pPr>
        <w:bidi w:val="0"/>
        <w:rPr>
          <w:rFonts w:hint="eastAsia"/>
          <w:highlight w:val="none"/>
          <w:lang w:val="en-US" w:eastAsia="zh-CN"/>
        </w:rPr>
      </w:pPr>
    </w:p>
    <w:p>
      <w:pPr>
        <w:ind w:firstLine="1320" w:firstLineChars="300"/>
        <w:outlineLvl w:val="9"/>
        <w:rPr>
          <w:rFonts w:ascii="宋体" w:hAnsi="宋体"/>
          <w:b/>
          <w:bCs/>
          <w:color w:val="auto"/>
          <w:kern w:val="0"/>
          <w:sz w:val="44"/>
          <w:szCs w:val="44"/>
          <w:highlight w:val="none"/>
        </w:rPr>
      </w:pPr>
    </w:p>
    <w:p>
      <w:pPr>
        <w:ind w:firstLine="1440" w:firstLineChars="300"/>
        <w:outlineLvl w:val="0"/>
        <w:rPr>
          <w:rFonts w:ascii="宋体" w:hAnsi="宋体"/>
          <w:b/>
          <w:color w:val="auto"/>
          <w:sz w:val="36"/>
          <w:highlight w:val="none"/>
        </w:rPr>
      </w:pPr>
      <w:r>
        <w:rPr>
          <w:rFonts w:hint="eastAsia" w:ascii="宋体" w:hAnsi="宋体"/>
          <w:b/>
          <w:bCs/>
          <w:color w:val="auto"/>
          <w:sz w:val="48"/>
          <w:highlight w:val="none"/>
          <w:u w:val="single"/>
        </w:rPr>
        <w:t xml:space="preserve"> </w:t>
      </w:r>
      <w:r>
        <w:rPr>
          <w:rFonts w:hint="eastAsia" w:ascii="宋体" w:hAnsi="宋体"/>
          <w:b/>
          <w:bCs/>
          <w:color w:val="auto"/>
          <w:sz w:val="36"/>
          <w:highlight w:val="none"/>
          <w:u w:val="single"/>
        </w:rPr>
        <w:t xml:space="preserve">                         </w:t>
      </w:r>
      <w:bookmarkStart w:id="1243" w:name="_Toc7045"/>
      <w:bookmarkStart w:id="1244" w:name="_Toc30834"/>
      <w:bookmarkStart w:id="1245" w:name="_Toc26384"/>
      <w:r>
        <w:rPr>
          <w:rFonts w:ascii="黑体" w:hAnsi="黑体" w:eastAsia="黑体"/>
          <w:color w:val="auto"/>
          <w:sz w:val="36"/>
          <w:highlight w:val="none"/>
        </w:rPr>
        <w:t>（项目名称）</w:t>
      </w:r>
      <w:bookmarkEnd w:id="1243"/>
      <w:bookmarkEnd w:id="1244"/>
      <w:bookmarkEnd w:id="1245"/>
    </w:p>
    <w:p>
      <w:pPr>
        <w:ind w:firstLine="1080" w:firstLineChars="300"/>
        <w:rPr>
          <w:rFonts w:ascii="宋体" w:hAnsi="宋体"/>
          <w:b/>
          <w:color w:val="auto"/>
          <w:sz w:val="36"/>
          <w:highlight w:val="none"/>
        </w:rPr>
      </w:pPr>
    </w:p>
    <w:p>
      <w:pPr>
        <w:ind w:firstLine="1080" w:firstLineChars="300"/>
        <w:rPr>
          <w:rFonts w:ascii="宋体" w:hAnsi="宋体"/>
          <w:b/>
          <w:color w:val="auto"/>
          <w:sz w:val="36"/>
          <w:highlight w:val="none"/>
        </w:rPr>
      </w:pPr>
    </w:p>
    <w:p>
      <w:pPr>
        <w:ind w:firstLine="1080" w:firstLineChars="300"/>
        <w:rPr>
          <w:rFonts w:ascii="宋体" w:hAnsi="宋体"/>
          <w:b/>
          <w:color w:val="auto"/>
          <w:sz w:val="36"/>
          <w:highlight w:val="none"/>
        </w:rPr>
      </w:pPr>
    </w:p>
    <w:p>
      <w:pPr>
        <w:ind w:firstLine="1080" w:firstLineChars="300"/>
        <w:rPr>
          <w:rFonts w:ascii="宋体" w:hAnsi="宋体"/>
          <w:b/>
          <w:color w:val="auto"/>
          <w:sz w:val="36"/>
          <w:highlight w:val="none"/>
        </w:rPr>
      </w:pPr>
    </w:p>
    <w:p>
      <w:pPr>
        <w:ind w:firstLine="1080" w:firstLineChars="300"/>
        <w:rPr>
          <w:rFonts w:ascii="宋体" w:hAnsi="宋体"/>
          <w:b/>
          <w:color w:val="auto"/>
          <w:sz w:val="36"/>
          <w:highlight w:val="none"/>
        </w:rPr>
      </w:pPr>
    </w:p>
    <w:p>
      <w:pPr>
        <w:rPr>
          <w:rFonts w:ascii="黑体" w:hAnsi="宋体" w:eastAsia="黑体"/>
          <w:b/>
          <w:color w:val="auto"/>
          <w:sz w:val="72"/>
          <w:highlight w:val="none"/>
        </w:rPr>
      </w:pPr>
    </w:p>
    <w:p>
      <w:pPr>
        <w:pStyle w:val="21"/>
        <w:rPr>
          <w:color w:val="auto"/>
          <w:highlight w:val="none"/>
        </w:rPr>
      </w:pPr>
    </w:p>
    <w:p>
      <w:pPr>
        <w:jc w:val="center"/>
        <w:outlineLvl w:val="0"/>
        <w:rPr>
          <w:rFonts w:ascii="黑体" w:hAnsi="宋体" w:eastAsia="黑体"/>
          <w:b/>
          <w:color w:val="auto"/>
          <w:sz w:val="72"/>
          <w:highlight w:val="none"/>
        </w:rPr>
      </w:pPr>
      <w:bookmarkStart w:id="1246" w:name="_Toc25871"/>
      <w:bookmarkStart w:id="1247" w:name="_Toc426"/>
      <w:bookmarkStart w:id="1248" w:name="_Toc23602"/>
      <w:r>
        <w:rPr>
          <w:rFonts w:hint="eastAsia" w:ascii="黑体" w:hAnsi="宋体" w:eastAsia="黑体"/>
          <w:b/>
          <w:color w:val="auto"/>
          <w:sz w:val="72"/>
          <w:highlight w:val="none"/>
        </w:rPr>
        <w:t>响 应 文 件</w:t>
      </w:r>
      <w:bookmarkEnd w:id="1246"/>
      <w:bookmarkEnd w:id="1247"/>
      <w:bookmarkEnd w:id="1248"/>
    </w:p>
    <w:p>
      <w:pPr>
        <w:autoSpaceDE w:val="0"/>
        <w:autoSpaceDN w:val="0"/>
        <w:adjustRightInd w:val="0"/>
        <w:spacing w:line="400" w:lineRule="exact"/>
        <w:jc w:val="left"/>
        <w:rPr>
          <w:rFonts w:ascii="宋体" w:hAnsi="宋体" w:cs="宋体"/>
          <w:color w:val="auto"/>
          <w:szCs w:val="18"/>
          <w:highlight w:val="none"/>
          <w:lang w:val="zh-CN"/>
        </w:rPr>
      </w:pPr>
    </w:p>
    <w:p>
      <w:pPr>
        <w:jc w:val="center"/>
        <w:rPr>
          <w:rFonts w:ascii="宋体" w:hAnsi="宋体"/>
          <w:b/>
          <w:color w:val="auto"/>
          <w:sz w:val="28"/>
          <w:highlight w:val="none"/>
        </w:rPr>
      </w:pPr>
      <w:r>
        <w:rPr>
          <w:rFonts w:hint="eastAsia" w:ascii="宋体" w:hAnsi="宋体"/>
          <w:b/>
          <w:color w:val="auto"/>
          <w:sz w:val="28"/>
          <w:highlight w:val="none"/>
        </w:rPr>
        <w:t>项目编号：</w:t>
      </w:r>
    </w:p>
    <w:p>
      <w:pPr>
        <w:autoSpaceDE w:val="0"/>
        <w:autoSpaceDN w:val="0"/>
        <w:adjustRightInd w:val="0"/>
        <w:spacing w:line="400" w:lineRule="exact"/>
        <w:jc w:val="center"/>
        <w:rPr>
          <w:rFonts w:ascii="宋体" w:hAnsi="宋体" w:cs="宋体"/>
          <w:color w:val="auto"/>
          <w:szCs w:val="18"/>
          <w:highlight w:val="none"/>
          <w:lang w:val="zh-CN"/>
        </w:rPr>
      </w:pPr>
    </w:p>
    <w:p>
      <w:pPr>
        <w:autoSpaceDE w:val="0"/>
        <w:autoSpaceDN w:val="0"/>
        <w:adjustRightInd w:val="0"/>
        <w:spacing w:line="400" w:lineRule="exact"/>
        <w:jc w:val="left"/>
        <w:rPr>
          <w:rFonts w:ascii="宋体" w:hAnsi="宋体" w:cs="宋体"/>
          <w:color w:val="auto"/>
          <w:szCs w:val="18"/>
          <w:highlight w:val="none"/>
          <w:lang w:val="zh-CN"/>
        </w:rPr>
      </w:pPr>
    </w:p>
    <w:p>
      <w:pPr>
        <w:autoSpaceDE w:val="0"/>
        <w:autoSpaceDN w:val="0"/>
        <w:adjustRightInd w:val="0"/>
        <w:spacing w:line="400" w:lineRule="exact"/>
        <w:jc w:val="left"/>
        <w:rPr>
          <w:rFonts w:hint="eastAsia" w:ascii="宋体" w:hAnsi="宋体" w:cs="宋体"/>
          <w:color w:val="auto"/>
          <w:szCs w:val="18"/>
          <w:highlight w:val="none"/>
          <w:lang w:val="zh-CN"/>
        </w:rPr>
      </w:pPr>
    </w:p>
    <w:p>
      <w:pPr>
        <w:autoSpaceDE w:val="0"/>
        <w:autoSpaceDN w:val="0"/>
        <w:adjustRightInd w:val="0"/>
        <w:spacing w:line="400" w:lineRule="exact"/>
        <w:jc w:val="left"/>
        <w:rPr>
          <w:rFonts w:ascii="宋体" w:hAnsi="宋体" w:cs="宋体"/>
          <w:color w:val="auto"/>
          <w:szCs w:val="18"/>
          <w:highlight w:val="none"/>
          <w:lang w:val="zh-CN"/>
        </w:rPr>
      </w:pPr>
    </w:p>
    <w:p>
      <w:pPr>
        <w:autoSpaceDE w:val="0"/>
        <w:autoSpaceDN w:val="0"/>
        <w:adjustRightInd w:val="0"/>
        <w:spacing w:line="400" w:lineRule="exact"/>
        <w:jc w:val="left"/>
        <w:rPr>
          <w:rFonts w:ascii="宋体" w:hAnsi="宋体" w:cs="宋体"/>
          <w:color w:val="auto"/>
          <w:szCs w:val="18"/>
          <w:highlight w:val="none"/>
          <w:lang w:val="zh-CN"/>
        </w:rPr>
      </w:pPr>
    </w:p>
    <w:p>
      <w:pPr>
        <w:autoSpaceDE w:val="0"/>
        <w:autoSpaceDN w:val="0"/>
        <w:adjustRightInd w:val="0"/>
        <w:spacing w:line="400" w:lineRule="exact"/>
        <w:jc w:val="left"/>
        <w:rPr>
          <w:rFonts w:ascii="宋体" w:hAnsi="宋体" w:cs="宋体"/>
          <w:color w:val="auto"/>
          <w:szCs w:val="18"/>
          <w:highlight w:val="none"/>
          <w:lang w:val="zh-CN"/>
        </w:rPr>
      </w:pPr>
    </w:p>
    <w:p>
      <w:pPr>
        <w:autoSpaceDE w:val="0"/>
        <w:autoSpaceDN w:val="0"/>
        <w:adjustRightInd w:val="0"/>
        <w:spacing w:line="400" w:lineRule="exact"/>
        <w:jc w:val="left"/>
        <w:rPr>
          <w:rFonts w:ascii="宋体" w:hAnsi="宋体" w:cs="宋体"/>
          <w:color w:val="auto"/>
          <w:szCs w:val="18"/>
          <w:highlight w:val="none"/>
          <w:lang w:val="zh-CN"/>
        </w:rPr>
      </w:pPr>
    </w:p>
    <w:p>
      <w:pPr>
        <w:jc w:val="center"/>
        <w:rPr>
          <w:rFonts w:ascii="宋体" w:hAnsi="宋体"/>
          <w:b/>
          <w:color w:val="auto"/>
          <w:sz w:val="30"/>
          <w:highlight w:val="none"/>
          <w:u w:val="single"/>
        </w:rPr>
      </w:pPr>
      <w:r>
        <w:rPr>
          <w:rFonts w:hint="eastAsia"/>
          <w:b/>
          <w:color w:val="auto"/>
          <w:sz w:val="30"/>
          <w:szCs w:val="30"/>
          <w:highlight w:val="none"/>
        </w:rPr>
        <w:t>供   应   商：</w:t>
      </w:r>
      <w:r>
        <w:rPr>
          <w:rFonts w:hint="eastAsia" w:ascii="宋体" w:hAnsi="宋体"/>
          <w:b/>
          <w:color w:val="auto"/>
          <w:sz w:val="30"/>
          <w:highlight w:val="none"/>
          <w:u w:val="single"/>
        </w:rPr>
        <w:t xml:space="preserve">            </w:t>
      </w:r>
      <w:r>
        <w:rPr>
          <w:rFonts w:hint="eastAsia" w:ascii="宋体" w:hAnsi="宋体"/>
          <w:b/>
          <w:color w:val="auto"/>
          <w:sz w:val="30"/>
          <w:highlight w:val="none"/>
          <w:u w:val="single"/>
        </w:rPr>
        <w:tab/>
      </w:r>
      <w:r>
        <w:rPr>
          <w:rFonts w:hint="eastAsia" w:ascii="宋体" w:hAnsi="宋体"/>
          <w:b/>
          <w:color w:val="auto"/>
          <w:sz w:val="30"/>
          <w:highlight w:val="none"/>
          <w:u w:val="single"/>
        </w:rPr>
        <w:tab/>
      </w:r>
      <w:r>
        <w:rPr>
          <w:rFonts w:hint="eastAsia" w:ascii="宋体" w:hAnsi="宋体"/>
          <w:b/>
          <w:color w:val="auto"/>
          <w:sz w:val="30"/>
          <w:highlight w:val="none"/>
          <w:u w:val="single"/>
        </w:rPr>
        <w:t xml:space="preserve">            （盖章）</w:t>
      </w:r>
    </w:p>
    <w:p>
      <w:pPr>
        <w:jc w:val="center"/>
        <w:rPr>
          <w:rFonts w:ascii="宋体" w:hAnsi="宋体" w:cs="宋体"/>
          <w:color w:val="auto"/>
          <w:sz w:val="28"/>
          <w:szCs w:val="18"/>
          <w:highlight w:val="none"/>
          <w:lang w:val="zh-CN"/>
        </w:rPr>
      </w:pPr>
      <w:r>
        <w:rPr>
          <w:rFonts w:hint="eastAsia" w:ascii="宋体" w:hAnsi="宋体"/>
          <w:b/>
          <w:color w:val="auto"/>
          <w:sz w:val="30"/>
          <w:highlight w:val="none"/>
        </w:rPr>
        <w:t>法定代表人或其</w:t>
      </w:r>
      <w:r>
        <w:rPr>
          <w:rFonts w:hint="eastAsia" w:ascii="宋体" w:hAnsi="宋体"/>
          <w:b/>
          <w:color w:val="auto"/>
          <w:spacing w:val="40"/>
          <w:sz w:val="30"/>
          <w:highlight w:val="none"/>
        </w:rPr>
        <w:t>委托代理人</w:t>
      </w:r>
      <w:r>
        <w:rPr>
          <w:rFonts w:hint="eastAsia" w:ascii="宋体" w:hAnsi="宋体"/>
          <w:b/>
          <w:color w:val="auto"/>
          <w:sz w:val="30"/>
          <w:highlight w:val="none"/>
        </w:rPr>
        <w:t>：</w:t>
      </w:r>
      <w:r>
        <w:rPr>
          <w:rFonts w:hint="eastAsia" w:ascii="宋体" w:hAnsi="宋体"/>
          <w:b/>
          <w:color w:val="auto"/>
          <w:sz w:val="30"/>
          <w:highlight w:val="none"/>
          <w:u w:val="single"/>
        </w:rPr>
        <w:t xml:space="preserve">              （签字或盖章）</w:t>
      </w:r>
    </w:p>
    <w:p>
      <w:pPr>
        <w:bidi w:val="0"/>
        <w:jc w:val="center"/>
        <w:rPr>
          <w:rFonts w:hint="eastAsia" w:ascii="宋体" w:hAnsi="宋体"/>
          <w:b/>
          <w:color w:val="auto"/>
          <w:sz w:val="30"/>
          <w:highlight w:val="none"/>
        </w:rPr>
      </w:pPr>
      <w:r>
        <w:rPr>
          <w:rFonts w:hint="eastAsia" w:ascii="宋体" w:hAnsi="宋体"/>
          <w:b/>
          <w:color w:val="auto"/>
          <w:sz w:val="30"/>
          <w:highlight w:val="none"/>
        </w:rPr>
        <w:t>日  期：</w:t>
      </w:r>
      <w:r>
        <w:rPr>
          <w:rFonts w:hint="eastAsia" w:ascii="宋体" w:hAnsi="宋体"/>
          <w:b/>
          <w:color w:val="auto"/>
          <w:sz w:val="30"/>
          <w:highlight w:val="none"/>
          <w:u w:val="single"/>
        </w:rPr>
        <w:t xml:space="preserve">      </w:t>
      </w:r>
      <w:r>
        <w:rPr>
          <w:rFonts w:hint="eastAsia" w:ascii="宋体" w:hAnsi="宋体"/>
          <w:b/>
          <w:color w:val="auto"/>
          <w:sz w:val="30"/>
          <w:highlight w:val="none"/>
        </w:rPr>
        <w:t xml:space="preserve"> 年</w:t>
      </w:r>
      <w:r>
        <w:rPr>
          <w:rFonts w:hint="eastAsia" w:ascii="宋体" w:hAnsi="宋体"/>
          <w:b/>
          <w:color w:val="auto"/>
          <w:sz w:val="30"/>
          <w:highlight w:val="none"/>
          <w:u w:val="single"/>
        </w:rPr>
        <w:t xml:space="preserve">     </w:t>
      </w:r>
      <w:r>
        <w:rPr>
          <w:rFonts w:hint="eastAsia" w:ascii="宋体" w:hAnsi="宋体"/>
          <w:b/>
          <w:color w:val="auto"/>
          <w:sz w:val="30"/>
          <w:highlight w:val="none"/>
        </w:rPr>
        <w:t xml:space="preserve"> 月</w:t>
      </w:r>
      <w:r>
        <w:rPr>
          <w:rFonts w:hint="eastAsia" w:ascii="宋体" w:hAnsi="宋体"/>
          <w:b/>
          <w:color w:val="auto"/>
          <w:sz w:val="30"/>
          <w:highlight w:val="none"/>
          <w:u w:val="single"/>
        </w:rPr>
        <w:t xml:space="preserve">     </w:t>
      </w:r>
      <w:r>
        <w:rPr>
          <w:rFonts w:hint="eastAsia" w:ascii="宋体" w:hAnsi="宋体"/>
          <w:b/>
          <w:color w:val="auto"/>
          <w:sz w:val="30"/>
          <w:highlight w:val="none"/>
        </w:rPr>
        <w:t>日</w:t>
      </w:r>
    </w:p>
    <w:p>
      <w:pPr>
        <w:rPr>
          <w:rFonts w:hint="eastAsia" w:ascii="宋体" w:hAnsi="宋体"/>
          <w:b/>
          <w:color w:val="auto"/>
          <w:sz w:val="30"/>
          <w:highlight w:val="none"/>
        </w:rPr>
      </w:pPr>
      <w:r>
        <w:rPr>
          <w:rFonts w:hint="eastAsia" w:ascii="宋体" w:hAnsi="宋体"/>
          <w:b/>
          <w:color w:val="auto"/>
          <w:sz w:val="30"/>
          <w:highlight w:val="none"/>
        </w:rPr>
        <w:br w:type="page"/>
      </w:r>
    </w:p>
    <w:p>
      <w:pPr>
        <w:snapToGrid w:val="0"/>
        <w:spacing w:before="480" w:line="360" w:lineRule="auto"/>
        <w:jc w:val="center"/>
        <w:rPr>
          <w:rFonts w:ascii="宋体" w:hAnsi="宋体"/>
          <w:b/>
          <w:color w:val="auto"/>
          <w:sz w:val="30"/>
          <w:highlight w:val="none"/>
        </w:rPr>
      </w:pPr>
      <w:r>
        <w:rPr>
          <w:rFonts w:hint="eastAsia" w:ascii="黑体" w:hAnsi="黑体" w:eastAsia="黑体" w:cs="宋体"/>
          <w:bCs/>
          <w:color w:val="auto"/>
          <w:sz w:val="44"/>
          <w:szCs w:val="44"/>
          <w:highlight w:val="none"/>
          <w:lang w:val="zh-CN"/>
        </w:rPr>
        <w:t>目     录</w:t>
      </w:r>
    </w:p>
    <w:p>
      <w:pPr>
        <w:spacing w:before="120" w:line="360" w:lineRule="auto"/>
        <w:rPr>
          <w:rFonts w:hint="eastAsia" w:ascii="宋体" w:hAnsi="宋体" w:cs="宋体"/>
          <w:color w:val="auto"/>
          <w:szCs w:val="21"/>
          <w:highlight w:val="none"/>
        </w:rPr>
      </w:pPr>
      <w:r>
        <w:rPr>
          <w:rFonts w:hint="eastAsia" w:ascii="宋体" w:hAnsi="宋体" w:cs="宋体"/>
          <w:color w:val="auto"/>
          <w:szCs w:val="21"/>
          <w:highlight w:val="none"/>
        </w:rPr>
        <w:t>一、价格部分</w:t>
      </w:r>
    </w:p>
    <w:p>
      <w:pPr>
        <w:spacing w:line="360" w:lineRule="auto"/>
        <w:ind w:firstLine="426"/>
        <w:rPr>
          <w:rFonts w:hint="eastAsia" w:ascii="宋体" w:hAnsi="宋体" w:cs="宋体"/>
          <w:color w:val="auto"/>
          <w:szCs w:val="21"/>
          <w:highlight w:val="none"/>
        </w:rPr>
      </w:pPr>
      <w:r>
        <w:rPr>
          <w:rFonts w:hint="eastAsia" w:ascii="宋体" w:hAnsi="宋体" w:cs="宋体"/>
          <w:color w:val="auto"/>
          <w:szCs w:val="21"/>
          <w:highlight w:val="none"/>
        </w:rPr>
        <w:t>（1）首次报价表</w:t>
      </w:r>
    </w:p>
    <w:p>
      <w:pPr>
        <w:spacing w:line="360" w:lineRule="auto"/>
        <w:ind w:left="426"/>
        <w:rPr>
          <w:rFonts w:hint="eastAsia" w:ascii="宋体" w:hAnsi="宋体" w:cs="宋体"/>
          <w:color w:val="auto"/>
          <w:szCs w:val="21"/>
          <w:highlight w:val="none"/>
        </w:rPr>
      </w:pPr>
      <w:r>
        <w:rPr>
          <w:rFonts w:hint="eastAsia" w:ascii="宋体" w:hAnsi="宋体" w:cs="宋体"/>
          <w:color w:val="auto"/>
          <w:szCs w:val="21"/>
          <w:highlight w:val="none"/>
        </w:rPr>
        <w:t>（2）已标价工程量清单</w:t>
      </w:r>
    </w:p>
    <w:p>
      <w:pPr>
        <w:tabs>
          <w:tab w:val="left" w:pos="77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二、商务部分</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（1）响应函及响应函附录</w:t>
      </w:r>
    </w:p>
    <w:p>
      <w:pPr>
        <w:tabs>
          <w:tab w:val="left" w:pos="770"/>
        </w:tabs>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rPr>
        <w:t>（</w:t>
      </w:r>
      <w:r>
        <w:rPr>
          <w:rFonts w:hint="eastAsia" w:ascii="宋体" w:hAnsi="宋体" w:eastAsia="宋体" w:cs="宋体"/>
          <w:color w:val="auto"/>
          <w:szCs w:val="21"/>
          <w:highlight w:val="none"/>
        </w:rPr>
        <w:t>2）法定代表人身份证明书</w:t>
      </w:r>
    </w:p>
    <w:p>
      <w:pPr>
        <w:tabs>
          <w:tab w:val="left" w:pos="770"/>
        </w:tabs>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（3）被授权人身份证明书</w:t>
      </w:r>
    </w:p>
    <w:p>
      <w:pPr>
        <w:tabs>
          <w:tab w:val="left" w:pos="770"/>
        </w:tabs>
        <w:spacing w:line="360" w:lineRule="auto"/>
        <w:ind w:firstLine="420" w:firstLineChars="200"/>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zh-CN" w:eastAsia="zh-CN"/>
        </w:rPr>
        <w:t>联合体协议书（</w:t>
      </w:r>
      <w:r>
        <w:rPr>
          <w:rFonts w:hint="eastAsia" w:ascii="宋体" w:hAnsi="宋体" w:eastAsia="宋体" w:cs="宋体"/>
          <w:color w:val="auto"/>
          <w:szCs w:val="21"/>
          <w:highlight w:val="none"/>
          <w:lang w:val="en-US" w:eastAsia="zh-CN"/>
        </w:rPr>
        <w:t>如有</w:t>
      </w:r>
      <w:r>
        <w:rPr>
          <w:rFonts w:hint="eastAsia" w:ascii="宋体" w:hAnsi="宋体" w:eastAsia="宋体" w:cs="宋体"/>
          <w:color w:val="auto"/>
          <w:szCs w:val="21"/>
          <w:highlight w:val="none"/>
          <w:lang w:val="zh-CN" w:eastAsia="zh-CN"/>
        </w:rPr>
        <w:t>）</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eastAsia="宋体" w:cs="宋体"/>
          <w:color w:val="auto"/>
          <w:szCs w:val="21"/>
          <w:highlight w:val="none"/>
          <w:lang w:val="zh-CN"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val="zh-CN" w:eastAsia="zh-CN"/>
        </w:rPr>
        <w:t>）</w:t>
      </w:r>
      <w:r>
        <w:rPr>
          <w:rFonts w:hint="eastAsia" w:ascii="宋体" w:hAnsi="宋体" w:cs="宋体"/>
          <w:color w:val="auto"/>
          <w:szCs w:val="21"/>
          <w:highlight w:val="none"/>
        </w:rPr>
        <w:t>项目管理机构</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）资格审查材料</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）供应商的资格声明</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）供应商认为需要提供的其他商务文件材料，但应注意不要提供与评审无直接关联的文件材料</w:t>
      </w:r>
    </w:p>
    <w:p>
      <w:pPr>
        <w:tabs>
          <w:tab w:val="left" w:pos="77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三、技术部分</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（1）施工组织设计</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（2）优惠条件及服务承诺</w:t>
      </w:r>
    </w:p>
    <w:p>
      <w:pPr>
        <w:tabs>
          <w:tab w:val="left" w:pos="77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（3）供应商须知前附表规定的其他材料</w:t>
      </w:r>
    </w:p>
    <w:p>
      <w:pPr>
        <w:pStyle w:val="10"/>
        <w:rPr>
          <w:rFonts w:hint="eastAsia" w:ascii="宋体" w:hAnsi="宋体" w:cs="宋体"/>
          <w:color w:val="auto"/>
          <w:sz w:val="21"/>
          <w:szCs w:val="21"/>
          <w:highlight w:val="none"/>
        </w:rPr>
      </w:pPr>
    </w:p>
    <w:p>
      <w:pPr>
        <w:pStyle w:val="10"/>
        <w:rPr>
          <w:rFonts w:hint="eastAsia" w:ascii="宋体" w:hAnsi="宋体" w:cs="宋体"/>
          <w:color w:val="auto"/>
          <w:sz w:val="21"/>
          <w:szCs w:val="21"/>
          <w:highlight w:val="none"/>
        </w:rPr>
      </w:pPr>
    </w:p>
    <w:p>
      <w:pPr>
        <w:pStyle w:val="10"/>
        <w:rPr>
          <w:rFonts w:hint="eastAsia" w:ascii="宋体" w:hAnsi="宋体" w:cs="宋体"/>
          <w:color w:val="auto"/>
          <w:sz w:val="21"/>
          <w:szCs w:val="21"/>
          <w:highlight w:val="none"/>
        </w:rPr>
      </w:pPr>
    </w:p>
    <w:p>
      <w:pPr>
        <w:pStyle w:val="10"/>
        <w:rPr>
          <w:rFonts w:hint="eastAsia" w:ascii="宋体" w:hAnsi="宋体" w:cs="宋体"/>
          <w:color w:val="auto"/>
          <w:sz w:val="18"/>
          <w:szCs w:val="18"/>
          <w:highlight w:val="none"/>
        </w:rPr>
      </w:pPr>
    </w:p>
    <w:p>
      <w:pPr>
        <w:pStyle w:val="10"/>
        <w:jc w:val="right"/>
        <w:rPr>
          <w:rFonts w:hint="eastAsia" w:ascii="宋体" w:hAnsi="宋体" w:cs="宋体"/>
          <w:color w:val="auto"/>
          <w:sz w:val="18"/>
          <w:szCs w:val="18"/>
          <w:highlight w:val="none"/>
        </w:rPr>
        <w:sectPr>
          <w:footerReference r:id="rId7" w:type="default"/>
          <w:pgSz w:w="11906" w:h="16838"/>
          <w:pgMar w:top="1418" w:right="1134" w:bottom="1418" w:left="1418" w:header="851" w:footer="992" w:gutter="0"/>
          <w:pgNumType w:fmt="decimal"/>
          <w:cols w:space="720" w:num="1"/>
          <w:docGrid w:type="linesAndChars" w:linePitch="312" w:charSpace="0"/>
        </w:sectPr>
      </w:pPr>
      <w:r>
        <w:rPr>
          <w:rFonts w:hint="eastAsia" w:ascii="宋体" w:hAnsi="宋体" w:cs="宋体"/>
          <w:color w:val="auto"/>
          <w:sz w:val="24"/>
          <w:szCs w:val="16"/>
          <w:highlight w:val="none"/>
        </w:rPr>
        <w:t>须编制页码</w:t>
      </w:r>
    </w:p>
    <w:p>
      <w:pPr>
        <w:spacing w:before="200" w:line="360" w:lineRule="auto"/>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一、首次报价表</w:t>
      </w:r>
    </w:p>
    <w:p>
      <w:pPr>
        <w:snapToGrid w:val="0"/>
        <w:spacing w:line="360" w:lineRule="auto"/>
        <w:jc w:val="left"/>
        <w:rPr>
          <w:rFonts w:hint="eastAsia" w:ascii="宋体" w:hAnsi="宋体" w:cs="宋体"/>
          <w:color w:val="auto"/>
          <w:szCs w:val="21"/>
          <w:highlight w:val="none"/>
        </w:rPr>
      </w:pPr>
      <w:bookmarkStart w:id="1249" w:name="_Toc98580424"/>
      <w:r>
        <w:rPr>
          <w:rFonts w:hint="eastAsia" w:ascii="宋体" w:hAnsi="宋体" w:cs="宋体"/>
          <w:color w:val="auto"/>
          <w:szCs w:val="21"/>
          <w:highlight w:val="none"/>
        </w:rPr>
        <w:t>项目名称：</w:t>
      </w:r>
    </w:p>
    <w:p>
      <w:pPr>
        <w:snapToGrid w:val="0"/>
        <w:spacing w:line="360" w:lineRule="auto"/>
        <w:ind w:left="4095" w:hanging="4095" w:hangingChars="1950"/>
        <w:jc w:val="left"/>
        <w:rPr>
          <w:rFonts w:hint="eastAsia" w:ascii="宋体" w:hAnsi="宋体" w:cs="宋体"/>
          <w:color w:val="auto"/>
          <w:szCs w:val="21"/>
          <w:highlight w:val="none"/>
        </w:rPr>
      </w:pPr>
      <w:r>
        <w:rPr>
          <w:rFonts w:hint="eastAsia" w:ascii="宋体" w:hAnsi="宋体" w:cs="宋体"/>
          <w:color w:val="auto"/>
          <w:szCs w:val="21"/>
          <w:highlight w:val="none"/>
        </w:rPr>
        <w:t xml:space="preserve">项目编号：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开标时间：年 月 日</w:t>
      </w:r>
    </w:p>
    <w:tbl>
      <w:tblPr>
        <w:tblStyle w:val="22"/>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1304"/>
        <w:gridCol w:w="2860"/>
        <w:gridCol w:w="1822"/>
        <w:gridCol w:w="1304"/>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 w:hRule="atLeast"/>
          <w:jc w:val="center"/>
        </w:trPr>
        <w:tc>
          <w:tcPr>
            <w:tcW w:w="0" w:type="auto"/>
            <w:tcBorders>
              <w:bottom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供应商名称</w:t>
            </w:r>
          </w:p>
        </w:tc>
        <w:tc>
          <w:tcPr>
            <w:tcW w:w="0" w:type="auto"/>
            <w:tcBorders>
              <w:bottom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资质等级</w:t>
            </w:r>
          </w:p>
        </w:tc>
        <w:tc>
          <w:tcPr>
            <w:tcW w:w="0" w:type="auto"/>
            <w:tcBorders>
              <w:bottom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磋商报价（</w:t>
            </w:r>
            <w:r>
              <w:rPr>
                <w:rFonts w:hint="eastAsia" w:ascii="宋体" w:hAnsi="宋体" w:cs="宋体"/>
                <w:color w:val="auto"/>
                <w:szCs w:val="21"/>
                <w:highlight w:val="none"/>
                <w:lang w:val="en-US" w:eastAsia="zh-CN"/>
              </w:rPr>
              <w:t>总价：</w:t>
            </w:r>
            <w:r>
              <w:rPr>
                <w:rFonts w:hint="eastAsia" w:ascii="宋体" w:hAnsi="宋体" w:cs="宋体"/>
                <w:color w:val="auto"/>
                <w:szCs w:val="21"/>
                <w:highlight w:val="none"/>
              </w:rPr>
              <w:t>元）</w:t>
            </w:r>
          </w:p>
        </w:tc>
        <w:tc>
          <w:tcPr>
            <w:tcW w:w="0" w:type="auto"/>
            <w:tcBorders>
              <w:bottom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bCs/>
                <w:color w:val="auto"/>
                <w:szCs w:val="21"/>
                <w:highlight w:val="none"/>
                <w:lang w:val="zh-CN"/>
              </w:rPr>
              <w:t>合同履约期限</w:t>
            </w:r>
          </w:p>
        </w:tc>
        <w:tc>
          <w:tcPr>
            <w:tcW w:w="0" w:type="auto"/>
            <w:tcBorders>
              <w:bottom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质量要求</w:t>
            </w:r>
          </w:p>
        </w:tc>
        <w:tc>
          <w:tcPr>
            <w:tcW w:w="0" w:type="auto"/>
            <w:tcBorders>
              <w:bottom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0" w:type="auto"/>
            <w:noWrap w:val="0"/>
            <w:vAlign w:val="center"/>
          </w:tcPr>
          <w:p>
            <w:pPr>
              <w:spacing w:line="480" w:lineRule="auto"/>
              <w:jc w:val="center"/>
              <w:rPr>
                <w:rFonts w:hint="eastAsia" w:ascii="宋体" w:hAnsi="宋体" w:cs="宋体"/>
                <w:color w:val="auto"/>
                <w:szCs w:val="21"/>
                <w:highlight w:val="none"/>
              </w:rPr>
            </w:pPr>
          </w:p>
        </w:tc>
        <w:tc>
          <w:tcPr>
            <w:tcW w:w="0" w:type="auto"/>
            <w:noWrap w:val="0"/>
            <w:vAlign w:val="top"/>
          </w:tcPr>
          <w:p>
            <w:pPr>
              <w:spacing w:line="480" w:lineRule="auto"/>
              <w:jc w:val="center"/>
              <w:rPr>
                <w:rFonts w:hint="eastAsia" w:ascii="宋体" w:hAnsi="宋体" w:cs="宋体"/>
                <w:color w:val="auto"/>
                <w:szCs w:val="21"/>
                <w:highlight w:val="none"/>
              </w:rPr>
            </w:pPr>
          </w:p>
        </w:tc>
        <w:tc>
          <w:tcPr>
            <w:tcW w:w="0" w:type="auto"/>
            <w:noWrap w:val="0"/>
            <w:vAlign w:val="center"/>
          </w:tcPr>
          <w:p>
            <w:pPr>
              <w:spacing w:line="480" w:lineRule="auto"/>
              <w:jc w:val="center"/>
              <w:rPr>
                <w:rFonts w:hint="eastAsia" w:ascii="宋体" w:hAnsi="宋体" w:cs="宋体"/>
                <w:color w:val="auto"/>
                <w:szCs w:val="21"/>
                <w:highlight w:val="none"/>
              </w:rPr>
            </w:pPr>
          </w:p>
        </w:tc>
        <w:tc>
          <w:tcPr>
            <w:tcW w:w="0" w:type="auto"/>
            <w:noWrap w:val="0"/>
            <w:vAlign w:val="top"/>
          </w:tcPr>
          <w:p>
            <w:pPr>
              <w:spacing w:line="480" w:lineRule="auto"/>
              <w:jc w:val="center"/>
              <w:rPr>
                <w:rFonts w:hint="eastAsia" w:ascii="宋体" w:hAnsi="宋体" w:cs="宋体"/>
                <w:color w:val="auto"/>
                <w:szCs w:val="21"/>
                <w:highlight w:val="none"/>
              </w:rPr>
            </w:pPr>
          </w:p>
        </w:tc>
        <w:tc>
          <w:tcPr>
            <w:tcW w:w="0" w:type="auto"/>
            <w:noWrap w:val="0"/>
            <w:vAlign w:val="center"/>
          </w:tcPr>
          <w:p>
            <w:pPr>
              <w:spacing w:line="480" w:lineRule="auto"/>
              <w:jc w:val="center"/>
              <w:rPr>
                <w:rFonts w:hint="eastAsia" w:ascii="宋体" w:hAnsi="宋体" w:cs="宋体"/>
                <w:color w:val="auto"/>
                <w:szCs w:val="21"/>
                <w:highlight w:val="none"/>
              </w:rPr>
            </w:pPr>
          </w:p>
        </w:tc>
        <w:tc>
          <w:tcPr>
            <w:tcW w:w="0" w:type="auto"/>
            <w:noWrap w:val="0"/>
            <w:vAlign w:val="center"/>
          </w:tcPr>
          <w:p>
            <w:pPr>
              <w:spacing w:line="480" w:lineRule="auto"/>
              <w:jc w:val="center"/>
              <w:rPr>
                <w:rFonts w:hint="eastAsia" w:ascii="宋体" w:hAnsi="宋体" w:cs="宋体"/>
                <w:color w:val="auto"/>
                <w:szCs w:val="21"/>
                <w:highlight w:val="none"/>
              </w:rPr>
            </w:pPr>
          </w:p>
        </w:tc>
      </w:tr>
    </w:tbl>
    <w:p>
      <w:pPr>
        <w:pStyle w:val="32"/>
        <w:spacing w:line="480" w:lineRule="exact"/>
        <w:jc w:val="left"/>
        <w:rPr>
          <w:rFonts w:hint="eastAsia" w:ascii="宋体" w:hAnsi="宋体" w:cs="宋体"/>
          <w:color w:val="auto"/>
          <w:szCs w:val="21"/>
          <w:highlight w:val="none"/>
        </w:rPr>
      </w:pPr>
    </w:p>
    <w:p>
      <w:pPr>
        <w:pStyle w:val="32"/>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1、填报的内容必须和响应函中的内容一致；如不一致，以响应函中相关内容为准；</w:t>
      </w:r>
    </w:p>
    <w:p>
      <w:pPr>
        <w:pStyle w:val="32"/>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2、响应函、首次报价表中的报价不一致时，以响应函中的报价为准。</w:t>
      </w:r>
    </w:p>
    <w:p>
      <w:pPr>
        <w:pStyle w:val="32"/>
        <w:spacing w:line="4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此表涉及内容需要全部填写完整，出现漏填视为不响应</w:t>
      </w:r>
      <w:r>
        <w:rPr>
          <w:rFonts w:hint="eastAsia" w:ascii="宋体" w:hAnsi="宋体" w:eastAsia="宋体" w:cs="宋体"/>
          <w:color w:val="auto"/>
          <w:szCs w:val="21"/>
          <w:highlight w:val="none"/>
          <w:lang w:val="en-US" w:eastAsia="zh-CN"/>
        </w:rPr>
        <w:t>磋商</w:t>
      </w:r>
      <w:r>
        <w:rPr>
          <w:rFonts w:hint="eastAsia" w:ascii="宋体" w:hAnsi="宋体" w:eastAsia="宋体" w:cs="宋体"/>
          <w:color w:val="auto"/>
          <w:szCs w:val="21"/>
          <w:highlight w:val="none"/>
        </w:rPr>
        <w:t>文件格式要求。</w:t>
      </w:r>
    </w:p>
    <w:p>
      <w:pPr>
        <w:pStyle w:val="32"/>
        <w:spacing w:line="4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投标报价四舍五入后，最多保留小数点后2位，以元为单位。</w:t>
      </w: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bookmarkEnd w:id="1249"/>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ascii="宋体" w:hAnsi="宋体"/>
          <w:bCs/>
          <w:color w:val="auto"/>
          <w:szCs w:val="21"/>
          <w:highlight w:val="none"/>
          <w:u w:val="single"/>
        </w:rPr>
      </w:pPr>
      <w:r>
        <w:rPr>
          <w:rFonts w:hint="eastAsia" w:ascii="宋体" w:hAnsi="宋体"/>
          <w:bCs/>
          <w:color w:val="auto"/>
          <w:szCs w:val="21"/>
          <w:highlight w:val="none"/>
        </w:rPr>
        <w:t>供应商名称（加盖公章）：</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ascii="宋体" w:hAnsi="宋体"/>
          <w:bCs/>
          <w:color w:val="auto"/>
          <w:szCs w:val="21"/>
          <w:highlight w:val="none"/>
        </w:rPr>
      </w:pPr>
      <w:r>
        <w:rPr>
          <w:rFonts w:hint="eastAsia" w:ascii="宋体" w:hAnsi="宋体"/>
          <w:bCs/>
          <w:color w:val="auto"/>
          <w:szCs w:val="21"/>
          <w:highlight w:val="none"/>
        </w:rPr>
        <w:t>法定代表人或其委托代理人（签字或盖章）：</w:t>
      </w:r>
      <w:r>
        <w:rPr>
          <w:rFonts w:hint="eastAsia" w:ascii="宋体" w:hAnsi="宋体"/>
          <w:bCs/>
          <w:color w:val="auto"/>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hint="eastAsia" w:ascii="宋体" w:hAnsi="宋体" w:cs="宋体"/>
          <w:b/>
          <w:color w:val="auto"/>
          <w:szCs w:val="21"/>
          <w:highlight w:val="none"/>
        </w:rPr>
      </w:pPr>
      <w:r>
        <w:rPr>
          <w:rFonts w:hint="eastAsia" w:ascii="宋体" w:hAnsi="宋体"/>
          <w:color w:val="auto"/>
          <w:szCs w:val="21"/>
          <w:highlight w:val="none"/>
        </w:rPr>
        <w:t xml:space="preserve">日期：     年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月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日</w:t>
      </w:r>
    </w:p>
    <w:p>
      <w:pPr>
        <w:rPr>
          <w:rFonts w:hint="eastAsia" w:ascii="宋体" w:hAnsi="宋体" w:cs="宋体"/>
          <w:b/>
          <w:color w:val="auto"/>
          <w:szCs w:val="21"/>
          <w:highlight w:val="none"/>
        </w:rPr>
        <w:sectPr>
          <w:pgSz w:w="11906" w:h="16838"/>
          <w:pgMar w:top="1440" w:right="1558" w:bottom="1440" w:left="1560" w:header="851" w:footer="992" w:gutter="0"/>
          <w:pgNumType w:fmt="decimal"/>
          <w:cols w:space="720" w:num="1"/>
          <w:docGrid w:type="lines" w:linePitch="312" w:charSpace="0"/>
        </w:sectPr>
      </w:pPr>
    </w:p>
    <w:p>
      <w:pPr>
        <w:pStyle w:val="33"/>
        <w:spacing w:line="360" w:lineRule="auto"/>
        <w:jc w:val="center"/>
        <w:rPr>
          <w:rFonts w:hint="eastAsia" w:ascii="宋体" w:hAnsi="宋体" w:cs="宋体"/>
          <w:b/>
          <w:bCs/>
          <w:color w:val="auto"/>
          <w:kern w:val="2"/>
          <w:sz w:val="28"/>
          <w:szCs w:val="28"/>
          <w:highlight w:val="none"/>
        </w:rPr>
      </w:pPr>
      <w:r>
        <w:rPr>
          <w:rFonts w:hint="eastAsia" w:ascii="宋体" w:hAnsi="宋体" w:cs="宋体"/>
          <w:b/>
          <w:bCs/>
          <w:color w:val="auto"/>
          <w:kern w:val="2"/>
          <w:sz w:val="28"/>
          <w:szCs w:val="28"/>
          <w:highlight w:val="none"/>
        </w:rPr>
        <w:t>二、已标价工程量清单</w:t>
      </w:r>
    </w:p>
    <w:p>
      <w:pPr>
        <w:rPr>
          <w:rFonts w:hint="eastAsia" w:ascii="宋体" w:hAnsi="宋体" w:cs="宋体"/>
          <w:b/>
          <w:color w:val="auto"/>
          <w:szCs w:val="21"/>
          <w:highlight w:val="none"/>
        </w:rPr>
      </w:pPr>
    </w:p>
    <w:p>
      <w:pPr>
        <w:rPr>
          <w:rFonts w:hint="eastAsia" w:ascii="宋体" w:hAnsi="宋体" w:cs="宋体"/>
          <w:b/>
          <w:color w:val="auto"/>
          <w:szCs w:val="21"/>
          <w:highlight w:val="none"/>
        </w:rPr>
      </w:pPr>
    </w:p>
    <w:p>
      <w:pPr>
        <w:rPr>
          <w:rFonts w:hint="eastAsia" w:ascii="宋体" w:hAnsi="宋体" w:cs="宋体"/>
          <w:b/>
          <w:color w:val="auto"/>
          <w:szCs w:val="21"/>
          <w:highlight w:val="none"/>
        </w:rPr>
      </w:pPr>
    </w:p>
    <w:p>
      <w:pPr>
        <w:jc w:val="center"/>
        <w:rPr>
          <w:rFonts w:hint="eastAsia" w:ascii="宋体" w:hAnsi="宋体" w:cs="宋体"/>
          <w:b/>
          <w:color w:val="auto"/>
          <w:szCs w:val="21"/>
          <w:highlight w:val="none"/>
        </w:rPr>
      </w:pPr>
    </w:p>
    <w:p>
      <w:pPr>
        <w:jc w:val="center"/>
        <w:rPr>
          <w:rFonts w:hint="eastAsia" w:ascii="宋体" w:hAnsi="宋体" w:cs="宋体"/>
          <w:b/>
          <w:color w:val="auto"/>
          <w:szCs w:val="21"/>
          <w:highlight w:val="none"/>
        </w:rPr>
      </w:pPr>
      <w:r>
        <w:rPr>
          <w:rFonts w:hint="eastAsia" w:ascii="宋体" w:hAnsi="宋体" w:cs="宋体"/>
          <w:b/>
          <w:color w:val="auto"/>
          <w:szCs w:val="21"/>
          <w:highlight w:val="none"/>
        </w:rPr>
        <w:t>按第五章工程量清单中的格式编写</w:t>
      </w:r>
    </w:p>
    <w:p>
      <w:pPr>
        <w:rPr>
          <w:rFonts w:hint="eastAsia" w:ascii="宋体" w:hAnsi="宋体" w:cs="宋体"/>
          <w:color w:val="auto"/>
          <w:szCs w:val="21"/>
          <w:highlight w:val="none"/>
        </w:rPr>
      </w:pPr>
    </w:p>
    <w:p>
      <w:pPr>
        <w:rPr>
          <w:rFonts w:hint="eastAsia"/>
          <w:highlight w:val="none"/>
          <w:lang w:val="en-US" w:eastAsia="zh-CN"/>
        </w:rPr>
      </w:pPr>
      <w:r>
        <w:rPr>
          <w:rFonts w:hint="eastAsia"/>
          <w:highlight w:val="none"/>
          <w:lang w:val="en-US" w:eastAsia="zh-CN"/>
        </w:rPr>
        <w:br w:type="page"/>
      </w:r>
    </w:p>
    <w:p>
      <w:pPr>
        <w:spacing w:line="276" w:lineRule="auto"/>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三、响 应 函</w:t>
      </w:r>
    </w:p>
    <w:p>
      <w:pPr>
        <w:autoSpaceDE w:val="0"/>
        <w:autoSpaceDN w:val="0"/>
        <w:adjustRightInd w:val="0"/>
        <w:spacing w:line="360" w:lineRule="auto"/>
        <w:ind w:firstLine="105" w:firstLineChars="50"/>
        <w:rPr>
          <w:rFonts w:ascii="宋体" w:hAnsi="宋体"/>
          <w:color w:val="auto"/>
          <w:szCs w:val="21"/>
          <w:highlight w:val="none"/>
        </w:rPr>
      </w:pPr>
      <w:r>
        <w:rPr>
          <w:rFonts w:hint="eastAsia" w:ascii="宋体" w:hAnsi="宋体"/>
          <w:color w:val="auto"/>
          <w:szCs w:val="21"/>
          <w:highlight w:val="none"/>
          <w:u w:val="single"/>
        </w:rPr>
        <w:t xml:space="preserve">     （采购人名称）      </w:t>
      </w:r>
      <w:r>
        <w:rPr>
          <w:rFonts w:hint="eastAsia" w:ascii="宋体" w:hAnsi="宋体"/>
          <w:color w:val="auto"/>
          <w:szCs w:val="21"/>
          <w:highlight w:val="none"/>
        </w:rPr>
        <w:t>：</w:t>
      </w:r>
    </w:p>
    <w:p>
      <w:pPr>
        <w:autoSpaceDE w:val="0"/>
        <w:autoSpaceDN w:val="0"/>
        <w:adjustRightInd w:val="0"/>
        <w:ind w:firstLine="480"/>
        <w:rPr>
          <w:rFonts w:ascii="宋体" w:hAnsi="宋体"/>
          <w:color w:val="auto"/>
          <w:szCs w:val="21"/>
          <w:highlight w:val="none"/>
        </w:rPr>
      </w:pPr>
      <w:r>
        <w:rPr>
          <w:rFonts w:hint="eastAsia" w:ascii="宋体" w:hAnsi="宋体"/>
          <w:color w:val="auto"/>
          <w:szCs w:val="21"/>
          <w:highlight w:val="none"/>
        </w:rPr>
        <w:t>根据你方</w:t>
      </w:r>
      <w:r>
        <w:rPr>
          <w:rFonts w:hint="eastAsia" w:ascii="宋体" w:hAnsi="宋体"/>
          <w:color w:val="auto"/>
          <w:szCs w:val="21"/>
          <w:highlight w:val="none"/>
          <w:u w:val="single"/>
        </w:rPr>
        <w:t xml:space="preserve">     （项目名称）     </w:t>
      </w:r>
      <w:r>
        <w:rPr>
          <w:rFonts w:hint="eastAsia" w:ascii="宋体" w:hAnsi="宋体"/>
          <w:color w:val="auto"/>
          <w:szCs w:val="21"/>
          <w:highlight w:val="none"/>
        </w:rPr>
        <w:t>的项目编号为</w:t>
      </w:r>
      <w:r>
        <w:rPr>
          <w:rFonts w:hint="eastAsia" w:ascii="宋体" w:hAnsi="宋体"/>
          <w:color w:val="auto"/>
          <w:szCs w:val="21"/>
          <w:highlight w:val="none"/>
          <w:u w:val="single"/>
        </w:rPr>
        <w:t xml:space="preserve">     （项目编号）     </w:t>
      </w:r>
      <w:r>
        <w:rPr>
          <w:rFonts w:hint="eastAsia" w:ascii="宋体" w:hAnsi="宋体"/>
          <w:color w:val="auto"/>
          <w:szCs w:val="21"/>
          <w:highlight w:val="none"/>
        </w:rPr>
        <w:t>磋商文件，我方正式授权的下述签字人</w:t>
      </w:r>
      <w:r>
        <w:rPr>
          <w:rFonts w:hint="eastAsia" w:ascii="宋体" w:hAnsi="宋体"/>
          <w:color w:val="auto"/>
          <w:szCs w:val="21"/>
          <w:highlight w:val="none"/>
          <w:u w:val="single"/>
        </w:rPr>
        <w:t xml:space="preserve">     （姓名和职务）     </w:t>
      </w:r>
      <w:r>
        <w:rPr>
          <w:rFonts w:hint="eastAsia" w:ascii="宋体" w:hAnsi="宋体"/>
          <w:color w:val="auto"/>
          <w:szCs w:val="21"/>
          <w:highlight w:val="none"/>
        </w:rPr>
        <w:t>代表我方</w:t>
      </w:r>
      <w:r>
        <w:rPr>
          <w:rFonts w:hint="eastAsia" w:ascii="宋体" w:hAnsi="宋体"/>
          <w:color w:val="auto"/>
          <w:szCs w:val="21"/>
          <w:highlight w:val="none"/>
          <w:u w:val="single"/>
        </w:rPr>
        <w:t xml:space="preserve">     （供应商的名称）     </w:t>
      </w:r>
      <w:r>
        <w:rPr>
          <w:rFonts w:hint="eastAsia" w:ascii="宋体" w:hAnsi="宋体"/>
          <w:color w:val="auto"/>
          <w:szCs w:val="21"/>
          <w:highlight w:val="none"/>
        </w:rPr>
        <w:t>，</w:t>
      </w:r>
      <w:r>
        <w:rPr>
          <w:rFonts w:hint="eastAsia" w:ascii="宋体" w:hAnsi="宋体" w:eastAsia="宋体" w:cs="宋体"/>
          <w:b w:val="0"/>
          <w:sz w:val="21"/>
          <w:szCs w:val="21"/>
          <w:highlight w:val="none"/>
        </w:rPr>
        <w:t>愿意以人民币（大写）</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元（</w:t>
      </w:r>
      <w:r>
        <w:rPr>
          <w:rFonts w:hint="eastAsia" w:ascii="宋体" w:hAnsi="宋体" w:eastAsia="宋体" w:cs="宋体"/>
          <w:b w:val="0"/>
          <w:sz w:val="21"/>
          <w:szCs w:val="21"/>
          <w:highlight w:val="none"/>
          <w:lang w:val="en-US" w:eastAsia="zh-CN"/>
        </w:rPr>
        <w:t>¥</w:t>
      </w:r>
      <w:r>
        <w:rPr>
          <w:rFonts w:hint="eastAsia" w:ascii="宋体" w:hAnsi="宋体" w:eastAsia="宋体" w:cs="宋体"/>
          <w:b w:val="0"/>
          <w:sz w:val="21"/>
          <w:szCs w:val="21"/>
          <w:highlight w:val="none"/>
          <w:u w:val="single"/>
        </w:rPr>
        <w:t xml:space="preserve">       </w:t>
      </w:r>
      <w:r>
        <w:rPr>
          <w:rFonts w:hint="eastAsia" w:ascii="宋体" w:hAnsi="宋体" w:eastAsia="宋体" w:cs="宋体"/>
          <w:b w:val="0"/>
          <w:sz w:val="21"/>
          <w:szCs w:val="21"/>
          <w:highlight w:val="none"/>
        </w:rPr>
        <w:t>）的</w:t>
      </w:r>
      <w:r>
        <w:rPr>
          <w:rFonts w:hint="eastAsia" w:ascii="宋体" w:hAnsi="宋体" w:eastAsia="宋体" w:cs="宋体"/>
          <w:b w:val="0"/>
          <w:sz w:val="21"/>
          <w:szCs w:val="21"/>
          <w:highlight w:val="none"/>
          <w:lang w:val="en-US" w:eastAsia="zh-CN"/>
        </w:rPr>
        <w:t>磋商</w:t>
      </w:r>
      <w:r>
        <w:rPr>
          <w:rFonts w:hint="eastAsia" w:ascii="宋体" w:hAnsi="宋体" w:eastAsia="宋体" w:cs="宋体"/>
          <w:b w:val="0"/>
          <w:sz w:val="21"/>
          <w:szCs w:val="21"/>
          <w:highlight w:val="none"/>
        </w:rPr>
        <w:t>报价</w:t>
      </w:r>
      <w:r>
        <w:rPr>
          <w:rFonts w:hint="eastAsia" w:ascii="宋体" w:hAnsi="宋体" w:eastAsia="宋体" w:cs="宋体"/>
          <w:b w:val="0"/>
          <w:sz w:val="21"/>
          <w:szCs w:val="21"/>
          <w:highlight w:val="none"/>
          <w:lang w:eastAsia="zh-CN"/>
        </w:rPr>
        <w:t>，</w:t>
      </w:r>
      <w:r>
        <w:rPr>
          <w:rFonts w:hint="eastAsia" w:ascii="宋体" w:hAnsi="宋体"/>
          <w:color w:val="auto"/>
          <w:szCs w:val="21"/>
          <w:highlight w:val="none"/>
        </w:rPr>
        <w:t>按照你方竞争性磋商文件的规定，并保证所提供的全部文件是真实的、有效的和准确的。</w:t>
      </w:r>
    </w:p>
    <w:p>
      <w:pPr>
        <w:autoSpaceDE w:val="0"/>
        <w:autoSpaceDN w:val="0"/>
        <w:adjustRightInd w:val="0"/>
        <w:ind w:firstLine="480"/>
        <w:rPr>
          <w:rFonts w:ascii="宋体" w:hAnsi="宋体"/>
          <w:color w:val="auto"/>
          <w:szCs w:val="21"/>
          <w:highlight w:val="none"/>
        </w:rPr>
      </w:pPr>
      <w:r>
        <w:rPr>
          <w:rFonts w:hint="eastAsia" w:ascii="宋体" w:hAnsi="宋体"/>
          <w:color w:val="auto"/>
          <w:szCs w:val="21"/>
          <w:highlight w:val="none"/>
        </w:rPr>
        <w:t>据此函，签字人兹宣布同意如下：</w:t>
      </w:r>
    </w:p>
    <w:p>
      <w:pPr>
        <w:autoSpaceDE w:val="0"/>
        <w:autoSpaceDN w:val="0"/>
        <w:adjustRightInd w:val="0"/>
        <w:ind w:firstLine="422" w:firstLineChars="200"/>
        <w:rPr>
          <w:rFonts w:hint="eastAsia" w:ascii="宋体" w:hAnsi="宋体"/>
          <w:b/>
          <w:color w:val="auto"/>
          <w:szCs w:val="21"/>
          <w:highlight w:val="none"/>
        </w:rPr>
      </w:pPr>
      <w:r>
        <w:rPr>
          <w:rFonts w:hint="eastAsia" w:ascii="宋体" w:hAnsi="宋体"/>
          <w:b/>
          <w:color w:val="auto"/>
          <w:szCs w:val="21"/>
          <w:highlight w:val="none"/>
        </w:rPr>
        <w:t>1.如果我方中标，我们保证根据磋商文件规定履行合同责任和义务。</w:t>
      </w:r>
    </w:p>
    <w:p>
      <w:pPr>
        <w:autoSpaceDE w:val="0"/>
        <w:autoSpaceDN w:val="0"/>
        <w:adjustRightInd w:val="0"/>
        <w:ind w:firstLine="422" w:firstLineChars="200"/>
        <w:rPr>
          <w:rFonts w:ascii="宋体" w:hAnsi="宋体"/>
          <w:b/>
          <w:color w:val="auto"/>
          <w:szCs w:val="21"/>
          <w:highlight w:val="none"/>
        </w:rPr>
      </w:pPr>
      <w:r>
        <w:rPr>
          <w:rFonts w:hint="eastAsia" w:ascii="宋体" w:hAnsi="宋体"/>
          <w:b/>
          <w:color w:val="auto"/>
          <w:szCs w:val="21"/>
          <w:highlight w:val="none"/>
        </w:rPr>
        <w:t>2.</w:t>
      </w:r>
      <w:r>
        <w:rPr>
          <w:rFonts w:hint="eastAsia" w:ascii="宋体" w:hAnsi="宋体" w:eastAsia="宋体" w:cs="宋体"/>
          <w:b/>
          <w:color w:val="auto"/>
          <w:szCs w:val="21"/>
          <w:highlight w:val="none"/>
        </w:rPr>
        <w:t>我方人民币</w:t>
      </w:r>
      <w:r>
        <w:rPr>
          <w:rFonts w:hint="eastAsia" w:ascii="宋体" w:hAnsi="宋体"/>
          <w:b/>
          <w:color w:val="auto"/>
          <w:szCs w:val="21"/>
          <w:highlight w:val="none"/>
          <w:u w:val="single"/>
        </w:rPr>
        <w:t xml:space="preserve">           </w:t>
      </w:r>
      <w:r>
        <w:rPr>
          <w:rFonts w:hint="eastAsia" w:ascii="宋体" w:hAnsi="宋体" w:eastAsia="宋体" w:cs="宋体"/>
          <w:b/>
          <w:color w:val="auto"/>
          <w:szCs w:val="21"/>
          <w:highlight w:val="none"/>
        </w:rPr>
        <w:t>元的</w:t>
      </w:r>
      <w:r>
        <w:rPr>
          <w:rFonts w:hint="eastAsia" w:ascii="宋体" w:hAnsi="宋体" w:eastAsia="宋体" w:cs="宋体"/>
          <w:b/>
          <w:color w:val="auto"/>
          <w:szCs w:val="21"/>
          <w:highlight w:val="none"/>
          <w:lang w:eastAsia="zh-CN"/>
        </w:rPr>
        <w:t>磋商保证金</w:t>
      </w:r>
      <w:r>
        <w:rPr>
          <w:rFonts w:hint="eastAsia" w:ascii="宋体" w:hAnsi="宋体" w:eastAsia="宋体" w:cs="宋体"/>
          <w:b/>
          <w:color w:val="auto"/>
          <w:szCs w:val="21"/>
          <w:highlight w:val="none"/>
        </w:rPr>
        <w:t>与本</w:t>
      </w:r>
      <w:r>
        <w:rPr>
          <w:rFonts w:hint="eastAsia" w:ascii="宋体" w:hAnsi="宋体" w:eastAsia="宋体" w:cs="宋体"/>
          <w:b/>
          <w:color w:val="auto"/>
          <w:szCs w:val="21"/>
          <w:highlight w:val="none"/>
          <w:lang w:eastAsia="zh-CN"/>
        </w:rPr>
        <w:t>响应文件</w:t>
      </w:r>
      <w:r>
        <w:rPr>
          <w:rFonts w:hint="eastAsia" w:ascii="宋体" w:hAnsi="宋体" w:eastAsia="宋体" w:cs="宋体"/>
          <w:b/>
          <w:color w:val="auto"/>
          <w:szCs w:val="21"/>
          <w:highlight w:val="none"/>
        </w:rPr>
        <w:t>同时提交。</w:t>
      </w:r>
    </w:p>
    <w:p>
      <w:pPr>
        <w:autoSpaceDE w:val="0"/>
        <w:autoSpaceDN w:val="0"/>
        <w:adjustRightInd w:val="0"/>
        <w:ind w:firstLine="422" w:firstLineChars="200"/>
        <w:rPr>
          <w:rFonts w:ascii="宋体" w:hAnsi="宋体"/>
          <w:b/>
          <w:color w:val="auto"/>
          <w:szCs w:val="21"/>
          <w:highlight w:val="none"/>
        </w:rPr>
      </w:pPr>
      <w:r>
        <w:rPr>
          <w:rFonts w:hint="eastAsia" w:ascii="宋体" w:hAnsi="宋体"/>
          <w:b/>
          <w:color w:val="auto"/>
          <w:szCs w:val="21"/>
          <w:highlight w:val="none"/>
        </w:rPr>
        <w:t>3.磋商有效期自开标之日起</w:t>
      </w:r>
      <w:r>
        <w:rPr>
          <w:rFonts w:hint="eastAsia" w:ascii="宋体" w:hAnsi="宋体"/>
          <w:b/>
          <w:color w:val="auto"/>
          <w:szCs w:val="21"/>
          <w:highlight w:val="none"/>
          <w:u w:val="single"/>
        </w:rPr>
        <w:t xml:space="preserve">           </w:t>
      </w:r>
      <w:r>
        <w:rPr>
          <w:rFonts w:hint="eastAsia" w:ascii="宋体" w:hAnsi="宋体"/>
          <w:b/>
          <w:color w:val="auto"/>
          <w:szCs w:val="21"/>
          <w:highlight w:val="none"/>
        </w:rPr>
        <w:t>天内有效。</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4.如果我方中标，我方保证按照磋商文件规定提交履约保证金，承担履约责任。</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5.我们已详细阅读了全部磋商文件，包括磋商文件的修改、补充文件、参考资料及有关的附件，我们接受磋商文件的全部条款和条件。</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6.我们对竞争性磋商文件关于时限、程序方面的规定没有异议，保证按照竞争性磋商文件规定的时限和程序参加投标活动。</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7.我们同意在供应商须知规定的开标时间起遵循本投标书，并在供应商须知规定的磋商有效期满之前均具有约束力，并有可能中标。</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8.我们如果在规定的磋商有效期内撤回投标，则你方可不予退还我们的磋商保证金。</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9.我们保证向你方提供你方可能要求的与本投标有关的任何证据或资料。</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10.我们完全理解你方不一定要接受最低报价的投标或收到的任何投标。</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11.我方保证严格遵守《中华人民共和国政府采购法》的有关规定，若有下列情形之一的，我方将被处不予退还磋商保证金，列入不良行为记录名单，在一至三年内禁止参加政府采购活动，并予以公告：</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（1）提供虚假材料谋取中标、成交的；</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（2）采取不正当手段诋毁、排挤其他供应商的；</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（3）与其他供应商、采购机构或者采购人或者其他有关人员恶意串通的；</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（4）向磋商小组成员、采购机构或者采购人或者其他有关人员行贿或者提供其他不正当利益的；</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（5）被评定中标后无正当理由不与采购人或者采购代理机构订立合同，或者中标后不按竞争性磋商文件和中标供应商的响应文件订立合同，或者与采购人另行订立背离合同实质性内容的协议的；</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（6）将中标项目转让给他人或者将中标项目分包给他人的；</w:t>
      </w: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（7）签订合同后拒绝履行合同义务的；</w:t>
      </w:r>
    </w:p>
    <w:p>
      <w:pPr>
        <w:autoSpaceDE w:val="0"/>
        <w:autoSpaceDN w:val="0"/>
        <w:adjustRightInd w:val="0"/>
        <w:ind w:firstLine="420" w:firstLineChars="200"/>
        <w:rPr>
          <w:rFonts w:hint="eastAsia" w:ascii="宋体" w:hAnsi="宋体"/>
          <w:bCs/>
          <w:color w:val="auto"/>
          <w:szCs w:val="21"/>
          <w:highlight w:val="none"/>
        </w:rPr>
      </w:pPr>
      <w:r>
        <w:rPr>
          <w:rFonts w:hint="eastAsia" w:ascii="宋体" w:hAnsi="宋体"/>
          <w:color w:val="auto"/>
          <w:szCs w:val="21"/>
          <w:highlight w:val="none"/>
        </w:rPr>
        <w:t>（8）拒绝有关部门监督检查或提供虚假情况的。</w:t>
      </w:r>
    </w:p>
    <w:p>
      <w:pPr>
        <w:autoSpaceDE w:val="0"/>
        <w:autoSpaceDN w:val="0"/>
        <w:adjustRightInd w:val="0"/>
        <w:spacing w:line="360" w:lineRule="auto"/>
        <w:ind w:left="3360" w:leftChars="1600"/>
        <w:rPr>
          <w:rFonts w:ascii="宋体" w:hAnsi="宋体"/>
          <w:bCs/>
          <w:color w:val="auto"/>
          <w:szCs w:val="21"/>
          <w:highlight w:val="none"/>
          <w:u w:val="single"/>
        </w:rPr>
      </w:pPr>
      <w:r>
        <w:rPr>
          <w:rFonts w:hint="eastAsia" w:ascii="宋体" w:hAnsi="宋体"/>
          <w:bCs/>
          <w:color w:val="auto"/>
          <w:szCs w:val="21"/>
          <w:highlight w:val="none"/>
        </w:rPr>
        <w:t>供应商名称（加盖公章）：</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p>
    <w:p>
      <w:pPr>
        <w:autoSpaceDE w:val="0"/>
        <w:autoSpaceDN w:val="0"/>
        <w:adjustRightInd w:val="0"/>
        <w:spacing w:line="360" w:lineRule="auto"/>
        <w:ind w:left="2940" w:leftChars="1400" w:firstLine="482"/>
        <w:rPr>
          <w:rFonts w:ascii="宋体" w:hAnsi="宋体"/>
          <w:bCs/>
          <w:color w:val="auto"/>
          <w:szCs w:val="21"/>
          <w:highlight w:val="none"/>
        </w:rPr>
      </w:pPr>
      <w:r>
        <w:rPr>
          <w:rFonts w:hint="eastAsia" w:ascii="宋体" w:hAnsi="宋体"/>
          <w:bCs/>
          <w:color w:val="auto"/>
          <w:szCs w:val="21"/>
          <w:highlight w:val="none"/>
        </w:rPr>
        <w:t>法定代表人或其委托代理人（签字或盖章）：</w:t>
      </w:r>
      <w:r>
        <w:rPr>
          <w:rFonts w:hint="eastAsia" w:ascii="宋体" w:hAnsi="宋体"/>
          <w:bCs/>
          <w:color w:val="auto"/>
          <w:szCs w:val="21"/>
          <w:highlight w:val="none"/>
          <w:u w:val="single"/>
        </w:rPr>
        <w:t xml:space="preserve">            </w:t>
      </w:r>
    </w:p>
    <w:p>
      <w:pPr>
        <w:autoSpaceDE w:val="0"/>
        <w:autoSpaceDN w:val="0"/>
        <w:adjustRightInd w:val="0"/>
        <w:spacing w:line="360" w:lineRule="auto"/>
        <w:ind w:left="2940" w:leftChars="1400" w:firstLine="480"/>
        <w:rPr>
          <w:rFonts w:ascii="宋体" w:hAnsi="宋体"/>
          <w:color w:val="auto"/>
          <w:szCs w:val="21"/>
          <w:highlight w:val="none"/>
          <w:u w:val="single"/>
        </w:rPr>
      </w:pPr>
      <w:r>
        <w:rPr>
          <w:rFonts w:hint="eastAsia" w:ascii="宋体" w:hAnsi="宋体"/>
          <w:color w:val="auto"/>
          <w:szCs w:val="21"/>
          <w:highlight w:val="none"/>
        </w:rPr>
        <w:t xml:space="preserve">地址：  </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autoSpaceDE w:val="0"/>
        <w:autoSpaceDN w:val="0"/>
        <w:adjustRightInd w:val="0"/>
        <w:spacing w:line="360" w:lineRule="auto"/>
        <w:ind w:left="2940" w:leftChars="1400" w:firstLine="480"/>
        <w:rPr>
          <w:rFonts w:ascii="宋体" w:hAnsi="宋体"/>
          <w:color w:val="auto"/>
          <w:szCs w:val="21"/>
          <w:highlight w:val="none"/>
          <w:u w:val="single"/>
        </w:rPr>
      </w:pPr>
      <w:r>
        <w:rPr>
          <w:rFonts w:hint="eastAsia" w:ascii="宋体" w:hAnsi="宋体"/>
          <w:color w:val="auto"/>
          <w:szCs w:val="21"/>
          <w:highlight w:val="none"/>
        </w:rPr>
        <w:t>电话、传真或电传：</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autoSpaceDE w:val="0"/>
        <w:autoSpaceDN w:val="0"/>
        <w:adjustRightInd w:val="0"/>
        <w:spacing w:line="360" w:lineRule="auto"/>
        <w:ind w:left="2940" w:leftChars="1400" w:firstLine="480"/>
        <w:rPr>
          <w:rFonts w:ascii="宋体" w:hAnsi="宋体"/>
          <w:color w:val="auto"/>
          <w:szCs w:val="21"/>
          <w:highlight w:val="none"/>
          <w:u w:val="singl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autoSpaceDE w:val="0"/>
        <w:autoSpaceDN w:val="0"/>
        <w:adjustRightInd w:val="0"/>
        <w:spacing w:line="360" w:lineRule="auto"/>
        <w:ind w:left="2940" w:leftChars="1400" w:firstLine="480"/>
        <w:rPr>
          <w:rFonts w:hint="eastAsia" w:ascii="宋体" w:hAnsi="宋体" w:cs="宋体"/>
          <w:b/>
          <w:color w:val="auto"/>
          <w:szCs w:val="21"/>
          <w:highlight w:val="none"/>
        </w:rPr>
      </w:pPr>
      <w:r>
        <w:rPr>
          <w:rFonts w:hint="eastAsia" w:ascii="宋体" w:hAnsi="宋体"/>
          <w:color w:val="auto"/>
          <w:szCs w:val="21"/>
          <w:highlight w:val="none"/>
        </w:rPr>
        <w:t>日期：     年    月   日</w:t>
      </w:r>
    </w:p>
    <w:p>
      <w:pPr>
        <w:rPr>
          <w:rFonts w:hint="eastAsia" w:ascii="宋体" w:hAnsi="宋体" w:cs="宋体"/>
          <w:b/>
          <w:color w:val="auto"/>
          <w:szCs w:val="21"/>
          <w:highlight w:val="none"/>
        </w:rPr>
        <w:sectPr>
          <w:pgSz w:w="11906" w:h="16838"/>
          <w:pgMar w:top="1440" w:right="1558" w:bottom="1440" w:left="1560" w:header="851" w:footer="992" w:gutter="0"/>
          <w:pgNumType w:fmt="decimal"/>
          <w:cols w:space="720" w:num="1"/>
          <w:docGrid w:type="lines" w:linePitch="312" w:charSpace="0"/>
        </w:sectPr>
      </w:pPr>
    </w:p>
    <w:p>
      <w:pPr>
        <w:pStyle w:val="6"/>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（一）响应函附录</w:t>
      </w:r>
    </w:p>
    <w:p>
      <w:pPr>
        <w:ind w:firstLine="420" w:firstLineChars="200"/>
        <w:rPr>
          <w:rFonts w:hint="eastAsia" w:ascii="宋体" w:hAnsi="宋体" w:cs="宋体"/>
          <w:color w:val="auto"/>
          <w:szCs w:val="21"/>
          <w:highlight w:val="none"/>
        </w:rPr>
      </w:pPr>
    </w:p>
    <w:tbl>
      <w:tblPr>
        <w:tblStyle w:val="22"/>
        <w:tblW w:w="9392" w:type="dxa"/>
        <w:jc w:val="center"/>
        <w:tblLayout w:type="fixed"/>
        <w:tblCellMar>
          <w:top w:w="0" w:type="dxa"/>
          <w:left w:w="108" w:type="dxa"/>
          <w:bottom w:w="0" w:type="dxa"/>
          <w:right w:w="108" w:type="dxa"/>
        </w:tblCellMar>
      </w:tblPr>
      <w:tblGrid>
        <w:gridCol w:w="938"/>
        <w:gridCol w:w="2059"/>
        <w:gridCol w:w="4047"/>
        <w:gridCol w:w="2348"/>
      </w:tblGrid>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序 号</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条款内容</w:t>
            </w:r>
          </w:p>
        </w:tc>
        <w:tc>
          <w:tcPr>
            <w:tcW w:w="40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约定内容</w:t>
            </w: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是否响应</w:t>
            </w: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rPr>
                <w:rFonts w:hint="eastAsia" w:ascii="宋体" w:hAnsi="宋体" w:cs="宋体"/>
                <w:color w:val="auto"/>
                <w:szCs w:val="21"/>
                <w:highlight w:val="none"/>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highlight w:val="none"/>
              </w:rPr>
              <w:t>质量要求</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jc w:val="left"/>
              <w:rPr>
                <w:rFonts w:hint="eastAsia" w:ascii="宋体" w:hAnsi="宋体" w:cs="宋体"/>
                <w:color w:val="auto"/>
                <w:szCs w:val="21"/>
                <w:highlight w:val="none"/>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bCs/>
                <w:color w:val="auto"/>
                <w:szCs w:val="21"/>
                <w:highlight w:val="none"/>
                <w:lang w:val="zh-CN"/>
              </w:rPr>
              <w:t>合同履约期限</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jc w:val="left"/>
              <w:rPr>
                <w:rFonts w:hint="eastAsia" w:ascii="宋体" w:hAnsi="宋体" w:eastAsia="宋体" w:cs="宋体"/>
                <w:color w:val="auto"/>
                <w:kern w:val="2"/>
                <w:sz w:val="21"/>
                <w:szCs w:val="21"/>
                <w:highlight w:val="none"/>
                <w:lang w:val="en-US" w:eastAsia="zh-CN" w:bidi="ar-SA"/>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质保期</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ind w:firstLine="840" w:firstLineChars="400"/>
              <w:rPr>
                <w:rFonts w:hint="eastAsia" w:ascii="宋体" w:hAnsi="宋体" w:eastAsia="宋体" w:cs="宋体"/>
                <w:color w:val="auto"/>
                <w:kern w:val="2"/>
                <w:sz w:val="21"/>
                <w:szCs w:val="21"/>
                <w:highlight w:val="none"/>
                <w:lang w:val="en-US" w:eastAsia="zh-CN" w:bidi="ar-SA"/>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质保金</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ind w:firstLine="840" w:firstLineChars="400"/>
              <w:rPr>
                <w:rFonts w:hint="eastAsia" w:ascii="宋体" w:hAnsi="宋体" w:eastAsia="宋体" w:cs="宋体"/>
                <w:color w:val="auto"/>
                <w:kern w:val="2"/>
                <w:sz w:val="21"/>
                <w:szCs w:val="21"/>
                <w:highlight w:val="none"/>
                <w:lang w:val="en-US" w:eastAsia="zh-CN" w:bidi="ar-SA"/>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履约保证金</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rPr>
                <w:rFonts w:hint="eastAsia" w:ascii="宋体" w:hAnsi="宋体" w:eastAsia="宋体" w:cs="宋体"/>
                <w:color w:val="auto"/>
                <w:kern w:val="2"/>
                <w:sz w:val="21"/>
                <w:szCs w:val="21"/>
                <w:highlight w:val="none"/>
                <w:lang w:val="en-US" w:eastAsia="zh-CN" w:bidi="ar-SA"/>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分包</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不允许分包</w:t>
            </w: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1"/>
                <w:szCs w:val="24"/>
                <w:highlight w:val="none"/>
                <w:lang w:val="en-US" w:eastAsia="zh-CN" w:bidi="ar-SA"/>
              </w:rPr>
            </w:pPr>
            <w:r>
              <w:rPr>
                <w:rFonts w:hint="eastAsia" w:ascii="宋体" w:hAnsi="宋体"/>
                <w:highlight w:val="none"/>
                <w:lang w:val="en-US" w:eastAsia="zh-CN"/>
              </w:rPr>
              <w:t>工程地点</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jc w:val="center"/>
              <w:rPr>
                <w:rFonts w:hint="eastAsia" w:ascii="宋体" w:hAnsi="宋体" w:eastAsia="宋体" w:cs="Times New Roman"/>
                <w:kern w:val="2"/>
                <w:sz w:val="21"/>
                <w:szCs w:val="21"/>
                <w:highlight w:val="none"/>
                <w:lang w:val="en-US" w:eastAsia="zh-CN" w:bidi="ar-SA"/>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1"/>
                <w:szCs w:val="24"/>
                <w:highlight w:val="none"/>
                <w:lang w:val="en-US" w:eastAsia="zh-CN" w:bidi="ar-SA"/>
              </w:rPr>
            </w:pPr>
            <w:r>
              <w:rPr>
                <w:rFonts w:hint="eastAsia" w:ascii="宋体" w:hAnsi="宋体"/>
                <w:highlight w:val="none"/>
              </w:rPr>
              <w:t>付款方式</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jc w:val="center"/>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符合磋商文件要求</w:t>
            </w: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1"/>
                <w:szCs w:val="24"/>
                <w:highlight w:val="none"/>
                <w:lang w:val="en-US" w:eastAsia="zh-CN" w:bidi="ar-SA"/>
              </w:rPr>
            </w:pPr>
            <w:r>
              <w:rPr>
                <w:rFonts w:hint="eastAsia" w:hAnsi="宋体"/>
                <w:szCs w:val="21"/>
                <w:highlight w:val="none"/>
              </w:rPr>
              <w:t>权利义务</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jc w:val="left"/>
              <w:rPr>
                <w:rFonts w:hint="eastAsia" w:ascii="宋体" w:hAnsi="宋体" w:eastAsia="宋体" w:cs="Times New Roman"/>
                <w:kern w:val="2"/>
                <w:sz w:val="21"/>
                <w:szCs w:val="21"/>
                <w:highlight w:val="none"/>
                <w:lang w:val="en-US" w:eastAsia="zh-CN" w:bidi="ar-SA"/>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11</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szCs w:val="21"/>
                <w:highlight w:val="none"/>
              </w:rPr>
            </w:pPr>
            <w:r>
              <w:rPr>
                <w:rFonts w:hint="eastAsia" w:ascii="宋体" w:hAnsi="宋体" w:cs="宋体"/>
                <w:bCs/>
                <w:color w:val="auto"/>
                <w:szCs w:val="21"/>
                <w:highlight w:val="none"/>
                <w:lang w:val="zh-CN"/>
              </w:rPr>
              <w:t>磋商有效期</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jc w:val="left"/>
              <w:rPr>
                <w:rFonts w:hint="eastAsia" w:ascii="宋体" w:hAnsi="宋体" w:eastAsia="宋体" w:cs="Times New Roman"/>
                <w:kern w:val="2"/>
                <w:sz w:val="21"/>
                <w:szCs w:val="21"/>
                <w:highlight w:val="none"/>
                <w:lang w:val="en-US" w:eastAsia="zh-CN" w:bidi="ar-SA"/>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w:t>
            </w:r>
          </w:p>
        </w:tc>
        <w:tc>
          <w:tcPr>
            <w:tcW w:w="4047" w:type="dxa"/>
            <w:tcBorders>
              <w:top w:val="single" w:color="auto" w:sz="4" w:space="0"/>
              <w:left w:val="single" w:color="auto" w:sz="4" w:space="0"/>
              <w:bottom w:val="single" w:color="auto" w:sz="4" w:space="0"/>
              <w:right w:val="single" w:color="auto" w:sz="4" w:space="0"/>
            </w:tcBorders>
            <w:noWrap w:val="0"/>
            <w:tcMar>
              <w:left w:w="170" w:type="dxa"/>
            </w:tcMar>
            <w:vAlign w:val="center"/>
          </w:tcPr>
          <w:p>
            <w:pPr>
              <w:rPr>
                <w:rFonts w:hint="eastAsia" w:ascii="宋体" w:hAnsi="宋体" w:cs="宋体"/>
                <w:color w:val="auto"/>
                <w:szCs w:val="21"/>
                <w:highlight w:val="none"/>
              </w:rPr>
            </w:pPr>
          </w:p>
        </w:tc>
        <w:tc>
          <w:tcPr>
            <w:tcW w:w="23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567" w:hRule="atLeast"/>
          <w:jc w:val="center"/>
        </w:trPr>
        <w:tc>
          <w:tcPr>
            <w:tcW w:w="9392"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szCs w:val="21"/>
                <w:highlight w:val="none"/>
              </w:rPr>
            </w:pPr>
            <w:r>
              <w:rPr>
                <w:rFonts w:hint="eastAsia" w:ascii="宋体" w:hAnsi="宋体" w:cs="宋体"/>
                <w:color w:val="auto"/>
                <w:szCs w:val="21"/>
                <w:highlight w:val="none"/>
              </w:rPr>
              <w:t>备注：供应商在响应磋商文件中规定的实质性要求和条件的基础上，可做出其他有利于采购人的承诺。此类承诺可在本表中予以补充填写。</w:t>
            </w:r>
          </w:p>
        </w:tc>
      </w:tr>
    </w:tbl>
    <w:p>
      <w:pPr>
        <w:spacing w:line="480" w:lineRule="exact"/>
        <w:ind w:firstLine="422" w:firstLineChars="200"/>
        <w:rPr>
          <w:rFonts w:hint="eastAsia" w:ascii="宋体" w:hAnsi="宋体" w:cs="宋体"/>
          <w:b/>
          <w:color w:val="auto"/>
          <w:szCs w:val="21"/>
          <w:highlight w:val="none"/>
        </w:rPr>
      </w:pPr>
    </w:p>
    <w:p>
      <w:pPr>
        <w:spacing w:line="480" w:lineRule="exact"/>
        <w:ind w:firstLine="422" w:firstLineChars="200"/>
        <w:rPr>
          <w:rFonts w:hint="eastAsia" w:ascii="宋体" w:hAnsi="宋体" w:cs="宋体"/>
          <w:b/>
          <w:color w:val="auto"/>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ascii="宋体" w:hAnsi="宋体"/>
          <w:bCs/>
          <w:color w:val="auto"/>
          <w:szCs w:val="21"/>
          <w:highlight w:val="none"/>
          <w:u w:val="single"/>
        </w:rPr>
      </w:pPr>
      <w:r>
        <w:rPr>
          <w:rFonts w:hint="eastAsia" w:ascii="宋体" w:hAnsi="宋体"/>
          <w:bCs/>
          <w:color w:val="auto"/>
          <w:szCs w:val="21"/>
          <w:highlight w:val="none"/>
        </w:rPr>
        <w:t>供应商名称（加盖公章）：</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ascii="宋体" w:hAnsi="宋体"/>
          <w:bCs/>
          <w:color w:val="auto"/>
          <w:szCs w:val="21"/>
          <w:highlight w:val="none"/>
        </w:rPr>
      </w:pPr>
      <w:r>
        <w:rPr>
          <w:rFonts w:hint="eastAsia" w:ascii="宋体" w:hAnsi="宋体"/>
          <w:bCs/>
          <w:color w:val="auto"/>
          <w:szCs w:val="21"/>
          <w:highlight w:val="none"/>
        </w:rPr>
        <w:t>法定代表人或其委托代理人（签字或盖章）：</w:t>
      </w:r>
      <w:r>
        <w:rPr>
          <w:rFonts w:hint="eastAsia" w:ascii="宋体" w:hAnsi="宋体"/>
          <w:bCs/>
          <w:color w:val="auto"/>
          <w:szCs w:val="21"/>
          <w:highlight w:val="none"/>
          <w:u w:val="single"/>
        </w:rPr>
        <w:t xml:space="preserve">            </w:t>
      </w:r>
    </w:p>
    <w:p>
      <w:pPr>
        <w:spacing w:line="480" w:lineRule="exact"/>
        <w:ind w:firstLine="3360" w:firstLineChars="1600"/>
        <w:rPr>
          <w:rFonts w:hint="eastAsia" w:ascii="宋体" w:hAnsi="宋体" w:cs="宋体"/>
          <w:b/>
          <w:color w:val="auto"/>
          <w:szCs w:val="21"/>
          <w:highlight w:val="none"/>
        </w:rPr>
      </w:pPr>
      <w:r>
        <w:rPr>
          <w:rFonts w:hint="eastAsia" w:ascii="宋体" w:hAnsi="宋体"/>
          <w:color w:val="auto"/>
          <w:szCs w:val="21"/>
          <w:highlight w:val="none"/>
        </w:rPr>
        <w:t xml:space="preserve">日期：     年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月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日</w:t>
      </w:r>
      <w:r>
        <w:rPr>
          <w:rFonts w:hint="eastAsia" w:ascii="宋体" w:hAnsi="宋体" w:cs="宋体"/>
          <w:b/>
          <w:color w:val="auto"/>
          <w:szCs w:val="21"/>
          <w:highlight w:val="none"/>
        </w:rPr>
        <w:t xml:space="preserve"> </w:t>
      </w:r>
    </w:p>
    <w:p>
      <w:pPr>
        <w:bidi w:val="0"/>
        <w:rPr>
          <w:rFonts w:hint="eastAsia"/>
          <w:highlight w:val="none"/>
        </w:rPr>
      </w:pPr>
    </w:p>
    <w:p>
      <w:pPr>
        <w:bidi w:val="0"/>
        <w:rPr>
          <w:rFonts w:hint="eastAsia"/>
          <w:highlight w:val="none"/>
        </w:rPr>
        <w:sectPr>
          <w:pgSz w:w="11906" w:h="16838"/>
          <w:pgMar w:top="1440" w:right="1558" w:bottom="1440" w:left="1560" w:header="851" w:footer="992" w:gutter="0"/>
          <w:pgNumType w:fmt="decimal"/>
          <w:cols w:space="720" w:num="1"/>
          <w:docGrid w:type="lines" w:linePitch="312" w:charSpace="0"/>
        </w:sectPr>
      </w:pPr>
    </w:p>
    <w:p>
      <w:pPr>
        <w:pStyle w:val="4"/>
        <w:spacing w:line="240" w:lineRule="auto"/>
        <w:jc w:val="center"/>
        <w:rPr>
          <w:rFonts w:hint="eastAsia" w:ascii="宋体" w:hAnsi="宋体" w:eastAsia="宋体" w:cs="宋体"/>
          <w:b/>
          <w:bCs/>
          <w:color w:val="auto"/>
          <w:kern w:val="2"/>
          <w:sz w:val="28"/>
          <w:szCs w:val="28"/>
          <w:highlight w:val="none"/>
          <w:lang w:val="en-US" w:eastAsia="zh-CN" w:bidi="ar-SA"/>
        </w:rPr>
      </w:pPr>
      <w:bookmarkStart w:id="1250" w:name="_Toc460361835"/>
      <w:bookmarkStart w:id="1251" w:name="_Toc460361777"/>
      <w:r>
        <w:rPr>
          <w:rFonts w:hint="eastAsia" w:ascii="宋体" w:hAnsi="宋体" w:eastAsia="宋体" w:cs="宋体"/>
          <w:b/>
          <w:bCs/>
          <w:color w:val="auto"/>
          <w:kern w:val="2"/>
          <w:sz w:val="28"/>
          <w:szCs w:val="28"/>
          <w:highlight w:val="none"/>
          <w:lang w:val="en-US" w:eastAsia="zh-CN" w:bidi="ar-SA"/>
        </w:rPr>
        <w:t>四、法定代表人身份证明</w:t>
      </w:r>
      <w:bookmarkEnd w:id="1250"/>
      <w:bookmarkEnd w:id="1251"/>
      <w:r>
        <w:rPr>
          <w:rFonts w:hint="eastAsia" w:ascii="宋体" w:hAnsi="宋体" w:eastAsia="宋体" w:cs="宋体"/>
          <w:b/>
          <w:bCs/>
          <w:color w:val="auto"/>
          <w:kern w:val="2"/>
          <w:sz w:val="28"/>
          <w:szCs w:val="28"/>
          <w:highlight w:val="none"/>
          <w:lang w:val="en-US" w:eastAsia="zh-CN" w:bidi="ar-SA"/>
        </w:rPr>
        <w:t>书</w:t>
      </w:r>
    </w:p>
    <w:p>
      <w:pPr>
        <w:spacing w:line="480" w:lineRule="auto"/>
        <w:rPr>
          <w:rFonts w:hint="eastAsia" w:ascii="宋体" w:hAnsi="宋体" w:cs="宋体"/>
          <w:b/>
          <w:color w:val="auto"/>
          <w:sz w:val="36"/>
          <w:szCs w:val="30"/>
          <w:highlight w:val="none"/>
        </w:rPr>
      </w:pPr>
    </w:p>
    <w:p>
      <w:pPr>
        <w:keepNext w:val="0"/>
        <w:keepLines w:val="0"/>
        <w:pageBreakBefore w:val="0"/>
        <w:widowControl w:val="0"/>
        <w:kinsoku/>
        <w:wordWrap/>
        <w:overflowPunct/>
        <w:topLinePunct w:val="0"/>
        <w:bidi w:val="0"/>
        <w:snapToGrid/>
        <w:spacing w:line="360" w:lineRule="auto"/>
        <w:ind w:firstLine="420" w:firstLineChars="200"/>
        <w:textAlignment w:val="auto"/>
        <w:rPr>
          <w:rFonts w:ascii="宋体" w:hAnsi="宋体"/>
          <w:highlight w:val="none"/>
        </w:rPr>
      </w:pPr>
      <w:r>
        <w:rPr>
          <w:rFonts w:hint="eastAsia" w:ascii="宋体" w:hAnsi="宋体"/>
          <w:highlight w:val="none"/>
        </w:rPr>
        <w:t>供应商名称：</w:t>
      </w:r>
      <w:r>
        <w:rPr>
          <w:rFonts w:hint="eastAsia" w:ascii="宋体" w:hAnsi="宋体"/>
          <w:highlight w:val="none"/>
          <w:u w:val="single"/>
        </w:rPr>
        <w:t xml:space="preserve">                                </w:t>
      </w:r>
      <w:r>
        <w:rPr>
          <w:rFonts w:hint="eastAsia" w:ascii="宋体" w:hAnsi="宋体"/>
          <w:highlight w:val="non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highlight w:val="none"/>
        </w:rPr>
      </w:pPr>
      <w:r>
        <w:rPr>
          <w:rFonts w:hint="eastAsia" w:ascii="宋体" w:hAnsi="宋体"/>
          <w:highlight w:val="none"/>
        </w:rPr>
        <w:t>单位性质：</w:t>
      </w:r>
      <w:r>
        <w:rPr>
          <w:rFonts w:hint="eastAsia" w:ascii="宋体" w:hAnsi="宋体"/>
          <w:highlight w:val="none"/>
          <w:u w:val="single"/>
        </w:rPr>
        <w:t xml:space="preserve">                                  </w:t>
      </w:r>
      <w:r>
        <w:rPr>
          <w:rFonts w:hint="eastAsia" w:ascii="宋体" w:hAnsi="宋体"/>
          <w:highlight w:val="non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highlight w:val="none"/>
        </w:rPr>
      </w:pPr>
      <w:r>
        <w:rPr>
          <w:rFonts w:hint="eastAsia" w:ascii="宋体" w:hAnsi="宋体"/>
          <w:highlight w:val="none"/>
        </w:rPr>
        <w:t>地址：</w:t>
      </w:r>
      <w:r>
        <w:rPr>
          <w:rFonts w:hint="eastAsia" w:ascii="宋体" w:hAnsi="宋体"/>
          <w:highlight w:val="none"/>
          <w:u w:val="single"/>
        </w:rPr>
        <w:t xml:space="preserve">                                      </w:t>
      </w:r>
      <w:r>
        <w:rPr>
          <w:rFonts w:hint="eastAsia" w:ascii="宋体" w:hAnsi="宋体"/>
          <w:highlight w:val="non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highlight w:val="none"/>
        </w:rPr>
      </w:pPr>
      <w:r>
        <w:rPr>
          <w:rFonts w:hint="eastAsia" w:ascii="宋体" w:hAnsi="宋体"/>
          <w:highlight w:val="none"/>
        </w:rPr>
        <w:t>成立时间：</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日</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highlight w:val="none"/>
        </w:rPr>
      </w:pPr>
      <w:r>
        <w:rPr>
          <w:rFonts w:hint="eastAsia" w:ascii="宋体" w:hAnsi="宋体"/>
          <w:highlight w:val="none"/>
        </w:rPr>
        <w:t>经营期限：</w:t>
      </w:r>
      <w:r>
        <w:rPr>
          <w:rFonts w:hint="eastAsia" w:ascii="宋体" w:hAnsi="宋体"/>
          <w:highlight w:val="none"/>
          <w:u w:val="single"/>
        </w:rPr>
        <w:t xml:space="preserve">                                  </w:t>
      </w:r>
      <w:r>
        <w:rPr>
          <w:rFonts w:hint="eastAsia" w:ascii="宋体" w:hAnsi="宋体"/>
          <w:highlight w:val="non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highlight w:val="none"/>
        </w:rPr>
      </w:pPr>
      <w:r>
        <w:rPr>
          <w:rFonts w:hint="eastAsia" w:ascii="宋体" w:hAnsi="宋体"/>
          <w:highlight w:val="none"/>
        </w:rPr>
        <w:t>姓名：</w:t>
      </w:r>
      <w:r>
        <w:rPr>
          <w:rFonts w:hint="eastAsia" w:ascii="宋体" w:hAnsi="宋体"/>
          <w:highlight w:val="none"/>
          <w:u w:val="single"/>
        </w:rPr>
        <w:t xml:space="preserve">       </w:t>
      </w:r>
      <w:r>
        <w:rPr>
          <w:rFonts w:hint="eastAsia" w:ascii="宋体" w:hAnsi="宋体"/>
          <w:highlight w:val="none"/>
        </w:rPr>
        <w:t>性别：</w:t>
      </w:r>
      <w:r>
        <w:rPr>
          <w:rFonts w:hint="eastAsia" w:ascii="宋体" w:hAnsi="宋体"/>
          <w:highlight w:val="none"/>
          <w:u w:val="single"/>
        </w:rPr>
        <w:t xml:space="preserve">       </w:t>
      </w:r>
      <w:r>
        <w:rPr>
          <w:rFonts w:hint="eastAsia" w:ascii="宋体" w:hAnsi="宋体"/>
          <w:highlight w:val="none"/>
        </w:rPr>
        <w:t>年龄：</w:t>
      </w:r>
      <w:r>
        <w:rPr>
          <w:rFonts w:hint="eastAsia" w:ascii="宋体" w:hAnsi="宋体"/>
          <w:highlight w:val="none"/>
          <w:u w:val="single"/>
        </w:rPr>
        <w:t xml:space="preserve">       </w:t>
      </w:r>
      <w:r>
        <w:rPr>
          <w:rFonts w:hint="eastAsia" w:ascii="宋体" w:hAnsi="宋体"/>
          <w:highlight w:val="none"/>
        </w:rPr>
        <w:t>职务：</w:t>
      </w:r>
      <w:r>
        <w:rPr>
          <w:rFonts w:hint="eastAsia" w:ascii="宋体" w:hAnsi="宋体"/>
          <w:highlight w:val="none"/>
          <w:u w:val="singl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highlight w:val="none"/>
        </w:rPr>
      </w:pPr>
      <w:r>
        <w:rPr>
          <w:rFonts w:hint="eastAsia" w:ascii="宋体" w:hAnsi="宋体"/>
          <w:highlight w:val="none"/>
        </w:rPr>
        <w:t>系</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rPr>
        <w:t>（供应商名称）的法定代表人。</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highlight w:val="none"/>
        </w:rPr>
      </w:pPr>
      <w:r>
        <w:rPr>
          <w:rFonts w:hint="eastAsia" w:ascii="宋体" w:hAnsi="宋体"/>
          <w:highlight w:val="none"/>
        </w:rPr>
        <w:t>特此证明。</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宋体" w:hAnsi="宋体" w:cs="仿宋_GB2312"/>
          <w:kern w:val="0"/>
          <w:szCs w:val="21"/>
          <w:highlight w:val="none"/>
        </w:rPr>
      </w:pPr>
      <w:r>
        <w:rPr>
          <w:rFonts w:hint="eastAsia" w:ascii="宋体" w:hAnsi="宋体" w:cs="仿宋_GB2312"/>
          <w:kern w:val="0"/>
          <w:szCs w:val="21"/>
          <w:highlight w:val="none"/>
        </w:rPr>
        <w:t>附：</w:t>
      </w:r>
      <w:r>
        <w:rPr>
          <w:rFonts w:hint="eastAsia" w:ascii="宋体" w:hAnsi="宋体" w:cs="仿宋_GB2312"/>
          <w:kern w:val="0"/>
          <w:szCs w:val="21"/>
          <w:highlight w:val="none"/>
          <w:lang w:val="en-US" w:eastAsia="zh-CN"/>
        </w:rPr>
        <w:t>法定代表人有效期内的</w:t>
      </w:r>
      <w:r>
        <w:rPr>
          <w:rFonts w:hint="eastAsia" w:ascii="宋体" w:hAnsi="宋体" w:cs="仿宋_GB2312"/>
          <w:kern w:val="0"/>
          <w:szCs w:val="21"/>
          <w:highlight w:val="none"/>
        </w:rPr>
        <w:t>身份证</w:t>
      </w:r>
      <w:r>
        <w:rPr>
          <w:rFonts w:hint="eastAsia" w:ascii="宋体" w:hAnsi="宋体" w:cs="仿宋_GB2312"/>
          <w:kern w:val="0"/>
          <w:szCs w:val="21"/>
          <w:highlight w:val="none"/>
          <w:lang w:val="en-US" w:eastAsia="zh-CN"/>
        </w:rPr>
        <w:t>正反面</w:t>
      </w:r>
      <w:r>
        <w:rPr>
          <w:rFonts w:hint="eastAsia" w:ascii="宋体" w:hAnsi="宋体" w:cs="仿宋_GB2312"/>
          <w:kern w:val="0"/>
          <w:szCs w:val="21"/>
          <w:highlight w:val="none"/>
        </w:rPr>
        <w:t>（复印件或扫描件）</w:t>
      </w:r>
    </w:p>
    <w:p>
      <w:pPr>
        <w:tabs>
          <w:tab w:val="left" w:pos="720"/>
          <w:tab w:val="left" w:pos="900"/>
        </w:tabs>
        <w:spacing w:line="480" w:lineRule="auto"/>
        <w:ind w:firstLine="3780" w:firstLineChars="1800"/>
        <w:rPr>
          <w:rFonts w:hint="eastAsia" w:ascii="宋体" w:hAnsi="宋体" w:cs="宋体"/>
          <w:color w:val="auto"/>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ascii="宋体" w:hAnsi="宋体"/>
          <w:bCs/>
          <w:color w:val="auto"/>
          <w:szCs w:val="21"/>
          <w:highlight w:val="none"/>
          <w:u w:val="single"/>
        </w:rPr>
      </w:pPr>
      <w:r>
        <w:rPr>
          <w:rFonts w:hint="eastAsia" w:ascii="宋体" w:hAnsi="宋体"/>
          <w:bCs/>
          <w:color w:val="auto"/>
          <w:szCs w:val="21"/>
          <w:highlight w:val="none"/>
        </w:rPr>
        <w:t>供应商名称（加盖公章）：</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p>
    <w:p>
      <w:pPr>
        <w:spacing w:line="480" w:lineRule="exact"/>
        <w:ind w:firstLine="3360" w:firstLineChars="1600"/>
        <w:rPr>
          <w:rFonts w:hint="eastAsia" w:ascii="宋体" w:hAnsi="宋体" w:cs="宋体"/>
          <w:b/>
          <w:color w:val="auto"/>
          <w:szCs w:val="21"/>
          <w:highlight w:val="none"/>
        </w:rPr>
      </w:pPr>
      <w:r>
        <w:rPr>
          <w:rFonts w:hint="eastAsia" w:ascii="宋体" w:hAnsi="宋体"/>
          <w:color w:val="auto"/>
          <w:szCs w:val="21"/>
          <w:highlight w:val="none"/>
        </w:rPr>
        <w:t xml:space="preserve">日期：     年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月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日</w:t>
      </w:r>
      <w:r>
        <w:rPr>
          <w:rFonts w:hint="eastAsia" w:ascii="宋体" w:hAnsi="宋体" w:cs="宋体"/>
          <w:b/>
          <w:color w:val="auto"/>
          <w:szCs w:val="21"/>
          <w:highlight w:val="non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4"/>
        <w:spacing w:line="24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五、被授权人身份证明书</w:t>
      </w:r>
    </w:p>
    <w:p>
      <w:pPr>
        <w:spacing w:line="400" w:lineRule="exact"/>
        <w:ind w:firstLine="420" w:firstLineChars="200"/>
        <w:rPr>
          <w:rFonts w:hint="eastAsia" w:ascii="宋体" w:hAnsi="宋体" w:cs="宋体"/>
          <w:color w:val="auto"/>
          <w:szCs w:val="21"/>
          <w:highlight w:val="none"/>
        </w:rPr>
      </w:pP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（供应商名称）的法定代表人，现委托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（姓名）为我方代理人。代理人根据授权，以我方名义签署、澄清、说明、补正、递交、撤回、修改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文件、签订合同和处理有关事宜，其法律后果由我方承担。</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委托期限：</w:t>
      </w:r>
      <w:r>
        <w:rPr>
          <w:rFonts w:hint="eastAsia" w:ascii="宋体" w:hAnsi="宋体" w:cs="宋体"/>
          <w:color w:val="auto"/>
          <w:szCs w:val="21"/>
          <w:highlight w:val="none"/>
          <w:u w:val="single"/>
        </w:rPr>
        <w:t xml:space="preserve">                                </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代理人无转委托权。</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附：被授权人有效期内的身份证正、反面</w:t>
      </w:r>
    </w:p>
    <w:p>
      <w:pPr>
        <w:spacing w:line="400" w:lineRule="exact"/>
        <w:ind w:firstLine="420" w:firstLineChars="200"/>
        <w:rPr>
          <w:rFonts w:hint="eastAsia" w:ascii="宋体" w:hAnsi="宋体" w:cs="宋体"/>
          <w:color w:val="auto"/>
          <w:szCs w:val="21"/>
          <w:highlight w:val="none"/>
        </w:rPr>
      </w:pPr>
    </w:p>
    <w:p>
      <w:pPr>
        <w:spacing w:line="400" w:lineRule="exact"/>
        <w:ind w:firstLine="420" w:firstLineChars="200"/>
        <w:rPr>
          <w:rFonts w:hint="eastAsia" w:ascii="宋体" w:hAnsi="宋体" w:cs="宋体"/>
          <w:color w:val="auto"/>
          <w:szCs w:val="21"/>
          <w:highlight w:val="none"/>
        </w:rPr>
      </w:pPr>
    </w:p>
    <w:p>
      <w:pPr>
        <w:spacing w:line="400" w:lineRule="exact"/>
        <w:ind w:firstLine="420" w:firstLineChars="200"/>
        <w:rPr>
          <w:rFonts w:hint="eastAsia" w:ascii="宋体" w:hAnsi="宋体" w:cs="宋体"/>
          <w:color w:val="auto"/>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hint="eastAsia" w:ascii="宋体" w:hAnsi="宋体"/>
          <w:bCs/>
          <w:color w:val="auto"/>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hint="eastAsia" w:ascii="宋体" w:hAnsi="宋体"/>
          <w:bCs/>
          <w:color w:val="auto"/>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hint="eastAsia" w:ascii="宋体" w:hAnsi="宋体"/>
          <w:bCs/>
          <w:color w:val="auto"/>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hint="eastAsia" w:ascii="宋体" w:hAnsi="宋体"/>
          <w:bCs/>
          <w:color w:val="auto"/>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ascii="宋体" w:hAnsi="宋体"/>
          <w:bCs/>
          <w:color w:val="auto"/>
          <w:szCs w:val="21"/>
          <w:highlight w:val="none"/>
          <w:u w:val="single"/>
        </w:rPr>
      </w:pPr>
      <w:r>
        <w:rPr>
          <w:rFonts w:hint="eastAsia" w:ascii="宋体" w:hAnsi="宋体"/>
          <w:bCs/>
          <w:color w:val="auto"/>
          <w:szCs w:val="21"/>
          <w:highlight w:val="none"/>
        </w:rPr>
        <w:t>供应商名称（加盖公章）：</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ascii="宋体" w:hAnsi="宋体"/>
          <w:bCs/>
          <w:color w:val="auto"/>
          <w:szCs w:val="21"/>
          <w:highlight w:val="none"/>
        </w:rPr>
      </w:pPr>
      <w:r>
        <w:rPr>
          <w:rFonts w:hint="eastAsia" w:ascii="宋体" w:hAnsi="宋体"/>
          <w:bCs/>
          <w:color w:val="auto"/>
          <w:szCs w:val="21"/>
          <w:highlight w:val="none"/>
        </w:rPr>
        <w:t>法定代表人（签字）：</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p>
    <w:p>
      <w:pPr>
        <w:keepNext w:val="0"/>
        <w:keepLines w:val="0"/>
        <w:pageBreakBefore w:val="0"/>
        <w:widowControl w:val="0"/>
        <w:kinsoku/>
        <w:wordWrap/>
        <w:overflowPunct/>
        <w:topLinePunct w:val="0"/>
        <w:bidi w:val="0"/>
        <w:snapToGrid/>
        <w:spacing w:line="480" w:lineRule="auto"/>
        <w:ind w:firstLine="3360" w:firstLineChars="1600"/>
        <w:textAlignment w:val="auto"/>
        <w:rPr>
          <w:rFonts w:hint="eastAsia" w:ascii="宋体" w:hAnsi="宋体"/>
          <w:color w:val="auto"/>
          <w:szCs w:val="21"/>
          <w:highlight w:val="non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bidi w:val="0"/>
        <w:snapToGrid/>
        <w:spacing w:line="480" w:lineRule="auto"/>
        <w:ind w:firstLine="3360" w:firstLineChars="1600"/>
        <w:textAlignment w:val="auto"/>
        <w:rPr>
          <w:rFonts w:hint="eastAsia" w:ascii="宋体" w:hAnsi="宋体"/>
          <w:color w:val="auto"/>
          <w:szCs w:val="21"/>
          <w:highlight w:val="none"/>
        </w:rPr>
      </w:pPr>
      <w:r>
        <w:rPr>
          <w:rFonts w:hint="eastAsia" w:ascii="宋体" w:hAnsi="宋体" w:eastAsia="宋体"/>
          <w:bCs/>
          <w:color w:val="auto"/>
          <w:szCs w:val="21"/>
          <w:highlight w:val="none"/>
          <w:lang w:val="en-US" w:eastAsia="zh-CN"/>
        </w:rPr>
        <w:t>委托代理人</w:t>
      </w:r>
      <w:r>
        <w:rPr>
          <w:rFonts w:hint="eastAsia" w:ascii="宋体" w:hAnsi="宋体" w:eastAsia="宋体"/>
          <w:bCs/>
          <w:color w:val="auto"/>
          <w:szCs w:val="21"/>
          <w:highlight w:val="none"/>
        </w:rPr>
        <w:t>（签字）：</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p>
    <w:p>
      <w:pPr>
        <w:keepNext w:val="0"/>
        <w:keepLines w:val="0"/>
        <w:pageBreakBefore w:val="0"/>
        <w:widowControl w:val="0"/>
        <w:kinsoku/>
        <w:wordWrap/>
        <w:overflowPunct/>
        <w:topLinePunct w:val="0"/>
        <w:bidi w:val="0"/>
        <w:snapToGrid/>
        <w:spacing w:line="480" w:lineRule="auto"/>
        <w:ind w:firstLine="3360" w:firstLineChars="1600"/>
        <w:textAlignment w:val="auto"/>
        <w:rPr>
          <w:rFonts w:hint="eastAsia" w:ascii="宋体" w:hAnsi="宋体"/>
          <w:color w:val="auto"/>
          <w:szCs w:val="21"/>
          <w:highlight w:val="non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bidi w:val="0"/>
        <w:snapToGrid/>
        <w:spacing w:line="480" w:lineRule="auto"/>
        <w:ind w:firstLine="3360" w:firstLineChars="1600"/>
        <w:textAlignment w:val="auto"/>
        <w:rPr>
          <w:rFonts w:hint="eastAsia" w:ascii="宋体" w:hAnsi="宋体" w:cs="宋体"/>
          <w:b/>
          <w:color w:val="auto"/>
          <w:szCs w:val="21"/>
          <w:highlight w:val="none"/>
        </w:rPr>
      </w:pPr>
      <w:r>
        <w:rPr>
          <w:rFonts w:hint="eastAsia" w:ascii="宋体" w:hAnsi="宋体"/>
          <w:color w:val="auto"/>
          <w:szCs w:val="21"/>
          <w:highlight w:val="none"/>
        </w:rPr>
        <w:t xml:space="preserve">日期：     年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月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日</w:t>
      </w:r>
      <w:r>
        <w:rPr>
          <w:rFonts w:hint="eastAsia" w:ascii="宋体" w:hAnsi="宋体" w:cs="宋体"/>
          <w:b/>
          <w:color w:val="auto"/>
          <w:szCs w:val="21"/>
          <w:highlight w:val="none"/>
        </w:rPr>
        <w:t xml:space="preserve"> </w:t>
      </w:r>
    </w:p>
    <w:p>
      <w:pPr>
        <w:spacing w:line="400" w:lineRule="exact"/>
        <w:ind w:firstLine="4725" w:firstLineChars="2250"/>
        <w:rPr>
          <w:rFonts w:hint="eastAsia" w:ascii="宋体" w:hAnsi="宋体" w:cs="宋体"/>
          <w:color w:val="auto"/>
          <w:szCs w:val="21"/>
          <w:highlight w:val="none"/>
        </w:rPr>
      </w:pPr>
    </w:p>
    <w:p>
      <w:pPr>
        <w:rPr>
          <w:rFonts w:hint="eastAsia" w:ascii="宋体" w:hAnsi="宋体" w:cs="宋体"/>
          <w:color w:val="auto"/>
          <w:sz w:val="24"/>
          <w:highlight w:val="none"/>
          <w:lang w:val="zh-CN"/>
        </w:rPr>
      </w:pPr>
      <w:r>
        <w:rPr>
          <w:rFonts w:hint="eastAsia" w:ascii="宋体" w:hAnsi="宋体" w:cs="宋体"/>
          <w:color w:val="auto"/>
          <w:sz w:val="24"/>
          <w:highlight w:val="none"/>
          <w:lang w:val="zh-CN"/>
        </w:rPr>
        <w:br w:type="page"/>
      </w:r>
    </w:p>
    <w:p>
      <w:pPr>
        <w:pStyle w:val="4"/>
        <w:spacing w:line="240" w:lineRule="auto"/>
        <w:jc w:val="center"/>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 </w:t>
      </w:r>
      <w:r>
        <w:rPr>
          <w:rFonts w:hint="eastAsia" w:ascii="宋体" w:hAnsi="宋体" w:eastAsia="宋体" w:cs="宋体"/>
          <w:color w:val="auto"/>
          <w:sz w:val="28"/>
          <w:szCs w:val="28"/>
          <w:highlight w:val="none"/>
        </w:rPr>
        <w:t>六、</w:t>
      </w:r>
      <w:r>
        <w:rPr>
          <w:rFonts w:hint="eastAsia" w:ascii="Arial" w:hAnsi="Arial" w:eastAsia="宋体" w:cs="Times New Roman"/>
          <w:b/>
          <w:bCs/>
          <w:kern w:val="2"/>
          <w:sz w:val="30"/>
          <w:szCs w:val="30"/>
          <w:highlight w:val="none"/>
          <w:lang w:val="zh-CN" w:eastAsia="zh-CN" w:bidi="ar-SA"/>
        </w:rPr>
        <w:t>联合体协议书（</w:t>
      </w:r>
      <w:r>
        <w:rPr>
          <w:rFonts w:hint="eastAsia" w:ascii="Arial" w:hAnsi="Arial" w:eastAsia="宋体" w:cs="Times New Roman"/>
          <w:b/>
          <w:bCs/>
          <w:kern w:val="2"/>
          <w:sz w:val="30"/>
          <w:szCs w:val="30"/>
          <w:highlight w:val="none"/>
          <w:lang w:val="en-US" w:eastAsia="zh-CN" w:bidi="ar-SA"/>
        </w:rPr>
        <w:t>如有</w:t>
      </w:r>
      <w:r>
        <w:rPr>
          <w:rFonts w:hint="eastAsia" w:ascii="Arial" w:hAnsi="Arial" w:eastAsia="宋体" w:cs="Times New Roman"/>
          <w:b/>
          <w:bCs/>
          <w:kern w:val="2"/>
          <w:sz w:val="30"/>
          <w:szCs w:val="30"/>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u w:val="single"/>
        </w:rPr>
        <w:t xml:space="preserve"> </w:t>
      </w:r>
      <w:r>
        <w:rPr>
          <w:rFonts w:hint="eastAsia"/>
          <w:highlight w:val="none"/>
          <w:u w:val="single"/>
          <w:lang w:val="en-US" w:eastAsia="zh-CN"/>
        </w:rPr>
        <w:t xml:space="preserve">      </w:t>
      </w:r>
      <w:r>
        <w:rPr>
          <w:rFonts w:hint="eastAsia"/>
          <w:highlight w:val="none"/>
        </w:rPr>
        <w:t>（所有成员单位名称）自愿组成</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none"/>
          <w:lang w:val="en-US" w:eastAsia="zh-CN"/>
        </w:rPr>
        <w:t>（</w:t>
      </w:r>
      <w:r>
        <w:rPr>
          <w:rFonts w:hint="eastAsia"/>
          <w:highlight w:val="none"/>
        </w:rPr>
        <w:t>联合体名称）联合体，共同参加</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（项目名称）磋商。现就联合体磋商事宜订立如下协议。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1.</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（某成员单位名称）为</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（联合体名称）牵头人。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2.联合体各成员授权牵头人代表联合体参加磋商活动，签署文件，提交和接收相关的资料、信息及指示，进行合同谈判活动，负责合同实施阶段的组织和协调工作，以及处理与本磋商项目有关的一切事宜。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3.联合体牵头人在本项目中签署的一切文件和处理的一切事宜，联合体各成员均予以承认。联合体各成员将严格按照磋商文件、响应文件和合同的要求全面履行义务，并向采购人承担连带责任。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4.联合体各成员单位内部的职责分工如下：</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5.本协议书自所有成员单位法定代表人或其委托代理人签字或盖单位章之日起生效，合同履行完毕后自动失效。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6.本协议书一式</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份，联合体成员和采购人各执一份。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rPr>
        <w:t>注：本协议书由法定代表人签字的，应附法定代表人身份证明；由委托代理人签字的，应附授权委托书。</w:t>
      </w:r>
    </w:p>
    <w:p>
      <w:pPr>
        <w:autoSpaceDE w:val="0"/>
        <w:autoSpaceDN w:val="0"/>
        <w:adjustRightInd w:val="0"/>
        <w:spacing w:line="200" w:lineRule="exact"/>
        <w:jc w:val="left"/>
        <w:rPr>
          <w:rFonts w:hint="eastAsia" w:ascii="宋体" w:hAnsi="宋体" w:eastAsia="宋体" w:cs="宋体"/>
          <w:color w:val="auto"/>
          <w:sz w:val="20"/>
          <w:highlight w:val="none"/>
        </w:rPr>
      </w:pPr>
    </w:p>
    <w:p>
      <w:pPr>
        <w:tabs>
          <w:tab w:val="left" w:pos="7240"/>
        </w:tabs>
        <w:autoSpaceDE w:val="0"/>
        <w:autoSpaceDN w:val="0"/>
        <w:adjustRightInd w:val="0"/>
        <w:spacing w:line="333" w:lineRule="exact"/>
        <w:ind w:left="2511" w:right="-20" w:firstLine="2520" w:firstLineChars="1200"/>
        <w:jc w:val="left"/>
        <w:rPr>
          <w:rFonts w:hint="eastAsia" w:ascii="宋体" w:hAnsi="宋体" w:eastAsia="宋体" w:cs="宋体"/>
          <w:color w:val="auto"/>
          <w:szCs w:val="21"/>
          <w:highlight w:val="none"/>
        </w:rPr>
      </w:pPr>
      <w:r>
        <w:rPr>
          <w:rFonts w:hint="eastAsia" w:ascii="宋体" w:hAnsi="宋体" w:eastAsia="宋体" w:cs="宋体"/>
          <w:color w:val="auto"/>
          <w:position w:val="-4"/>
          <w:szCs w:val="21"/>
          <w:highlight w:val="none"/>
        </w:rPr>
        <w:t>联合</w:t>
      </w:r>
      <w:r>
        <w:rPr>
          <w:rFonts w:hint="eastAsia" w:ascii="宋体" w:hAnsi="宋体" w:eastAsia="宋体" w:cs="宋体"/>
          <w:color w:val="auto"/>
          <w:spacing w:val="-2"/>
          <w:position w:val="-4"/>
          <w:szCs w:val="21"/>
          <w:highlight w:val="none"/>
        </w:rPr>
        <w:t>体</w:t>
      </w:r>
      <w:r>
        <w:rPr>
          <w:rFonts w:hint="eastAsia" w:ascii="宋体" w:hAnsi="宋体" w:eastAsia="宋体" w:cs="宋体"/>
          <w:color w:val="auto"/>
          <w:position w:val="-4"/>
          <w:szCs w:val="21"/>
          <w:highlight w:val="none"/>
        </w:rPr>
        <w:t>牵</w:t>
      </w:r>
      <w:r>
        <w:rPr>
          <w:rFonts w:hint="eastAsia" w:ascii="宋体" w:hAnsi="宋体" w:eastAsia="宋体" w:cs="宋体"/>
          <w:color w:val="auto"/>
          <w:spacing w:val="-2"/>
          <w:position w:val="-4"/>
          <w:szCs w:val="21"/>
          <w:highlight w:val="none"/>
        </w:rPr>
        <w:t>头</w:t>
      </w:r>
      <w:r>
        <w:rPr>
          <w:rFonts w:hint="eastAsia" w:ascii="宋体" w:hAnsi="宋体" w:eastAsia="宋体" w:cs="宋体"/>
          <w:color w:val="auto"/>
          <w:position w:val="-4"/>
          <w:szCs w:val="21"/>
          <w:highlight w:val="none"/>
        </w:rPr>
        <w:t>人</w:t>
      </w:r>
      <w:r>
        <w:rPr>
          <w:rFonts w:hint="eastAsia" w:ascii="宋体" w:hAnsi="宋体" w:eastAsia="宋体" w:cs="宋体"/>
          <w:color w:val="auto"/>
          <w:spacing w:val="-2"/>
          <w:position w:val="-4"/>
          <w:szCs w:val="21"/>
          <w:highlight w:val="none"/>
        </w:rPr>
        <w:t>名</w:t>
      </w:r>
      <w:r>
        <w:rPr>
          <w:rFonts w:hint="eastAsia" w:ascii="宋体" w:hAnsi="宋体" w:eastAsia="宋体" w:cs="宋体"/>
          <w:color w:val="auto"/>
          <w:position w:val="-4"/>
          <w:szCs w:val="21"/>
          <w:highlight w:val="none"/>
        </w:rPr>
        <w:t>称</w:t>
      </w:r>
      <w:r>
        <w:rPr>
          <w:rFonts w:hint="eastAsia" w:ascii="宋体" w:hAnsi="宋体" w:eastAsia="宋体" w:cs="宋体"/>
          <w:color w:val="auto"/>
          <w:spacing w:val="-3"/>
          <w:position w:val="-4"/>
          <w:szCs w:val="21"/>
          <w:highlight w:val="none"/>
        </w:rPr>
        <w:t>：</w:t>
      </w:r>
      <w:r>
        <w:rPr>
          <w:rFonts w:hint="eastAsia"/>
          <w:highlight w:val="none"/>
          <w:u w:val="single"/>
        </w:rPr>
        <w:t xml:space="preserve"> </w:t>
      </w:r>
      <w:r>
        <w:rPr>
          <w:rFonts w:hint="eastAsia"/>
          <w:highlight w:val="none"/>
          <w:u w:val="single"/>
          <w:lang w:val="en-US" w:eastAsia="zh-CN"/>
        </w:rPr>
        <w:t xml:space="preserve">             </w:t>
      </w:r>
      <w:r>
        <w:rPr>
          <w:rFonts w:hint="eastAsia" w:ascii="宋体" w:hAnsi="宋体" w:eastAsia="宋体" w:cs="宋体"/>
          <w:color w:val="auto"/>
          <w:position w:val="-4"/>
          <w:szCs w:val="21"/>
          <w:highlight w:val="none"/>
        </w:rPr>
        <w:t>（盖</w:t>
      </w:r>
      <w:r>
        <w:rPr>
          <w:rFonts w:hint="eastAsia" w:ascii="宋体" w:hAnsi="宋体" w:eastAsia="宋体" w:cs="宋体"/>
          <w:color w:val="auto"/>
          <w:spacing w:val="-2"/>
          <w:position w:val="-4"/>
          <w:szCs w:val="21"/>
          <w:highlight w:val="none"/>
        </w:rPr>
        <w:t>单</w:t>
      </w:r>
      <w:r>
        <w:rPr>
          <w:rFonts w:hint="eastAsia" w:ascii="宋体" w:hAnsi="宋体" w:eastAsia="宋体" w:cs="宋体"/>
          <w:color w:val="auto"/>
          <w:position w:val="-4"/>
          <w:szCs w:val="21"/>
          <w:highlight w:val="none"/>
        </w:rPr>
        <w:t>位</w:t>
      </w:r>
      <w:r>
        <w:rPr>
          <w:rFonts w:hint="eastAsia" w:ascii="宋体" w:hAnsi="宋体" w:eastAsia="宋体" w:cs="宋体"/>
          <w:color w:val="auto"/>
          <w:spacing w:val="-2"/>
          <w:position w:val="-4"/>
          <w:szCs w:val="21"/>
          <w:highlight w:val="none"/>
        </w:rPr>
        <w:t>章</w:t>
      </w:r>
      <w:r>
        <w:rPr>
          <w:rFonts w:hint="eastAsia" w:ascii="宋体" w:hAnsi="宋体" w:eastAsia="宋体" w:cs="宋体"/>
          <w:color w:val="auto"/>
          <w:position w:val="-4"/>
          <w:szCs w:val="21"/>
          <w:highlight w:val="none"/>
        </w:rPr>
        <w:t>）</w:t>
      </w:r>
    </w:p>
    <w:p>
      <w:pPr>
        <w:autoSpaceDE w:val="0"/>
        <w:autoSpaceDN w:val="0"/>
        <w:adjustRightInd w:val="0"/>
        <w:spacing w:before="9" w:line="160" w:lineRule="exact"/>
        <w:jc w:val="left"/>
        <w:rPr>
          <w:rFonts w:hint="eastAsia" w:ascii="宋体" w:hAnsi="宋体" w:eastAsia="宋体" w:cs="宋体"/>
          <w:color w:val="auto"/>
          <w:sz w:val="16"/>
          <w:szCs w:val="16"/>
          <w:highlight w:val="none"/>
        </w:rPr>
      </w:pPr>
    </w:p>
    <w:p>
      <w:pPr>
        <w:tabs>
          <w:tab w:val="left" w:pos="6400"/>
        </w:tabs>
        <w:autoSpaceDE w:val="0"/>
        <w:autoSpaceDN w:val="0"/>
        <w:adjustRightInd w:val="0"/>
        <w:spacing w:line="271" w:lineRule="exact"/>
        <w:ind w:left="2511" w:right="-20" w:firstLine="2520" w:firstLineChars="1200"/>
        <w:jc w:val="left"/>
        <w:rPr>
          <w:rFonts w:hint="eastAsia" w:ascii="宋体" w:hAnsi="宋体" w:eastAsia="宋体" w:cs="宋体"/>
          <w:color w:val="auto"/>
          <w:szCs w:val="21"/>
          <w:highlight w:val="none"/>
        </w:rPr>
      </w:pPr>
      <w:r>
        <w:rPr>
          <w:rFonts w:hint="eastAsia" w:ascii="宋体" w:hAnsi="宋体" w:eastAsia="宋体" w:cs="宋体"/>
          <w:color w:val="auto"/>
          <w:position w:val="-2"/>
          <w:szCs w:val="21"/>
          <w:highlight w:val="none"/>
        </w:rPr>
        <w:t>法定</w:t>
      </w:r>
      <w:r>
        <w:rPr>
          <w:rFonts w:hint="eastAsia" w:ascii="宋体" w:hAnsi="宋体" w:eastAsia="宋体" w:cs="宋体"/>
          <w:color w:val="auto"/>
          <w:spacing w:val="-2"/>
          <w:position w:val="-2"/>
          <w:szCs w:val="21"/>
          <w:highlight w:val="none"/>
        </w:rPr>
        <w:t>代</w:t>
      </w:r>
      <w:r>
        <w:rPr>
          <w:rFonts w:hint="eastAsia" w:ascii="宋体" w:hAnsi="宋体" w:eastAsia="宋体" w:cs="宋体"/>
          <w:color w:val="auto"/>
          <w:position w:val="-2"/>
          <w:szCs w:val="21"/>
          <w:highlight w:val="none"/>
        </w:rPr>
        <w:t>表</w:t>
      </w:r>
      <w:r>
        <w:rPr>
          <w:rFonts w:hint="eastAsia" w:ascii="宋体" w:hAnsi="宋体" w:eastAsia="宋体" w:cs="宋体"/>
          <w:color w:val="auto"/>
          <w:spacing w:val="-2"/>
          <w:position w:val="-2"/>
          <w:szCs w:val="21"/>
          <w:highlight w:val="none"/>
        </w:rPr>
        <w:t>人</w:t>
      </w:r>
      <w:r>
        <w:rPr>
          <w:rFonts w:hint="eastAsia" w:ascii="宋体" w:hAnsi="宋体" w:eastAsia="宋体" w:cs="宋体"/>
          <w:color w:val="auto"/>
          <w:position w:val="-2"/>
          <w:szCs w:val="21"/>
          <w:highlight w:val="none"/>
        </w:rPr>
        <w:t>或</w:t>
      </w:r>
      <w:r>
        <w:rPr>
          <w:rFonts w:hint="eastAsia" w:ascii="宋体" w:hAnsi="宋体" w:eastAsia="宋体" w:cs="宋体"/>
          <w:color w:val="auto"/>
          <w:spacing w:val="-2"/>
          <w:position w:val="-2"/>
          <w:szCs w:val="21"/>
          <w:highlight w:val="none"/>
        </w:rPr>
        <w:t>其</w:t>
      </w:r>
      <w:r>
        <w:rPr>
          <w:rFonts w:hint="eastAsia" w:ascii="宋体" w:hAnsi="宋体" w:eastAsia="宋体" w:cs="宋体"/>
          <w:color w:val="auto"/>
          <w:position w:val="-2"/>
          <w:szCs w:val="21"/>
          <w:highlight w:val="none"/>
        </w:rPr>
        <w:t>委</w:t>
      </w:r>
      <w:r>
        <w:rPr>
          <w:rFonts w:hint="eastAsia" w:ascii="宋体" w:hAnsi="宋体" w:eastAsia="宋体" w:cs="宋体"/>
          <w:color w:val="auto"/>
          <w:spacing w:val="-2"/>
          <w:position w:val="-2"/>
          <w:szCs w:val="21"/>
          <w:highlight w:val="none"/>
        </w:rPr>
        <w:t>托</w:t>
      </w:r>
      <w:r>
        <w:rPr>
          <w:rFonts w:hint="eastAsia" w:ascii="宋体" w:hAnsi="宋体" w:eastAsia="宋体" w:cs="宋体"/>
          <w:color w:val="auto"/>
          <w:position w:val="-2"/>
          <w:szCs w:val="21"/>
          <w:highlight w:val="none"/>
        </w:rPr>
        <w:t>代</w:t>
      </w:r>
      <w:r>
        <w:rPr>
          <w:rFonts w:hint="eastAsia" w:ascii="宋体" w:hAnsi="宋体" w:eastAsia="宋体" w:cs="宋体"/>
          <w:color w:val="auto"/>
          <w:spacing w:val="-2"/>
          <w:position w:val="-2"/>
          <w:szCs w:val="21"/>
          <w:highlight w:val="none"/>
        </w:rPr>
        <w:t>理</w:t>
      </w:r>
      <w:r>
        <w:rPr>
          <w:rFonts w:hint="eastAsia" w:ascii="宋体" w:hAnsi="宋体" w:eastAsia="宋体" w:cs="宋体"/>
          <w:color w:val="auto"/>
          <w:position w:val="-2"/>
          <w:szCs w:val="21"/>
          <w:highlight w:val="none"/>
        </w:rPr>
        <w:t>人：</w:t>
      </w:r>
      <w:r>
        <w:rPr>
          <w:rFonts w:hint="eastAsia"/>
          <w:highlight w:val="none"/>
          <w:u w:val="single"/>
        </w:rPr>
        <w:t xml:space="preserve"> </w:t>
      </w:r>
      <w:r>
        <w:rPr>
          <w:rFonts w:hint="eastAsia"/>
          <w:highlight w:val="none"/>
          <w:u w:val="single"/>
          <w:lang w:val="en-US" w:eastAsia="zh-CN"/>
        </w:rPr>
        <w:t xml:space="preserve">         </w:t>
      </w:r>
      <w:r>
        <w:rPr>
          <w:rFonts w:hint="eastAsia" w:ascii="宋体" w:hAnsi="宋体" w:eastAsia="宋体" w:cs="宋体"/>
          <w:color w:val="auto"/>
          <w:position w:val="-2"/>
          <w:szCs w:val="21"/>
          <w:highlight w:val="none"/>
        </w:rPr>
        <w:t>（签</w:t>
      </w:r>
      <w:r>
        <w:rPr>
          <w:rFonts w:hint="eastAsia" w:ascii="宋体" w:hAnsi="宋体" w:eastAsia="宋体" w:cs="宋体"/>
          <w:color w:val="auto"/>
          <w:spacing w:val="-2"/>
          <w:position w:val="-2"/>
          <w:szCs w:val="21"/>
          <w:highlight w:val="none"/>
        </w:rPr>
        <w:t>字</w:t>
      </w:r>
      <w:r>
        <w:rPr>
          <w:rFonts w:hint="eastAsia" w:ascii="宋体" w:hAnsi="宋体" w:eastAsia="宋体" w:cs="宋体"/>
          <w:color w:val="auto"/>
          <w:position w:val="-2"/>
          <w:szCs w:val="21"/>
          <w:highlight w:val="none"/>
        </w:rPr>
        <w:t>）</w:t>
      </w:r>
    </w:p>
    <w:p>
      <w:pPr>
        <w:autoSpaceDE w:val="0"/>
        <w:autoSpaceDN w:val="0"/>
        <w:adjustRightInd w:val="0"/>
        <w:spacing w:line="200" w:lineRule="exact"/>
        <w:jc w:val="left"/>
        <w:rPr>
          <w:rFonts w:hint="eastAsia" w:ascii="宋体" w:hAnsi="宋体" w:eastAsia="宋体" w:cs="宋体"/>
          <w:color w:val="auto"/>
          <w:sz w:val="20"/>
          <w:highlight w:val="none"/>
        </w:rPr>
      </w:pPr>
    </w:p>
    <w:p>
      <w:pPr>
        <w:autoSpaceDE w:val="0"/>
        <w:autoSpaceDN w:val="0"/>
        <w:adjustRightInd w:val="0"/>
        <w:spacing w:line="200" w:lineRule="exact"/>
        <w:jc w:val="left"/>
        <w:rPr>
          <w:rFonts w:hint="eastAsia" w:ascii="宋体" w:hAnsi="宋体" w:eastAsia="宋体" w:cs="宋体"/>
          <w:color w:val="auto"/>
          <w:sz w:val="20"/>
          <w:highlight w:val="none"/>
        </w:rPr>
      </w:pPr>
    </w:p>
    <w:p>
      <w:pPr>
        <w:autoSpaceDE w:val="0"/>
        <w:autoSpaceDN w:val="0"/>
        <w:adjustRightInd w:val="0"/>
        <w:spacing w:before="10" w:line="200" w:lineRule="exact"/>
        <w:jc w:val="left"/>
        <w:rPr>
          <w:rFonts w:hint="eastAsia" w:ascii="宋体" w:hAnsi="宋体" w:eastAsia="宋体" w:cs="宋体"/>
          <w:color w:val="auto"/>
          <w:sz w:val="20"/>
          <w:highlight w:val="none"/>
        </w:rPr>
      </w:pPr>
    </w:p>
    <w:p>
      <w:pPr>
        <w:tabs>
          <w:tab w:val="left" w:pos="7240"/>
        </w:tabs>
        <w:autoSpaceDE w:val="0"/>
        <w:autoSpaceDN w:val="0"/>
        <w:adjustRightInd w:val="0"/>
        <w:spacing w:line="271" w:lineRule="exact"/>
        <w:ind w:left="2511" w:right="-20" w:firstLine="2520" w:firstLineChars="1200"/>
        <w:jc w:val="left"/>
        <w:rPr>
          <w:rFonts w:hint="eastAsia" w:ascii="宋体" w:hAnsi="宋体" w:eastAsia="宋体" w:cs="宋体"/>
          <w:color w:val="auto"/>
          <w:szCs w:val="21"/>
          <w:highlight w:val="none"/>
        </w:rPr>
      </w:pPr>
      <w:r>
        <w:rPr>
          <w:rFonts w:hint="eastAsia" w:ascii="宋体" w:hAnsi="宋体" w:eastAsia="宋体" w:cs="宋体"/>
          <w:color w:val="auto"/>
          <w:position w:val="-2"/>
          <w:szCs w:val="21"/>
          <w:highlight w:val="none"/>
        </w:rPr>
        <w:t>联合</w:t>
      </w:r>
      <w:r>
        <w:rPr>
          <w:rFonts w:hint="eastAsia" w:ascii="宋体" w:hAnsi="宋体" w:eastAsia="宋体" w:cs="宋体"/>
          <w:color w:val="auto"/>
          <w:spacing w:val="-2"/>
          <w:position w:val="-2"/>
          <w:szCs w:val="21"/>
          <w:highlight w:val="none"/>
        </w:rPr>
        <w:t>体</w:t>
      </w:r>
      <w:r>
        <w:rPr>
          <w:rFonts w:hint="eastAsia" w:ascii="宋体" w:hAnsi="宋体" w:eastAsia="宋体" w:cs="宋体"/>
          <w:color w:val="auto"/>
          <w:position w:val="-2"/>
          <w:szCs w:val="21"/>
          <w:highlight w:val="none"/>
        </w:rPr>
        <w:t>成</w:t>
      </w:r>
      <w:r>
        <w:rPr>
          <w:rFonts w:hint="eastAsia" w:ascii="宋体" w:hAnsi="宋体" w:eastAsia="宋体" w:cs="宋体"/>
          <w:color w:val="auto"/>
          <w:spacing w:val="-2"/>
          <w:position w:val="-2"/>
          <w:szCs w:val="21"/>
          <w:highlight w:val="none"/>
        </w:rPr>
        <w:t>员</w:t>
      </w:r>
      <w:r>
        <w:rPr>
          <w:rFonts w:hint="eastAsia" w:ascii="宋体" w:hAnsi="宋体" w:eastAsia="宋体" w:cs="宋体"/>
          <w:color w:val="auto"/>
          <w:position w:val="-2"/>
          <w:szCs w:val="21"/>
          <w:highlight w:val="none"/>
        </w:rPr>
        <w:t>名</w:t>
      </w:r>
      <w:r>
        <w:rPr>
          <w:rFonts w:hint="eastAsia" w:ascii="宋体" w:hAnsi="宋体" w:eastAsia="宋体" w:cs="宋体"/>
          <w:color w:val="auto"/>
          <w:spacing w:val="-2"/>
          <w:position w:val="-2"/>
          <w:szCs w:val="21"/>
          <w:highlight w:val="none"/>
        </w:rPr>
        <w:t>称</w:t>
      </w:r>
      <w:r>
        <w:rPr>
          <w:rFonts w:hint="eastAsia" w:ascii="宋体" w:hAnsi="宋体" w:eastAsia="宋体" w:cs="宋体"/>
          <w:color w:val="auto"/>
          <w:position w:val="-2"/>
          <w:szCs w:val="21"/>
          <w:highlight w:val="none"/>
        </w:rPr>
        <w:t>：</w:t>
      </w:r>
      <w:r>
        <w:rPr>
          <w:rFonts w:hint="eastAsia"/>
          <w:highlight w:val="none"/>
          <w:u w:val="single"/>
        </w:rPr>
        <w:t xml:space="preserve"> </w:t>
      </w:r>
      <w:r>
        <w:rPr>
          <w:rFonts w:hint="eastAsia"/>
          <w:highlight w:val="none"/>
          <w:u w:val="single"/>
          <w:lang w:val="en-US" w:eastAsia="zh-CN"/>
        </w:rPr>
        <w:t xml:space="preserve">               </w:t>
      </w:r>
      <w:r>
        <w:rPr>
          <w:rFonts w:hint="eastAsia" w:ascii="宋体" w:hAnsi="宋体" w:eastAsia="宋体" w:cs="宋体"/>
          <w:color w:val="auto"/>
          <w:position w:val="-2"/>
          <w:szCs w:val="21"/>
          <w:highlight w:val="none"/>
        </w:rPr>
        <w:t>（盖</w:t>
      </w:r>
      <w:r>
        <w:rPr>
          <w:rFonts w:hint="eastAsia" w:ascii="宋体" w:hAnsi="宋体" w:eastAsia="宋体" w:cs="宋体"/>
          <w:color w:val="auto"/>
          <w:spacing w:val="-2"/>
          <w:position w:val="-2"/>
          <w:szCs w:val="21"/>
          <w:highlight w:val="none"/>
        </w:rPr>
        <w:t>单</w:t>
      </w:r>
      <w:r>
        <w:rPr>
          <w:rFonts w:hint="eastAsia" w:ascii="宋体" w:hAnsi="宋体" w:eastAsia="宋体" w:cs="宋体"/>
          <w:color w:val="auto"/>
          <w:position w:val="-2"/>
          <w:szCs w:val="21"/>
          <w:highlight w:val="none"/>
        </w:rPr>
        <w:t>位</w:t>
      </w:r>
      <w:r>
        <w:rPr>
          <w:rFonts w:hint="eastAsia" w:ascii="宋体" w:hAnsi="宋体" w:eastAsia="宋体" w:cs="宋体"/>
          <w:color w:val="auto"/>
          <w:spacing w:val="-2"/>
          <w:position w:val="-2"/>
          <w:szCs w:val="21"/>
          <w:highlight w:val="none"/>
        </w:rPr>
        <w:t>章</w:t>
      </w:r>
      <w:r>
        <w:rPr>
          <w:rFonts w:hint="eastAsia" w:ascii="宋体" w:hAnsi="宋体" w:eastAsia="宋体" w:cs="宋体"/>
          <w:color w:val="auto"/>
          <w:position w:val="-2"/>
          <w:szCs w:val="21"/>
          <w:highlight w:val="none"/>
        </w:rPr>
        <w:t>）</w:t>
      </w:r>
    </w:p>
    <w:p>
      <w:pPr>
        <w:autoSpaceDE w:val="0"/>
        <w:autoSpaceDN w:val="0"/>
        <w:adjustRightInd w:val="0"/>
        <w:spacing w:before="8" w:line="160" w:lineRule="exact"/>
        <w:jc w:val="left"/>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 xml:space="preserve"> </w:t>
      </w:r>
    </w:p>
    <w:p>
      <w:pPr>
        <w:tabs>
          <w:tab w:val="left" w:pos="6180"/>
        </w:tabs>
        <w:autoSpaceDE w:val="0"/>
        <w:autoSpaceDN w:val="0"/>
        <w:adjustRightInd w:val="0"/>
        <w:spacing w:line="271" w:lineRule="exact"/>
        <w:ind w:left="2511" w:right="-20" w:firstLine="2520" w:firstLineChars="1200"/>
        <w:jc w:val="left"/>
        <w:rPr>
          <w:rFonts w:hint="eastAsia" w:ascii="宋体" w:hAnsi="宋体" w:eastAsia="宋体" w:cs="宋体"/>
          <w:color w:val="auto"/>
          <w:szCs w:val="21"/>
          <w:highlight w:val="none"/>
        </w:rPr>
      </w:pPr>
      <w:r>
        <w:rPr>
          <w:rFonts w:hint="eastAsia" w:ascii="宋体" w:hAnsi="宋体" w:eastAsia="宋体" w:cs="宋体"/>
          <w:color w:val="auto"/>
          <w:position w:val="-2"/>
          <w:szCs w:val="21"/>
          <w:highlight w:val="none"/>
        </w:rPr>
        <w:t>法定</w:t>
      </w:r>
      <w:r>
        <w:rPr>
          <w:rFonts w:hint="eastAsia" w:ascii="宋体" w:hAnsi="宋体" w:eastAsia="宋体" w:cs="宋体"/>
          <w:color w:val="auto"/>
          <w:spacing w:val="-2"/>
          <w:position w:val="-2"/>
          <w:szCs w:val="21"/>
          <w:highlight w:val="none"/>
        </w:rPr>
        <w:t>代</w:t>
      </w:r>
      <w:r>
        <w:rPr>
          <w:rFonts w:hint="eastAsia" w:ascii="宋体" w:hAnsi="宋体" w:eastAsia="宋体" w:cs="宋体"/>
          <w:color w:val="auto"/>
          <w:position w:val="-2"/>
          <w:szCs w:val="21"/>
          <w:highlight w:val="none"/>
        </w:rPr>
        <w:t>表</w:t>
      </w:r>
      <w:r>
        <w:rPr>
          <w:rFonts w:hint="eastAsia" w:ascii="宋体" w:hAnsi="宋体" w:eastAsia="宋体" w:cs="宋体"/>
          <w:color w:val="auto"/>
          <w:spacing w:val="-2"/>
          <w:position w:val="-2"/>
          <w:szCs w:val="21"/>
          <w:highlight w:val="none"/>
        </w:rPr>
        <w:t>人</w:t>
      </w:r>
      <w:r>
        <w:rPr>
          <w:rFonts w:hint="eastAsia" w:ascii="宋体" w:hAnsi="宋体" w:eastAsia="宋体" w:cs="宋体"/>
          <w:color w:val="auto"/>
          <w:position w:val="-2"/>
          <w:szCs w:val="21"/>
          <w:highlight w:val="none"/>
        </w:rPr>
        <w:t>或</w:t>
      </w:r>
      <w:r>
        <w:rPr>
          <w:rFonts w:hint="eastAsia" w:ascii="宋体" w:hAnsi="宋体" w:eastAsia="宋体" w:cs="宋体"/>
          <w:color w:val="auto"/>
          <w:spacing w:val="-2"/>
          <w:position w:val="-2"/>
          <w:szCs w:val="21"/>
          <w:highlight w:val="none"/>
        </w:rPr>
        <w:t>其</w:t>
      </w:r>
      <w:r>
        <w:rPr>
          <w:rFonts w:hint="eastAsia" w:ascii="宋体" w:hAnsi="宋体" w:eastAsia="宋体" w:cs="宋体"/>
          <w:color w:val="auto"/>
          <w:position w:val="-2"/>
          <w:szCs w:val="21"/>
          <w:highlight w:val="none"/>
        </w:rPr>
        <w:t>委</w:t>
      </w:r>
      <w:r>
        <w:rPr>
          <w:rFonts w:hint="eastAsia" w:ascii="宋体" w:hAnsi="宋体" w:eastAsia="宋体" w:cs="宋体"/>
          <w:color w:val="auto"/>
          <w:spacing w:val="-2"/>
          <w:position w:val="-2"/>
          <w:szCs w:val="21"/>
          <w:highlight w:val="none"/>
        </w:rPr>
        <w:t>托</w:t>
      </w:r>
      <w:r>
        <w:rPr>
          <w:rFonts w:hint="eastAsia" w:ascii="宋体" w:hAnsi="宋体" w:eastAsia="宋体" w:cs="宋体"/>
          <w:color w:val="auto"/>
          <w:position w:val="-2"/>
          <w:szCs w:val="21"/>
          <w:highlight w:val="none"/>
        </w:rPr>
        <w:t>代</w:t>
      </w:r>
      <w:r>
        <w:rPr>
          <w:rFonts w:hint="eastAsia" w:ascii="宋体" w:hAnsi="宋体" w:eastAsia="宋体" w:cs="宋体"/>
          <w:color w:val="auto"/>
          <w:spacing w:val="-2"/>
          <w:position w:val="-2"/>
          <w:szCs w:val="21"/>
          <w:highlight w:val="none"/>
        </w:rPr>
        <w:t>理</w:t>
      </w:r>
      <w:r>
        <w:rPr>
          <w:rFonts w:hint="eastAsia" w:ascii="宋体" w:hAnsi="宋体" w:eastAsia="宋体" w:cs="宋体"/>
          <w:color w:val="auto"/>
          <w:position w:val="-2"/>
          <w:szCs w:val="21"/>
          <w:highlight w:val="none"/>
        </w:rPr>
        <w:t>人：</w:t>
      </w:r>
      <w:r>
        <w:rPr>
          <w:rFonts w:hint="eastAsia"/>
          <w:highlight w:val="none"/>
          <w:u w:val="single"/>
        </w:rPr>
        <w:t xml:space="preserve"> </w:t>
      </w:r>
      <w:r>
        <w:rPr>
          <w:rFonts w:hint="eastAsia"/>
          <w:highlight w:val="none"/>
          <w:u w:val="single"/>
          <w:lang w:val="en-US" w:eastAsia="zh-CN"/>
        </w:rPr>
        <w:t xml:space="preserve">         </w:t>
      </w:r>
      <w:r>
        <w:rPr>
          <w:rFonts w:hint="eastAsia" w:ascii="宋体" w:hAnsi="宋体" w:eastAsia="宋体" w:cs="宋体"/>
          <w:color w:val="auto"/>
          <w:position w:val="-2"/>
          <w:szCs w:val="21"/>
          <w:highlight w:val="none"/>
        </w:rPr>
        <w:t>（</w:t>
      </w:r>
      <w:r>
        <w:rPr>
          <w:rFonts w:hint="eastAsia" w:ascii="宋体" w:hAnsi="宋体" w:eastAsia="宋体" w:cs="宋体"/>
          <w:color w:val="auto"/>
          <w:spacing w:val="-2"/>
          <w:position w:val="-2"/>
          <w:szCs w:val="21"/>
          <w:highlight w:val="none"/>
        </w:rPr>
        <w:t>签</w:t>
      </w:r>
      <w:r>
        <w:rPr>
          <w:rFonts w:hint="eastAsia" w:ascii="宋体" w:hAnsi="宋体" w:eastAsia="宋体" w:cs="宋体"/>
          <w:color w:val="auto"/>
          <w:position w:val="-2"/>
          <w:szCs w:val="21"/>
          <w:highlight w:val="none"/>
        </w:rPr>
        <w:t>字）</w:t>
      </w:r>
    </w:p>
    <w:p>
      <w:pPr>
        <w:autoSpaceDE w:val="0"/>
        <w:autoSpaceDN w:val="0"/>
        <w:adjustRightInd w:val="0"/>
        <w:spacing w:line="200" w:lineRule="exact"/>
        <w:jc w:val="left"/>
        <w:rPr>
          <w:rFonts w:hint="eastAsia" w:ascii="宋体" w:hAnsi="宋体" w:eastAsia="宋体" w:cs="宋体"/>
          <w:color w:val="auto"/>
          <w:sz w:val="20"/>
          <w:highlight w:val="none"/>
        </w:rPr>
      </w:pPr>
    </w:p>
    <w:p>
      <w:pPr>
        <w:autoSpaceDE w:val="0"/>
        <w:autoSpaceDN w:val="0"/>
        <w:adjustRightInd w:val="0"/>
        <w:spacing w:line="200" w:lineRule="exact"/>
        <w:jc w:val="left"/>
        <w:rPr>
          <w:rFonts w:hint="eastAsia" w:ascii="宋体" w:hAnsi="宋体" w:eastAsia="宋体" w:cs="宋体"/>
          <w:color w:val="auto"/>
          <w:sz w:val="20"/>
          <w:highlight w:val="none"/>
        </w:rPr>
      </w:pPr>
    </w:p>
    <w:p>
      <w:pPr>
        <w:autoSpaceDE w:val="0"/>
        <w:autoSpaceDN w:val="0"/>
        <w:adjustRightInd w:val="0"/>
        <w:spacing w:before="10" w:line="200" w:lineRule="exact"/>
        <w:jc w:val="left"/>
        <w:rPr>
          <w:rFonts w:hint="eastAsia" w:ascii="宋体" w:hAnsi="宋体" w:eastAsia="宋体" w:cs="宋体"/>
          <w:color w:val="auto"/>
          <w:sz w:val="20"/>
          <w:highlight w:val="none"/>
        </w:rPr>
      </w:pPr>
    </w:p>
    <w:p>
      <w:pPr>
        <w:autoSpaceDE w:val="0"/>
        <w:autoSpaceDN w:val="0"/>
        <w:adjustRightInd w:val="0"/>
        <w:spacing w:before="2" w:line="180" w:lineRule="exact"/>
        <w:jc w:val="left"/>
        <w:rPr>
          <w:rFonts w:hint="eastAsia" w:ascii="宋体" w:hAnsi="宋体" w:eastAsia="宋体" w:cs="宋体"/>
          <w:color w:val="auto"/>
          <w:sz w:val="18"/>
          <w:szCs w:val="18"/>
          <w:highlight w:val="none"/>
        </w:rPr>
      </w:pPr>
    </w:p>
    <w:p>
      <w:pPr>
        <w:autoSpaceDE w:val="0"/>
        <w:autoSpaceDN w:val="0"/>
        <w:adjustRightInd w:val="0"/>
        <w:spacing w:before="6" w:line="150" w:lineRule="exact"/>
        <w:jc w:val="left"/>
        <w:rPr>
          <w:rFonts w:hint="eastAsia" w:ascii="宋体" w:hAnsi="宋体" w:eastAsia="宋体" w:cs="宋体"/>
          <w:color w:val="auto"/>
          <w:sz w:val="15"/>
          <w:szCs w:val="15"/>
          <w:highlight w:val="none"/>
        </w:rPr>
      </w:pPr>
    </w:p>
    <w:p>
      <w:pPr>
        <w:jc w:val="right"/>
        <w:rPr>
          <w:rFonts w:hint="eastAsia" w:ascii="宋体" w:hAnsi="宋体" w:eastAsia="宋体" w:cs="宋体"/>
          <w:color w:val="auto"/>
          <w:sz w:val="28"/>
          <w:szCs w:val="28"/>
          <w:highlight w:val="none"/>
          <w:lang w:val="zh-CN"/>
        </w:rPr>
      </w:pPr>
      <w:r>
        <w:rPr>
          <w:rFonts w:hint="eastAsia"/>
          <w:highlight w:val="none"/>
          <w:u w:val="single"/>
        </w:rPr>
        <w:t xml:space="preserve"> </w:t>
      </w:r>
      <w:r>
        <w:rPr>
          <w:rFonts w:hint="eastAsia"/>
          <w:highlight w:val="none"/>
          <w:u w:val="single"/>
          <w:lang w:val="en-US" w:eastAsia="zh-CN"/>
        </w:rPr>
        <w:t xml:space="preserve">      </w:t>
      </w:r>
      <w:r>
        <w:rPr>
          <w:rFonts w:hint="eastAsia" w:ascii="宋体" w:hAnsi="宋体" w:eastAsia="宋体" w:cs="宋体"/>
          <w:color w:val="auto"/>
          <w:szCs w:val="21"/>
          <w:highlight w:val="none"/>
        </w:rPr>
        <w:t>年</w:t>
      </w:r>
      <w:r>
        <w:rPr>
          <w:rFonts w:hint="eastAsia"/>
          <w:highlight w:val="none"/>
          <w:u w:val="single"/>
        </w:rPr>
        <w:t xml:space="preserve"> </w:t>
      </w:r>
      <w:r>
        <w:rPr>
          <w:rFonts w:hint="eastAsia"/>
          <w:highlight w:val="none"/>
          <w:u w:val="single"/>
          <w:lang w:val="en-US" w:eastAsia="zh-CN"/>
        </w:rPr>
        <w:t xml:space="preserve">      </w:t>
      </w:r>
      <w:r>
        <w:rPr>
          <w:rFonts w:hint="eastAsia" w:ascii="宋体" w:hAnsi="宋体" w:eastAsia="宋体" w:cs="宋体"/>
          <w:color w:val="auto"/>
          <w:spacing w:val="-2"/>
          <w:szCs w:val="21"/>
          <w:highlight w:val="none"/>
        </w:rPr>
        <w:t>月</w:t>
      </w:r>
      <w:r>
        <w:rPr>
          <w:rFonts w:hint="eastAsia"/>
          <w:highlight w:val="none"/>
          <w:u w:val="single"/>
        </w:rPr>
        <w:t xml:space="preserve"> </w:t>
      </w:r>
      <w:r>
        <w:rPr>
          <w:rFonts w:hint="eastAsia"/>
          <w:highlight w:val="none"/>
          <w:u w:val="single"/>
          <w:lang w:val="en-US" w:eastAsia="zh-CN"/>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 w:val="28"/>
          <w:szCs w:val="28"/>
          <w:highlight w:val="none"/>
          <w:lang w:val="zh-CN"/>
        </w:rPr>
        <w:br w:type="page"/>
      </w:r>
    </w:p>
    <w:p>
      <w:pPr>
        <w:pStyle w:val="4"/>
        <w:spacing w:line="24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七</w:t>
      </w:r>
      <w:r>
        <w:rPr>
          <w:rFonts w:hint="eastAsia" w:ascii="宋体" w:hAnsi="宋体" w:eastAsia="宋体" w:cs="宋体"/>
          <w:color w:val="auto"/>
          <w:sz w:val="28"/>
          <w:szCs w:val="28"/>
          <w:highlight w:val="none"/>
        </w:rPr>
        <w:t>、项目管理机构</w:t>
      </w:r>
    </w:p>
    <w:p>
      <w:pPr>
        <w:bidi w:val="0"/>
        <w:jc w:val="center"/>
        <w:rPr>
          <w:rFonts w:hint="eastAsia"/>
          <w:b/>
          <w:bCs/>
          <w:sz w:val="24"/>
          <w:szCs w:val="24"/>
          <w:highlight w:val="none"/>
        </w:rPr>
      </w:pPr>
      <w:r>
        <w:rPr>
          <w:rFonts w:hint="eastAsia"/>
          <w:b/>
          <w:bCs/>
          <w:sz w:val="24"/>
          <w:szCs w:val="24"/>
          <w:highlight w:val="none"/>
        </w:rPr>
        <w:t>（一）项目管理机构组成表</w:t>
      </w:r>
    </w:p>
    <w:p>
      <w:pPr>
        <w:rPr>
          <w:rFonts w:hint="eastAsia" w:ascii="宋体" w:hAnsi="宋体" w:cs="宋体"/>
          <w:color w:val="auto"/>
          <w:szCs w:val="21"/>
          <w:highlight w:val="none"/>
        </w:rPr>
      </w:pPr>
    </w:p>
    <w:tbl>
      <w:tblPr>
        <w:tblStyle w:val="22"/>
        <w:tblW w:w="9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26"/>
        <w:gridCol w:w="889"/>
        <w:gridCol w:w="1451"/>
        <w:gridCol w:w="900"/>
        <w:gridCol w:w="1080"/>
        <w:gridCol w:w="1286"/>
        <w:gridCol w:w="132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c>
          <w:tcPr>
            <w:tcW w:w="7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职称</w:t>
            </w:r>
          </w:p>
        </w:tc>
        <w:tc>
          <w:tcPr>
            <w:tcW w:w="60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执业或职业资格证明</w:t>
            </w:r>
          </w:p>
        </w:tc>
        <w:tc>
          <w:tcPr>
            <w:tcW w:w="106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Cs w:val="21"/>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证书名称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级别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证号</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养老保险</w:t>
            </w:r>
          </w:p>
        </w:tc>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bl>
    <w:p>
      <w:pPr>
        <w:rPr>
          <w:rFonts w:hint="eastAsia" w:ascii="宋体" w:hAnsi="宋体" w:cs="宋体"/>
          <w:color w:val="auto"/>
          <w:szCs w:val="21"/>
          <w:highlight w:val="none"/>
        </w:rPr>
      </w:pPr>
    </w:p>
    <w:p>
      <w:pPr>
        <w:widowControl/>
        <w:jc w:val="left"/>
        <w:rPr>
          <w:rFonts w:hint="eastAsia" w:ascii="宋体" w:hAnsi="宋体" w:cs="宋体"/>
          <w:color w:val="auto"/>
          <w:szCs w:val="21"/>
          <w:highlight w:val="none"/>
        </w:rPr>
        <w:sectPr>
          <w:headerReference r:id="rId8" w:type="default"/>
          <w:footerReference r:id="rId9" w:type="default"/>
          <w:pgSz w:w="11906" w:h="16838"/>
          <w:pgMar w:top="1418" w:right="1134" w:bottom="1418" w:left="1418" w:header="851" w:footer="992" w:gutter="0"/>
          <w:pgNumType w:fmt="decimal"/>
          <w:cols w:space="720" w:num="1"/>
          <w:docGrid w:type="linesAndChars" w:linePitch="312" w:charSpace="0"/>
        </w:sectPr>
      </w:pPr>
    </w:p>
    <w:p>
      <w:pPr>
        <w:bidi w:val="0"/>
        <w:jc w:val="center"/>
        <w:rPr>
          <w:rFonts w:hint="eastAsia" w:eastAsia="宋体"/>
          <w:b/>
          <w:bCs/>
          <w:sz w:val="24"/>
          <w:szCs w:val="24"/>
          <w:highlight w:val="none"/>
        </w:rPr>
      </w:pPr>
      <w:r>
        <w:rPr>
          <w:rFonts w:hint="eastAsia" w:eastAsia="宋体"/>
          <w:b/>
          <w:bCs/>
          <w:sz w:val="24"/>
          <w:szCs w:val="24"/>
          <w:highlight w:val="none"/>
        </w:rPr>
        <w:t>（二）主要人员简历表</w:t>
      </w:r>
    </w:p>
    <w:p>
      <w:pPr>
        <w:ind w:firstLine="420" w:firstLineChars="200"/>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“主要人员简历表”中的项目经理应附建造师注册证、</w:t>
      </w:r>
      <w:r>
        <w:rPr>
          <w:rFonts w:hint="eastAsia" w:ascii="宋体" w:hAnsi="宋体" w:eastAsia="宋体" w:cs="宋体"/>
          <w:bCs/>
          <w:color w:val="auto"/>
          <w:szCs w:val="21"/>
          <w:highlight w:val="none"/>
        </w:rPr>
        <w:t>安全生产考核合格证书</w:t>
      </w:r>
      <w:r>
        <w:rPr>
          <w:rFonts w:hint="eastAsia" w:cs="宋体" w:asciiTheme="minorEastAsia" w:hAnsiTheme="minorEastAsia" w:eastAsiaTheme="minorEastAsia"/>
          <w:bCs/>
          <w:highlight w:val="none"/>
          <w:lang w:val="en-US" w:eastAsia="zh-CN"/>
        </w:rPr>
        <w:t>（B类）</w:t>
      </w:r>
      <w:r>
        <w:rPr>
          <w:rFonts w:hint="eastAsia" w:ascii="宋体" w:hAnsi="宋体" w:cs="宋体"/>
          <w:color w:val="auto"/>
          <w:szCs w:val="21"/>
          <w:highlight w:val="none"/>
        </w:rPr>
        <w:t>、身份证、职称证（如有）、学历证，管理过的项目业绩须附</w:t>
      </w:r>
      <w:r>
        <w:rPr>
          <w:rFonts w:hint="eastAsia" w:cs="宋体" w:asciiTheme="minorEastAsia" w:hAnsiTheme="minorEastAsia" w:eastAsiaTheme="minorEastAsia"/>
          <w:bCs/>
          <w:highlight w:val="none"/>
          <w:lang w:val="zh-CN"/>
        </w:rPr>
        <w:t>合同协议书、中标通知书</w:t>
      </w:r>
      <w:r>
        <w:rPr>
          <w:rFonts w:hint="eastAsia" w:cs="宋体" w:asciiTheme="minorEastAsia" w:hAnsiTheme="minorEastAsia" w:eastAsiaTheme="minorEastAsia"/>
          <w:bCs/>
          <w:highlight w:val="none"/>
          <w:lang w:val="en-US" w:eastAsia="zh-CN"/>
        </w:rPr>
        <w:t>及</w:t>
      </w:r>
      <w:r>
        <w:rPr>
          <w:rFonts w:hint="eastAsia" w:cs="宋体" w:asciiTheme="minorEastAsia" w:hAnsiTheme="minorEastAsia" w:eastAsiaTheme="minorEastAsia"/>
          <w:bCs/>
          <w:highlight w:val="none"/>
          <w:lang w:val="zh-CN"/>
        </w:rPr>
        <w:t>竣工验收报告证明复印件（</w:t>
      </w:r>
      <w:r>
        <w:rPr>
          <w:rFonts w:hint="eastAsia" w:cs="宋体" w:asciiTheme="minorEastAsia" w:hAnsiTheme="minorEastAsia" w:eastAsiaTheme="minorEastAsia"/>
          <w:bCs/>
          <w:highlight w:val="none"/>
          <w:lang w:val="en-US" w:eastAsia="zh-CN"/>
        </w:rPr>
        <w:t>如有</w:t>
      </w:r>
      <w:r>
        <w:rPr>
          <w:rFonts w:hint="eastAsia" w:cs="宋体" w:asciiTheme="minorEastAsia" w:hAnsiTheme="minorEastAsia" w:eastAsiaTheme="minorEastAsia"/>
          <w:bCs/>
          <w:highlight w:val="none"/>
          <w:lang w:val="zh-CN"/>
        </w:rPr>
        <w:t>）</w:t>
      </w:r>
      <w:r>
        <w:rPr>
          <w:rFonts w:hint="eastAsia" w:ascii="宋体" w:hAnsi="宋体" w:cs="宋体"/>
          <w:color w:val="auto"/>
          <w:szCs w:val="21"/>
          <w:highlight w:val="none"/>
        </w:rPr>
        <w:t>；其他主要人员应附职称证（执业证或</w:t>
      </w:r>
      <w:r>
        <w:rPr>
          <w:rFonts w:hint="eastAsia" w:ascii="宋体" w:hAnsi="宋体" w:cs="宋体"/>
          <w:color w:val="auto"/>
          <w:szCs w:val="21"/>
          <w:highlight w:val="none"/>
          <w:lang w:val="en-US" w:eastAsia="zh-CN"/>
        </w:rPr>
        <w:t>岗位</w:t>
      </w:r>
      <w:r>
        <w:rPr>
          <w:rFonts w:hint="eastAsia" w:ascii="宋体" w:hAnsi="宋体" w:cs="宋体"/>
          <w:color w:val="auto"/>
          <w:szCs w:val="21"/>
          <w:highlight w:val="none"/>
        </w:rPr>
        <w:t>书）</w:t>
      </w:r>
      <w:r>
        <w:rPr>
          <w:rFonts w:hint="eastAsia" w:ascii="宋体" w:hAnsi="宋体" w:cs="宋体"/>
          <w:color w:val="auto"/>
          <w:szCs w:val="21"/>
          <w:highlight w:val="none"/>
          <w:lang w:eastAsia="zh-CN"/>
        </w:rPr>
        <w:t>、</w:t>
      </w:r>
      <w:r>
        <w:rPr>
          <w:rFonts w:hint="eastAsia" w:ascii="宋体" w:hAnsi="宋体" w:cs="宋体"/>
          <w:color w:val="auto"/>
          <w:szCs w:val="21"/>
          <w:highlight w:val="none"/>
        </w:rPr>
        <w:t>身份证、学历证。拟投入管理人员须提供社会保险证明材料。</w:t>
      </w:r>
    </w:p>
    <w:p>
      <w:pPr>
        <w:rPr>
          <w:rFonts w:hint="eastAsia" w:ascii="宋体" w:hAnsi="宋体" w:cs="宋体"/>
          <w:color w:val="auto"/>
          <w:szCs w:val="21"/>
          <w:highlight w:val="none"/>
        </w:rPr>
      </w:pPr>
    </w:p>
    <w:tbl>
      <w:tblPr>
        <w:tblStyle w:val="22"/>
        <w:tblW w:w="94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352"/>
        <w:gridCol w:w="1612"/>
        <w:gridCol w:w="1074"/>
        <w:gridCol w:w="893"/>
        <w:gridCol w:w="536"/>
        <w:gridCol w:w="1244"/>
        <w:gridCol w:w="723"/>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6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年龄</w:t>
            </w:r>
          </w:p>
        </w:tc>
        <w:tc>
          <w:tcPr>
            <w:tcW w:w="14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学          历</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职称</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c>
          <w:tcPr>
            <w:tcW w:w="14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拟在本合同任职</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6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毕业学校</w:t>
            </w:r>
          </w:p>
        </w:tc>
        <w:tc>
          <w:tcPr>
            <w:tcW w:w="7857" w:type="dxa"/>
            <w:gridSpan w:val="7"/>
            <w:tcBorders>
              <w:top w:val="single" w:color="auto" w:sz="4" w:space="0"/>
              <w:left w:val="single" w:color="auto" w:sz="4" w:space="0"/>
              <w:bottom w:val="single" w:color="auto" w:sz="4" w:space="0"/>
              <w:right w:val="single" w:color="auto" w:sz="4" w:space="0"/>
            </w:tcBorders>
            <w:noWrap w:val="0"/>
            <w:vAlign w:val="center"/>
          </w:tcPr>
          <w:p>
            <w:pPr>
              <w:ind w:firstLine="525" w:firstLineChars="250"/>
              <w:jc w:val="center"/>
              <w:rPr>
                <w:rFonts w:hint="eastAsia" w:ascii="宋体" w:hAnsi="宋体" w:cs="宋体"/>
                <w:color w:val="auto"/>
                <w:szCs w:val="21"/>
                <w:highlight w:val="none"/>
              </w:rPr>
            </w:pPr>
            <w:r>
              <w:rPr>
                <w:rFonts w:hint="eastAsia" w:ascii="宋体" w:hAnsi="宋体" w:cs="宋体"/>
                <w:color w:val="auto"/>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462"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时间</w:t>
            </w:r>
          </w:p>
        </w:tc>
        <w:tc>
          <w:tcPr>
            <w:tcW w:w="393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参加过的类似项目</w:t>
            </w:r>
          </w:p>
        </w:tc>
        <w:tc>
          <w:tcPr>
            <w:tcW w:w="17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担任职务</w:t>
            </w:r>
          </w:p>
        </w:tc>
        <w:tc>
          <w:tcPr>
            <w:tcW w:w="24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3931"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780"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249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bl>
    <w:p>
      <w:pPr>
        <w:rPr>
          <w:rFonts w:hint="eastAsia" w:ascii="宋体" w:hAnsi="宋体" w:cs="宋体"/>
          <w:color w:val="auto"/>
          <w:szCs w:val="21"/>
          <w:highlight w:val="none"/>
        </w:rPr>
      </w:pPr>
      <w:bookmarkStart w:id="1252" w:name="_Toc20599"/>
      <w:bookmarkStart w:id="1253" w:name="_Toc1134"/>
      <w:bookmarkStart w:id="1254" w:name="_Toc116632484"/>
      <w:bookmarkStart w:id="1255" w:name="_Toc26262"/>
      <w:r>
        <w:rPr>
          <w:rFonts w:hint="eastAsia" w:asciiTheme="minorEastAsia" w:hAnsiTheme="minorEastAsia" w:eastAsiaTheme="minorEastAsia"/>
          <w:sz w:val="21"/>
          <w:szCs w:val="21"/>
          <w:highlight w:val="none"/>
        </w:rPr>
        <w:t>注：上述证书及相关资料复印件须装订在</w:t>
      </w:r>
      <w:r>
        <w:rPr>
          <w:rFonts w:hint="eastAsia" w:asciiTheme="minorEastAsia" w:hAnsiTheme="minorEastAsia" w:eastAsiaTheme="minorEastAsia"/>
          <w:sz w:val="21"/>
          <w:szCs w:val="21"/>
          <w:highlight w:val="none"/>
          <w:lang w:val="en-US" w:eastAsia="zh-CN"/>
        </w:rPr>
        <w:t>响应</w:t>
      </w:r>
      <w:r>
        <w:rPr>
          <w:rFonts w:hint="eastAsia" w:asciiTheme="minorEastAsia" w:hAnsiTheme="minorEastAsia" w:eastAsiaTheme="minorEastAsia"/>
          <w:sz w:val="21"/>
          <w:szCs w:val="21"/>
          <w:highlight w:val="none"/>
        </w:rPr>
        <w:t>文件中。上述内容中如某一证件正在年检或换证，需年检部门及换证部门出具有效证明方可确认；所有复印件必须要清晰、字迹清楚，否则评标不予以计分。</w:t>
      </w:r>
      <w:bookmarkEnd w:id="1252"/>
      <w:bookmarkEnd w:id="1253"/>
      <w:bookmarkEnd w:id="1254"/>
      <w:bookmarkEnd w:id="1255"/>
    </w:p>
    <w:p>
      <w:pPr>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br w:type="page"/>
      </w:r>
    </w:p>
    <w:p>
      <w:pPr>
        <w:autoSpaceDE w:val="0"/>
        <w:autoSpaceDN w:val="0"/>
        <w:adjustRightInd w:val="0"/>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八</w:t>
      </w:r>
      <w:r>
        <w:rPr>
          <w:rFonts w:hint="eastAsia" w:ascii="宋体" w:hAnsi="宋体" w:cs="宋体"/>
          <w:b/>
          <w:color w:val="auto"/>
          <w:sz w:val="28"/>
          <w:szCs w:val="28"/>
          <w:highlight w:val="none"/>
        </w:rPr>
        <w:t>、资格审查资料</w:t>
      </w:r>
    </w:p>
    <w:p>
      <w:pPr>
        <w:pStyle w:val="6"/>
        <w:spacing w:line="24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（一）供应商基本情况表</w:t>
      </w:r>
    </w:p>
    <w:p>
      <w:pPr>
        <w:rPr>
          <w:rFonts w:hint="eastAsia" w:ascii="宋体" w:hAnsi="宋体" w:cs="宋体"/>
          <w:color w:val="auto"/>
          <w:szCs w:val="21"/>
          <w:highlight w:val="none"/>
        </w:rPr>
      </w:pPr>
    </w:p>
    <w:tbl>
      <w:tblPr>
        <w:tblStyle w:val="22"/>
        <w:tblW w:w="95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076"/>
        <w:gridCol w:w="1797"/>
        <w:gridCol w:w="714"/>
        <w:gridCol w:w="536"/>
        <w:gridCol w:w="1087"/>
        <w:gridCol w:w="175"/>
        <w:gridCol w:w="723"/>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供应商名称</w:t>
            </w:r>
          </w:p>
        </w:tc>
        <w:tc>
          <w:tcPr>
            <w:tcW w:w="7533"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注册地址</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邮政编码</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联系方式</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联系人</w:t>
            </w:r>
          </w:p>
        </w:tc>
        <w:tc>
          <w:tcPr>
            <w:tcW w:w="304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szCs w:val="21"/>
                <w:highlight w:val="none"/>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传真</w:t>
            </w:r>
          </w:p>
        </w:tc>
        <w:tc>
          <w:tcPr>
            <w:tcW w:w="304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网址</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组织结构</w:t>
            </w:r>
          </w:p>
        </w:tc>
        <w:tc>
          <w:tcPr>
            <w:tcW w:w="7533" w:type="dxa"/>
            <w:gridSpan w:val="8"/>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成立时间</w:t>
            </w:r>
          </w:p>
        </w:tc>
        <w:tc>
          <w:tcPr>
            <w:tcW w:w="287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4660"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企业资质等级</w:t>
            </w:r>
          </w:p>
        </w:tc>
        <w:tc>
          <w:tcPr>
            <w:tcW w:w="287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其中</w:t>
            </w:r>
          </w:p>
        </w:tc>
        <w:tc>
          <w:tcPr>
            <w:tcW w:w="17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214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营业执照号</w:t>
            </w:r>
          </w:p>
        </w:tc>
        <w:tc>
          <w:tcPr>
            <w:tcW w:w="287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Cs w:val="21"/>
                <w:highlight w:val="none"/>
              </w:rPr>
            </w:pPr>
          </w:p>
        </w:tc>
        <w:tc>
          <w:tcPr>
            <w:tcW w:w="17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高级职称人员</w:t>
            </w:r>
          </w:p>
        </w:tc>
        <w:tc>
          <w:tcPr>
            <w:tcW w:w="214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注册资金</w:t>
            </w:r>
          </w:p>
        </w:tc>
        <w:tc>
          <w:tcPr>
            <w:tcW w:w="287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Cs w:val="21"/>
                <w:highlight w:val="none"/>
              </w:rPr>
            </w:pPr>
          </w:p>
        </w:tc>
        <w:tc>
          <w:tcPr>
            <w:tcW w:w="17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中级职称人员</w:t>
            </w:r>
          </w:p>
        </w:tc>
        <w:tc>
          <w:tcPr>
            <w:tcW w:w="214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开户银行</w:t>
            </w:r>
          </w:p>
        </w:tc>
        <w:tc>
          <w:tcPr>
            <w:tcW w:w="287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Cs w:val="21"/>
                <w:highlight w:val="none"/>
              </w:rPr>
            </w:pPr>
          </w:p>
        </w:tc>
        <w:tc>
          <w:tcPr>
            <w:tcW w:w="17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初级职称人员</w:t>
            </w:r>
          </w:p>
        </w:tc>
        <w:tc>
          <w:tcPr>
            <w:tcW w:w="214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账号</w:t>
            </w:r>
          </w:p>
        </w:tc>
        <w:tc>
          <w:tcPr>
            <w:tcW w:w="287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szCs w:val="21"/>
                <w:highlight w:val="none"/>
              </w:rPr>
            </w:pPr>
          </w:p>
        </w:tc>
        <w:tc>
          <w:tcPr>
            <w:tcW w:w="17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技工</w:t>
            </w:r>
          </w:p>
        </w:tc>
        <w:tc>
          <w:tcPr>
            <w:tcW w:w="214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trPr>
        <w:tc>
          <w:tcPr>
            <w:tcW w:w="19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经营范围备注</w:t>
            </w:r>
          </w:p>
        </w:tc>
        <w:tc>
          <w:tcPr>
            <w:tcW w:w="7533" w:type="dxa"/>
            <w:gridSpan w:val="8"/>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hAnsi="宋体" w:cs="宋体"/>
                <w:color w:val="auto"/>
                <w:szCs w:val="21"/>
                <w:highlight w:val="none"/>
              </w:rPr>
            </w:pPr>
          </w:p>
        </w:tc>
      </w:tr>
    </w:tbl>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备注：本表后应附企业法人营业执照副本、企业资质证书副本、安全生产许可证副本等材料的复印件</w:t>
      </w:r>
      <w:r>
        <w:rPr>
          <w:rFonts w:hint="eastAsia" w:cs="宋体" w:asciiTheme="minorEastAsia" w:hAnsiTheme="minorEastAsia" w:eastAsiaTheme="minorEastAsia"/>
          <w:kern w:val="0"/>
          <w:highlight w:val="none"/>
        </w:rPr>
        <w:t>并加盖投标单位公章</w:t>
      </w:r>
      <w:r>
        <w:rPr>
          <w:rFonts w:hint="eastAsia" w:ascii="宋体" w:hAnsi="宋体" w:cs="宋体"/>
          <w:color w:val="auto"/>
          <w:szCs w:val="21"/>
          <w:highlight w:val="none"/>
        </w:rPr>
        <w:t>。</w:t>
      </w:r>
    </w:p>
    <w:p>
      <w:pPr>
        <w:widowControl/>
        <w:jc w:val="left"/>
        <w:rPr>
          <w:rFonts w:hint="eastAsia" w:ascii="宋体" w:hAnsi="宋体" w:cs="宋体"/>
          <w:color w:val="auto"/>
          <w:szCs w:val="21"/>
          <w:highlight w:val="none"/>
        </w:rPr>
        <w:sectPr>
          <w:pgSz w:w="11906" w:h="16838"/>
          <w:pgMar w:top="1418" w:right="1134" w:bottom="1418" w:left="1418" w:header="851" w:footer="992" w:gutter="0"/>
          <w:pgNumType w:fmt="decimal"/>
          <w:cols w:space="720" w:num="1"/>
          <w:docGrid w:type="linesAndChars" w:linePitch="312" w:charSpace="0"/>
        </w:sectPr>
      </w:pPr>
    </w:p>
    <w:p>
      <w:pPr>
        <w:pStyle w:val="6"/>
        <w:spacing w:line="24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（二）近年财务状况表</w:t>
      </w:r>
    </w:p>
    <w:p>
      <w:pPr>
        <w:autoSpaceDE w:val="0"/>
        <w:autoSpaceDN w:val="0"/>
        <w:adjustRightInd w:val="0"/>
        <w:spacing w:line="360" w:lineRule="auto"/>
        <w:ind w:firstLine="420" w:firstLineChars="200"/>
        <w:jc w:val="left"/>
        <w:outlineLvl w:val="2"/>
        <w:rPr>
          <w:rFonts w:hint="eastAsia" w:ascii="宋体" w:hAnsi="宋体" w:cs="宋体"/>
          <w:bCs/>
          <w:color w:val="auto"/>
          <w:szCs w:val="18"/>
          <w:highlight w:val="none"/>
          <w:lang w:val="zh-CN"/>
        </w:rPr>
      </w:pPr>
      <w:r>
        <w:rPr>
          <w:rFonts w:hint="eastAsia" w:ascii="宋体" w:hAnsi="宋体" w:cs="宋体"/>
          <w:color w:val="auto"/>
          <w:szCs w:val="21"/>
          <w:highlight w:val="none"/>
          <w:shd w:val="clear" w:color="auto" w:fill="FFFFFF"/>
        </w:rPr>
        <w:t>供应商应按照《长春市财政局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r>
        <w:rPr>
          <w:rFonts w:hint="eastAsia" w:ascii="宋体" w:hAnsi="宋体" w:cs="宋体"/>
          <w:bCs/>
          <w:color w:val="auto"/>
          <w:szCs w:val="18"/>
          <w:highlight w:val="none"/>
          <w:lang w:val="zh-CN"/>
        </w:rPr>
        <w:t>。</w:t>
      </w:r>
    </w:p>
    <w:p>
      <w:pPr>
        <w:spacing w:before="146" w:line="219" w:lineRule="auto"/>
        <w:jc w:val="center"/>
        <w:rPr>
          <w:rFonts w:ascii="宋体" w:hAnsi="宋体" w:cs="宋体"/>
          <w:b/>
          <w:bCs/>
          <w:color w:val="auto"/>
          <w:spacing w:val="-15"/>
          <w:sz w:val="32"/>
          <w:szCs w:val="32"/>
          <w:highlight w:val="none"/>
        </w:rPr>
      </w:pPr>
    </w:p>
    <w:p>
      <w:pPr>
        <w:spacing w:before="146" w:line="219" w:lineRule="auto"/>
        <w:jc w:val="center"/>
        <w:rPr>
          <w:rFonts w:ascii="宋体" w:hAnsi="宋体" w:cs="宋体"/>
          <w:b/>
          <w:bCs/>
          <w:color w:val="auto"/>
          <w:spacing w:val="-15"/>
          <w:sz w:val="32"/>
          <w:szCs w:val="32"/>
          <w:highlight w:val="none"/>
        </w:rPr>
      </w:pPr>
      <w:r>
        <w:rPr>
          <w:rFonts w:ascii="宋体" w:hAnsi="宋体" w:cs="宋体"/>
          <w:b/>
          <w:bCs/>
          <w:color w:val="auto"/>
          <w:spacing w:val="-15"/>
          <w:sz w:val="32"/>
          <w:szCs w:val="32"/>
          <w:highlight w:val="none"/>
        </w:rPr>
        <w:t>资格条件承诺函</w:t>
      </w:r>
    </w:p>
    <w:p>
      <w:pPr>
        <w:bidi w:val="0"/>
        <w:jc w:val="center"/>
        <w:rPr>
          <w:rFonts w:hint="eastAsia"/>
          <w:b/>
          <w:bCs/>
          <w:highlight w:val="none"/>
          <w:lang w:eastAsia="zh-CN"/>
        </w:rPr>
      </w:pPr>
      <w:r>
        <w:rPr>
          <w:rFonts w:hint="eastAsia"/>
          <w:b/>
          <w:bCs/>
          <w:highlight w:val="none"/>
          <w:lang w:eastAsia="zh-CN"/>
        </w:rPr>
        <w:t>（</w:t>
      </w:r>
      <w:r>
        <w:rPr>
          <w:rFonts w:hint="eastAsia"/>
          <w:b/>
          <w:bCs/>
          <w:highlight w:val="none"/>
          <w:lang w:val="en-US" w:eastAsia="zh-CN"/>
        </w:rPr>
        <w:t>联合体投标均需提供</w:t>
      </w:r>
      <w:r>
        <w:rPr>
          <w:rFonts w:hint="eastAsia"/>
          <w:b/>
          <w:bCs/>
          <w:highlight w:val="none"/>
          <w:lang w:eastAsia="zh-CN"/>
        </w:rPr>
        <w:t>）</w:t>
      </w:r>
    </w:p>
    <w:p>
      <w:pPr>
        <w:spacing w:line="274" w:lineRule="auto"/>
        <w:rPr>
          <w:rFonts w:ascii="Arial"/>
          <w:color w:val="auto"/>
          <w:highlight w:val="none"/>
        </w:rPr>
      </w:pPr>
    </w:p>
    <w:p>
      <w:pPr>
        <w:spacing w:line="274" w:lineRule="auto"/>
        <w:rPr>
          <w:rFonts w:ascii="Arial"/>
          <w:color w:val="auto"/>
          <w:highlight w:val="none"/>
        </w:rPr>
      </w:pPr>
    </w:p>
    <w:p>
      <w:pPr>
        <w:spacing w:line="275" w:lineRule="auto"/>
        <w:rPr>
          <w:rFonts w:ascii="Arial"/>
          <w:color w:val="auto"/>
          <w:highlight w:val="none"/>
        </w:rPr>
      </w:pPr>
    </w:p>
    <w:p>
      <w:pPr>
        <w:spacing w:before="107" w:line="222" w:lineRule="auto"/>
        <w:rPr>
          <w:rFonts w:hint="eastAsia" w:ascii="宋体" w:hAnsi="宋体" w:cs="宋体"/>
          <w:color w:val="auto"/>
          <w:szCs w:val="21"/>
          <w:highlight w:val="none"/>
        </w:rPr>
      </w:pPr>
      <w:r>
        <w:rPr>
          <w:rFonts w:hint="eastAsia" w:ascii="宋体" w:hAnsi="宋体" w:cs="宋体"/>
          <w:color w:val="auto"/>
          <w:spacing w:val="28"/>
          <w:szCs w:val="21"/>
          <w:highlight w:val="none"/>
        </w:rPr>
        <w:t>致：</w:t>
      </w:r>
      <w:r>
        <w:rPr>
          <w:rFonts w:hint="eastAsia" w:ascii="宋体" w:hAnsi="宋体" w:cs="宋体"/>
          <w:color w:val="auto"/>
          <w:spacing w:val="-54"/>
          <w:szCs w:val="21"/>
          <w:highlight w:val="none"/>
        </w:rPr>
        <w:t xml:space="preserve"> </w:t>
      </w:r>
      <w:r>
        <w:rPr>
          <w:rFonts w:hint="eastAsia" w:ascii="宋体" w:hAnsi="宋体" w:cs="宋体"/>
          <w:color w:val="auto"/>
          <w:spacing w:val="127"/>
          <w:szCs w:val="21"/>
          <w:highlight w:val="none"/>
          <w:u w:val="single"/>
        </w:rPr>
        <w:t xml:space="preserve"> </w:t>
      </w:r>
      <w:r>
        <w:rPr>
          <w:rFonts w:hint="eastAsia" w:ascii="宋体" w:hAnsi="宋体" w:cs="宋体"/>
          <w:color w:val="auto"/>
          <w:spacing w:val="0"/>
          <w:sz w:val="21"/>
          <w:szCs w:val="21"/>
          <w:highlight w:val="none"/>
          <w:u w:val="single"/>
        </w:rPr>
        <w:t>(采购人、采购代理机构)</w:t>
      </w:r>
      <w:r>
        <w:rPr>
          <w:rFonts w:hint="eastAsia" w:ascii="宋体" w:hAnsi="宋体" w:cs="宋体"/>
          <w:color w:val="auto"/>
          <w:spacing w:val="57"/>
          <w:szCs w:val="21"/>
          <w:highlight w:val="none"/>
          <w:u w:val="single"/>
        </w:rPr>
        <w:t xml:space="preserve">  </w:t>
      </w:r>
      <w:r>
        <w:rPr>
          <w:rFonts w:hint="eastAsia" w:ascii="宋体" w:hAnsi="宋体" w:cs="宋体"/>
          <w:color w:val="auto"/>
          <w:spacing w:val="-104"/>
          <w:szCs w:val="21"/>
          <w:highlight w:val="none"/>
        </w:rPr>
        <w:t xml:space="preserve"> </w:t>
      </w:r>
      <w:r>
        <w:rPr>
          <w:rFonts w:hint="eastAsia" w:ascii="宋体" w:hAnsi="宋体" w:cs="宋体"/>
          <w:color w:val="auto"/>
          <w:spacing w:val="28"/>
          <w:szCs w:val="21"/>
          <w:highlight w:val="none"/>
        </w:rPr>
        <w:t>:</w:t>
      </w:r>
    </w:p>
    <w:p>
      <w:pPr>
        <w:spacing w:before="210" w:line="365" w:lineRule="auto"/>
        <w:ind w:firstLine="420" w:firstLineChars="200"/>
        <w:rPr>
          <w:rFonts w:hint="eastAsia" w:ascii="宋体" w:hAnsi="宋体" w:cs="宋体"/>
          <w:bCs/>
          <w:color w:val="auto"/>
          <w:szCs w:val="18"/>
          <w:highlight w:val="none"/>
          <w:lang w:val="zh-CN"/>
        </w:rPr>
      </w:pPr>
      <w:r>
        <w:rPr>
          <w:rFonts w:hint="eastAsia" w:ascii="宋体" w:hAnsi="宋体" w:cs="宋体"/>
          <w:bCs/>
          <w:color w:val="auto"/>
          <w:szCs w:val="18"/>
          <w:highlight w:val="none"/>
          <w:lang w:val="zh-CN"/>
        </w:rPr>
        <w:t>我单位(公司)参与</w:t>
      </w:r>
      <w:r>
        <w:rPr>
          <w:rFonts w:hint="eastAsia" w:ascii="宋体" w:hAnsi="宋体" w:cs="宋体"/>
          <w:color w:val="auto"/>
          <w:spacing w:val="-66"/>
          <w:szCs w:val="21"/>
          <w:highlight w:val="none"/>
        </w:rPr>
        <w:t xml:space="preserve"> </w:t>
      </w:r>
      <w:r>
        <w:rPr>
          <w:rFonts w:hint="eastAsia" w:ascii="宋体" w:hAnsi="宋体" w:cs="宋体"/>
          <w:color w:val="auto"/>
          <w:spacing w:val="13"/>
          <w:szCs w:val="21"/>
          <w:highlight w:val="none"/>
          <w:u w:val="single"/>
        </w:rPr>
        <w:t xml:space="preserve">   </w:t>
      </w:r>
      <w:r>
        <w:rPr>
          <w:rFonts w:hint="eastAsia" w:ascii="宋体" w:hAnsi="宋体" w:cs="宋体"/>
          <w:color w:val="auto"/>
          <w:spacing w:val="0"/>
          <w:sz w:val="21"/>
          <w:szCs w:val="21"/>
          <w:highlight w:val="none"/>
          <w:u w:val="single"/>
        </w:rPr>
        <w:t>(采购项目名称</w:t>
      </w:r>
      <w:r>
        <w:rPr>
          <w:rFonts w:hint="eastAsia" w:ascii="宋体" w:hAnsi="宋体" w:cs="宋体"/>
          <w:color w:val="auto"/>
          <w:spacing w:val="0"/>
          <w:sz w:val="21"/>
          <w:szCs w:val="21"/>
          <w:highlight w:val="none"/>
          <w:u w:val="single"/>
          <w:lang w:eastAsia="zh-CN"/>
        </w:rPr>
        <w:t>、</w:t>
      </w:r>
      <w:r>
        <w:rPr>
          <w:rFonts w:hint="eastAsia" w:ascii="宋体" w:hAnsi="宋体" w:cs="宋体"/>
          <w:color w:val="auto"/>
          <w:spacing w:val="0"/>
          <w:sz w:val="21"/>
          <w:szCs w:val="21"/>
          <w:highlight w:val="none"/>
          <w:u w:val="single"/>
        </w:rPr>
        <w:t>项目编号)</w:t>
      </w:r>
      <w:r>
        <w:rPr>
          <w:rFonts w:hint="eastAsia" w:ascii="宋体" w:hAnsi="宋体" w:cs="宋体"/>
          <w:color w:val="auto"/>
          <w:spacing w:val="-66"/>
          <w:szCs w:val="21"/>
          <w:highlight w:val="none"/>
        </w:rPr>
        <w:t xml:space="preserve"> </w:t>
      </w:r>
      <w:r>
        <w:rPr>
          <w:rFonts w:hint="eastAsia" w:ascii="宋体" w:hAnsi="宋体" w:cs="宋体"/>
          <w:color w:val="auto"/>
          <w:spacing w:val="13"/>
          <w:szCs w:val="21"/>
          <w:highlight w:val="none"/>
          <w:u w:val="single"/>
        </w:rPr>
        <w:t xml:space="preserve">   </w:t>
      </w:r>
      <w:r>
        <w:rPr>
          <w:rFonts w:hint="eastAsia" w:ascii="宋体" w:hAnsi="宋体" w:cs="宋体"/>
          <w:bCs/>
          <w:color w:val="auto"/>
          <w:szCs w:val="18"/>
          <w:highlight w:val="none"/>
          <w:lang w:val="zh-CN"/>
        </w:rPr>
        <w:t>采购项目的政府采购活动，现承诺如下：</w:t>
      </w:r>
    </w:p>
    <w:p>
      <w:pPr>
        <w:autoSpaceDE w:val="0"/>
        <w:autoSpaceDN w:val="0"/>
        <w:adjustRightInd w:val="0"/>
        <w:spacing w:line="360" w:lineRule="auto"/>
        <w:ind w:firstLine="420" w:firstLineChars="200"/>
        <w:jc w:val="left"/>
        <w:outlineLvl w:val="2"/>
        <w:rPr>
          <w:rFonts w:hint="eastAsia" w:ascii="宋体" w:hAnsi="宋体" w:cs="宋体"/>
          <w:bCs/>
          <w:color w:val="auto"/>
          <w:szCs w:val="18"/>
          <w:highlight w:val="none"/>
          <w:lang w:val="zh-CN"/>
        </w:rPr>
      </w:pPr>
      <w:r>
        <w:rPr>
          <w:rFonts w:hint="eastAsia" w:ascii="宋体" w:hAnsi="宋体" w:cs="宋体"/>
          <w:bCs/>
          <w:color w:val="auto"/>
          <w:szCs w:val="18"/>
          <w:highlight w:val="none"/>
          <w:lang w:val="zh-CN"/>
        </w:rPr>
        <w:t>1. 具有良好的商业信誉和健全的财务会计制度；</w:t>
      </w:r>
    </w:p>
    <w:p>
      <w:pPr>
        <w:autoSpaceDE w:val="0"/>
        <w:autoSpaceDN w:val="0"/>
        <w:adjustRightInd w:val="0"/>
        <w:spacing w:line="360" w:lineRule="auto"/>
        <w:ind w:firstLine="420" w:firstLineChars="200"/>
        <w:jc w:val="left"/>
        <w:outlineLvl w:val="2"/>
        <w:rPr>
          <w:rFonts w:hint="eastAsia" w:ascii="宋体" w:hAnsi="宋体" w:cs="宋体"/>
          <w:bCs/>
          <w:color w:val="auto"/>
          <w:szCs w:val="18"/>
          <w:highlight w:val="none"/>
          <w:lang w:val="zh-CN"/>
        </w:rPr>
      </w:pPr>
      <w:r>
        <w:rPr>
          <w:rFonts w:hint="eastAsia" w:ascii="宋体" w:hAnsi="宋体" w:cs="宋体"/>
          <w:bCs/>
          <w:color w:val="auto"/>
          <w:szCs w:val="18"/>
          <w:highlight w:val="none"/>
          <w:lang w:val="zh-CN"/>
        </w:rPr>
        <w:t>2. 具有依法缴纳税收的良好记录；</w:t>
      </w:r>
    </w:p>
    <w:p>
      <w:pPr>
        <w:autoSpaceDE w:val="0"/>
        <w:autoSpaceDN w:val="0"/>
        <w:adjustRightInd w:val="0"/>
        <w:spacing w:line="360" w:lineRule="auto"/>
        <w:ind w:firstLine="420" w:firstLineChars="200"/>
        <w:jc w:val="left"/>
        <w:outlineLvl w:val="2"/>
        <w:rPr>
          <w:rFonts w:hint="eastAsia" w:ascii="宋体" w:hAnsi="宋体" w:cs="宋体"/>
          <w:bCs/>
          <w:color w:val="auto"/>
          <w:szCs w:val="18"/>
          <w:highlight w:val="none"/>
          <w:lang w:val="zh-CN"/>
        </w:rPr>
      </w:pPr>
      <w:r>
        <w:rPr>
          <w:rFonts w:hint="eastAsia" w:ascii="宋体" w:hAnsi="宋体" w:cs="宋体"/>
          <w:bCs/>
          <w:color w:val="auto"/>
          <w:szCs w:val="18"/>
          <w:highlight w:val="none"/>
          <w:lang w:val="zh-CN"/>
        </w:rPr>
        <w:t>3.具有依法缴纳社会保障金的良好记录。</w:t>
      </w:r>
    </w:p>
    <w:p>
      <w:pPr>
        <w:autoSpaceDE w:val="0"/>
        <w:autoSpaceDN w:val="0"/>
        <w:adjustRightInd w:val="0"/>
        <w:spacing w:line="360" w:lineRule="auto"/>
        <w:ind w:firstLine="420" w:firstLineChars="200"/>
        <w:jc w:val="left"/>
        <w:outlineLvl w:val="2"/>
        <w:rPr>
          <w:rFonts w:hint="eastAsia" w:ascii="宋体" w:hAnsi="宋体" w:cs="宋体"/>
          <w:bCs/>
          <w:color w:val="auto"/>
          <w:szCs w:val="18"/>
          <w:highlight w:val="none"/>
          <w:lang w:val="zh-CN"/>
        </w:rPr>
      </w:pPr>
      <w:r>
        <w:rPr>
          <w:rFonts w:hint="eastAsia" w:ascii="宋体" w:hAnsi="宋体" w:cs="宋体"/>
          <w:bCs/>
          <w:color w:val="auto"/>
          <w:szCs w:val="18"/>
          <w:highlight w:val="none"/>
          <w:lang w:val="zh-CN"/>
        </w:rPr>
        <w:t>我方在采购项目评审(评审)环节结束后，随时接受采购人、采购代理机构的检查验证，配合提供相关证明材料，证明符合《中华人民共和国政府采购法》规定的供应商基本资格条件。</w:t>
      </w:r>
    </w:p>
    <w:p>
      <w:pPr>
        <w:spacing w:before="248" w:line="603" w:lineRule="exact"/>
        <w:ind w:left="629"/>
        <w:rPr>
          <w:rFonts w:hint="eastAsia" w:ascii="宋体" w:hAnsi="宋体" w:cs="宋体"/>
          <w:bCs/>
          <w:color w:val="auto"/>
          <w:szCs w:val="18"/>
          <w:highlight w:val="none"/>
          <w:lang w:val="zh-CN"/>
        </w:rPr>
      </w:pPr>
      <w:r>
        <w:rPr>
          <w:rFonts w:hint="eastAsia" w:ascii="宋体" w:hAnsi="宋体" w:cs="宋体"/>
          <w:color w:val="auto"/>
          <w:spacing w:val="-2"/>
          <w:position w:val="20"/>
          <w:szCs w:val="21"/>
          <w:highlight w:val="none"/>
        </w:rPr>
        <w:t>我单位(公司)对上述承诺的真实性负责。如有虚假，</w:t>
      </w:r>
      <w:r>
        <w:rPr>
          <w:rFonts w:hint="eastAsia" w:ascii="宋体" w:hAnsi="宋体" w:cs="宋体"/>
          <w:color w:val="auto"/>
          <w:spacing w:val="-2"/>
          <w:position w:val="20"/>
          <w:szCs w:val="21"/>
          <w:highlight w:val="none"/>
          <w:lang w:val="zh-CN"/>
        </w:rPr>
        <w:t>将依法承担相应责任。</w:t>
      </w:r>
    </w:p>
    <w:p>
      <w:pPr>
        <w:spacing w:before="248" w:line="603" w:lineRule="exact"/>
        <w:ind w:left="629"/>
        <w:rPr>
          <w:rFonts w:hint="eastAsia" w:ascii="宋体" w:hAnsi="宋体" w:cs="宋体"/>
          <w:color w:val="auto"/>
          <w:spacing w:val="-2"/>
          <w:position w:val="20"/>
          <w:szCs w:val="21"/>
          <w:highlight w:val="none"/>
        </w:rPr>
      </w:pPr>
      <w:r>
        <w:rPr>
          <w:rFonts w:hint="eastAsia" w:ascii="宋体" w:hAnsi="宋体" w:cs="宋体"/>
          <w:color w:val="auto"/>
          <w:spacing w:val="-2"/>
          <w:position w:val="20"/>
          <w:szCs w:val="21"/>
          <w:highlight w:val="none"/>
        </w:rPr>
        <w:t>特此承诺。</w:t>
      </w:r>
    </w:p>
    <w:p>
      <w:pPr>
        <w:spacing w:line="245" w:lineRule="auto"/>
        <w:jc w:val="right"/>
        <w:rPr>
          <w:rFonts w:hint="eastAsia" w:ascii="宋体" w:hAnsi="宋体" w:cs="宋体"/>
          <w:color w:val="auto"/>
          <w:szCs w:val="21"/>
          <w:highlight w:val="none"/>
        </w:rPr>
      </w:pPr>
    </w:p>
    <w:p>
      <w:pPr>
        <w:spacing w:line="245" w:lineRule="auto"/>
        <w:jc w:val="right"/>
        <w:rPr>
          <w:rFonts w:hint="eastAsia" w:ascii="宋体" w:hAnsi="宋体" w:cs="宋体"/>
          <w:color w:val="auto"/>
          <w:szCs w:val="21"/>
          <w:highlight w:val="none"/>
        </w:rPr>
      </w:pPr>
    </w:p>
    <w:p>
      <w:pPr>
        <w:spacing w:line="246" w:lineRule="auto"/>
        <w:jc w:val="right"/>
        <w:rPr>
          <w:rFonts w:hint="eastAsia" w:ascii="宋体" w:hAnsi="宋体" w:cs="宋体"/>
          <w:color w:val="auto"/>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ascii="宋体" w:hAnsi="宋体"/>
          <w:bCs/>
          <w:color w:val="auto"/>
          <w:szCs w:val="21"/>
          <w:highlight w:val="none"/>
          <w:u w:val="single"/>
        </w:rPr>
      </w:pPr>
      <w:r>
        <w:rPr>
          <w:rFonts w:hint="eastAsia" w:ascii="宋体" w:hAnsi="宋体"/>
          <w:bCs/>
          <w:color w:val="auto"/>
          <w:szCs w:val="21"/>
          <w:highlight w:val="none"/>
        </w:rPr>
        <w:t>供应商名称（加盖公章）：</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firstLine="3360" w:firstLineChars="1600"/>
        <w:textAlignment w:val="auto"/>
        <w:rPr>
          <w:rFonts w:ascii="宋体" w:hAnsi="宋体"/>
          <w:bCs/>
          <w:color w:val="auto"/>
          <w:szCs w:val="21"/>
          <w:highlight w:val="none"/>
        </w:rPr>
      </w:pPr>
      <w:r>
        <w:rPr>
          <w:rFonts w:hint="eastAsia" w:ascii="宋体" w:hAnsi="宋体"/>
          <w:bCs/>
          <w:color w:val="auto"/>
          <w:szCs w:val="21"/>
          <w:highlight w:val="none"/>
        </w:rPr>
        <w:t>法定代表人或其委托代理人（签字或盖章）：</w:t>
      </w:r>
      <w:r>
        <w:rPr>
          <w:rFonts w:hint="eastAsia" w:ascii="宋体" w:hAnsi="宋体"/>
          <w:bCs/>
          <w:color w:val="auto"/>
          <w:szCs w:val="21"/>
          <w:highlight w:val="none"/>
          <w:u w:val="single"/>
        </w:rPr>
        <w:t xml:space="preserve">            </w:t>
      </w:r>
    </w:p>
    <w:p>
      <w:pPr>
        <w:keepNext w:val="0"/>
        <w:keepLines w:val="0"/>
        <w:pageBreakBefore w:val="0"/>
        <w:widowControl w:val="0"/>
        <w:kinsoku/>
        <w:wordWrap/>
        <w:overflowPunct/>
        <w:topLinePunct w:val="0"/>
        <w:bidi w:val="0"/>
        <w:snapToGrid/>
        <w:spacing w:line="480" w:lineRule="auto"/>
        <w:ind w:firstLine="3360" w:firstLineChars="1600"/>
        <w:textAlignment w:val="auto"/>
        <w:rPr>
          <w:rFonts w:hint="eastAsia" w:ascii="宋体" w:hAnsi="宋体" w:cs="宋体"/>
          <w:b/>
          <w:color w:val="auto"/>
          <w:szCs w:val="21"/>
          <w:highlight w:val="none"/>
        </w:rPr>
      </w:pPr>
      <w:r>
        <w:rPr>
          <w:rFonts w:hint="eastAsia" w:ascii="宋体" w:hAnsi="宋体"/>
          <w:color w:val="auto"/>
          <w:szCs w:val="21"/>
          <w:highlight w:val="none"/>
        </w:rPr>
        <w:t xml:space="preserve">日期：     年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月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日</w:t>
      </w:r>
      <w:r>
        <w:rPr>
          <w:rFonts w:hint="eastAsia" w:ascii="宋体" w:hAnsi="宋体" w:cs="宋体"/>
          <w:b/>
          <w:color w:val="auto"/>
          <w:szCs w:val="21"/>
          <w:highlight w:val="none"/>
        </w:rPr>
        <w:t xml:space="preserve"> </w:t>
      </w: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szCs w:val="21"/>
          <w:highlight w:val="none"/>
        </w:rPr>
        <w:sectPr>
          <w:pgSz w:w="11906" w:h="16838"/>
          <w:pgMar w:top="1344" w:right="1828" w:bottom="400" w:left="1759" w:header="0" w:footer="0" w:gutter="0"/>
          <w:pgNumType w:fmt="decimal"/>
          <w:cols w:space="720" w:num="1"/>
        </w:sectPr>
      </w:pPr>
    </w:p>
    <w:p>
      <w:pPr>
        <w:pStyle w:val="6"/>
        <w:spacing w:line="24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（三）近</w:t>
      </w:r>
      <w:r>
        <w:rPr>
          <w:rFonts w:hint="eastAsia" w:ascii="宋体" w:hAnsi="宋体" w:cs="宋体"/>
          <w:color w:val="auto"/>
          <w:sz w:val="24"/>
          <w:szCs w:val="24"/>
          <w:highlight w:val="none"/>
          <w:lang w:val="en-US" w:eastAsia="zh-CN"/>
        </w:rPr>
        <w:t>五</w:t>
      </w:r>
      <w:r>
        <w:rPr>
          <w:rFonts w:hint="eastAsia" w:ascii="宋体" w:hAnsi="宋体" w:cs="宋体"/>
          <w:color w:val="auto"/>
          <w:sz w:val="24"/>
          <w:szCs w:val="24"/>
          <w:highlight w:val="none"/>
        </w:rPr>
        <w:t>年</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2019年至今</w:t>
      </w:r>
      <w:r>
        <w:rPr>
          <w:rFonts w:hint="eastAsia" w:ascii="宋体" w:hAnsi="宋体" w:eastAsia="宋体" w:cs="宋体"/>
          <w:color w:val="auto"/>
          <w:sz w:val="24"/>
          <w:szCs w:val="24"/>
          <w:highlight w:val="none"/>
        </w:rPr>
        <w:t>）完成的类</w:t>
      </w:r>
      <w:r>
        <w:rPr>
          <w:rFonts w:hint="eastAsia" w:ascii="宋体" w:hAnsi="宋体" w:cs="宋体"/>
          <w:color w:val="auto"/>
          <w:sz w:val="24"/>
          <w:szCs w:val="24"/>
          <w:highlight w:val="none"/>
        </w:rPr>
        <w:t>似项目情况表</w:t>
      </w:r>
    </w:p>
    <w:tbl>
      <w:tblPr>
        <w:tblStyle w:val="22"/>
        <w:tblW w:w="9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项目所在地</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发包人名称</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发包人地址</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发包人电话</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合同价格</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开工日期</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竣工日期</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承担的工作</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工程质量</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项目描述</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263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c>
          <w:tcPr>
            <w:tcW w:w="685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bl>
    <w:p>
      <w:pPr>
        <w:spacing w:line="440" w:lineRule="exact"/>
        <w:ind w:left="630" w:hanging="630" w:hangingChars="300"/>
        <w:rPr>
          <w:rFonts w:hint="eastAsia" w:ascii="宋体" w:hAnsi="宋体" w:cs="宋体"/>
          <w:color w:val="auto"/>
          <w:szCs w:val="21"/>
          <w:highlight w:val="none"/>
        </w:rPr>
      </w:pPr>
      <w:r>
        <w:rPr>
          <w:rFonts w:hint="eastAsia" w:ascii="宋体" w:hAnsi="宋体" w:cs="宋体"/>
          <w:color w:val="auto"/>
          <w:szCs w:val="21"/>
          <w:highlight w:val="none"/>
        </w:rPr>
        <w:t>备注：本表后附中标通知书</w:t>
      </w:r>
      <w:r>
        <w:rPr>
          <w:rFonts w:hint="eastAsia" w:ascii="宋体" w:hAnsi="宋体" w:cs="宋体"/>
          <w:color w:val="auto"/>
          <w:szCs w:val="21"/>
          <w:highlight w:val="none"/>
          <w:lang w:eastAsia="zh-CN"/>
        </w:rPr>
        <w:t>（</w:t>
      </w:r>
      <w:r>
        <w:rPr>
          <w:rFonts w:hint="eastAsia" w:ascii="宋体" w:hAnsi="宋体" w:cs="宋体"/>
          <w:color w:val="auto"/>
          <w:szCs w:val="21"/>
          <w:highlight w:val="none"/>
        </w:rPr>
        <w:t>或合同协议书</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及工程竣工验收证书</w:t>
      </w:r>
      <w:r>
        <w:rPr>
          <w:rFonts w:hint="eastAsia" w:ascii="宋体" w:hAnsi="宋体" w:cs="宋体"/>
          <w:color w:val="auto"/>
          <w:szCs w:val="21"/>
          <w:highlight w:val="none"/>
        </w:rPr>
        <w:t>的复印件，具体年份要求见供应商须知前附表。每张表格只填写一个项目，并标明序号。</w:t>
      </w:r>
    </w:p>
    <w:p>
      <w:pPr>
        <w:widowControl/>
        <w:jc w:val="left"/>
        <w:rPr>
          <w:rFonts w:hint="eastAsia" w:ascii="宋体" w:hAnsi="宋体" w:cs="宋体"/>
          <w:color w:val="auto"/>
          <w:szCs w:val="21"/>
          <w:highlight w:val="none"/>
        </w:rPr>
        <w:sectPr>
          <w:pgSz w:w="11906" w:h="16838"/>
          <w:pgMar w:top="1418" w:right="1134" w:bottom="1418" w:left="1418" w:header="851" w:footer="992" w:gutter="0"/>
          <w:pgNumType w:fmt="decimal"/>
          <w:cols w:space="720" w:num="1"/>
          <w:docGrid w:type="linesAndChars" w:linePitch="312" w:charSpace="0"/>
        </w:sectPr>
      </w:pPr>
    </w:p>
    <w:p>
      <w:pPr>
        <w:pStyle w:val="6"/>
        <w:spacing w:line="24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（四）近三年</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年至今）</w:t>
      </w:r>
      <w:r>
        <w:rPr>
          <w:rFonts w:hint="eastAsia" w:ascii="宋体" w:hAnsi="宋体" w:cs="宋体"/>
          <w:color w:val="auto"/>
          <w:sz w:val="24"/>
          <w:szCs w:val="24"/>
          <w:highlight w:val="none"/>
        </w:rPr>
        <w:t>发生的诉讼及仲裁情况</w:t>
      </w:r>
    </w:p>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联合体投标均需提供</w:t>
      </w:r>
      <w:r>
        <w:rPr>
          <w:rFonts w:hint="eastAsia" w:ascii="宋体" w:hAnsi="宋体" w:cs="宋体"/>
          <w:b/>
          <w:bCs/>
          <w:color w:val="auto"/>
          <w:highlight w:val="none"/>
          <w:lang w:eastAsia="zh-CN"/>
        </w:rPr>
        <w:t>）</w:t>
      </w:r>
    </w:p>
    <w:p>
      <w:pPr>
        <w:spacing w:line="440" w:lineRule="exact"/>
        <w:ind w:left="632" w:hanging="630" w:hangingChars="300"/>
        <w:rPr>
          <w:rFonts w:hint="eastAsia" w:ascii="宋体" w:hAnsi="宋体" w:cs="宋体"/>
          <w:color w:val="auto"/>
          <w:szCs w:val="21"/>
          <w:highlight w:val="none"/>
        </w:rPr>
      </w:pPr>
      <w:r>
        <w:rPr>
          <w:rFonts w:hint="eastAsia" w:ascii="宋体" w:hAnsi="宋体" w:cs="宋体"/>
          <w:b/>
          <w:color w:val="auto"/>
          <w:szCs w:val="21"/>
          <w:highlight w:val="none"/>
        </w:rPr>
        <w:t>说明：</w:t>
      </w:r>
      <w:r>
        <w:rPr>
          <w:rFonts w:hint="eastAsia" w:ascii="宋体" w:hAnsi="宋体" w:cs="宋体"/>
          <w:color w:val="auto"/>
          <w:szCs w:val="21"/>
          <w:highlight w:val="none"/>
        </w:rPr>
        <w:t>近三年发生的诉讼和仲裁情况仅限于供应商败诉的，且与履行施工承包合同有关的案件，不包括调解结案以及未裁决的仲裁或未终审判决的诉讼。</w:t>
      </w:r>
    </w:p>
    <w:p>
      <w:pPr>
        <w:spacing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2" w:hanging="630" w:hangingChars="300"/>
        <w:rPr>
          <w:rFonts w:hint="eastAsia" w:ascii="宋体" w:hAnsi="宋体" w:cs="宋体"/>
          <w:color w:val="auto"/>
          <w:szCs w:val="21"/>
          <w:highlight w:val="none"/>
        </w:rPr>
      </w:pPr>
      <w:r>
        <w:rPr>
          <w:rFonts w:hint="eastAsia" w:ascii="宋体" w:hAnsi="宋体" w:cs="宋体"/>
          <w:b/>
          <w:color w:val="auto"/>
          <w:szCs w:val="21"/>
          <w:highlight w:val="none"/>
        </w:rPr>
        <w:t>注：</w:t>
      </w:r>
      <w:r>
        <w:rPr>
          <w:rFonts w:hint="eastAsia" w:ascii="宋体" w:hAnsi="宋体" w:cs="宋体"/>
          <w:color w:val="auto"/>
          <w:szCs w:val="21"/>
          <w:highlight w:val="none"/>
        </w:rPr>
        <w:t>针对上述情况，提供由企业法定代表人或其授权委托人签字或盖章并加盖单位公章的承诺书。</w:t>
      </w: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spacing w:before="156" w:beforeLines="50" w:after="156" w:afterLines="50" w:line="440" w:lineRule="exact"/>
        <w:ind w:left="630" w:hanging="630" w:hangingChars="300"/>
        <w:rPr>
          <w:rFonts w:hint="eastAsia" w:ascii="宋体" w:hAnsi="宋体" w:cs="宋体"/>
          <w:color w:val="auto"/>
          <w:szCs w:val="21"/>
          <w:highlight w:val="none"/>
        </w:rPr>
      </w:pPr>
    </w:p>
    <w:p>
      <w:pPr>
        <w:widowControl/>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九、</w:t>
      </w:r>
      <w:r>
        <w:rPr>
          <w:rFonts w:hint="eastAsia" w:ascii="宋体" w:hAnsi="宋体" w:cs="宋体"/>
          <w:b/>
          <w:color w:val="auto"/>
          <w:sz w:val="28"/>
          <w:szCs w:val="28"/>
          <w:highlight w:val="none"/>
        </w:rPr>
        <w:t>供应商的资格声明</w:t>
      </w:r>
    </w:p>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联合体投标均需提供</w:t>
      </w:r>
      <w:r>
        <w:rPr>
          <w:rFonts w:hint="eastAsia" w:ascii="宋体" w:hAnsi="宋体" w:cs="宋体"/>
          <w:b/>
          <w:bCs/>
          <w:color w:val="auto"/>
          <w:highlight w:val="none"/>
          <w:lang w:eastAsia="zh-CN"/>
        </w:rPr>
        <w:t>）</w:t>
      </w:r>
    </w:p>
    <w:p>
      <w:pPr>
        <w:spacing w:line="360" w:lineRule="auto"/>
        <w:jc w:val="left"/>
        <w:rPr>
          <w:rFonts w:hint="eastAsia" w:ascii="宋体" w:hAnsi="宋体" w:cs="宋体"/>
          <w:bCs/>
          <w:color w:val="auto"/>
          <w:szCs w:val="21"/>
          <w:highlight w:val="none"/>
          <w:lang w:val="zh-CN"/>
        </w:rPr>
      </w:pPr>
    </w:p>
    <w:p>
      <w:pPr>
        <w:spacing w:line="360" w:lineRule="auto"/>
        <w:jc w:val="left"/>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1．供应商概况：</w:t>
      </w:r>
    </w:p>
    <w:p>
      <w:pPr>
        <w:spacing w:line="360" w:lineRule="auto"/>
        <w:ind w:firstLine="472" w:firstLineChars="225"/>
        <w:jc w:val="left"/>
        <w:rPr>
          <w:rFonts w:hint="eastAsia" w:ascii="宋体" w:hAnsi="宋体" w:cs="宋体"/>
          <w:color w:val="auto"/>
          <w:szCs w:val="21"/>
          <w:highlight w:val="none"/>
        </w:rPr>
      </w:pPr>
      <w:r>
        <w:rPr>
          <w:rFonts w:hint="eastAsia" w:ascii="宋体" w:hAnsi="宋体" w:cs="宋体"/>
          <w:bCs/>
          <w:color w:val="auto"/>
          <w:szCs w:val="21"/>
          <w:highlight w:val="none"/>
          <w:lang w:val="zh-CN"/>
        </w:rPr>
        <w:t>Ａ．供应商名称：</w:t>
      </w:r>
    </w:p>
    <w:p>
      <w:pPr>
        <w:spacing w:line="360" w:lineRule="auto"/>
        <w:ind w:firstLine="472" w:firstLineChars="225"/>
        <w:jc w:val="left"/>
        <w:rPr>
          <w:rFonts w:hint="eastAsia" w:ascii="宋体" w:hAnsi="宋体" w:cs="宋体"/>
          <w:color w:val="auto"/>
          <w:szCs w:val="21"/>
          <w:highlight w:val="none"/>
        </w:rPr>
      </w:pPr>
      <w:r>
        <w:rPr>
          <w:rFonts w:hint="eastAsia" w:ascii="宋体" w:hAnsi="宋体" w:cs="宋体"/>
          <w:bCs/>
          <w:color w:val="auto"/>
          <w:szCs w:val="21"/>
          <w:highlight w:val="none"/>
          <w:lang w:val="zh-CN"/>
        </w:rPr>
        <w:t>Ｂ．注册地址：</w:t>
      </w:r>
    </w:p>
    <w:p>
      <w:pPr>
        <w:spacing w:line="360" w:lineRule="auto"/>
        <w:ind w:firstLine="472" w:firstLineChars="225"/>
        <w:jc w:val="left"/>
        <w:rPr>
          <w:rFonts w:hint="eastAsia" w:ascii="宋体" w:hAnsi="宋体" w:cs="宋体"/>
          <w:color w:val="auto"/>
          <w:szCs w:val="21"/>
          <w:highlight w:val="none"/>
        </w:rPr>
      </w:pPr>
      <w:r>
        <w:rPr>
          <w:rFonts w:hint="eastAsia" w:ascii="宋体" w:hAnsi="宋体" w:cs="宋体"/>
          <w:bCs/>
          <w:color w:val="auto"/>
          <w:szCs w:val="21"/>
          <w:highlight w:val="none"/>
          <w:lang w:val="zh-CN"/>
        </w:rPr>
        <w:t>Ｃ．成立或注册日期</w:t>
      </w:r>
      <w:r>
        <w:rPr>
          <w:rFonts w:hint="eastAsia" w:ascii="宋体" w:hAnsi="宋体" w:cs="宋体"/>
          <w:color w:val="auto"/>
          <w:szCs w:val="21"/>
          <w:highlight w:val="none"/>
          <w:lang w:val="zh-CN"/>
        </w:rPr>
        <w:t>：</w:t>
      </w:r>
    </w:p>
    <w:p>
      <w:pPr>
        <w:spacing w:line="360" w:lineRule="auto"/>
        <w:ind w:firstLine="472" w:firstLineChars="225"/>
        <w:rPr>
          <w:rFonts w:hint="eastAsia" w:ascii="宋体" w:hAnsi="宋体" w:cs="宋体"/>
          <w:color w:val="auto"/>
          <w:szCs w:val="21"/>
          <w:highlight w:val="none"/>
        </w:rPr>
      </w:pPr>
      <w:r>
        <w:rPr>
          <w:rFonts w:hint="eastAsia" w:ascii="宋体" w:hAnsi="宋体" w:cs="宋体"/>
          <w:bCs/>
          <w:color w:val="auto"/>
          <w:szCs w:val="21"/>
          <w:highlight w:val="none"/>
          <w:lang w:val="zh-CN"/>
        </w:rPr>
        <w:t>Ｄ．法定代表人</w:t>
      </w:r>
      <w:r>
        <w:rPr>
          <w:rFonts w:hint="eastAsia" w:ascii="宋体" w:hAnsi="宋体" w:cs="宋体"/>
          <w:color w:val="auto"/>
          <w:szCs w:val="21"/>
          <w:highlight w:val="none"/>
        </w:rPr>
        <w:t xml:space="preserve">：                   </w:t>
      </w:r>
      <w:r>
        <w:rPr>
          <w:rFonts w:hint="eastAsia" w:ascii="宋体" w:hAnsi="宋体" w:cs="宋体"/>
          <w:bCs/>
          <w:color w:val="auto"/>
          <w:szCs w:val="21"/>
          <w:highlight w:val="none"/>
          <w:lang w:val="zh-CN"/>
        </w:rPr>
        <w:t>（姓名、职务）</w:t>
      </w:r>
    </w:p>
    <w:p>
      <w:pPr>
        <w:spacing w:line="360" w:lineRule="auto"/>
        <w:ind w:firstLine="472" w:firstLineChars="225"/>
        <w:rPr>
          <w:rFonts w:hint="eastAsia" w:ascii="宋体" w:hAnsi="宋体" w:cs="宋体"/>
          <w:color w:val="auto"/>
          <w:szCs w:val="21"/>
          <w:highlight w:val="none"/>
        </w:rPr>
      </w:pPr>
      <w:r>
        <w:rPr>
          <w:rFonts w:hint="eastAsia" w:ascii="宋体" w:hAnsi="宋体" w:cs="宋体"/>
          <w:bCs/>
          <w:color w:val="auto"/>
          <w:szCs w:val="21"/>
          <w:highlight w:val="none"/>
          <w:lang w:val="zh-CN"/>
        </w:rPr>
        <w:t>Ｅ．注册资金</w:t>
      </w:r>
      <w:r>
        <w:rPr>
          <w:rFonts w:hint="eastAsia" w:ascii="宋体" w:hAnsi="宋体" w:cs="宋体"/>
          <w:color w:val="auto"/>
          <w:szCs w:val="21"/>
          <w:highlight w:val="none"/>
        </w:rPr>
        <w:t xml:space="preserve">：                    </w:t>
      </w:r>
    </w:p>
    <w:p>
      <w:pPr>
        <w:spacing w:line="36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2．我方在此声明，我方具备并满足下列各项条款的规定。本声明如有虚假或不实之处，我方将失去合格供应商资格且我方的磋商保证金将不予退还。</w:t>
      </w:r>
    </w:p>
    <w:p>
      <w:pPr>
        <w:spacing w:line="360" w:lineRule="auto"/>
        <w:ind w:firstLine="420" w:firstLineChars="200"/>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 xml:space="preserve">（1）具有独立承担民事责任的能力； </w:t>
      </w:r>
    </w:p>
    <w:p>
      <w:pPr>
        <w:spacing w:line="360" w:lineRule="auto"/>
        <w:ind w:firstLine="420" w:firstLineChars="200"/>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（2）具有良好的商业信誉和健全的财务会计制度；</w:t>
      </w:r>
    </w:p>
    <w:p>
      <w:pPr>
        <w:spacing w:line="360" w:lineRule="auto"/>
        <w:ind w:firstLine="420" w:firstLineChars="200"/>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（3）具有履行合同所必需的设备和专业技术能力；</w:t>
      </w:r>
    </w:p>
    <w:p>
      <w:pPr>
        <w:spacing w:line="360" w:lineRule="auto"/>
        <w:ind w:firstLine="420" w:firstLineChars="200"/>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 xml:space="preserve">（4）有依法缴纳税收和社会保障资金的良好记录； </w:t>
      </w:r>
    </w:p>
    <w:p>
      <w:pPr>
        <w:spacing w:line="360" w:lineRule="auto"/>
        <w:ind w:firstLine="420" w:firstLineChars="200"/>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（5）近三年内，在经营活动中没有重大违法记录；</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3.供应商其年检合格营业执照、税务登记证、组织机构代码证、开户许可证等材料的复印件附后。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就我方全部所知，兹证明上述声明是真实、正确的，并已提供了全部现有资料和数据，我方同意根据贵方要求出示文件予以证实。</w:t>
      </w:r>
    </w:p>
    <w:p>
      <w:pPr>
        <w:spacing w:line="360" w:lineRule="auto"/>
        <w:rPr>
          <w:rFonts w:hint="eastAsia" w:ascii="宋体" w:hAnsi="宋体" w:cs="宋体"/>
          <w:color w:val="auto"/>
          <w:szCs w:val="21"/>
          <w:highlight w:val="none"/>
        </w:rPr>
      </w:pPr>
    </w:p>
    <w:p>
      <w:pPr>
        <w:autoSpaceDE w:val="0"/>
        <w:autoSpaceDN w:val="0"/>
        <w:adjustRightInd w:val="0"/>
        <w:spacing w:line="360" w:lineRule="auto"/>
        <w:ind w:firstLine="1890" w:firstLineChars="900"/>
        <w:jc w:val="left"/>
        <w:rPr>
          <w:rFonts w:hint="eastAsia" w:ascii="宋体" w:hAnsi="宋体" w:cs="宋体"/>
          <w:bCs/>
          <w:color w:val="auto"/>
          <w:szCs w:val="21"/>
          <w:highlight w:val="none"/>
          <w:lang w:val="zh-CN"/>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供应商（印刷体及公章）：</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法定代表人或其授权代表人（签字）：</w:t>
      </w:r>
    </w:p>
    <w:p>
      <w:pPr>
        <w:spacing w:line="360" w:lineRule="auto"/>
        <w:rPr>
          <w:rFonts w:hint="eastAsia" w:ascii="宋体" w:hAnsi="宋体" w:cs="宋体"/>
          <w:color w:val="auto"/>
          <w:szCs w:val="21"/>
          <w:highlight w:val="none"/>
        </w:rPr>
      </w:pPr>
    </w:p>
    <w:p>
      <w:pPr>
        <w:spacing w:line="400" w:lineRule="exact"/>
        <w:jc w:val="right"/>
        <w:rPr>
          <w:rFonts w:hint="eastAsia" w:ascii="宋体" w:hAnsi="宋体" w:cs="宋体"/>
          <w:color w:val="auto"/>
          <w:szCs w:val="21"/>
          <w:highlight w:val="none"/>
        </w:rPr>
        <w:sectPr>
          <w:headerReference r:id="rId10" w:type="default"/>
          <w:footerReference r:id="rId11" w:type="default"/>
          <w:pgSz w:w="11906" w:h="16838"/>
          <w:pgMar w:top="1418" w:right="1134" w:bottom="1418" w:left="1418" w:header="851" w:footer="992" w:gutter="0"/>
          <w:pgNumType w:fmt="decimal"/>
          <w:cols w:space="720" w:num="1"/>
          <w:docGrid w:type="linesAndChars" w:linePitch="312" w:charSpace="0"/>
        </w:sect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jc w:val="center"/>
        <w:rPr>
          <w:rFonts w:hint="default" w:ascii="宋体" w:hAnsi="宋体" w:eastAsia="宋体" w:cs="宋体"/>
          <w:b/>
          <w:bCs/>
          <w:color w:val="auto"/>
          <w:kern w:val="0"/>
          <w:sz w:val="28"/>
          <w:szCs w:val="28"/>
          <w:highlight w:val="none"/>
          <w:lang w:val="en-US" w:eastAsia="zh-CN" w:bidi="ar-SA"/>
        </w:rPr>
      </w:pPr>
      <w:r>
        <w:rPr>
          <w:rFonts w:hint="eastAsia" w:ascii="宋体" w:hAnsi="宋体" w:eastAsia="宋体" w:cs="宋体"/>
          <w:b/>
          <w:bCs/>
          <w:color w:val="auto"/>
          <w:kern w:val="0"/>
          <w:sz w:val="28"/>
          <w:szCs w:val="28"/>
          <w:highlight w:val="none"/>
          <w:lang w:val="en-US" w:eastAsia="zh-CN" w:bidi="ar-SA"/>
        </w:rPr>
        <w:t>十、其他材料</w:t>
      </w:r>
    </w:p>
    <w:p>
      <w:pPr>
        <w:widowControl/>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（一）无政府不良行为记录承诺</w:t>
      </w:r>
    </w:p>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联合体投标均需提供</w:t>
      </w:r>
      <w:r>
        <w:rPr>
          <w:rFonts w:hint="eastAsia" w:ascii="宋体" w:hAnsi="宋体" w:cs="宋体"/>
          <w:b/>
          <w:bCs/>
          <w:color w:val="auto"/>
          <w:highlight w:val="none"/>
          <w:lang w:eastAsia="zh-CN"/>
        </w:rPr>
        <w:t>）</w:t>
      </w:r>
    </w:p>
    <w:p>
      <w:pPr>
        <w:spacing w:line="360" w:lineRule="auto"/>
        <w:rPr>
          <w:rFonts w:hint="eastAsia" w:ascii="宋体" w:hAnsi="宋体" w:cs="宋体"/>
          <w:color w:val="auto"/>
          <w:sz w:val="28"/>
          <w:szCs w:val="28"/>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p>
    <w:p>
      <w:pPr>
        <w:spacing w:line="360" w:lineRule="auto"/>
        <w:ind w:firstLine="420" w:firstLineChars="200"/>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本公司具有履行合同、项目执行能力的保障能力，且公司成立至今无重大质量事故，现经营阶段无重大经济纠纷，无商业贿赂、投标期间没有列入政府不良行为记录等不良行为记录。现本公司自愿作出以上郑重承诺，如承诺虚假，本公司愿意承担一切法律后果。</w:t>
      </w: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供应商（印刷体及公章）：</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法定代表人或其授权代表人（签字）：</w:t>
      </w:r>
    </w:p>
    <w:p>
      <w:pPr>
        <w:spacing w:line="360" w:lineRule="auto"/>
        <w:rPr>
          <w:rFonts w:hint="eastAsia" w:ascii="宋体" w:hAnsi="宋体" w:cs="宋体"/>
          <w:color w:val="auto"/>
          <w:szCs w:val="21"/>
          <w:highlight w:val="none"/>
        </w:rPr>
      </w:pPr>
    </w:p>
    <w:p>
      <w:pPr>
        <w:rPr>
          <w:rFonts w:hint="eastAsia" w:ascii="宋体" w:hAnsi="宋体" w:cs="宋体"/>
          <w:color w:val="auto"/>
          <w:szCs w:val="21"/>
          <w:highlight w:val="none"/>
        </w:rPr>
      </w:pPr>
    </w:p>
    <w:p>
      <w:pPr>
        <w:spacing w:line="400" w:lineRule="exact"/>
        <w:jc w:val="right"/>
        <w:rPr>
          <w:rFonts w:hint="eastAsia" w:ascii="宋体" w:hAnsi="宋体" w:cs="宋体"/>
          <w:color w:val="auto"/>
          <w:szCs w:val="21"/>
          <w:highlight w:val="none"/>
        </w:rPr>
        <w:sectPr>
          <w:headerReference r:id="rId12" w:type="default"/>
          <w:footerReference r:id="rId13" w:type="default"/>
          <w:pgSz w:w="11906" w:h="16838"/>
          <w:pgMar w:top="1418" w:right="1134" w:bottom="1418" w:left="1418" w:header="851" w:footer="992" w:gutter="0"/>
          <w:pgNumType w:fmt="decimal"/>
          <w:cols w:space="720" w:num="1"/>
          <w:docGrid w:type="linesAndChars" w:linePitch="312" w:charSpace="0"/>
        </w:sect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widowControl/>
        <w:jc w:val="center"/>
        <w:rPr>
          <w:rFonts w:hint="eastAsia"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二</w:t>
      </w:r>
      <w:r>
        <w:rPr>
          <w:rFonts w:hint="eastAsia" w:ascii="宋体" w:hAnsi="宋体" w:cs="宋体"/>
          <w:b/>
          <w:color w:val="auto"/>
          <w:sz w:val="28"/>
          <w:szCs w:val="28"/>
          <w:highlight w:val="none"/>
        </w:rPr>
        <w:t>）承诺</w:t>
      </w:r>
      <w:r>
        <w:rPr>
          <w:rFonts w:hint="eastAsia" w:ascii="宋体" w:hAnsi="宋体" w:cs="宋体"/>
          <w:b/>
          <w:color w:val="auto"/>
          <w:sz w:val="28"/>
          <w:szCs w:val="28"/>
          <w:highlight w:val="none"/>
          <w:lang w:val="en-US" w:eastAsia="zh-CN"/>
        </w:rPr>
        <w:t>书</w:t>
      </w:r>
    </w:p>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联合体投标均需提供</w:t>
      </w:r>
      <w:r>
        <w:rPr>
          <w:rFonts w:hint="eastAsia" w:ascii="宋体" w:hAnsi="宋体" w:cs="宋体"/>
          <w:b/>
          <w:bCs/>
          <w:color w:val="auto"/>
          <w:highlight w:val="none"/>
          <w:lang w:eastAsia="zh-CN"/>
        </w:rPr>
        <w:t>）</w:t>
      </w:r>
    </w:p>
    <w:p>
      <w:pPr>
        <w:autoSpaceDE w:val="0"/>
        <w:autoSpaceDN w:val="0"/>
        <w:adjustRightInd w:val="0"/>
        <w:snapToGrid w:val="0"/>
        <w:spacing w:line="264" w:lineRule="auto"/>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1.信誉要求</w:t>
      </w:r>
    </w:p>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（1）拒绝列入政府取消投标资格记录期间的企业或个人投标。</w:t>
      </w:r>
    </w:p>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（2）未被工商行政管理机关在全国企业信用信息公示系统（www.gsxt.gov.cn）中列入严重违法失信企业名单。</w:t>
      </w:r>
    </w:p>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（3）未被中国执行信息公开网（http://zxgk.court.gov.cn）列入失信被执行人名单。</w:t>
      </w:r>
    </w:p>
    <w:p>
      <w:pPr>
        <w:autoSpaceDE w:val="0"/>
        <w:autoSpaceDN w:val="0"/>
        <w:adjustRightInd w:val="0"/>
        <w:snapToGrid w:val="0"/>
        <w:spacing w:line="264"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（4）未被最高人民法院在“信用中国”网站（www.creditchina.gov.cn）列入重大税收违法案件当事人名单。</w:t>
      </w:r>
    </w:p>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（5）在近三年（202</w:t>
      </w:r>
      <w:r>
        <w:rPr>
          <w:rFonts w:hint="eastAsia" w:ascii="宋体" w:hAnsi="宋体" w:eastAsia="宋体" w:cs="宋体"/>
          <w:bCs/>
          <w:color w:val="auto"/>
          <w:szCs w:val="21"/>
          <w:highlight w:val="none"/>
          <w:lang w:val="en-US" w:eastAsia="zh-CN"/>
        </w:rPr>
        <w:t>1</w:t>
      </w:r>
      <w:r>
        <w:rPr>
          <w:rFonts w:hint="eastAsia" w:ascii="宋体" w:hAnsi="宋体" w:eastAsia="宋体" w:cs="宋体"/>
          <w:bCs/>
          <w:color w:val="auto"/>
          <w:szCs w:val="21"/>
          <w:highlight w:val="none"/>
        </w:rPr>
        <w:t>年至今）内供应商或其法定代表人、拟委任的项目经理未在“中国裁判文书网”(wenshu.court.gov.cn）上有行贿犯罪行为。</w:t>
      </w:r>
    </w:p>
    <w:p>
      <w:pPr>
        <w:autoSpaceDE w:val="0"/>
        <w:autoSpaceDN w:val="0"/>
        <w:adjustRightInd w:val="0"/>
        <w:snapToGrid w:val="0"/>
        <w:spacing w:line="264"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（6）未被中国政府采购网(www.ccgp.gov.cn)列入政府采购严重违法失信行为记录名单。</w:t>
      </w:r>
    </w:p>
    <w:p>
      <w:pPr>
        <w:rPr>
          <w:rFonts w:hint="eastAsia" w:ascii="宋体" w:hAnsi="宋体" w:eastAsia="宋体" w:cs="宋体"/>
          <w:b/>
          <w:color w:val="auto"/>
          <w:kern w:val="0"/>
          <w:szCs w:val="21"/>
          <w:highlight w:val="none"/>
          <w:lang w:val="en-US" w:eastAsia="zh-CN"/>
        </w:rPr>
      </w:pPr>
      <w:r>
        <w:rPr>
          <w:rFonts w:hint="eastAsia" w:ascii="宋体" w:hAnsi="宋体" w:eastAsia="宋体" w:cs="宋体"/>
          <w:b/>
          <w:color w:val="auto"/>
          <w:kern w:val="0"/>
          <w:szCs w:val="21"/>
          <w:highlight w:val="none"/>
          <w:lang w:val="en-US" w:eastAsia="zh-CN"/>
        </w:rPr>
        <w:t>响应文件内</w:t>
      </w:r>
      <w:r>
        <w:rPr>
          <w:rFonts w:hint="default" w:ascii="宋体" w:hAnsi="宋体" w:eastAsia="宋体" w:cs="宋体"/>
          <w:b/>
          <w:color w:val="auto"/>
          <w:kern w:val="0"/>
          <w:szCs w:val="21"/>
          <w:highlight w:val="none"/>
          <w:lang w:val="en-US"/>
        </w:rPr>
        <w:t>（1）</w:t>
      </w:r>
      <w:r>
        <w:rPr>
          <w:rFonts w:hint="eastAsia" w:ascii="宋体" w:hAnsi="宋体" w:cs="宋体"/>
          <w:b/>
          <w:color w:val="auto"/>
          <w:kern w:val="0"/>
          <w:szCs w:val="21"/>
          <w:highlight w:val="none"/>
          <w:lang w:val="en-US" w:eastAsia="zh-CN"/>
        </w:rPr>
        <w:t>附</w:t>
      </w:r>
      <w:r>
        <w:rPr>
          <w:rFonts w:hint="eastAsia" w:ascii="宋体" w:hAnsi="宋体" w:eastAsia="宋体" w:cs="宋体"/>
          <w:b/>
          <w:color w:val="auto"/>
          <w:kern w:val="0"/>
          <w:szCs w:val="21"/>
          <w:highlight w:val="none"/>
        </w:rPr>
        <w:t>由法定代表人或其委托代理人签字并加盖公章的承诺书</w:t>
      </w:r>
      <w:r>
        <w:rPr>
          <w:rFonts w:hint="eastAsia" w:ascii="宋体" w:hAnsi="宋体" w:eastAsia="宋体" w:cs="宋体"/>
          <w:b/>
          <w:color w:val="auto"/>
          <w:kern w:val="0"/>
          <w:szCs w:val="21"/>
          <w:highlight w:val="none"/>
          <w:lang w:eastAsia="zh-CN"/>
        </w:rPr>
        <w:t>，</w:t>
      </w:r>
      <w:r>
        <w:rPr>
          <w:rFonts w:hint="eastAsia" w:ascii="宋体" w:hAnsi="宋体" w:eastAsia="宋体" w:cs="宋体"/>
          <w:b/>
          <w:color w:val="auto"/>
          <w:kern w:val="0"/>
          <w:szCs w:val="21"/>
          <w:highlight w:val="none"/>
        </w:rPr>
        <w:t>（2）</w:t>
      </w:r>
      <w:r>
        <w:rPr>
          <w:rFonts w:hint="eastAsia" w:ascii="宋体" w:hAnsi="宋体" w:eastAsia="宋体" w:cs="宋体"/>
          <w:b/>
          <w:color w:val="auto"/>
          <w:kern w:val="0"/>
          <w:szCs w:val="21"/>
          <w:highlight w:val="none"/>
          <w:lang w:val="en-US" w:eastAsia="zh-CN"/>
        </w:rPr>
        <w:t>至</w:t>
      </w:r>
      <w:r>
        <w:rPr>
          <w:rFonts w:hint="eastAsia" w:ascii="宋体" w:hAnsi="宋体" w:eastAsia="宋体" w:cs="宋体"/>
          <w:b/>
          <w:color w:val="auto"/>
          <w:kern w:val="0"/>
          <w:szCs w:val="21"/>
          <w:highlight w:val="none"/>
        </w:rPr>
        <w:t>（6）</w:t>
      </w:r>
      <w:r>
        <w:rPr>
          <w:rFonts w:hint="eastAsia" w:ascii="宋体" w:hAnsi="宋体" w:cs="宋体"/>
          <w:b/>
          <w:color w:val="auto"/>
          <w:kern w:val="0"/>
          <w:szCs w:val="21"/>
          <w:highlight w:val="none"/>
          <w:lang w:val="en-US" w:eastAsia="zh-CN"/>
        </w:rPr>
        <w:t>附网站</w:t>
      </w:r>
      <w:r>
        <w:rPr>
          <w:rFonts w:hint="eastAsia" w:ascii="宋体" w:hAnsi="宋体" w:eastAsia="宋体" w:cs="宋体"/>
          <w:b/>
          <w:color w:val="auto"/>
          <w:kern w:val="0"/>
          <w:szCs w:val="21"/>
          <w:highlight w:val="none"/>
          <w:lang w:val="en-US" w:eastAsia="zh-CN"/>
        </w:rPr>
        <w:t>截图并加盖公章。</w:t>
      </w:r>
    </w:p>
    <w:p>
      <w:pPr>
        <w:rPr>
          <w:rFonts w:hint="eastAsia" w:ascii="宋体" w:hAnsi="宋体" w:eastAsia="宋体" w:cs="宋体"/>
          <w:b/>
          <w:color w:val="auto"/>
          <w:kern w:val="0"/>
          <w:szCs w:val="21"/>
          <w:highlight w:val="none"/>
          <w:lang w:val="en-US" w:eastAsia="zh-CN"/>
        </w:rPr>
      </w:pPr>
    </w:p>
    <w:p>
      <w:pPr>
        <w:rPr>
          <w:rFonts w:hint="eastAsia" w:ascii="宋体" w:hAnsi="宋体" w:eastAsia="宋体" w:cs="宋体"/>
          <w:b/>
          <w:color w:val="auto"/>
          <w:kern w:val="0"/>
          <w:szCs w:val="21"/>
          <w:highlight w:val="none"/>
          <w:lang w:val="en-US" w:eastAsia="zh-CN"/>
        </w:rPr>
      </w:pPr>
    </w:p>
    <w:p>
      <w:pPr>
        <w:rPr>
          <w:rFonts w:hint="default"/>
          <w:highlight w:val="none"/>
          <w:lang w:val="en-US" w:eastAsia="zh-CN"/>
        </w:rPr>
      </w:pPr>
      <w:r>
        <w:rPr>
          <w:rFonts w:hint="eastAsia" w:ascii="宋体" w:hAnsi="宋体" w:cs="宋体"/>
          <w:color w:val="auto"/>
          <w:szCs w:val="21"/>
          <w:highlight w:val="none"/>
          <w:lang w:val="en-US" w:eastAsia="zh-CN"/>
        </w:rPr>
        <w:t xml:space="preserve">2. </w:t>
      </w:r>
      <w:r>
        <w:rPr>
          <w:rFonts w:hint="eastAsia" w:ascii="宋体" w:hAnsi="宋体" w:cs="宋体"/>
          <w:color w:val="auto"/>
          <w:szCs w:val="21"/>
          <w:highlight w:val="none"/>
        </w:rPr>
        <w:t>单位负责人为同一人或者存在直接控股、管理关系的不同单位，不得参加同一标段投标或者未划分标段的同一招标项目投标</w:t>
      </w:r>
      <w:r>
        <w:rPr>
          <w:rFonts w:hint="eastAsia" w:ascii="宋体" w:hAnsi="宋体" w:cs="宋体"/>
          <w:color w:val="auto"/>
          <w:kern w:val="0"/>
          <w:szCs w:val="21"/>
          <w:highlight w:val="none"/>
          <w:lang w:bidi="ar"/>
        </w:rPr>
        <w:t>，</w:t>
      </w:r>
      <w:r>
        <w:rPr>
          <w:rFonts w:hint="eastAsia" w:ascii="宋体" w:hAnsi="宋体" w:cs="宋体"/>
          <w:b/>
          <w:bCs/>
          <w:color w:val="auto"/>
          <w:szCs w:val="21"/>
          <w:highlight w:val="none"/>
        </w:rPr>
        <w:t>响应文件内</w:t>
      </w:r>
      <w:r>
        <w:rPr>
          <w:rFonts w:hint="eastAsia" w:ascii="宋体" w:hAnsi="宋体" w:cs="宋体"/>
          <w:b/>
          <w:color w:val="auto"/>
          <w:szCs w:val="21"/>
          <w:highlight w:val="none"/>
        </w:rPr>
        <w:t>提供由法定代表人或其委托代理人签字并加盖公章的承诺书</w:t>
      </w:r>
      <w:r>
        <w:rPr>
          <w:rFonts w:hint="eastAsia" w:ascii="宋体" w:hAnsi="宋体" w:cs="宋体"/>
          <w:b/>
          <w:bCs/>
          <w:color w:val="auto"/>
          <w:szCs w:val="21"/>
          <w:highlight w:val="none"/>
        </w:rPr>
        <w:t>。</w:t>
      </w:r>
    </w:p>
    <w:p>
      <w:pPr>
        <w:rPr>
          <w:rFonts w:hint="eastAsia" w:ascii="宋体" w:hAnsi="宋体" w:cs="宋体"/>
          <w:color w:val="auto"/>
          <w:szCs w:val="21"/>
          <w:highlight w:val="none"/>
        </w:rPr>
      </w:pPr>
      <w:r>
        <w:rPr>
          <w:rFonts w:hint="eastAsia" w:ascii="宋体" w:hAnsi="宋体" w:cs="宋体"/>
          <w:color w:val="auto"/>
          <w:szCs w:val="21"/>
          <w:highlight w:val="none"/>
        </w:rPr>
        <w:br w:type="page"/>
      </w:r>
    </w:p>
    <w:p>
      <w:pPr>
        <w:widowControl/>
        <w:jc w:val="center"/>
        <w:rPr>
          <w:rFonts w:hint="default"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三</w:t>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其他材料</w:t>
      </w:r>
    </w:p>
    <w:p>
      <w:pPr>
        <w:pStyle w:val="2"/>
        <w:rPr>
          <w:rFonts w:hint="eastAsia"/>
        </w:rPr>
      </w:pPr>
    </w:p>
    <w:p>
      <w:pPr>
        <w:jc w:val="center"/>
        <w:rPr>
          <w:rFonts w:hint="eastAsia" w:ascii="宋体" w:hAnsi="宋体" w:eastAsia="宋体" w:cs="宋体"/>
          <w:color w:val="auto"/>
          <w:sz w:val="28"/>
          <w:szCs w:val="28"/>
          <w:highlight w:val="none"/>
          <w:lang w:val="en-US" w:eastAsia="zh-CN"/>
        </w:rPr>
      </w:pPr>
      <w:r>
        <w:rPr>
          <w:rFonts w:hint="eastAsia" w:ascii="宋体" w:hAnsi="宋体" w:cs="宋体"/>
          <w:color w:val="auto"/>
          <w:szCs w:val="21"/>
          <w:highlight w:val="none"/>
        </w:rPr>
        <w:t>供应商认为需要提供的其他商务文件材料，但应注意不要提供与评审无直接关联的文件材料</w:t>
      </w:r>
      <w:r>
        <w:rPr>
          <w:rFonts w:hint="eastAsia" w:ascii="宋体" w:hAnsi="宋体" w:cs="宋体"/>
          <w:color w:val="auto"/>
          <w:szCs w:val="21"/>
          <w:highlight w:val="none"/>
          <w:lang w:eastAsia="zh-CN"/>
        </w:rPr>
        <w:t>。</w:t>
      </w:r>
      <w:r>
        <w:rPr>
          <w:rFonts w:hint="eastAsia" w:ascii="宋体" w:hAnsi="宋体" w:eastAsia="宋体" w:cs="宋体"/>
          <w:color w:val="auto"/>
          <w:sz w:val="28"/>
          <w:szCs w:val="28"/>
          <w:highlight w:val="none"/>
          <w:lang w:val="en-US" w:eastAsia="zh-CN"/>
        </w:rPr>
        <w:br w:type="page"/>
      </w:r>
    </w:p>
    <w:p>
      <w:pPr>
        <w:pStyle w:val="4"/>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十一</w:t>
      </w:r>
      <w:r>
        <w:rPr>
          <w:rFonts w:hint="eastAsia" w:ascii="宋体" w:hAnsi="宋体" w:eastAsia="宋体" w:cs="宋体"/>
          <w:color w:val="auto"/>
          <w:sz w:val="28"/>
          <w:szCs w:val="28"/>
          <w:highlight w:val="none"/>
        </w:rPr>
        <w:t>、施工组织设计</w:t>
      </w:r>
    </w:p>
    <w:p>
      <w:pPr>
        <w:ind w:firstLine="420" w:firstLineChars="200"/>
        <w:rPr>
          <w:rFonts w:hint="eastAsia" w:ascii="宋体" w:hAnsi="宋体" w:cs="宋体"/>
          <w:color w:val="auto"/>
          <w:szCs w:val="21"/>
          <w:highlight w:val="none"/>
        </w:rPr>
      </w:pP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供应商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2．施工组织设计除采用文字表述外可附下列图表，图表及格式要求附后。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附表一  拟投入本标段的主要施工设备表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附表二  拟配备本标段的试验和检测仪器设备表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附表三  劳动力计划表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附表四  计划开、竣工日期和施工进度网络图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附表五  施工总平面图</w:t>
      </w:r>
    </w:p>
    <w:p>
      <w:pPr>
        <w:widowControl/>
        <w:jc w:val="left"/>
        <w:rPr>
          <w:rFonts w:hint="eastAsia" w:ascii="宋体" w:hAnsi="宋体" w:cs="宋体"/>
          <w:color w:val="auto"/>
          <w:szCs w:val="21"/>
          <w:highlight w:val="none"/>
        </w:rPr>
        <w:sectPr>
          <w:headerReference r:id="rId14" w:type="default"/>
          <w:footerReference r:id="rId15" w:type="default"/>
          <w:pgSz w:w="11906" w:h="16838"/>
          <w:pgMar w:top="1418" w:right="1134" w:bottom="1418" w:left="1418" w:header="851" w:footer="992" w:gutter="0"/>
          <w:pgNumType w:fmt="decimal"/>
          <w:cols w:space="720" w:num="1"/>
          <w:docGrid w:type="linesAndChars" w:linePitch="312" w:charSpace="0"/>
        </w:sectPr>
      </w:pPr>
    </w:p>
    <w:p>
      <w:pPr>
        <w:pStyle w:val="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附表一：拟投入本标段的主要施工设备表</w:t>
      </w:r>
    </w:p>
    <w:tbl>
      <w:tblPr>
        <w:tblStyle w:val="22"/>
        <w:tblW w:w="9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85"/>
        <w:gridCol w:w="795"/>
        <w:gridCol w:w="816"/>
        <w:gridCol w:w="816"/>
        <w:gridCol w:w="1080"/>
        <w:gridCol w:w="1260"/>
        <w:gridCol w:w="973"/>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设备名称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型号</w:t>
            </w:r>
          </w:p>
          <w:p>
            <w:pPr>
              <w:jc w:val="center"/>
              <w:rPr>
                <w:rFonts w:hint="eastAsia" w:ascii="宋体" w:hAnsi="宋体" w:cs="宋体"/>
                <w:color w:val="auto"/>
                <w:szCs w:val="21"/>
                <w:highlight w:val="none"/>
              </w:rPr>
            </w:pPr>
            <w:r>
              <w:rPr>
                <w:rFonts w:hint="eastAsia" w:ascii="宋体" w:hAnsi="宋体" w:cs="宋体"/>
                <w:color w:val="auto"/>
                <w:szCs w:val="21"/>
                <w:highlight w:val="none"/>
              </w:rPr>
              <w:t>规格</w:t>
            </w:r>
          </w:p>
        </w:tc>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数量</w:t>
            </w:r>
          </w:p>
        </w:tc>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国别</w:t>
            </w:r>
          </w:p>
          <w:p>
            <w:pPr>
              <w:jc w:val="center"/>
              <w:rPr>
                <w:rFonts w:hint="eastAsia" w:ascii="宋体" w:hAnsi="宋体" w:cs="宋体"/>
                <w:color w:val="auto"/>
                <w:szCs w:val="21"/>
                <w:highlight w:val="none"/>
              </w:rPr>
            </w:pPr>
            <w:r>
              <w:rPr>
                <w:rFonts w:hint="eastAsia" w:ascii="宋体" w:hAnsi="宋体" w:cs="宋体"/>
                <w:color w:val="auto"/>
                <w:szCs w:val="21"/>
                <w:highlight w:val="none"/>
              </w:rPr>
              <w:t>产地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制造</w:t>
            </w:r>
          </w:p>
          <w:p>
            <w:pPr>
              <w:jc w:val="center"/>
              <w:rPr>
                <w:rFonts w:hint="eastAsia" w:ascii="宋体" w:hAnsi="宋体" w:cs="宋体"/>
                <w:color w:val="auto"/>
                <w:szCs w:val="21"/>
                <w:highlight w:val="none"/>
              </w:rPr>
            </w:pPr>
            <w:r>
              <w:rPr>
                <w:rFonts w:hint="eastAsia" w:ascii="宋体" w:hAnsi="宋体" w:cs="宋体"/>
                <w:color w:val="auto"/>
                <w:szCs w:val="21"/>
                <w:highlight w:val="none"/>
              </w:rPr>
              <w:t>年份</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额定功率</w:t>
            </w:r>
          </w:p>
          <w:p>
            <w:pPr>
              <w:jc w:val="center"/>
              <w:rPr>
                <w:rFonts w:hint="eastAsia" w:ascii="宋体" w:hAnsi="宋体" w:cs="宋体"/>
                <w:color w:val="auto"/>
                <w:szCs w:val="21"/>
                <w:highlight w:val="none"/>
              </w:rPr>
            </w:pPr>
            <w:r>
              <w:rPr>
                <w:rFonts w:hint="eastAsia" w:ascii="宋体" w:hAnsi="宋体" w:cs="宋体"/>
                <w:color w:val="auto"/>
                <w:szCs w:val="21"/>
                <w:highlight w:val="none"/>
              </w:rPr>
              <w:t>( KW )</w:t>
            </w:r>
          </w:p>
        </w:tc>
        <w:tc>
          <w:tcPr>
            <w:tcW w:w="9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生产</w:t>
            </w:r>
          </w:p>
          <w:p>
            <w:pPr>
              <w:jc w:val="center"/>
              <w:rPr>
                <w:rFonts w:hint="eastAsia" w:ascii="宋体" w:hAnsi="宋体" w:cs="宋体"/>
                <w:color w:val="auto"/>
                <w:szCs w:val="21"/>
                <w:highlight w:val="none"/>
              </w:rPr>
            </w:pPr>
            <w:r>
              <w:rPr>
                <w:rFonts w:hint="eastAsia" w:ascii="宋体" w:hAnsi="宋体" w:cs="宋体"/>
                <w:color w:val="auto"/>
                <w:szCs w:val="21"/>
                <w:highlight w:val="none"/>
              </w:rPr>
              <w:t>能力</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用于施</w:t>
            </w:r>
          </w:p>
          <w:p>
            <w:pPr>
              <w:rPr>
                <w:rFonts w:hint="eastAsia" w:ascii="宋体" w:hAnsi="宋体" w:cs="宋体"/>
                <w:color w:val="auto"/>
                <w:szCs w:val="21"/>
                <w:highlight w:val="none"/>
              </w:rPr>
            </w:pPr>
            <w:r>
              <w:rPr>
                <w:rFonts w:hint="eastAsia" w:ascii="宋体" w:hAnsi="宋体" w:cs="宋体"/>
                <w:color w:val="auto"/>
                <w:szCs w:val="21"/>
                <w:highlight w:val="none"/>
              </w:rPr>
              <w:t>工部位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bl>
    <w:p>
      <w:pPr>
        <w:rPr>
          <w:rFonts w:hint="eastAsia" w:ascii="宋体" w:hAnsi="宋体" w:cs="宋体"/>
          <w:color w:val="auto"/>
          <w:szCs w:val="21"/>
          <w:highlight w:val="none"/>
        </w:rPr>
      </w:pPr>
    </w:p>
    <w:p>
      <w:pPr>
        <w:widowControl/>
        <w:jc w:val="left"/>
        <w:rPr>
          <w:rFonts w:hint="eastAsia" w:ascii="宋体" w:hAnsi="宋体" w:cs="宋体"/>
          <w:color w:val="auto"/>
          <w:szCs w:val="21"/>
          <w:highlight w:val="none"/>
        </w:rPr>
        <w:sectPr>
          <w:pgSz w:w="11906" w:h="16838"/>
          <w:pgMar w:top="1418" w:right="1134" w:bottom="1418" w:left="1418" w:header="851" w:footer="992" w:gutter="0"/>
          <w:pgNumType w:fmt="decimal"/>
          <w:cols w:space="720" w:num="1"/>
          <w:docGrid w:type="linesAndChars" w:linePitch="312" w:charSpace="0"/>
        </w:sectPr>
      </w:pPr>
    </w:p>
    <w:p>
      <w:pPr>
        <w:pStyle w:val="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附表二：拟配备本标段的试验和检测仪器设备表</w:t>
      </w:r>
    </w:p>
    <w:tbl>
      <w:tblPr>
        <w:tblStyle w:val="22"/>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68"/>
        <w:gridCol w:w="1125"/>
        <w:gridCol w:w="709"/>
        <w:gridCol w:w="1275"/>
        <w:gridCol w:w="1134"/>
        <w:gridCol w:w="1560"/>
        <w:gridCol w:w="70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56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仪器设备名称</w:t>
            </w:r>
          </w:p>
        </w:tc>
        <w:tc>
          <w:tcPr>
            <w:tcW w:w="112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型号规格</w:t>
            </w:r>
          </w:p>
        </w:tc>
        <w:tc>
          <w:tcPr>
            <w:tcW w:w="709"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数量</w:t>
            </w:r>
          </w:p>
        </w:tc>
        <w:tc>
          <w:tcPr>
            <w:tcW w:w="127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国别产地</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制造年份</w:t>
            </w:r>
          </w:p>
        </w:tc>
        <w:tc>
          <w:tcPr>
            <w:tcW w:w="156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己使用台时数</w:t>
            </w:r>
          </w:p>
        </w:tc>
        <w:tc>
          <w:tcPr>
            <w:tcW w:w="70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用途</w:t>
            </w:r>
          </w:p>
        </w:tc>
        <w:tc>
          <w:tcPr>
            <w:tcW w:w="727"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2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7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134"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56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0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727"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bl>
    <w:p>
      <w:pPr>
        <w:pStyle w:val="6"/>
        <w:spacing w:line="240" w:lineRule="auto"/>
        <w:outlineLvl w:val="9"/>
        <w:rPr>
          <w:rFonts w:hint="eastAsia" w:ascii="宋体" w:hAnsi="宋体" w:cs="宋体"/>
          <w:color w:val="auto"/>
          <w:sz w:val="21"/>
          <w:szCs w:val="21"/>
          <w:highlight w:val="none"/>
        </w:rPr>
        <w:sectPr>
          <w:pgSz w:w="11906" w:h="16838"/>
          <w:pgMar w:top="1418" w:right="1134" w:bottom="1418" w:left="1418" w:header="851" w:footer="992" w:gutter="0"/>
          <w:pgNumType w:fmt="decimal"/>
          <w:cols w:space="720" w:num="1"/>
          <w:docGrid w:type="linesAndChars" w:linePitch="312" w:charSpace="0"/>
        </w:sectPr>
      </w:pPr>
    </w:p>
    <w:p>
      <w:pPr>
        <w:pStyle w:val="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附表三：劳动力计划表</w:t>
      </w:r>
    </w:p>
    <w:p>
      <w:pPr>
        <w:ind w:firstLine="7560" w:firstLineChars="3600"/>
        <w:rPr>
          <w:rFonts w:hint="eastAsia" w:ascii="宋体" w:hAnsi="宋体" w:cs="宋体"/>
          <w:color w:val="auto"/>
          <w:szCs w:val="21"/>
          <w:highlight w:val="none"/>
        </w:rPr>
      </w:pPr>
      <w:r>
        <w:rPr>
          <w:rFonts w:hint="eastAsia" w:ascii="宋体" w:hAnsi="宋体" w:cs="宋体"/>
          <w:color w:val="auto"/>
          <w:szCs w:val="21"/>
          <w:highlight w:val="none"/>
        </w:rPr>
        <w:t xml:space="preserve">    单位：人</w:t>
      </w:r>
    </w:p>
    <w:tbl>
      <w:tblPr>
        <w:tblStyle w:val="22"/>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290"/>
        <w:gridCol w:w="1290"/>
        <w:gridCol w:w="1290"/>
        <w:gridCol w:w="1289"/>
        <w:gridCol w:w="1290"/>
        <w:gridCol w:w="1289"/>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工种</w:t>
            </w:r>
          </w:p>
        </w:tc>
        <w:tc>
          <w:tcPr>
            <w:tcW w:w="9028" w:type="dxa"/>
            <w:gridSpan w:val="7"/>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color w:val="auto"/>
                <w:szCs w:val="21"/>
                <w:highlight w:val="none"/>
              </w:rPr>
            </w:pPr>
            <w:r>
              <w:rPr>
                <w:rFonts w:hint="eastAsia" w:ascii="宋体" w:hAnsi="宋体" w:cs="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72"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8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c>
          <w:tcPr>
            <w:tcW w:w="1290"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color w:val="auto"/>
                <w:szCs w:val="21"/>
                <w:highlight w:val="none"/>
              </w:rPr>
            </w:pPr>
          </w:p>
        </w:tc>
      </w:tr>
    </w:tbl>
    <w:p>
      <w:pPr>
        <w:ind w:firstLine="420" w:firstLineChars="200"/>
        <w:rPr>
          <w:rFonts w:hint="eastAsia" w:ascii="宋体" w:hAnsi="宋体" w:cs="宋体"/>
          <w:color w:val="auto"/>
          <w:szCs w:val="21"/>
          <w:highlight w:val="none"/>
        </w:rPr>
      </w:pPr>
    </w:p>
    <w:p>
      <w:pPr>
        <w:widowControl/>
        <w:jc w:val="left"/>
        <w:rPr>
          <w:rFonts w:hint="eastAsia" w:ascii="宋体" w:hAnsi="宋体" w:cs="宋体"/>
          <w:color w:val="auto"/>
          <w:szCs w:val="21"/>
          <w:highlight w:val="none"/>
        </w:rPr>
        <w:sectPr>
          <w:pgSz w:w="11906" w:h="16838"/>
          <w:pgMar w:top="1418" w:right="1134" w:bottom="1418" w:left="1418" w:header="851" w:footer="992" w:gutter="0"/>
          <w:pgNumType w:fmt="decimal"/>
          <w:cols w:space="720" w:num="1"/>
          <w:docGrid w:type="linesAndChars" w:linePitch="312" w:charSpace="0"/>
        </w:sectPr>
      </w:pPr>
    </w:p>
    <w:p>
      <w:pPr>
        <w:pStyle w:val="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附表四：计划开、竣工日期和施工进度网络图</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1．供应商应递交施工进度网络图或施工进度表，说明按磋商文件要求的计划工期进行施工的各个关键日期。</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2．施工进度表可采用网络图（或横道图）表示。</w:t>
      </w:r>
    </w:p>
    <w:p>
      <w:pPr>
        <w:ind w:firstLine="420" w:firstLineChars="200"/>
        <w:rPr>
          <w:rFonts w:hint="eastAsia" w:ascii="宋体" w:hAnsi="宋体" w:cs="宋体"/>
          <w:color w:val="auto"/>
          <w:szCs w:val="21"/>
          <w:highlight w:val="none"/>
        </w:rPr>
      </w:pPr>
    </w:p>
    <w:p>
      <w:pPr>
        <w:widowControl/>
        <w:jc w:val="left"/>
        <w:rPr>
          <w:rFonts w:hint="eastAsia" w:ascii="宋体" w:hAnsi="宋体" w:cs="宋体"/>
          <w:color w:val="auto"/>
          <w:szCs w:val="21"/>
          <w:highlight w:val="none"/>
        </w:rPr>
        <w:sectPr>
          <w:pgSz w:w="11906" w:h="16838"/>
          <w:pgMar w:top="1418" w:right="1134" w:bottom="1418" w:left="1418" w:header="851" w:footer="992" w:gutter="0"/>
          <w:pgNumType w:fmt="decimal"/>
          <w:cols w:space="720" w:num="1"/>
          <w:docGrid w:type="linesAndChars" w:linePitch="312" w:charSpace="0"/>
        </w:sectPr>
      </w:pPr>
    </w:p>
    <w:p>
      <w:pPr>
        <w:pStyle w:val="6"/>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附表五：施工总平面图</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供应商应递交一份施工总平面图，绘出现场临时设施布置图表并附文字说明。</w:t>
      </w:r>
    </w:p>
    <w:p>
      <w:pPr>
        <w:ind w:firstLine="420" w:firstLineChars="200"/>
        <w:rPr>
          <w:rFonts w:hint="eastAsia" w:ascii="宋体" w:hAnsi="宋体" w:cs="宋体"/>
          <w:color w:val="auto"/>
          <w:szCs w:val="21"/>
          <w:highlight w:val="none"/>
        </w:rPr>
      </w:pPr>
    </w:p>
    <w:p>
      <w:pPr>
        <w:widowControl/>
        <w:jc w:val="left"/>
        <w:rPr>
          <w:rFonts w:hint="eastAsia" w:ascii="宋体" w:hAnsi="宋体" w:cs="宋体"/>
          <w:color w:val="auto"/>
          <w:szCs w:val="21"/>
          <w:highlight w:val="none"/>
        </w:rPr>
        <w:sectPr>
          <w:pgSz w:w="11906" w:h="16838"/>
          <w:pgMar w:top="1418" w:right="1134" w:bottom="1418" w:left="1418" w:header="851" w:footer="992" w:gutter="0"/>
          <w:pgNumType w:fmt="decimal"/>
          <w:cols w:space="720" w:num="1"/>
          <w:docGrid w:type="linesAndChars" w:linePitch="312" w:charSpace="0"/>
        </w:sectPr>
      </w:pPr>
    </w:p>
    <w:p>
      <w:pPr>
        <w:spacing w:before="240" w:beforeLines="100" w:after="120" w:afterLines="50"/>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十</w:t>
      </w:r>
      <w:r>
        <w:rPr>
          <w:rFonts w:hint="eastAsia" w:ascii="宋体" w:hAnsi="宋体" w:cs="宋体"/>
          <w:b/>
          <w:bCs/>
          <w:color w:val="auto"/>
          <w:sz w:val="28"/>
          <w:szCs w:val="28"/>
          <w:highlight w:val="none"/>
          <w:lang w:val="en-US" w:eastAsia="zh-CN"/>
        </w:rPr>
        <w:t>二</w:t>
      </w:r>
      <w:r>
        <w:rPr>
          <w:rFonts w:hint="eastAsia" w:ascii="宋体" w:hAnsi="宋体" w:cs="宋体"/>
          <w:b/>
          <w:bCs/>
          <w:color w:val="auto"/>
          <w:sz w:val="28"/>
          <w:szCs w:val="28"/>
          <w:highlight w:val="none"/>
        </w:rPr>
        <w:t>、优惠条件及服务承诺</w:t>
      </w:r>
    </w:p>
    <w:p>
      <w:pPr>
        <w:spacing w:line="480" w:lineRule="auto"/>
        <w:jc w:val="center"/>
        <w:rPr>
          <w:rFonts w:hint="eastAsia" w:ascii="宋体" w:hAnsi="宋体" w:cs="宋体"/>
          <w:b/>
          <w:bCs/>
          <w:color w:val="auto"/>
          <w:sz w:val="24"/>
          <w:szCs w:val="32"/>
          <w:highlight w:val="none"/>
        </w:rPr>
      </w:pPr>
    </w:p>
    <w:p>
      <w:pPr>
        <w:spacing w:before="240" w:beforeLines="100" w:after="120" w:afterLines="50"/>
        <w:jc w:val="center"/>
        <w:rPr>
          <w:rFonts w:hint="eastAsia" w:ascii="宋体" w:hAnsi="宋体" w:cs="宋体"/>
          <w:color w:val="auto"/>
          <w:szCs w:val="21"/>
          <w:highlight w:val="none"/>
        </w:rPr>
      </w:pPr>
      <w:r>
        <w:rPr>
          <w:rFonts w:hint="eastAsia" w:ascii="宋体" w:hAnsi="宋体" w:cs="宋体"/>
          <w:color w:val="auto"/>
          <w:szCs w:val="21"/>
          <w:highlight w:val="none"/>
        </w:rPr>
        <w:t>（格式供应商自拟）</w:t>
      </w:r>
    </w:p>
    <w:p>
      <w:pPr>
        <w:spacing w:line="480" w:lineRule="auto"/>
        <w:jc w:val="center"/>
        <w:rPr>
          <w:rFonts w:hint="eastAsia" w:ascii="宋体" w:hAnsi="宋体" w:cs="宋体"/>
          <w:b/>
          <w:bCs/>
          <w:color w:val="auto"/>
          <w:sz w:val="24"/>
          <w:szCs w:val="32"/>
          <w:highlight w:val="none"/>
        </w:rPr>
      </w:pPr>
    </w:p>
    <w:p>
      <w:pPr>
        <w:spacing w:line="480" w:lineRule="auto"/>
        <w:jc w:val="center"/>
        <w:rPr>
          <w:rFonts w:hint="eastAsia" w:ascii="宋体" w:hAnsi="宋体" w:cs="宋体"/>
          <w:b/>
          <w:bCs/>
          <w:color w:val="auto"/>
          <w:sz w:val="24"/>
          <w:szCs w:val="32"/>
          <w:highlight w:val="none"/>
        </w:rPr>
      </w:pPr>
    </w:p>
    <w:p>
      <w:pPr>
        <w:spacing w:line="480" w:lineRule="auto"/>
        <w:jc w:val="center"/>
        <w:rPr>
          <w:rFonts w:hint="eastAsia" w:ascii="宋体" w:hAnsi="宋体" w:cs="宋体"/>
          <w:b/>
          <w:bCs/>
          <w:color w:val="auto"/>
          <w:sz w:val="24"/>
          <w:szCs w:val="32"/>
          <w:highlight w:val="none"/>
        </w:rPr>
      </w:pPr>
    </w:p>
    <w:p>
      <w:pPr>
        <w:spacing w:line="480" w:lineRule="auto"/>
        <w:jc w:val="center"/>
        <w:rPr>
          <w:rFonts w:hint="eastAsia" w:ascii="宋体" w:hAnsi="宋体" w:cs="宋体"/>
          <w:b/>
          <w:bCs/>
          <w:color w:val="auto"/>
          <w:sz w:val="24"/>
          <w:szCs w:val="32"/>
          <w:highlight w:val="none"/>
        </w:rPr>
      </w:pPr>
    </w:p>
    <w:p>
      <w:pPr>
        <w:widowControl/>
        <w:jc w:val="left"/>
        <w:rPr>
          <w:rFonts w:hint="eastAsia" w:ascii="宋体" w:hAnsi="宋体" w:cs="宋体"/>
          <w:b/>
          <w:bCs/>
          <w:color w:val="auto"/>
          <w:sz w:val="32"/>
          <w:szCs w:val="32"/>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pStyle w:val="10"/>
        <w:rPr>
          <w:rFonts w:hint="eastAsia" w:ascii="宋体" w:hAnsi="宋体" w:cs="宋体"/>
          <w:color w:val="auto"/>
          <w:highlight w:val="none"/>
        </w:rPr>
      </w:pPr>
    </w:p>
    <w:p>
      <w:pPr>
        <w:pStyle w:val="10"/>
        <w:rPr>
          <w:rFonts w:hint="eastAsia" w:ascii="宋体" w:hAnsi="宋体" w:cs="宋体"/>
          <w:color w:val="auto"/>
          <w:highlight w:val="none"/>
        </w:rPr>
      </w:pPr>
    </w:p>
    <w:p>
      <w:pPr>
        <w:pStyle w:val="10"/>
        <w:rPr>
          <w:rFonts w:hint="eastAsia" w:ascii="宋体" w:hAnsi="宋体" w:cs="宋体"/>
          <w:color w:val="auto"/>
          <w:highlight w:val="none"/>
        </w:rPr>
      </w:pPr>
    </w:p>
    <w:p>
      <w:pPr>
        <w:pStyle w:val="10"/>
        <w:rPr>
          <w:rFonts w:hint="eastAsia" w:ascii="宋体" w:hAnsi="宋体" w:cs="宋体"/>
          <w:color w:val="auto"/>
          <w:highlight w:val="none"/>
        </w:rPr>
      </w:pPr>
    </w:p>
    <w:p>
      <w:pPr>
        <w:pStyle w:val="10"/>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spacing w:line="276" w:lineRule="auto"/>
        <w:rPr>
          <w:rFonts w:hint="eastAsia" w:ascii="宋体" w:hAnsi="宋体" w:cs="宋体"/>
          <w:color w:val="auto"/>
          <w:sz w:val="24"/>
          <w:highlight w:val="none"/>
        </w:rPr>
      </w:pPr>
    </w:p>
    <w:p>
      <w:pPr>
        <w:numPr>
          <w:ilvl w:val="0"/>
          <w:numId w:val="0"/>
        </w:numPr>
        <w:spacing w:before="240" w:beforeLines="100" w:after="120" w:afterLines="50"/>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十三、</w:t>
      </w:r>
      <w:r>
        <w:rPr>
          <w:rFonts w:hint="eastAsia" w:ascii="宋体" w:hAnsi="宋体" w:cs="宋体"/>
          <w:b/>
          <w:bCs/>
          <w:color w:val="auto"/>
          <w:sz w:val="28"/>
          <w:szCs w:val="28"/>
          <w:highlight w:val="none"/>
        </w:rPr>
        <w:t>其他材料</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r>
        <w:rPr>
          <w:rFonts w:hint="eastAsia" w:ascii="宋体" w:hAnsi="宋体" w:cs="宋体"/>
          <w:color w:val="auto"/>
          <w:szCs w:val="21"/>
          <w:highlight w:val="none"/>
        </w:rPr>
        <w:t>供应商须知前附表规定的其他材料</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sectPr>
          <w:headerReference r:id="rId16" w:type="default"/>
          <w:footerReference r:id="rId17" w:type="default"/>
          <w:pgSz w:w="11906" w:h="16838"/>
          <w:pgMar w:top="1247" w:right="1247" w:bottom="1247" w:left="1247" w:header="851" w:footer="992" w:gutter="397"/>
          <w:pgNumType w:fmt="decimal"/>
          <w:cols w:space="720" w:num="1"/>
          <w:docGrid w:linePitch="312" w:charSpace="0"/>
        </w:sectPr>
      </w:pPr>
    </w:p>
    <w:p>
      <w:pPr>
        <w:pStyle w:val="15"/>
        <w:rPr>
          <w:color w:val="auto"/>
          <w:highlight w:val="none"/>
        </w:rPr>
      </w:pPr>
    </w:p>
    <w:p>
      <w:pPr>
        <w:autoSpaceDE w:val="0"/>
        <w:autoSpaceDN w:val="0"/>
        <w:adjustRightInd w:val="0"/>
        <w:spacing w:line="400" w:lineRule="exact"/>
        <w:ind w:firstLine="482" w:firstLineChars="200"/>
        <w:jc w:val="left"/>
        <w:rPr>
          <w:rFonts w:hint="eastAsia" w:ascii="宋体" w:hAnsi="宋体"/>
          <w:b/>
          <w:bCs/>
          <w:color w:val="auto"/>
          <w:sz w:val="24"/>
          <w:szCs w:val="52"/>
          <w:highlight w:val="none"/>
          <w:lang w:val="zh-CN"/>
        </w:rPr>
      </w:pPr>
      <w:r>
        <w:rPr>
          <w:rFonts w:hint="eastAsia" w:ascii="宋体" w:hAnsi="宋体"/>
          <w:b/>
          <w:bCs/>
          <w:color w:val="auto"/>
          <w:kern w:val="0"/>
          <w:sz w:val="24"/>
          <w:highlight w:val="none"/>
          <w:lang w:val="zh-CN"/>
        </w:rPr>
        <w:t>附</w:t>
      </w:r>
      <w:r>
        <w:rPr>
          <w:rFonts w:hint="eastAsia" w:ascii="宋体" w:hAnsi="宋体"/>
          <w:b/>
          <w:bCs/>
          <w:color w:val="auto"/>
          <w:kern w:val="0"/>
          <w:sz w:val="24"/>
          <w:highlight w:val="none"/>
        </w:rPr>
        <w:t>件</w:t>
      </w:r>
      <w:r>
        <w:rPr>
          <w:rFonts w:hint="eastAsia" w:ascii="宋体" w:hAnsi="宋体"/>
          <w:b/>
          <w:bCs/>
          <w:color w:val="auto"/>
          <w:kern w:val="0"/>
          <w:sz w:val="24"/>
          <w:highlight w:val="none"/>
          <w:lang w:val="en-US" w:eastAsia="zh-CN"/>
        </w:rPr>
        <w:t>一</w:t>
      </w:r>
      <w:r>
        <w:rPr>
          <w:rFonts w:hint="eastAsia" w:ascii="宋体" w:hAnsi="宋体"/>
          <w:b/>
          <w:bCs/>
          <w:color w:val="auto"/>
          <w:sz w:val="24"/>
          <w:szCs w:val="52"/>
          <w:highlight w:val="none"/>
          <w:lang w:val="zh-CN"/>
        </w:rPr>
        <w:t>：</w:t>
      </w:r>
    </w:p>
    <w:p>
      <w:pPr>
        <w:jc w:val="center"/>
        <w:outlineLvl w:val="2"/>
        <w:rPr>
          <w:rFonts w:hAnsi="宋体"/>
          <w:color w:val="auto"/>
          <w:sz w:val="32"/>
          <w:szCs w:val="32"/>
          <w:highlight w:val="none"/>
        </w:rPr>
      </w:pPr>
      <w:r>
        <w:rPr>
          <w:rFonts w:hint="eastAsia" w:hAnsi="宋体"/>
          <w:color w:val="auto"/>
          <w:sz w:val="32"/>
          <w:szCs w:val="32"/>
          <w:highlight w:val="none"/>
        </w:rPr>
        <w:t>（一）中小企业声明函</w:t>
      </w:r>
    </w:p>
    <w:p>
      <w:pPr>
        <w:jc w:val="center"/>
        <w:outlineLvl w:val="0"/>
        <w:rPr>
          <w:rFonts w:hint="eastAsia" w:ascii="宋体" w:hAnsi="宋体" w:cs="宋体"/>
          <w:b/>
          <w:bCs/>
          <w:color w:val="auto"/>
          <w:kern w:val="44"/>
          <w:sz w:val="24"/>
          <w:highlight w:val="none"/>
        </w:rPr>
      </w:pPr>
      <w:bookmarkStart w:id="1256" w:name="_Toc21381"/>
      <w:bookmarkStart w:id="1257" w:name="_Toc23405"/>
      <w:bookmarkStart w:id="1258" w:name="_Toc28161"/>
      <w:bookmarkStart w:id="1259" w:name="_Toc16383"/>
      <w:bookmarkStart w:id="1260" w:name="_Toc13936"/>
      <w:bookmarkStart w:id="1261" w:name="_Toc6491"/>
      <w:r>
        <w:rPr>
          <w:rFonts w:hint="eastAsia" w:ascii="宋体" w:hAnsi="宋体" w:cs="宋体"/>
          <w:b/>
          <w:bCs/>
          <w:color w:val="auto"/>
          <w:kern w:val="44"/>
          <w:sz w:val="24"/>
          <w:highlight w:val="none"/>
        </w:rPr>
        <w:t>中小企业声明函（工程、服务）</w:t>
      </w:r>
      <w:bookmarkEnd w:id="1256"/>
      <w:bookmarkEnd w:id="1257"/>
      <w:bookmarkEnd w:id="1258"/>
      <w:bookmarkEnd w:id="1259"/>
      <w:bookmarkEnd w:id="1260"/>
      <w:bookmarkEnd w:id="1261"/>
    </w:p>
    <w:p>
      <w:pPr>
        <w:spacing w:after="120" w:line="360" w:lineRule="auto"/>
        <w:ind w:right="415" w:firstLine="640"/>
        <w:rPr>
          <w:rFonts w:hint="eastAsia" w:ascii="宋体" w:hAnsi="宋体" w:cs="宋体"/>
          <w:color w:val="auto"/>
          <w:szCs w:val="21"/>
          <w:highlight w:val="none"/>
        </w:rPr>
      </w:pPr>
    </w:p>
    <w:p>
      <w:pPr>
        <w:spacing w:after="120" w:line="360" w:lineRule="auto"/>
        <w:ind w:right="415" w:firstLine="640"/>
        <w:rPr>
          <w:rFonts w:hint="eastAsia"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spacing w:after="120" w:line="360" w:lineRule="auto"/>
        <w:ind w:right="415"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；承建（承接）企业为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ab/>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ab/>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ab/>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tabs>
          <w:tab w:val="left" w:pos="1243"/>
          <w:tab w:val="left" w:pos="1806"/>
          <w:tab w:val="left" w:pos="5005"/>
          <w:tab w:val="left" w:pos="7213"/>
        </w:tabs>
        <w:spacing w:line="360" w:lineRule="auto"/>
        <w:ind w:right="258"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2.（标的名称）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采购文件中明确的所属行业）</w:t>
      </w:r>
      <w:r>
        <w:rPr>
          <w:rFonts w:hint="eastAsia" w:ascii="宋体" w:hAnsi="宋体" w:cs="宋体"/>
          <w:color w:val="auto"/>
          <w:szCs w:val="21"/>
          <w:highlight w:val="none"/>
        </w:rPr>
        <w:t>；承建（承接）企业为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ab/>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ab/>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ab/>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spacing w:before="11" w:after="120" w:line="360" w:lineRule="auto"/>
        <w:ind w:left="860"/>
        <w:rPr>
          <w:rFonts w:hint="eastAsia" w:ascii="宋体" w:hAnsi="宋体" w:cs="宋体"/>
          <w:color w:val="auto"/>
          <w:szCs w:val="21"/>
          <w:highlight w:val="none"/>
        </w:rPr>
      </w:pPr>
      <w:r>
        <w:rPr>
          <w:rFonts w:hint="eastAsia" w:ascii="宋体" w:hAnsi="宋体" w:cs="宋体"/>
          <w:color w:val="auto"/>
          <w:szCs w:val="21"/>
          <w:highlight w:val="none"/>
        </w:rPr>
        <w:t>……</w:t>
      </w:r>
    </w:p>
    <w:p>
      <w:pPr>
        <w:spacing w:before="108" w:after="120" w:line="360" w:lineRule="auto"/>
        <w:ind w:right="417" w:firstLine="645"/>
        <w:rPr>
          <w:rFonts w:hint="eastAsia" w:ascii="宋体" w:hAnsi="宋体" w:cs="宋体"/>
          <w:color w:val="auto"/>
          <w:szCs w:val="21"/>
          <w:highlight w:val="none"/>
        </w:rPr>
      </w:pPr>
      <w:r>
        <w:rPr>
          <w:rFonts w:hint="eastAsia" w:ascii="宋体" w:hAnsi="宋体" w:cs="宋体"/>
          <w:color w:val="auto"/>
          <w:spacing w:val="-3"/>
          <w:szCs w:val="21"/>
          <w:highlight w:val="none"/>
        </w:rPr>
        <w:t>以上企业，不属于大企业的分支机构，不存在控股股东</w:t>
      </w:r>
      <w:r>
        <w:rPr>
          <w:rFonts w:hint="eastAsia" w:ascii="宋体" w:hAnsi="宋体" w:cs="宋体"/>
          <w:color w:val="auto"/>
          <w:spacing w:val="-5"/>
          <w:szCs w:val="21"/>
          <w:highlight w:val="none"/>
        </w:rPr>
        <w:t>为大企业的情形，也不存在与大企业的负责人为同一人的情形。</w:t>
      </w:r>
    </w:p>
    <w:p>
      <w:pPr>
        <w:spacing w:after="120" w:line="360" w:lineRule="auto"/>
        <w:ind w:right="375" w:firstLine="640"/>
        <w:rPr>
          <w:rFonts w:hint="eastAsia"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adjustRightInd w:val="0"/>
        <w:snapToGrid w:val="0"/>
        <w:spacing w:line="300" w:lineRule="auto"/>
        <w:ind w:firstLine="516" w:firstLineChars="200"/>
        <w:rPr>
          <w:rFonts w:hint="eastAsia" w:ascii="宋体" w:hAnsi="宋体" w:cs="宋体"/>
          <w:color w:val="auto"/>
          <w:spacing w:val="24"/>
          <w:szCs w:val="21"/>
          <w:highlight w:val="none"/>
        </w:rPr>
      </w:pPr>
    </w:p>
    <w:p>
      <w:pPr>
        <w:adjustRightInd w:val="0"/>
        <w:snapToGrid w:val="0"/>
        <w:spacing w:line="300" w:lineRule="auto"/>
        <w:ind w:firstLine="516" w:firstLineChars="200"/>
        <w:rPr>
          <w:rFonts w:hint="eastAsia" w:ascii="宋体" w:hAnsi="宋体" w:cs="宋体"/>
          <w:color w:val="auto"/>
          <w:spacing w:val="24"/>
          <w:szCs w:val="21"/>
          <w:highlight w:val="none"/>
        </w:rPr>
      </w:pPr>
    </w:p>
    <w:p>
      <w:pPr>
        <w:adjustRightInd w:val="0"/>
        <w:snapToGrid w:val="0"/>
        <w:spacing w:line="300" w:lineRule="auto"/>
        <w:ind w:firstLine="516" w:firstLineChars="200"/>
        <w:rPr>
          <w:rFonts w:hint="eastAsia" w:ascii="宋体" w:hAnsi="宋体" w:cs="宋体"/>
          <w:color w:val="auto"/>
          <w:spacing w:val="24"/>
          <w:szCs w:val="21"/>
          <w:highlight w:val="none"/>
        </w:rPr>
      </w:pPr>
    </w:p>
    <w:p>
      <w:pPr>
        <w:adjustRightInd w:val="0"/>
        <w:snapToGrid w:val="0"/>
        <w:spacing w:line="300" w:lineRule="auto"/>
        <w:ind w:firstLine="5418" w:firstLineChars="2100"/>
        <w:rPr>
          <w:rFonts w:hint="eastAsia" w:ascii="宋体" w:hAnsi="宋体" w:cs="宋体"/>
          <w:color w:val="auto"/>
          <w:spacing w:val="24"/>
          <w:szCs w:val="21"/>
          <w:highlight w:val="none"/>
        </w:rPr>
      </w:pPr>
      <w:r>
        <w:rPr>
          <w:rFonts w:hint="eastAsia" w:ascii="宋体" w:hAnsi="宋体" w:cs="宋体"/>
          <w:color w:val="auto"/>
          <w:spacing w:val="24"/>
          <w:szCs w:val="21"/>
          <w:highlight w:val="none"/>
        </w:rPr>
        <w:t>企业名称（盖章）：</w:t>
      </w:r>
    </w:p>
    <w:p>
      <w:pPr>
        <w:adjustRightInd w:val="0"/>
        <w:snapToGrid w:val="0"/>
        <w:spacing w:line="300" w:lineRule="auto"/>
        <w:ind w:firstLine="516" w:firstLineChars="200"/>
        <w:rPr>
          <w:rFonts w:hint="eastAsia" w:ascii="宋体" w:hAnsi="宋体" w:cs="宋体"/>
          <w:color w:val="auto"/>
          <w:spacing w:val="24"/>
          <w:szCs w:val="21"/>
          <w:highlight w:val="none"/>
        </w:rPr>
      </w:pPr>
    </w:p>
    <w:p>
      <w:pPr>
        <w:adjustRightInd w:val="0"/>
        <w:snapToGrid w:val="0"/>
        <w:spacing w:line="300" w:lineRule="auto"/>
        <w:ind w:firstLine="5418" w:firstLineChars="2100"/>
        <w:rPr>
          <w:rFonts w:hint="eastAsia" w:ascii="宋体" w:hAnsi="宋体" w:cs="宋体"/>
          <w:color w:val="auto"/>
          <w:spacing w:val="24"/>
          <w:szCs w:val="21"/>
          <w:highlight w:val="none"/>
        </w:rPr>
      </w:pPr>
      <w:r>
        <w:rPr>
          <w:rFonts w:hint="eastAsia" w:ascii="宋体" w:hAnsi="宋体" w:cs="宋体"/>
          <w:color w:val="auto"/>
          <w:spacing w:val="24"/>
          <w:szCs w:val="21"/>
          <w:highlight w:val="none"/>
        </w:rPr>
        <w:t>日期：</w:t>
      </w:r>
    </w:p>
    <w:p>
      <w:pPr>
        <w:widowControl/>
        <w:adjustRightInd w:val="0"/>
        <w:snapToGrid w:val="0"/>
        <w:spacing w:line="360" w:lineRule="auto"/>
        <w:ind w:firstLine="320" w:firstLineChars="200"/>
        <w:jc w:val="left"/>
        <w:rPr>
          <w:rFonts w:hint="eastAsia" w:hAnsi="宋体"/>
          <w:color w:val="auto"/>
          <w:sz w:val="16"/>
          <w:szCs w:val="16"/>
          <w:highlight w:val="none"/>
        </w:rPr>
      </w:pPr>
    </w:p>
    <w:p>
      <w:pPr>
        <w:widowControl/>
        <w:adjustRightInd w:val="0"/>
        <w:snapToGrid w:val="0"/>
        <w:spacing w:line="360" w:lineRule="auto"/>
        <w:ind w:firstLine="320" w:firstLineChars="200"/>
        <w:jc w:val="left"/>
        <w:rPr>
          <w:rFonts w:hint="eastAsia" w:hAnsi="宋体"/>
          <w:color w:val="auto"/>
          <w:sz w:val="16"/>
          <w:szCs w:val="16"/>
          <w:highlight w:val="none"/>
        </w:rPr>
      </w:pPr>
    </w:p>
    <w:p>
      <w:pPr>
        <w:widowControl/>
        <w:adjustRightInd w:val="0"/>
        <w:snapToGrid w:val="0"/>
        <w:spacing w:line="360" w:lineRule="auto"/>
        <w:ind w:firstLine="320" w:firstLineChars="200"/>
        <w:jc w:val="left"/>
        <w:rPr>
          <w:rFonts w:hint="eastAsia" w:hAnsi="宋体"/>
          <w:color w:val="auto"/>
          <w:sz w:val="16"/>
          <w:szCs w:val="16"/>
          <w:highlight w:val="none"/>
        </w:rPr>
      </w:pPr>
    </w:p>
    <w:p>
      <w:pPr>
        <w:widowControl/>
        <w:adjustRightInd w:val="0"/>
        <w:snapToGrid w:val="0"/>
        <w:spacing w:line="360" w:lineRule="auto"/>
        <w:ind w:firstLine="320" w:firstLineChars="200"/>
        <w:jc w:val="left"/>
        <w:rPr>
          <w:rFonts w:hAnsi="宋体"/>
          <w:color w:val="auto"/>
          <w:sz w:val="16"/>
          <w:szCs w:val="16"/>
          <w:highlight w:val="none"/>
        </w:rPr>
      </w:pPr>
      <w:r>
        <w:rPr>
          <w:rFonts w:hint="eastAsia" w:hAnsi="宋体"/>
          <w:color w:val="auto"/>
          <w:sz w:val="16"/>
          <w:szCs w:val="16"/>
          <w:highlight w:val="none"/>
        </w:rPr>
        <w:t>1从业人员、营业收入、资产总额填报上一年度数据，无上一年度数据的新成立企业可不填报。</w:t>
      </w:r>
    </w:p>
    <w:p>
      <w:pPr>
        <w:spacing w:line="312" w:lineRule="auto"/>
        <w:rPr>
          <w:rFonts w:hint="eastAsia" w:ascii="宋体" w:hAnsi="宋体" w:cs="宋体"/>
          <w:color w:val="auto"/>
          <w:szCs w:val="21"/>
          <w:highlight w:val="none"/>
        </w:rPr>
      </w:pPr>
    </w:p>
    <w:p>
      <w:pPr>
        <w:spacing w:line="312" w:lineRule="auto"/>
        <w:rPr>
          <w:rFonts w:hint="eastAsia" w:ascii="宋体" w:hAnsi="宋体" w:cs="宋体"/>
          <w:color w:val="auto"/>
          <w:szCs w:val="21"/>
          <w:highlight w:val="none"/>
        </w:rPr>
      </w:pPr>
    </w:p>
    <w:p>
      <w:pPr>
        <w:spacing w:line="312" w:lineRule="auto"/>
        <w:jc w:val="center"/>
        <w:rPr>
          <w:rFonts w:hint="eastAsia" w:ascii="宋体" w:hAnsi="宋体" w:cs="宋体"/>
          <w:color w:val="auto"/>
          <w:szCs w:val="21"/>
          <w:highlight w:val="none"/>
        </w:rPr>
        <w:sectPr>
          <w:pgSz w:w="11906" w:h="16838"/>
          <w:pgMar w:top="1247" w:right="1247" w:bottom="1247" w:left="1247" w:header="851" w:footer="992" w:gutter="397"/>
          <w:pgNumType w:fmt="decimal"/>
          <w:cols w:space="720" w:num="1"/>
          <w:docGrid w:linePitch="312" w:charSpace="0"/>
        </w:sectPr>
      </w:pPr>
    </w:p>
    <w:p>
      <w:pPr>
        <w:ind w:right="-65" w:rightChars="-31"/>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中小企业划型标准</w:t>
      </w:r>
    </w:p>
    <w:tbl>
      <w:tblPr>
        <w:tblStyle w:val="22"/>
        <w:tblW w:w="0" w:type="auto"/>
        <w:jc w:val="center"/>
        <w:tblLayout w:type="fixed"/>
        <w:tblCellMar>
          <w:top w:w="0" w:type="dxa"/>
          <w:left w:w="108" w:type="dxa"/>
          <w:bottom w:w="0" w:type="dxa"/>
          <w:right w:w="108" w:type="dxa"/>
        </w:tblCellMar>
      </w:tblPr>
      <w:tblGrid>
        <w:gridCol w:w="479"/>
        <w:gridCol w:w="1914"/>
        <w:gridCol w:w="1174"/>
        <w:gridCol w:w="904"/>
        <w:gridCol w:w="921"/>
        <w:gridCol w:w="1086"/>
        <w:gridCol w:w="924"/>
        <w:gridCol w:w="978"/>
        <w:gridCol w:w="1086"/>
        <w:gridCol w:w="941"/>
        <w:gridCol w:w="984"/>
        <w:gridCol w:w="1086"/>
        <w:gridCol w:w="865"/>
        <w:gridCol w:w="834"/>
      </w:tblGrid>
      <w:tr>
        <w:tblPrEx>
          <w:tblCellMar>
            <w:top w:w="0" w:type="dxa"/>
            <w:left w:w="108" w:type="dxa"/>
            <w:bottom w:w="0" w:type="dxa"/>
            <w:right w:w="108" w:type="dxa"/>
          </w:tblCellMar>
        </w:tblPrEx>
        <w:trPr>
          <w:trHeight w:val="500" w:hRule="atLeast"/>
          <w:tblHeader/>
          <w:jc w:val="center"/>
        </w:trPr>
        <w:tc>
          <w:tcPr>
            <w:tcW w:w="479" w:type="dxa"/>
            <w:vMerge w:val="restart"/>
            <w:tcBorders>
              <w:top w:val="single" w:color="auto" w:sz="4" w:space="0"/>
              <w:left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1914" w:type="dxa"/>
            <w:vMerge w:val="restart"/>
            <w:tcBorders>
              <w:top w:val="single" w:color="auto" w:sz="4" w:space="0"/>
              <w:left w:val="nil"/>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行业</w:t>
            </w:r>
          </w:p>
        </w:tc>
        <w:tc>
          <w:tcPr>
            <w:tcW w:w="2999" w:type="dxa"/>
            <w:gridSpan w:val="3"/>
            <w:tcBorders>
              <w:top w:val="single" w:color="auto" w:sz="4" w:space="0"/>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大型企业</w:t>
            </w:r>
          </w:p>
        </w:tc>
        <w:tc>
          <w:tcPr>
            <w:tcW w:w="2988" w:type="dxa"/>
            <w:gridSpan w:val="3"/>
            <w:tcBorders>
              <w:top w:val="single" w:color="auto" w:sz="4" w:space="0"/>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中型企业</w:t>
            </w:r>
          </w:p>
        </w:tc>
        <w:tc>
          <w:tcPr>
            <w:tcW w:w="3011" w:type="dxa"/>
            <w:gridSpan w:val="3"/>
            <w:tcBorders>
              <w:top w:val="single" w:color="auto" w:sz="4" w:space="0"/>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小型企业</w:t>
            </w:r>
          </w:p>
        </w:tc>
        <w:tc>
          <w:tcPr>
            <w:tcW w:w="2785" w:type="dxa"/>
            <w:gridSpan w:val="3"/>
            <w:tcBorders>
              <w:top w:val="single" w:color="auto" w:sz="4" w:space="0"/>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微型企业</w:t>
            </w:r>
          </w:p>
        </w:tc>
      </w:tr>
      <w:tr>
        <w:tblPrEx>
          <w:tblCellMar>
            <w:top w:w="0" w:type="dxa"/>
            <w:left w:w="108" w:type="dxa"/>
            <w:bottom w:w="0" w:type="dxa"/>
            <w:right w:w="108" w:type="dxa"/>
          </w:tblCellMar>
        </w:tblPrEx>
        <w:trPr>
          <w:trHeight w:val="226" w:hRule="atLeast"/>
          <w:tblHeader/>
          <w:jc w:val="center"/>
        </w:trPr>
        <w:tc>
          <w:tcPr>
            <w:tcW w:w="479" w:type="dxa"/>
            <w:vMerge w:val="continue"/>
            <w:tcBorders>
              <w:left w:val="single" w:color="auto" w:sz="4" w:space="0"/>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p>
        </w:tc>
        <w:tc>
          <w:tcPr>
            <w:tcW w:w="1914" w:type="dxa"/>
            <w:vMerge w:val="continue"/>
            <w:tcBorders>
              <w:left w:val="nil"/>
              <w:bottom w:val="single" w:color="auto" w:sz="4" w:space="0"/>
              <w:right w:val="single" w:color="auto" w:sz="4" w:space="0"/>
            </w:tcBorders>
            <w:noWrap/>
            <w:vAlign w:val="center"/>
          </w:tcPr>
          <w:p>
            <w:pPr>
              <w:adjustRightInd w:val="0"/>
              <w:snapToGrid w:val="0"/>
              <w:ind w:left="-48" w:leftChars="-23" w:right="-65" w:rightChars="-31"/>
              <w:jc w:val="left"/>
              <w:rPr>
                <w:rFonts w:hint="eastAsia" w:ascii="宋体" w:hAnsi="宋体" w:cs="宋体"/>
                <w:b/>
                <w:color w:val="auto"/>
                <w:kern w:val="0"/>
                <w:szCs w:val="21"/>
                <w:highlight w:val="none"/>
              </w:rPr>
            </w:pPr>
          </w:p>
        </w:tc>
        <w:tc>
          <w:tcPr>
            <w:tcW w:w="1174"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营业收入</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(万元)</w:t>
            </w:r>
          </w:p>
        </w:tc>
        <w:tc>
          <w:tcPr>
            <w:tcW w:w="904"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从业人员</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(人)</w:t>
            </w:r>
          </w:p>
        </w:tc>
        <w:tc>
          <w:tcPr>
            <w:tcW w:w="921"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总资产</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(万元)</w:t>
            </w:r>
          </w:p>
        </w:tc>
        <w:tc>
          <w:tcPr>
            <w:tcW w:w="1086"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营业收入</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(万元)</w:t>
            </w:r>
          </w:p>
        </w:tc>
        <w:tc>
          <w:tcPr>
            <w:tcW w:w="924"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从业人员</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(人)</w:t>
            </w:r>
          </w:p>
        </w:tc>
        <w:tc>
          <w:tcPr>
            <w:tcW w:w="978"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总资产</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(万元)</w:t>
            </w:r>
          </w:p>
        </w:tc>
        <w:tc>
          <w:tcPr>
            <w:tcW w:w="1086"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营业收入</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(万元)</w:t>
            </w:r>
          </w:p>
        </w:tc>
        <w:tc>
          <w:tcPr>
            <w:tcW w:w="941" w:type="dxa"/>
            <w:tcBorders>
              <w:top w:val="nil"/>
              <w:left w:val="nil"/>
              <w:bottom w:val="single" w:color="auto" w:sz="4" w:space="0"/>
              <w:right w:val="single" w:color="auto" w:sz="4" w:space="0"/>
            </w:tcBorders>
            <w:noWrap/>
            <w:vAlign w:val="center"/>
          </w:tcPr>
          <w:p>
            <w:pPr>
              <w:adjustRightInd w:val="0"/>
              <w:snapToGrid w:val="0"/>
              <w:ind w:left="119" w:leftChars="-23" w:right="-65" w:rightChars="-31" w:hanging="167" w:hangingChars="79"/>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从业人员</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(人)</w:t>
            </w:r>
          </w:p>
        </w:tc>
        <w:tc>
          <w:tcPr>
            <w:tcW w:w="984"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总资产</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(万元)</w:t>
            </w:r>
          </w:p>
        </w:tc>
        <w:tc>
          <w:tcPr>
            <w:tcW w:w="1086"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营业收入</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(万元)</w:t>
            </w:r>
          </w:p>
        </w:tc>
        <w:tc>
          <w:tcPr>
            <w:tcW w:w="865"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从业人员</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(人)</w:t>
            </w:r>
          </w:p>
        </w:tc>
        <w:tc>
          <w:tcPr>
            <w:tcW w:w="834" w:type="dxa"/>
            <w:tcBorders>
              <w:top w:val="nil"/>
              <w:left w:val="nil"/>
              <w:bottom w:val="single" w:color="auto" w:sz="4" w:space="0"/>
              <w:right w:val="single" w:color="auto" w:sz="4" w:space="0"/>
            </w:tcBorders>
            <w:noWrap/>
            <w:vAlign w:val="center"/>
          </w:tcPr>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总资产</w:t>
            </w:r>
          </w:p>
          <w:p>
            <w:pPr>
              <w:adjustRightInd w:val="0"/>
              <w:snapToGrid w:val="0"/>
              <w:ind w:left="-48" w:leftChars="-23" w:right="-65" w:rightChars="-3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(万元)</w:t>
            </w:r>
          </w:p>
        </w:tc>
      </w:tr>
      <w:tr>
        <w:tblPrEx>
          <w:tblCellMar>
            <w:top w:w="0" w:type="dxa"/>
            <w:left w:w="108" w:type="dxa"/>
            <w:bottom w:w="0" w:type="dxa"/>
            <w:right w:w="108" w:type="dxa"/>
          </w:tblCellMar>
        </w:tblPrEx>
        <w:trPr>
          <w:trHeight w:val="369" w:hRule="atLeast"/>
          <w:jc w:val="center"/>
        </w:trPr>
        <w:tc>
          <w:tcPr>
            <w:tcW w:w="4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1</w:t>
            </w:r>
          </w:p>
        </w:tc>
        <w:tc>
          <w:tcPr>
            <w:tcW w:w="1914" w:type="dxa"/>
            <w:tcBorders>
              <w:top w:val="single" w:color="auto" w:sz="4" w:space="0"/>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农、林、牧、渔业</w:t>
            </w:r>
          </w:p>
        </w:tc>
        <w:tc>
          <w:tcPr>
            <w:tcW w:w="1174" w:type="dxa"/>
            <w:tcBorders>
              <w:top w:val="single" w:color="auto" w:sz="4" w:space="0"/>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2</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工业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3</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建筑业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≥80000</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≥5000</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4</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批发业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5</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零售业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6</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交通运输业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7</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仓储业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8</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邮政业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9</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住宿业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10</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餐饮业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11</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信息传输业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12</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软件和信息技术服务业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13</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房地产开发经验</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≥200000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或,≥10000</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且,≥5000</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且,≥2000</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或,＜2000</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14</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物业管理</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≥5000</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≥1000</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≥500</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＜500</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15</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租赁和商务服务业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或,≥120000</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且,≥8000</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且,≥100</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或,＜100</w:t>
            </w:r>
          </w:p>
        </w:tc>
      </w:tr>
      <w:tr>
        <w:tblPrEx>
          <w:tblCellMar>
            <w:top w:w="0" w:type="dxa"/>
            <w:left w:w="108" w:type="dxa"/>
            <w:bottom w:w="0" w:type="dxa"/>
            <w:right w:w="108" w:type="dxa"/>
          </w:tblCellMar>
        </w:tblPrEx>
        <w:trPr>
          <w:trHeight w:val="369" w:hRule="atLeast"/>
          <w:jc w:val="center"/>
        </w:trPr>
        <w:tc>
          <w:tcPr>
            <w:tcW w:w="479" w:type="dxa"/>
            <w:tcBorders>
              <w:top w:val="nil"/>
              <w:left w:val="single" w:color="auto" w:sz="4" w:space="0"/>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16</w:t>
            </w:r>
          </w:p>
        </w:tc>
        <w:tc>
          <w:tcPr>
            <w:tcW w:w="1914" w:type="dxa"/>
            <w:tcBorders>
              <w:top w:val="nil"/>
              <w:left w:val="nil"/>
              <w:bottom w:val="single" w:color="auto" w:sz="4" w:space="0"/>
              <w:right w:val="single" w:color="auto" w:sz="4" w:space="0"/>
            </w:tcBorders>
            <w:noWrap/>
            <w:vAlign w:val="center"/>
          </w:tcPr>
          <w:p>
            <w:pPr>
              <w:adjustRightInd w:val="0"/>
              <w:snapToGrid w:val="0"/>
              <w:ind w:left="-27" w:leftChars="-13" w:right="-65" w:rightChars="-31"/>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其他未列明行业</w:t>
            </w:r>
          </w:p>
        </w:tc>
        <w:tc>
          <w:tcPr>
            <w:tcW w:w="117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0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≥300</w:t>
            </w:r>
          </w:p>
        </w:tc>
        <w:tc>
          <w:tcPr>
            <w:tcW w:w="921"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24" w:type="dxa"/>
            <w:tcBorders>
              <w:top w:val="nil"/>
              <w:left w:val="nil"/>
              <w:bottom w:val="single" w:color="auto" w:sz="4" w:space="0"/>
              <w:right w:val="single" w:color="auto" w:sz="4" w:space="0"/>
            </w:tcBorders>
            <w:noWrap/>
            <w:vAlign w:val="center"/>
          </w:tcPr>
          <w:p>
            <w:pPr>
              <w:widowControl/>
              <w:adjustRightInd w:val="0"/>
              <w:snapToGrid w:val="0"/>
              <w:ind w:left="-107" w:leftChars="-51"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978"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4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98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086"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865"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83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bl>
    <w:p>
      <w:pPr>
        <w:pStyle w:val="10"/>
        <w:rPr>
          <w:rFonts w:hint="eastAsia"/>
          <w:color w:val="auto"/>
          <w:highlight w:val="none"/>
        </w:rPr>
        <w:sectPr>
          <w:pgSz w:w="16838" w:h="11906" w:orient="landscape"/>
          <w:pgMar w:top="1247" w:right="1247" w:bottom="1247" w:left="1247" w:header="851" w:footer="992" w:gutter="397"/>
          <w:pgNumType w:fmt="decimal"/>
          <w:cols w:space="720" w:num="1"/>
          <w:docGrid w:linePitch="312" w:charSpace="0"/>
        </w:sectPr>
      </w:pPr>
    </w:p>
    <w:p>
      <w:pPr>
        <w:pStyle w:val="4"/>
        <w:jc w:val="both"/>
        <w:rPr>
          <w:rFonts w:hint="eastAsia" w:ascii="宋体" w:hAnsi="宋体"/>
          <w:color w:val="auto"/>
          <w:sz w:val="24"/>
          <w:szCs w:val="24"/>
          <w:highlight w:val="none"/>
        </w:rPr>
      </w:pPr>
      <w:r>
        <w:rPr>
          <w:rFonts w:hint="eastAsia" w:ascii="宋体" w:hAnsi="宋体"/>
          <w:color w:val="auto"/>
          <w:sz w:val="24"/>
          <w:szCs w:val="24"/>
          <w:highlight w:val="none"/>
        </w:rPr>
        <w:t>附件</w:t>
      </w:r>
      <w:r>
        <w:rPr>
          <w:rFonts w:hint="eastAsia" w:ascii="宋体" w:hAnsi="宋体"/>
          <w:color w:val="auto"/>
          <w:sz w:val="24"/>
          <w:szCs w:val="24"/>
          <w:highlight w:val="none"/>
          <w:lang w:val="en-US" w:eastAsia="zh-CN"/>
        </w:rPr>
        <w:t>二</w:t>
      </w:r>
      <w:r>
        <w:rPr>
          <w:rFonts w:hint="eastAsia" w:ascii="宋体" w:hAnsi="宋体"/>
          <w:color w:val="auto"/>
          <w:sz w:val="24"/>
          <w:szCs w:val="24"/>
          <w:highlight w:val="none"/>
        </w:rPr>
        <w:t xml:space="preserve">： </w:t>
      </w:r>
    </w:p>
    <w:p>
      <w:pPr>
        <w:autoSpaceDE w:val="0"/>
        <w:autoSpaceDN w:val="0"/>
        <w:adjustRightInd w:val="0"/>
        <w:spacing w:line="400" w:lineRule="exact"/>
        <w:ind w:firstLine="562" w:firstLineChars="200"/>
        <w:jc w:val="center"/>
        <w:rPr>
          <w:rFonts w:hint="eastAsia" w:ascii="宋体" w:hAnsi="宋体"/>
          <w:b/>
          <w:bCs/>
          <w:color w:val="auto"/>
          <w:sz w:val="28"/>
          <w:szCs w:val="56"/>
          <w:highlight w:val="none"/>
          <w:lang w:val="zh-CN"/>
        </w:rPr>
      </w:pPr>
      <w:bookmarkStart w:id="1262" w:name="_Toc29298"/>
      <w:r>
        <w:rPr>
          <w:rFonts w:hint="eastAsia" w:ascii="宋体" w:hAnsi="宋体"/>
          <w:b/>
          <w:bCs/>
          <w:color w:val="auto"/>
          <w:sz w:val="28"/>
          <w:szCs w:val="56"/>
          <w:highlight w:val="none"/>
        </w:rPr>
        <w:t>最后</w:t>
      </w:r>
      <w:r>
        <w:rPr>
          <w:rFonts w:hint="eastAsia" w:ascii="宋体" w:hAnsi="宋体"/>
          <w:b/>
          <w:bCs/>
          <w:color w:val="auto"/>
          <w:sz w:val="28"/>
          <w:szCs w:val="56"/>
          <w:highlight w:val="none"/>
          <w:lang w:val="zh-CN"/>
        </w:rPr>
        <w:t>报价表</w:t>
      </w:r>
      <w:bookmarkEnd w:id="1262"/>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项目名称：                       </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项目编号：</w:t>
      </w:r>
      <w:r>
        <w:rPr>
          <w:rFonts w:hint="eastAsia" w:ascii="宋体" w:hAnsi="宋体"/>
          <w:bCs/>
          <w:color w:val="auto"/>
          <w:szCs w:val="21"/>
          <w:highlight w:val="none"/>
        </w:rPr>
        <w:t xml:space="preserve">                                         </w:t>
      </w:r>
    </w:p>
    <w:tbl>
      <w:tblPr>
        <w:tblStyle w:val="22"/>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exact"/>
          <w:jc w:val="center"/>
        </w:trPr>
        <w:tc>
          <w:tcPr>
            <w:tcW w:w="548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供应商名称</w:t>
            </w:r>
          </w:p>
        </w:tc>
        <w:tc>
          <w:tcPr>
            <w:tcW w:w="3339" w:type="dxa"/>
            <w:tcBorders>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最后报价（元）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exact"/>
          <w:jc w:val="center"/>
        </w:trPr>
        <w:tc>
          <w:tcPr>
            <w:tcW w:w="5488" w:type="dxa"/>
            <w:noWrap w:val="0"/>
            <w:vAlign w:val="center"/>
          </w:tcPr>
          <w:p>
            <w:pPr>
              <w:spacing w:line="360" w:lineRule="auto"/>
              <w:rPr>
                <w:rFonts w:hint="eastAsia" w:ascii="宋体" w:hAnsi="宋体"/>
                <w:color w:val="auto"/>
                <w:szCs w:val="21"/>
                <w:highlight w:val="none"/>
              </w:rPr>
            </w:pPr>
          </w:p>
        </w:tc>
        <w:tc>
          <w:tcPr>
            <w:tcW w:w="3339" w:type="dxa"/>
            <w:tcBorders>
              <w:right w:val="single" w:color="auto" w:sz="4" w:space="0"/>
            </w:tcBorders>
            <w:noWrap w:val="0"/>
            <w:vAlign w:val="center"/>
          </w:tcPr>
          <w:p>
            <w:pPr>
              <w:spacing w:line="360" w:lineRule="auto"/>
              <w:jc w:val="center"/>
              <w:rPr>
                <w:rFonts w:hint="eastAsia" w:ascii="宋体" w:hAnsi="宋体" w:cs="宋体"/>
                <w:color w:val="auto"/>
                <w:sz w:val="24"/>
                <w:highlight w:val="none"/>
              </w:rPr>
            </w:pPr>
          </w:p>
        </w:tc>
      </w:tr>
    </w:tbl>
    <w:p>
      <w:pPr>
        <w:spacing w:line="360" w:lineRule="auto"/>
        <w:jc w:val="left"/>
        <w:rPr>
          <w:rFonts w:hint="eastAsia" w:ascii="宋体" w:hAnsi="宋体"/>
          <w:color w:val="auto"/>
          <w:szCs w:val="21"/>
          <w:highlight w:val="none"/>
        </w:rPr>
      </w:pP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备注：1、此表不需填写，不需放入响应文件格式内。</w:t>
      </w:r>
    </w:p>
    <w:p>
      <w:pPr>
        <w:spacing w:line="360" w:lineRule="auto"/>
        <w:ind w:firstLine="630" w:firstLineChars="3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2、此表为通过初步审查合格的供应商按照磋商要求，通过政采云平台在规定的时间内报价。</w:t>
      </w:r>
    </w:p>
    <w:p>
      <w:pPr>
        <w:spacing w:line="360" w:lineRule="auto"/>
        <w:ind w:firstLine="632" w:firstLineChars="3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3、各供应商于最后报价截止后4小时内将最后报价的已标价工程量清单纸质版（一正四副）送至中盛精诚工程项目管理有限公司。</w:t>
      </w: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480" w:lineRule="auto"/>
        <w:ind w:firstLine="480" w:firstLineChars="200"/>
        <w:rPr>
          <w:rFonts w:hint="eastAsia" w:ascii="宋体" w:hAnsi="宋体" w:cs="宋体"/>
          <w:color w:val="auto"/>
          <w:sz w:val="24"/>
          <w:highlight w:val="none"/>
        </w:rPr>
      </w:pPr>
    </w:p>
    <w:p>
      <w:pPr>
        <w:spacing w:line="480" w:lineRule="auto"/>
        <w:ind w:firstLine="2940" w:firstLineChars="1400"/>
        <w:rPr>
          <w:rFonts w:hint="eastAsia" w:ascii="宋体" w:hAnsi="宋体" w:cs="宋体"/>
          <w:color w:val="auto"/>
          <w:sz w:val="24"/>
          <w:highlight w:val="none"/>
          <w:u w:val="single"/>
        </w:rPr>
      </w:pPr>
      <w:r>
        <w:rPr>
          <w:rFonts w:hint="eastAsia" w:ascii="宋体" w:hAnsi="宋体"/>
          <w:color w:val="auto"/>
          <w:szCs w:val="21"/>
          <w:highlight w:val="none"/>
        </w:rPr>
        <w:t>供应商授权代表签字：</w:t>
      </w:r>
      <w:r>
        <w:rPr>
          <w:rFonts w:hint="eastAsia" w:ascii="宋体" w:hAnsi="宋体" w:cs="宋体"/>
          <w:color w:val="auto"/>
          <w:sz w:val="24"/>
          <w:highlight w:val="none"/>
          <w:u w:val="single"/>
        </w:rPr>
        <w:t>　　　　　　　　　　　　</w:t>
      </w:r>
    </w:p>
    <w:p>
      <w:pPr>
        <w:spacing w:line="480" w:lineRule="auto"/>
        <w:ind w:firstLine="2940" w:firstLineChars="1400"/>
        <w:rPr>
          <w:rFonts w:ascii="宋体" w:hAnsi="宋体" w:cs="宋体"/>
          <w:color w:val="auto"/>
          <w:sz w:val="24"/>
          <w:highlight w:val="none"/>
        </w:rPr>
      </w:pPr>
      <w:r>
        <w:rPr>
          <w:rFonts w:hint="eastAsia" w:ascii="宋体" w:hAnsi="宋体"/>
          <w:color w:val="auto"/>
          <w:szCs w:val="21"/>
          <w:highlight w:val="none"/>
        </w:rPr>
        <w:t>日              期：</w:t>
      </w:r>
      <w:r>
        <w:rPr>
          <w:rFonts w:hint="eastAsia" w:ascii="宋体" w:hAnsi="宋体" w:cs="宋体"/>
          <w:color w:val="auto"/>
          <w:sz w:val="24"/>
          <w:highlight w:val="none"/>
          <w:u w:val="single"/>
        </w:rPr>
        <w:t>　　　　　　　　　　　　</w:t>
      </w:r>
      <w:r>
        <w:rPr>
          <w:rFonts w:hint="eastAsia" w:ascii="宋体" w:hAnsi="宋体" w:cs="宋体"/>
          <w:color w:val="auto"/>
          <w:sz w:val="24"/>
          <w:highlight w:val="none"/>
        </w:rPr>
        <w:t xml:space="preserve"> </w:t>
      </w:r>
    </w:p>
    <w:p>
      <w:pPr>
        <w:pStyle w:val="11"/>
        <w:rPr>
          <w:rFonts w:hint="eastAsia"/>
          <w:highlight w:val="none"/>
        </w:rPr>
      </w:pPr>
    </w:p>
    <w:p>
      <w:pPr>
        <w:pStyle w:val="2"/>
        <w:outlineLvl w:val="9"/>
        <w:rPr>
          <w:rFonts w:hint="eastAsia"/>
          <w:highlight w:val="none"/>
          <w:lang w:val="en-US" w:eastAsia="zh-CN"/>
        </w:rPr>
      </w:pPr>
    </w:p>
    <w:sectPr>
      <w:pgSz w:w="11906" w:h="16838"/>
      <w:pgMar w:top="1247" w:right="1247" w:bottom="1247" w:left="1247" w:header="851" w:footer="992" w:gutter="397"/>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179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198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198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206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206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214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216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555EA441"/>
    <w:multiLevelType w:val="singleLevel"/>
    <w:tmpl w:val="555EA441"/>
    <w:lvl w:ilvl="0" w:tentative="0">
      <w:start w:val="2"/>
      <w:numFmt w:val="decimal"/>
      <w:suff w:val="nothing"/>
      <w:lvlText w:val="%1."/>
      <w:lvlJc w:val="left"/>
    </w:lvl>
  </w:abstractNum>
  <w:abstractNum w:abstractNumId="2">
    <w:nsid w:val="555EBC7D"/>
    <w:multiLevelType w:val="singleLevel"/>
    <w:tmpl w:val="555EBC7D"/>
    <w:lvl w:ilvl="0" w:tentative="0">
      <w:start w:val="1"/>
      <w:numFmt w:val="decimal"/>
      <w:suff w:val="nothing"/>
      <w:lvlText w:val="%1."/>
      <w:lvlJc w:val="left"/>
    </w:lvl>
  </w:abstractNum>
  <w:abstractNum w:abstractNumId="3">
    <w:nsid w:val="555EBF3F"/>
    <w:multiLevelType w:val="singleLevel"/>
    <w:tmpl w:val="555EBF3F"/>
    <w:lvl w:ilvl="0" w:tentative="0">
      <w:start w:val="1"/>
      <w:numFmt w:val="decimal"/>
      <w:suff w:val="nothing"/>
      <w:lvlText w:val="%1."/>
      <w:lvlJc w:val="left"/>
    </w:lvl>
  </w:abstractNum>
  <w:abstractNum w:abstractNumId="4">
    <w:nsid w:val="555FE167"/>
    <w:multiLevelType w:val="singleLevel"/>
    <w:tmpl w:val="555FE167"/>
    <w:lvl w:ilvl="0" w:tentative="0">
      <w:start w:val="1"/>
      <w:numFmt w:val="decimal"/>
      <w:suff w:val="nothing"/>
      <w:lvlText w:val="%1."/>
      <w:lvlJc w:val="left"/>
    </w:lvl>
  </w:abstractNum>
  <w:abstractNum w:abstractNumId="5">
    <w:nsid w:val="555FE6ED"/>
    <w:multiLevelType w:val="singleLevel"/>
    <w:tmpl w:val="555FE6ED"/>
    <w:lvl w:ilvl="0" w:tentative="0">
      <w:start w:val="1"/>
      <w:numFmt w:val="decimal"/>
      <w:suff w:val="nothing"/>
      <w:lvlText w:val="%1."/>
      <w:lvlJc w:val="left"/>
    </w:lvl>
  </w:abstractNum>
  <w:abstractNum w:abstractNumId="6">
    <w:nsid w:val="555FEA6A"/>
    <w:multiLevelType w:val="singleLevel"/>
    <w:tmpl w:val="555FEA6A"/>
    <w:lvl w:ilvl="0" w:tentative="0">
      <w:start w:val="1"/>
      <w:numFmt w:val="decimal"/>
      <w:suff w:val="nothing"/>
      <w:lvlText w:val="（%1）"/>
      <w:lvlJc w:val="left"/>
    </w:lvl>
  </w:abstractNum>
  <w:abstractNum w:abstractNumId="7">
    <w:nsid w:val="555FEB6A"/>
    <w:multiLevelType w:val="singleLevel"/>
    <w:tmpl w:val="555FEB6A"/>
    <w:lvl w:ilvl="0" w:tentative="0">
      <w:start w:val="5"/>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OWQ1MDcyOWJlNzg4ZDViNjA1NDdjMDI2NGI3MjMifQ=="/>
    <w:docVar w:name="KSO_WPS_MARK_KEY" w:val="f273bee5-0719-4e83-9e28-252dae5cdf10"/>
  </w:docVars>
  <w:rsids>
    <w:rsidRoot w:val="2090744F"/>
    <w:rsid w:val="02736E22"/>
    <w:rsid w:val="060911D9"/>
    <w:rsid w:val="08103884"/>
    <w:rsid w:val="15DB144E"/>
    <w:rsid w:val="18FA07B6"/>
    <w:rsid w:val="19CB412A"/>
    <w:rsid w:val="2090744F"/>
    <w:rsid w:val="209B1B14"/>
    <w:rsid w:val="21856362"/>
    <w:rsid w:val="2B6E6E35"/>
    <w:rsid w:val="2E9E6660"/>
    <w:rsid w:val="3F7E18E2"/>
    <w:rsid w:val="435113C7"/>
    <w:rsid w:val="45E5553A"/>
    <w:rsid w:val="5C734374"/>
    <w:rsid w:val="64E42862"/>
    <w:rsid w:val="677F2F67"/>
    <w:rsid w:val="70DA4E7A"/>
    <w:rsid w:val="71D15700"/>
    <w:rsid w:val="75A65837"/>
    <w:rsid w:val="7B92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qFormat/>
    <w:uiPriority w:val="0"/>
    <w:pPr>
      <w:keepNext/>
      <w:keepLines/>
      <w:outlineLvl w:val="1"/>
    </w:pPr>
    <w:rPr>
      <w:rFonts w:ascii="Cambria" w:hAnsi="Cambria"/>
      <w:b/>
      <w:bCs/>
      <w:kern w:val="0"/>
      <w:sz w:val="30"/>
      <w:szCs w:val="32"/>
    </w:rPr>
  </w:style>
  <w:style w:type="paragraph" w:styleId="4">
    <w:name w:val="heading 3"/>
    <w:basedOn w:val="1"/>
    <w:next w:val="5"/>
    <w:qFormat/>
    <w:uiPriority w:val="99"/>
    <w:pPr>
      <w:keepNext/>
      <w:keepLines/>
      <w:wordWrap w:val="0"/>
      <w:spacing w:before="100" w:beforeAutospacing="1" w:after="100" w:afterAutospacing="1" w:line="360" w:lineRule="auto"/>
      <w:jc w:val="center"/>
      <w:outlineLvl w:val="2"/>
    </w:pPr>
    <w:rPr>
      <w:rFonts w:eastAsia="黑体"/>
      <w:b/>
      <w:bCs/>
      <w:kern w:val="0"/>
      <w:sz w:val="32"/>
      <w:szCs w:val="32"/>
    </w:rPr>
  </w:style>
  <w:style w:type="paragraph" w:styleId="6">
    <w:name w:val="heading 4"/>
    <w:basedOn w:val="1"/>
    <w:next w:val="1"/>
    <w:qFormat/>
    <w:uiPriority w:val="99"/>
    <w:pPr>
      <w:keepNext/>
      <w:keepLines/>
      <w:spacing w:before="280" w:after="290" w:line="376" w:lineRule="auto"/>
      <w:outlineLvl w:val="3"/>
    </w:pPr>
    <w:rPr>
      <w:rFonts w:ascii="Arial" w:hAnsi="Arial" w:eastAsia="宋体"/>
      <w:b/>
      <w:bCs/>
      <w:sz w:val="28"/>
      <w:szCs w:val="28"/>
    </w:rPr>
  </w:style>
  <w:style w:type="paragraph" w:styleId="7">
    <w:name w:val="heading 5"/>
    <w:basedOn w:val="1"/>
    <w:next w:val="1"/>
    <w:qFormat/>
    <w:uiPriority w:val="0"/>
    <w:pPr>
      <w:keepNext/>
      <w:keepLines/>
      <w:spacing w:before="280" w:beforeLines="0" w:after="290" w:afterLines="0" w:line="372" w:lineRule="auto"/>
      <w:outlineLvl w:val="4"/>
    </w:pPr>
    <w:rPr>
      <w:b/>
      <w:bCs/>
      <w:sz w:val="28"/>
      <w:szCs w:val="28"/>
    </w:rPr>
  </w:style>
  <w:style w:type="paragraph" w:styleId="8">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character" w:default="1" w:styleId="24">
    <w:name w:val="Default Paragraph Font"/>
    <w:semiHidden/>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0"/>
    <w:pPr>
      <w:adjustRightInd w:val="0"/>
      <w:spacing w:line="315" w:lineRule="atLeast"/>
      <w:ind w:firstLine="420"/>
      <w:jc w:val="left"/>
    </w:pPr>
    <w:rPr>
      <w:rFonts w:ascii="宋体"/>
      <w:kern w:val="0"/>
      <w:sz w:val="20"/>
    </w:rPr>
  </w:style>
  <w:style w:type="paragraph" w:styleId="9">
    <w:name w:val="annotation text"/>
    <w:basedOn w:val="1"/>
    <w:qFormat/>
    <w:uiPriority w:val="0"/>
    <w:pPr>
      <w:jc w:val="left"/>
    </w:pPr>
  </w:style>
  <w:style w:type="paragraph" w:styleId="10">
    <w:name w:val="Body Text"/>
    <w:basedOn w:val="1"/>
    <w:next w:val="11"/>
    <w:qFormat/>
    <w:uiPriority w:val="0"/>
    <w:pPr>
      <w:spacing w:line="0" w:lineRule="atLeast"/>
    </w:pPr>
    <w:rPr>
      <w:b/>
      <w:kern w:val="0"/>
      <w:sz w:val="30"/>
      <w:szCs w:val="20"/>
    </w:rPr>
  </w:style>
  <w:style w:type="paragraph" w:styleId="11">
    <w:name w:val="Date"/>
    <w:basedOn w:val="1"/>
    <w:next w:val="1"/>
    <w:qFormat/>
    <w:uiPriority w:val="0"/>
    <w:rPr>
      <w:b/>
      <w:kern w:val="0"/>
      <w:sz w:val="24"/>
      <w:szCs w:val="20"/>
    </w:rPr>
  </w:style>
  <w:style w:type="paragraph" w:styleId="12">
    <w:name w:val="Body Text Indent"/>
    <w:basedOn w:val="1"/>
    <w:next w:val="1"/>
    <w:qFormat/>
    <w:uiPriority w:val="0"/>
    <w:pPr>
      <w:spacing w:after="120"/>
      <w:ind w:left="420" w:leftChars="200"/>
    </w:pPr>
  </w:style>
  <w:style w:type="paragraph" w:styleId="13">
    <w:name w:val="toc 5"/>
    <w:basedOn w:val="1"/>
    <w:next w:val="1"/>
    <w:qFormat/>
    <w:uiPriority w:val="0"/>
    <w:pPr>
      <w:tabs>
        <w:tab w:val="right" w:leader="dot" w:pos="8296"/>
      </w:tabs>
      <w:ind w:left="1050" w:leftChars="500"/>
    </w:pPr>
  </w:style>
  <w:style w:type="paragraph" w:styleId="14">
    <w:name w:val="toc 3"/>
    <w:basedOn w:val="1"/>
    <w:next w:val="1"/>
    <w:qFormat/>
    <w:uiPriority w:val="0"/>
    <w:pPr>
      <w:ind w:left="840" w:leftChars="400"/>
    </w:pPr>
  </w:style>
  <w:style w:type="paragraph" w:styleId="15">
    <w:name w:val="footer"/>
    <w:basedOn w:val="1"/>
    <w:qFormat/>
    <w:uiPriority w:val="99"/>
    <w:pPr>
      <w:tabs>
        <w:tab w:val="center" w:pos="4153"/>
        <w:tab w:val="right" w:pos="8306"/>
      </w:tabs>
      <w:snapToGrid w:val="0"/>
      <w:jc w:val="left"/>
    </w:pPr>
    <w:rPr>
      <w:kern w:val="0"/>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0"/>
  </w:style>
  <w:style w:type="paragraph" w:styleId="18">
    <w:name w:val="toc 4"/>
    <w:basedOn w:val="1"/>
    <w:next w:val="1"/>
    <w:qFormat/>
    <w:uiPriority w:val="0"/>
    <w:pPr>
      <w:tabs>
        <w:tab w:val="left" w:pos="1890"/>
        <w:tab w:val="right" w:leader="dot" w:pos="8296"/>
      </w:tabs>
      <w:ind w:left="630" w:leftChars="300"/>
    </w:pPr>
  </w:style>
  <w:style w:type="paragraph" w:styleId="19">
    <w:name w:val="Normal (Web)"/>
    <w:basedOn w:val="1"/>
    <w:unhideWhenUsed/>
    <w:qFormat/>
    <w:uiPriority w:val="0"/>
    <w:pPr>
      <w:spacing w:beforeAutospacing="1" w:afterAutospacing="1"/>
      <w:jc w:val="left"/>
    </w:pPr>
    <w:rPr>
      <w:kern w:val="0"/>
      <w:sz w:val="24"/>
    </w:rPr>
  </w:style>
  <w:style w:type="paragraph" w:styleId="20">
    <w:name w:val="Title"/>
    <w:basedOn w:val="1"/>
    <w:next w:val="1"/>
    <w:qFormat/>
    <w:uiPriority w:val="0"/>
    <w:pPr>
      <w:widowControl/>
      <w:spacing w:before="240" w:after="60"/>
      <w:jc w:val="center"/>
      <w:outlineLvl w:val="0"/>
    </w:pPr>
    <w:rPr>
      <w:rFonts w:ascii="Arial" w:hAnsi="Arial"/>
      <w:b/>
      <w:bCs/>
      <w:kern w:val="0"/>
      <w:sz w:val="44"/>
      <w:szCs w:val="32"/>
    </w:rPr>
  </w:style>
  <w:style w:type="paragraph" w:styleId="21">
    <w:name w:val="Body Text First Indent 2"/>
    <w:basedOn w:val="12"/>
    <w:next w:val="1"/>
    <w:qFormat/>
    <w:uiPriority w:val="0"/>
    <w:pPr>
      <w:tabs>
        <w:tab w:val="left" w:pos="1111"/>
      </w:tabs>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qFormat/>
    <w:uiPriority w:val="0"/>
    <w:rPr>
      <w:rFonts w:cs="Times New Roman"/>
      <w:color w:val="0000FF"/>
      <w:u w:val="single"/>
    </w:rPr>
  </w:style>
  <w:style w:type="paragraph" w:customStyle="1" w:styleId="26">
    <w:name w:val="列出段落1"/>
    <w:basedOn w:val="1"/>
    <w:qFormat/>
    <w:uiPriority w:val="0"/>
    <w:pPr>
      <w:ind w:firstLine="420" w:firstLineChars="200"/>
    </w:pPr>
    <w:rPr>
      <w:rFonts w:ascii="Calibri" w:hAnsi="Calibri"/>
      <w:szCs w:val="22"/>
    </w:rPr>
  </w:style>
  <w:style w:type="paragraph" w:customStyle="1" w:styleId="2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qFormat/>
    <w:uiPriority w:val="34"/>
    <w:pPr>
      <w:ind w:firstLine="420" w:firstLineChars="200"/>
    </w:pPr>
    <w:rPr>
      <w:rFonts w:ascii="Calibri" w:hAnsi="Calibri"/>
      <w:szCs w:val="22"/>
    </w:rPr>
  </w:style>
  <w:style w:type="character" w:customStyle="1" w:styleId="29">
    <w:name w:val="无"/>
    <w:qFormat/>
    <w:uiPriority w:val="0"/>
  </w:style>
  <w:style w:type="paragraph" w:customStyle="1" w:styleId="30">
    <w:name w:val="正文 A"/>
    <w:qFormat/>
    <w:uiPriority w:val="0"/>
    <w:pPr>
      <w:widowControl w:val="0"/>
      <w:jc w:val="both"/>
    </w:pPr>
    <w:rPr>
      <w:rFonts w:ascii="Times New Roman" w:hAnsi="Times New Roman" w:eastAsia="宋体" w:cs="Times New Roman"/>
      <w:color w:val="000000"/>
      <w:kern w:val="2"/>
      <w:sz w:val="30"/>
      <w:szCs w:val="30"/>
      <w:u w:val="none" w:color="000000"/>
      <w:lang w:val="en-US" w:eastAsia="zh-CN" w:bidi="ar-SA"/>
    </w:rPr>
  </w:style>
  <w:style w:type="paragraph" w:customStyle="1" w:styleId="31">
    <w:name w:val="_Style 6"/>
    <w:basedOn w:val="3"/>
    <w:next w:val="1"/>
    <w:qFormat/>
    <w:uiPriority w:val="0"/>
    <w:pPr>
      <w:outlineLvl w:val="9"/>
    </w:pPr>
  </w:style>
  <w:style w:type="paragraph" w:customStyle="1" w:styleId="32">
    <w:name w:val="表格"/>
    <w:basedOn w:val="1"/>
    <w:qFormat/>
    <w:uiPriority w:val="0"/>
    <w:pPr>
      <w:jc w:val="center"/>
    </w:pPr>
    <w:rPr>
      <w:rFonts w:cs="仿宋"/>
      <w:szCs w:val="30"/>
    </w:rPr>
  </w:style>
  <w:style w:type="paragraph" w:customStyle="1" w:styleId="3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4">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5.wmf"/><Relationship Id="rId27" Type="http://schemas.openxmlformats.org/officeDocument/2006/relationships/oleObject" Target="embeddings/oleObject5.bin"/><Relationship Id="rId26" Type="http://schemas.openxmlformats.org/officeDocument/2006/relationships/image" Target="media/image4.wmf"/><Relationship Id="rId25" Type="http://schemas.openxmlformats.org/officeDocument/2006/relationships/oleObject" Target="embeddings/oleObject4.bin"/><Relationship Id="rId24" Type="http://schemas.openxmlformats.org/officeDocument/2006/relationships/image" Target="media/image3.wmf"/><Relationship Id="rId23" Type="http://schemas.openxmlformats.org/officeDocument/2006/relationships/oleObject" Target="embeddings/oleObject3.bin"/><Relationship Id="rId22" Type="http://schemas.openxmlformats.org/officeDocument/2006/relationships/image" Target="media/image2.wmf"/><Relationship Id="rId21" Type="http://schemas.openxmlformats.org/officeDocument/2006/relationships/oleObject" Target="embeddings/oleObject2.bin"/><Relationship Id="rId20" Type="http://schemas.openxmlformats.org/officeDocument/2006/relationships/image" Target="media/image1.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228</Pages>
  <Words>88196</Words>
  <Characters>94496</Characters>
  <Lines>0</Lines>
  <Paragraphs>0</Paragraphs>
  <TotalTime>51</TotalTime>
  <ScaleCrop>false</ScaleCrop>
  <LinksUpToDate>false</LinksUpToDate>
  <CharactersWithSpaces>110771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2024-05-23T12:19:00Z</dcterms:created>
  <dc:creator>Administrator</dc:creator>
  <cp:lastModifiedBy> 夹心饼干</cp:lastModifiedBy>
  <dcterms:modified xsi:type="dcterms:W3CDTF">2024-06-12T03:31:29Z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202491DA19754A7FA6009179DDEA7DFC_13</vt:lpwstr>
  </property>
</Properties>
</file>